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32" w:lineRule="auto"/>
        <w:rPr>
          <w:sz w:val="20"/>
          <w:szCs w:val="20"/>
          <w:color w:val="auto"/>
        </w:rPr>
      </w:pPr>
      <w:r>
        <w:rPr>
          <w:rFonts w:ascii="Times New Roman" w:cs="Times New Roman" w:eastAsia="Times New Roman" w:hAnsi="Times New Roman"/>
          <w:sz w:val="16"/>
          <w:szCs w:val="16"/>
          <w:b w:val="1"/>
          <w:bCs w:val="1"/>
          <w:color w:val="auto"/>
        </w:rPr>
        <w:t>Washington, D.C. 20549</w:t>
      </w:r>
    </w:p>
    <w:p>
      <w:pPr>
        <w:ind w:left="470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x </w:t>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2018</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COMMISSION FILE NUMBER: 814-00852</w:t>
      </w:r>
    </w:p>
    <w:p>
      <w:pPr>
        <w:spacing w:after="0" w:line="2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GSV Capital Corp.</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jc w:val="center"/>
              <w:ind w:left="743"/>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6500" w:type="dxa"/>
            <w:vAlign w:val="bottom"/>
            <w:gridSpan w:val="3"/>
          </w:tcPr>
          <w:p>
            <w:pPr>
              <w:jc w:val="right"/>
              <w:ind w:right="2386"/>
              <w:spacing w:after="0"/>
              <w:rPr>
                <w:sz w:val="20"/>
                <w:szCs w:val="20"/>
                <w:color w:val="auto"/>
              </w:rPr>
            </w:pPr>
            <w:r>
              <w:rPr>
                <w:rFonts w:ascii="Times New Roman" w:cs="Times New Roman" w:eastAsia="Times New Roman" w:hAnsi="Times New Roman"/>
                <w:sz w:val="16"/>
                <w:szCs w:val="16"/>
                <w:b w:val="1"/>
                <w:bCs w:val="1"/>
                <w:color w:val="auto"/>
              </w:rPr>
              <w:t>27-4443543</w:t>
            </w:r>
          </w:p>
        </w:tc>
      </w:tr>
      <w:tr>
        <w:trPr>
          <w:trHeight w:val="226"/>
        </w:trPr>
        <w:tc>
          <w:tcPr>
            <w:tcW w:w="4920" w:type="dxa"/>
            <w:vAlign w:val="bottom"/>
          </w:tcPr>
          <w:p>
            <w:pPr>
              <w:jc w:val="center"/>
              <w:ind w:left="723"/>
              <w:spacing w:after="0"/>
              <w:rPr>
                <w:sz w:val="20"/>
                <w:szCs w:val="20"/>
                <w:color w:val="auto"/>
              </w:rPr>
            </w:pPr>
            <w:r>
              <w:rPr>
                <w:rFonts w:ascii="Times New Roman" w:cs="Times New Roman" w:eastAsia="Times New Roman" w:hAnsi="Times New Roman"/>
                <w:sz w:val="14"/>
                <w:szCs w:val="14"/>
                <w:color w:val="auto"/>
              </w:rPr>
              <w:t>(State of incorporation)</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34"/>
        </w:trPr>
        <w:tc>
          <w:tcPr>
            <w:tcW w:w="4920" w:type="dxa"/>
            <w:vAlign w:val="bottom"/>
          </w:tcPr>
          <w:p>
            <w:pPr>
              <w:jc w:val="center"/>
              <w:ind w:left="743"/>
              <w:spacing w:after="0"/>
              <w:rPr>
                <w:sz w:val="20"/>
                <w:szCs w:val="20"/>
                <w:color w:val="auto"/>
              </w:rPr>
            </w:pPr>
            <w:r>
              <w:rPr>
                <w:rFonts w:ascii="Times New Roman" w:cs="Times New Roman" w:eastAsia="Times New Roman" w:hAnsi="Times New Roman"/>
                <w:sz w:val="16"/>
                <w:szCs w:val="16"/>
                <w:b w:val="1"/>
                <w:bCs w:val="1"/>
                <w:color w:val="auto"/>
              </w:rPr>
              <w:t>345 California Street, Suite 600, San Francisco, CA</w:t>
            </w:r>
          </w:p>
        </w:tc>
        <w:tc>
          <w:tcPr>
            <w:tcW w:w="6500" w:type="dxa"/>
            <w:vAlign w:val="bottom"/>
            <w:gridSpan w:val="3"/>
          </w:tcPr>
          <w:p>
            <w:pPr>
              <w:jc w:val="right"/>
              <w:ind w:right="2566"/>
              <w:spacing w:after="0"/>
              <w:rPr>
                <w:sz w:val="20"/>
                <w:szCs w:val="20"/>
                <w:color w:val="auto"/>
              </w:rPr>
            </w:pPr>
            <w:r>
              <w:rPr>
                <w:rFonts w:ascii="Times New Roman" w:cs="Times New Roman" w:eastAsia="Times New Roman" w:hAnsi="Times New Roman"/>
                <w:sz w:val="16"/>
                <w:szCs w:val="16"/>
                <w:b w:val="1"/>
                <w:bCs w:val="1"/>
                <w:color w:val="auto"/>
              </w:rPr>
              <w:t>94104</w:t>
            </w:r>
          </w:p>
        </w:tc>
      </w:tr>
      <w:tr>
        <w:trPr>
          <w:trHeight w:val="226"/>
        </w:trPr>
        <w:tc>
          <w:tcPr>
            <w:tcW w:w="4920" w:type="dxa"/>
            <w:vAlign w:val="bottom"/>
          </w:tcPr>
          <w:p>
            <w:pPr>
              <w:jc w:val="center"/>
              <w:ind w:left="72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r>
        <w:trPr>
          <w:trHeight w:val="355"/>
        </w:trPr>
        <w:tc>
          <w:tcPr>
            <w:tcW w:w="4920" w:type="dxa"/>
            <w:vAlign w:val="bottom"/>
          </w:tcPr>
          <w:p>
            <w:pPr>
              <w:spacing w:after="0"/>
              <w:rPr>
                <w:sz w:val="24"/>
                <w:szCs w:val="24"/>
                <w:color w:val="auto"/>
              </w:rPr>
            </w:pPr>
          </w:p>
        </w:tc>
        <w:tc>
          <w:tcPr>
            <w:tcW w:w="6500" w:type="dxa"/>
            <w:vAlign w:val="bottom"/>
            <w:gridSpan w:val="3"/>
          </w:tcPr>
          <w:p>
            <w:pPr>
              <w:jc w:val="center"/>
              <w:ind w:right="4846"/>
              <w:spacing w:after="0"/>
              <w:rPr>
                <w:sz w:val="20"/>
                <w:szCs w:val="20"/>
                <w:color w:val="auto"/>
              </w:rPr>
            </w:pPr>
            <w:r>
              <w:rPr>
                <w:rFonts w:ascii="Times New Roman" w:cs="Times New Roman" w:eastAsia="Times New Roman" w:hAnsi="Times New Roman"/>
                <w:sz w:val="16"/>
                <w:szCs w:val="16"/>
                <w:b w:val="1"/>
                <w:bCs w:val="1"/>
                <w:color w:val="auto"/>
              </w:rPr>
              <w:t>(650) 235-4769</w:t>
            </w:r>
          </w:p>
        </w:tc>
      </w:tr>
      <w:tr>
        <w:trPr>
          <w:trHeight w:val="226"/>
        </w:trPr>
        <w:tc>
          <w:tcPr>
            <w:tcW w:w="114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34"/>
        </w:trPr>
        <w:tc>
          <w:tcPr>
            <w:tcW w:w="1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406"/>
        </w:trPr>
        <w:tc>
          <w:tcPr>
            <w:tcW w:w="4920" w:type="dxa"/>
            <w:vAlign w:val="bottom"/>
            <w:tcBorders>
              <w:bottom w:val="single" w:sz="8" w:color="auto"/>
            </w:tcBorders>
          </w:tcPr>
          <w:p>
            <w:pPr>
              <w:jc w:val="center"/>
              <w:ind w:left="62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6"/>
        </w:trPr>
        <w:tc>
          <w:tcPr>
            <w:tcW w:w="4920" w:type="dxa"/>
            <w:vAlign w:val="bottom"/>
          </w:tcPr>
          <w:p>
            <w:pPr>
              <w:jc w:val="center"/>
              <w:ind w:left="623"/>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7" w:lineRule="exact"/>
        <w:rPr>
          <w:sz w:val="24"/>
          <w:szCs w:val="24"/>
          <w:color w:val="auto"/>
        </w:rPr>
      </w:pPr>
    </w:p>
    <w:p>
      <w:pPr>
        <w:ind w:left="360" w:right="2480" w:firstLine="2397"/>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None </w:t>
      </w:r>
      <w:r>
        <w:rPr>
          <w:rFonts w:ascii="Times New Roman" w:cs="Times New Roman" w:eastAsia="Times New Roman" w:hAnsi="Times New Roman"/>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220" w:firstLine="351"/>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o NO x</w:t>
      </w:r>
    </w:p>
    <w:p>
      <w:pPr>
        <w:spacing w:after="0" w:line="1" w:lineRule="exact"/>
        <w:rPr>
          <w:sz w:val="24"/>
          <w:szCs w:val="24"/>
          <w:color w:val="auto"/>
        </w:rPr>
      </w:pPr>
    </w:p>
    <w:p>
      <w:pPr>
        <w:ind w:right="300" w:firstLine="351"/>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 w:lineRule="exact"/>
        <w:rPr>
          <w:sz w:val="24"/>
          <w:szCs w:val="24"/>
          <w:color w:val="auto"/>
        </w:rPr>
      </w:pPr>
    </w:p>
    <w:p>
      <w:pPr>
        <w:ind w:right="660" w:firstLine="351"/>
        <w:spacing w:after="0" w:line="246"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ind w:right="180" w:firstLine="351"/>
        <w:spacing w:after="0" w:line="25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13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 x</w:t>
      </w:r>
    </w:p>
    <w:p>
      <w:pPr>
        <w:spacing w:after="0" w:line="73" w:lineRule="exact"/>
        <w:rPr>
          <w:sz w:val="24"/>
          <w:szCs w:val="24"/>
          <w:color w:val="auto"/>
        </w:rPr>
      </w:pPr>
    </w:p>
    <w:p>
      <w:pPr>
        <w:sectPr>
          <w:pgSz w:w="11900" w:h="16838" w:orient="portrait"/>
          <w:cols w:equalWidth="0" w:num="2">
            <w:col w:w="7180" w:space="720"/>
            <w:col w:w="3520"/>
          </w:cols>
          <w:pgMar w:left="240" w:top="225"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73" w:lineRule="exact"/>
        <w:rPr>
          <w:sz w:val="24"/>
          <w:szCs w:val="24"/>
          <w:color w:val="auto"/>
        </w:rPr>
      </w:pPr>
    </w:p>
    <w:p>
      <w:pPr>
        <w:sectPr>
          <w:pgSz w:w="11900" w:h="16838" w:orient="portrait"/>
          <w:cols w:equalWidth="0" w:num="2">
            <w:col w:w="7180" w:space="720"/>
            <w:col w:w="3520"/>
          </w:cols>
          <w:pgMar w:left="240" w:top="225"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6"/>
          <w:szCs w:val="16"/>
          <w:color w:val="auto"/>
        </w:rPr>
        <w:t>Emerging growth company o</w:t>
      </w:r>
    </w:p>
    <w:p>
      <w:pPr>
        <w:sectPr>
          <w:pgSz w:w="11900" w:h="16838" w:orient="portrait"/>
          <w:cols w:equalWidth="0" w:num="1">
            <w:col w:w="11420"/>
          </w:cols>
          <w:pgMar w:left="240" w:top="225" w:right="239" w:bottom="1440" w:gutter="0" w:footer="0" w:header="0"/>
          <w:type w:val="continuous"/>
        </w:sectPr>
      </w:pPr>
    </w:p>
    <w:p>
      <w:pPr>
        <w:spacing w:after="0" w:line="46" w:lineRule="exact"/>
        <w:rPr>
          <w:sz w:val="24"/>
          <w:szCs w:val="24"/>
          <w:color w:val="auto"/>
        </w:rPr>
      </w:pPr>
    </w:p>
    <w:p>
      <w:pPr>
        <w:ind w:right="400" w:firstLine="351"/>
        <w:spacing w:after="0" w:line="25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 YES o NO x</w:t>
      </w:r>
    </w:p>
    <w:p>
      <w:pPr>
        <w:spacing w:after="0" w:line="5" w:lineRule="exact"/>
        <w:rPr>
          <w:sz w:val="24"/>
          <w:szCs w:val="24"/>
          <w:color w:val="auto"/>
        </w:rPr>
      </w:pPr>
    </w:p>
    <w:p>
      <w:pPr>
        <w:ind w:right="100" w:firstLine="351"/>
        <w:spacing w:after="0" w:line="246" w:lineRule="auto"/>
        <w:rPr>
          <w:sz w:val="20"/>
          <w:szCs w:val="20"/>
          <w:color w:val="auto"/>
        </w:rPr>
      </w:pPr>
      <w:r>
        <w:rPr>
          <w:rFonts w:ascii="Times New Roman" w:cs="Times New Roman" w:eastAsia="Times New Roman" w:hAnsi="Times New Roman"/>
          <w:sz w:val="16"/>
          <w:szCs w:val="16"/>
          <w:color w:val="auto"/>
        </w:rPr>
        <w:t>The aggregate market value of common stock beneficially owned by non-affiliates of the Registrant on June 29, 2018, based on the closing price on that date of $6.86 on the Nasdaq Capital Market, was $142,351,263. For the purposes of calculating this amount only, all interested directors and executive officers of the Registrant have been treated as affiliates. There were 19,762,647 shares of the Registrant’s common stock outstanding as of April 17, 2019.</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 w:lineRule="exact"/>
        <w:rPr>
          <w:sz w:val="24"/>
          <w:szCs w:val="24"/>
          <w:color w:val="auto"/>
        </w:rPr>
      </w:pPr>
    </w:p>
    <w:p>
      <w:pPr>
        <w:ind w:right="80" w:firstLine="351"/>
        <w:spacing w:after="0" w:line="252"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Registrant’s 2019 annual meeting of stockholders (the “2019 Proxy Statement”), to be filed with the Securities and Exchange Commission (the “SEC”) within 120 days following the end of the Registrant’s fiscal year, are incorporated by reference in Part III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20" w:type="dxa"/>
            <w:vAlign w:val="bottom"/>
            <w:gridSpan w:val="8"/>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8"/>
              </w:rPr>
              <w:t>GSV CAPITAL CORP.</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8"/>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0"/>
        </w:trPr>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9"/>
        </w:trPr>
        <w:tc>
          <w:tcPr>
            <w:tcW w:w="118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1A.</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1B.</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Unresolved Staff Comments</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2.</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Properties</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3.</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Legal Proceedings</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4.</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Mine Safety Disclosures</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118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5.</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6.</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Selected Financial Data</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Item 7.</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7A.</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69</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8.</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Financial Statements and Supplementary Data</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Item 9.</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130</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Item 9A.</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Controls and Procedures</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130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Item 9B.</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Other Information</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134">
              <w:r>
                <w:rPr>
                  <w:rFonts w:ascii="Times New Roman" w:cs="Times New Roman" w:eastAsia="Times New Roman" w:hAnsi="Times New Roman"/>
                  <w:sz w:val="18"/>
                  <w:szCs w:val="18"/>
                  <w:color w:val="0000EE"/>
                </w:rPr>
                <w:t>131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8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Item 10.</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Directors, Executive Officers and Corporate Governance</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132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Item 11.</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Executive Compensation</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132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Item 12.</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132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Item 13.</w:t>
              </w:r>
            </w:hyperlink>
          </w:p>
        </w:tc>
        <w:tc>
          <w:tcPr>
            <w:tcW w:w="956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Certain Relationships and Related Transactions, and Director Independence</w:t>
              </w:r>
            </w:hyperlink>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132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Item 14.</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Principal Accounting Fees and Services</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132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8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Item 15.</w:t>
              </w:r>
            </w:hyperlink>
          </w:p>
        </w:tc>
        <w:tc>
          <w:tcPr>
            <w:tcW w:w="9560" w:type="dxa"/>
            <w:vAlign w:val="bottom"/>
            <w:gridSpan w:val="20"/>
          </w:tcPr>
          <w:p>
            <w:pPr>
              <w:spacing w:after="0" w:line="202"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Exhibits and Financial Statement Schedules</w:t>
              </w:r>
            </w:hyperlink>
          </w:p>
        </w:tc>
        <w:tc>
          <w:tcPr>
            <w:tcW w:w="68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133</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Signatures</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8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135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-4295775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GSV Capital</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GSV Capital Corp. (the “Company,” “we,” “our” or “GSV Capital”), a Maryland corporation, is an externally managed, non-diversified closed-end management investment company that has elected to be regulated as a business development company (“BDC”) under the Investment Company Act of 1940, as amended (the “1940 Act”). In addition, we have elected to be treated as a regulated investment company (“RIC”) under Subchapter M of the Internal Revenue Code of 1986, as amended (the “Code”). We commenced operations upon completion of our initial public offering (“IPO”) in May 2011. See “Management’s Discussion and Analysis of Financial Condition and Results of Operations—Recent Developments” in Part II, Item 7 of this Form 10-K.</w:t>
      </w:r>
    </w:p>
    <w:p>
      <w:pPr>
        <w:spacing w:after="0" w:line="184"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 Our investment activities are supervised by our Board of Directors and managed by our investment adviser, GSV Asset Management, LLC (“GSV Asset Management”), and our administrator, GSV Capital Service Company, LLC (“GSV Capital Service Company”), provides the administrative services necessary for us to operate. See “Management’s Discussion and Analysis of Financial Condition and Results of Operations—Recent Developments” in Part II, Item 7 of this Form 10-K.</w:t>
      </w:r>
    </w:p>
    <w:p>
      <w:pPr>
        <w:spacing w:after="0" w:line="185"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Our investment philosophy is based on a disciplined approach of identifying potentially high-growth emerging companies across several key industry themes which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Venture capital funds or other financial or strategic sponsors have invested in the vast majority of the companies that GSV Asset Management evaluates.</w:t>
      </w:r>
    </w:p>
    <w:p>
      <w:pPr>
        <w:spacing w:after="0" w:line="18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seek to create a low-turnover portfolio that includes investments in companies representing a broad range of investment themes.</w:t>
      </w:r>
    </w:p>
    <w:p>
      <w:pPr>
        <w:spacing w:after="0" w:line="225"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“GSVC”. The net asset value per share of our common stock on December 31, 2018 was $9.89. On April 17, 2019, the last reported sale price of a share of our common stock on the Nasdaq Capital Market was $6.52.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Internalization of Operating Structure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and effective March 12, 2019 (the “Effective Date”), our Board of Directors approved internalizing our operating structure (our “Internalization”) and we began operating as an internally managed non-diversified closed-end management investment company that has elected to be regulated as a BDC under the 1940 Act, as of the Effective Date.</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our Internalization, the Investment Advisory Agreement and the Administration Agreement (as such terms are defined in this Form 10-K) were terminated as of the Effective Date. As of such date, we entered into a Consulting Agreement with Michael T. Moe (the former Chairman of our Board of Directors and the Chief Executive Officer and Chief Investment Officer of GSV Asset Management), pursuant to which Mr. Moe will provide certain services to us in connection with our transition to an internally managed operating structure. We also entered into an Amended and Restated Trademark License Agreement with GSV Asset Management to continue to use the trade name “GSV”, and other state or unregistered “GSV” marks, including the trading symbol “GSVC.”</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our Internalization, Mr. Moe resigned from our Board of Directors, and our Board of Directors reduced the number of directors that constitute our full Board of Directors to five directors from six directors in accordance with our bylaws.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Except as otherwise disclosed herein, this Form 10-K discusses our business and operations as an externally managed BDC during the period covered by this Form 10-K and through the Effective Date. See “Management’s Discussion and Analysis of Financial Condition and Results of Operations—Recent Developments” in Part II, Item 7 of this Form 10-K for additional information regarding the forgoing and our Internalization.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GSV Asset Management</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investment activities are managed by GSV Asset Management, an investment adviser registered under the Investment Advisers Act of 1940, as amended (the “Advisers Act”), subject to the overall supervision of our Board of Directors. GSV Asset Management is led by Michael Moe, Chairman of our Board of Directors. Mr. Moe is assisted by Mark Klein, our Chief Executive Officer and President, whom, along with Luben Pampoulov, a partner of GSV Asset Management, as GSV Asset Management’s senior investment professionals. See “Management’s Discussion and Analysis of Financial Condition and Results of Operations—Recent Developments” in Part II, Item 7 of this Form 10-K.</w:t>
      </w:r>
    </w:p>
    <w:p>
      <w:pPr>
        <w:spacing w:after="0" w:line="184"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believe we benefit from the ability of GSV Asset Management’s senior investment professionals to identify attractive investment opportunities, conduct diligence on and value prospective investments, negotiate terms, and manage and monitor a portfolio of those investments. GSV Asset Management’s senior investment professionals have broad investment backgrounds, with prior experience at investment banks, commercial banks, unregistered investment funds and other financial services companies, and have collectively developed a broad network of contacts that provides us with an important source of investment opportunities.</w:t>
      </w:r>
    </w:p>
    <w:p>
      <w:pPr>
        <w:spacing w:after="0" w:line="184"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pay GSV Asset Management a fee for its services under the Amended and Restated Investment Advisory Agreement, as amended (the “Investment Advisory Agreement”), which consists of two components—a base management fee and an incentive fee. See “—Investment Advisory Agreement.” We have also entered into an administration agreement under which we have agreed to reimburse GSV Capital Service Company for our allocable portion of overhead and other expenses incurred (the “Administration Agreement”).</w:t>
      </w:r>
    </w:p>
    <w:p>
      <w:pPr>
        <w:spacing w:after="0" w:line="180"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GSV Asset Management is a Delaware limited liability company. The principal executive offices of GSV Asset Management are located at 2925 Woodside Road, Woodside, CA 94062.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GSV Capital Service Company</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GSV Capital Service Company, a Delaware limited liability company, provides, among other things, administrative services and facilities for us pursuant to the Administration Agreement. See “Management’s Discussion and Analysis of Financial Condition and Results of Operations—Recent Developments” in Part II, Item 7 of this Form 10-K. The principal executive offices of GSV Capital Service Company are located at 2925 Woodside Road, Woodside, CA 94062.</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GSV Capital Service Company has retained Carl Rizzo of Alaric Compliance Services LLC to serve as our Chief Compliance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are a Maryland corporation formed in 2010 that operates as an externally managed, non-diversified closed-end management investment company. Our investment activities are supervised by our Board of Directors and managed by our investment adviser, GSV Asset Management. Our administrator, GSV Capital Service Company, provides the administrative services necessary for us to operate. See “Management’s Discussion and Analysis of Financial Condition and Results of Operations—Recent Developments” in Part II, Item 7 of this Form 10-K.</w:t>
      </w:r>
    </w:p>
    <w:p>
      <w:pPr>
        <w:spacing w:after="0" w:line="180"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As a BDC, we are required to meet regulatory tests. See “—Regulation as a Business Development Company.” Also, while we are permitted to finance investments using debt, our ability to use debt is limited in certain significant aspects. See “Risk Factors” in Part I, Item 1A of this Form 10-K for more information.</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expect to continue to operate in a manner so as to qualify for the tax treatment applicable to RICs. See “—Material U.S. Federal Income Tax Considerations” and “Note 2—Significant Accounting Policies—</w:t>
      </w:r>
      <w:r>
        <w:rPr>
          <w:rFonts w:ascii="Times New Roman" w:cs="Times New Roman" w:eastAsia="Times New Roman" w:hAnsi="Times New Roman"/>
          <w:sz w:val="18"/>
          <w:szCs w:val="18"/>
          <w:i w:val="1"/>
          <w:iCs w:val="1"/>
          <w:color w:val="auto"/>
        </w:rPr>
        <w:t>U.S. Federal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 Income Taxes</w:t>
      </w:r>
      <w:r>
        <w:rPr>
          <w:rFonts w:ascii="Times New Roman" w:cs="Times New Roman" w:eastAsia="Times New Roman" w:hAnsi="Times New Roman"/>
          <w:sz w:val="18"/>
          <w:szCs w:val="18"/>
          <w:color w:val="auto"/>
        </w:rPr>
        <w:t>” and “Note 9—Income Taxes” to our consolidated financial statements for the year ended December 31, 2018 for more information.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Our executive officers receive no direct compensation from us, and we have no direct employees. Our day-to-day investment operations are managed by GSV Asset Management. In addition, we reimburse GSV Capital Service Company for an allocable portion of expenses incurred by it in performing its obligations under the Administration Agreement, including a portion of the rent and the compensation of our President, Chief Financial Officer, Chief Compliance Officer and other staff providing administration services. Carl Rizzo, our Chief Compliance Officer, is a director of Alaric Compliance Services LLC and performs his functions as our Chief Compliance Officer under the terms of an agreement between GSV Capital Service Company and Alaric Compliance Services LLC.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Opportunity</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We believe that society is experiencing a convergence of numerous disruptive trends, producing new high-growth markets. For example, the growth of both social networking and connected mobile devices, such as smartphones and tablets, has opened up new channels for communication and real-time collaboration. The number of devices and people that regularly connect to the Internet has increased in recent years, generating significant demand for always accessible, personalized and localized content and real-time online interactivity. Similarly, the advent of education technology, and insights with respect to how, and what, people learn, are also disrupting the traditional educational sector. These factors are creating opportunities for new market participants and significant growth for established companies with leading positions capitalizing on these trends.</w:t>
      </w:r>
    </w:p>
    <w:p>
      <w:pPr>
        <w:spacing w:after="0" w:line="188"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more costly and less attractive to become a public company. As a result, there are significantly fewer IPOs today than there were during the 1990s, with prospective public companies taking longer to come to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investment objective is to maximize our portfolio’s total return, principally by seeking capital gains on our equity and equity-related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adopted the following business strategies to achieve our investment objective:</w:t>
      </w:r>
    </w:p>
    <w:p>
      <w:pPr>
        <w:spacing w:after="0" w:line="203" w:lineRule="exact"/>
        <w:rPr>
          <w:sz w:val="20"/>
          <w:szCs w:val="20"/>
          <w:color w:val="auto"/>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Identify high quality growth companies. </w:t>
      </w:r>
      <w:r>
        <w:rPr>
          <w:rFonts w:ascii="Times New Roman" w:cs="Times New Roman" w:eastAsia="Times New Roman" w:hAnsi="Times New Roman"/>
          <w:sz w:val="18"/>
          <w:szCs w:val="18"/>
          <w:color w:val="auto"/>
        </w:rPr>
        <w:t>Based on our extensive experience in analyzing technology trends and markets, we have identified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sub-sectors of social mobile, cloud computing and big data, internet commerce, sustainability and education technology, as opportunities where we believe companies are capable of producing substantial growth. We rely on our collective industry knowledge as well as an understanding of where leading venture capitalists are investing.</w:t>
      </w:r>
    </w:p>
    <w:p>
      <w:pPr>
        <w:spacing w:after="0" w:line="221"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We leverage a combination of our relationships throughout Silicon Valley and our independent research to identify leaders in our targeted sub-sectors that we believe are differentiated and best positioned for sustained growth. Our evaluation process is based on what we refer to as “the four P’s”:</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People—Organizations led by strong management teams with in-depth operational focus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Product—Differentiated and disruptive products with leading market positioning</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Potential—Large addressable markets</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Predictability—Ability to forecast and drive predictable and sustainable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these to be the core elements for identifying rapidly growing emerging companies.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Acquire positions in targeted investments. </w:t>
      </w:r>
      <w:r>
        <w:rPr>
          <w:rFonts w:ascii="Times New Roman" w:cs="Times New Roman" w:eastAsia="Times New Roman" w:hAnsi="Times New Roman"/>
          <w:sz w:val="18"/>
          <w:szCs w:val="18"/>
          <w:color w:val="auto"/>
        </w:rPr>
        <w:t>We seek to add to our portfolio by sourcing investments at an acceptable price through our disciplined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investing strategy. To this end, we utilize multiple methods to acquire equity stakes in private companies that are not available to many individual investors.</w:t>
      </w:r>
    </w:p>
    <w:p>
      <w:pPr>
        <w:spacing w:after="0" w:line="213" w:lineRule="exact"/>
        <w:rPr>
          <w:sz w:val="20"/>
          <w:szCs w:val="20"/>
          <w:color w:val="auto"/>
        </w:rPr>
      </w:pPr>
    </w:p>
    <w:p>
      <w:pPr>
        <w:jc w:val="both"/>
        <w:ind w:left="3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Direct equity investments. </w:t>
      </w:r>
      <w:r>
        <w:rPr>
          <w:rFonts w:ascii="Times New Roman" w:cs="Times New Roman" w:eastAsia="Times New Roman" w:hAnsi="Times New Roman"/>
          <w:sz w:val="18"/>
          <w:szCs w:val="18"/>
          <w:color w:val="auto"/>
        </w:rPr>
        <w:t>We seek direct investments in private companies. There is a large market among emerging private companies for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180"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Private secondary marketplaces and direct share purchases. </w:t>
      </w:r>
      <w:r>
        <w:rPr>
          <w:rFonts w:ascii="Times New Roman" w:cs="Times New Roman" w:eastAsia="Times New Roman" w:hAnsi="Times New Roman"/>
          <w:sz w:val="18"/>
          <w:szCs w:val="18"/>
          <w:color w:val="auto"/>
        </w:rPr>
        <w:t>We also utilize private secondary marketplaces as a means to acquire equity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equity-related interests in privately held companies that meet our investment criteria and that 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GSV Asset Management’s investment professionals within the industry and established history of investing affords us a favorable position when seeking approval for a purchase of shares subject to such limitations.</w:t>
      </w:r>
    </w:p>
    <w:p>
      <w:pPr>
        <w:spacing w:after="0" w:line="184" w:lineRule="exact"/>
        <w:rPr>
          <w:sz w:val="20"/>
          <w:szCs w:val="20"/>
          <w:color w:val="auto"/>
        </w:rPr>
      </w:pPr>
    </w:p>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Create access to a varied investment portfolio. </w:t>
      </w:r>
      <w:r>
        <w:rPr>
          <w:rFonts w:ascii="Times New Roman" w:cs="Times New Roman" w:eastAsia="Times New Roman" w:hAnsi="Times New Roman"/>
          <w:sz w:val="18"/>
          <w:szCs w:val="18"/>
          <w:color w:val="auto"/>
        </w:rPr>
        <w:t>We seek to hold a varied portfolio of non-controlling equity investments, which we believe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minimize the impact on 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2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GSV Asset Management's investment professionals to focus our investments in companies and industries that are more likely to result in beneficial returns to our stockholders.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we benefit from the following competitive advantages in executing our investment strategy:</w:t>
      </w:r>
    </w:p>
    <w:p>
      <w:pPr>
        <w:spacing w:after="0" w:line="221" w:lineRule="exact"/>
        <w:rPr>
          <w:sz w:val="20"/>
          <w:szCs w:val="20"/>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Experienced team of investment professionals. </w:t>
      </w:r>
      <w:r>
        <w:rPr>
          <w:rFonts w:ascii="Times New Roman" w:cs="Times New Roman" w:eastAsia="Times New Roman" w:hAnsi="Times New Roman"/>
          <w:sz w:val="18"/>
          <w:szCs w:val="18"/>
          <w:color w:val="auto"/>
        </w:rPr>
        <w:t>GSV Asset Management’s senior investment professionals and our Board of Directors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experience researching and investing in the types of potentially rapidly growing venture-capital-backed emerging companies we are targeting for investment. Through our proprietary company-evaluation process, including our identification of technology trends and themes and company research, we believe we have developed important insight into identifying and valuing emerging private companies.</w:t>
      </w:r>
    </w:p>
    <w:p>
      <w:pPr>
        <w:spacing w:after="0" w:line="17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Disciplined and repeatable investment process. </w:t>
      </w:r>
      <w:r>
        <w:rPr>
          <w:rFonts w:ascii="Times New Roman" w:cs="Times New Roman" w:eastAsia="Times New Roman" w:hAnsi="Times New Roman"/>
          <w:sz w:val="18"/>
          <w:szCs w:val="18"/>
          <w:color w:val="auto"/>
        </w:rPr>
        <w:t>We have established a disciplined and repeatable process to locate and acquire available shares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attractive valuations by utilizing multiple sources. In contrast to industry “aggregators” that accumulate stock at market prices, we conduct valuation analyses and make acquisitions only when we can invest at valuations that we believe are attractive to our investors.</w:t>
      </w:r>
    </w:p>
    <w:p>
      <w:pPr>
        <w:spacing w:after="0" w:line="21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Deep relationships with significant credibility to source and complete transactions. </w:t>
      </w:r>
      <w:r>
        <w:rPr>
          <w:rFonts w:ascii="Times New Roman" w:cs="Times New Roman" w:eastAsia="Times New Roman" w:hAnsi="Times New Roman"/>
          <w:sz w:val="18"/>
          <w:szCs w:val="18"/>
          <w:color w:val="auto"/>
        </w:rPr>
        <w:t>GSV Asset Management, including its senior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professionals, are strategically located in the heart of Silicon Valley in Woodside, California. During the course of over two decades of researching and investing in emerging private companies, GSV Asset Management’s senior investment professionals have developed strong reputations within the investing community, particularly within technology-related sectors. GSV Asset Management’s senior investment professionals have also developed strong relationships in the financial, investing and technology-related sectors.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ind w:left="660" w:hanging="328"/>
        <w:spacing w:after="0" w:line="262"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Source of permanent investing capital. </w:t>
      </w:r>
      <w:r>
        <w:rPr>
          <w:rFonts w:ascii="Times New Roman" w:cs="Times New Roman" w:eastAsia="Times New Roman" w:hAnsi="Times New Roman"/>
          <w:sz w:val="18"/>
          <w:szCs w:val="18"/>
          <w:color w:val="auto"/>
        </w:rPr>
        <w:t>As a publicly traded corporation, we have access to a source of permanent equity capital that we can use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176"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Early mover advantage. </w:t>
      </w:r>
      <w:r>
        <w:rPr>
          <w:rFonts w:ascii="Times New Roman" w:cs="Times New Roman" w:eastAsia="Times New Roman" w:hAnsi="Times New Roman"/>
          <w:sz w:val="18"/>
          <w:szCs w:val="18"/>
          <w:color w:val="auto"/>
        </w:rPr>
        <w:t>We believe we are one of the few publicly traded BDCs with a specific focus on investing in potentially rapidly growing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venture-capital-backed emerging companies.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187"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Factors—Risks Related to Our Business and Structure” in Part I, Item 1A of this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Concentrated Technology-related Focus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During the course of over two decades of researching and investing in non-public companies, GSV Asset Management’s investment professionals have identified five areas from which we expect to see significant numbers of high-growth companies emerge: new media, communication, alternative energy, education technology, and the consumerization of information technology. These broad markets have the potential to produce disruptive technologies, reach a large addressable market and provide significant commercial opportunities. Within these areas, GSV Asset Management has identified broad trends that could create significant positive effects on growth such as globalization, consolidation, branding, convergence and network effects. From within these broad technology themes, GSV Asset Management has selected five sub-segments in which it target companies for our investment: social mobile, cloud computing and big data, internet commerce, sustainability and education technology. We remain focused on selecting market leaders within the sub-segments identified, while continuing to review our pipeline to ensure we are tracking the next phase of leaders.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Targeting and Screening</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identify prospective portfolio companies through an extensive network of relationships developed by GSV Asset Management’s senior investment professionals, supplemented by the knowledge and relationships of our Board of Directors. Investment opportunities that fall within our identified themes are validated against the observed behavior of leading venture capitalists and through our own internal and external research. We evaluate potential portfolio companies across a spectrum of criteria, including “the four Ps,” industry positioning and leadership, stage of growth, and several other factors that collectively characterize our proprietary investment process. We typically seek to invest approximately 90% of our portfolio in well-established, late stage companies and the remaining approximately 10% in emerging companies that fit within our targeted areas, where we see the potential for higher returns from early investment. Based on our initial screening, we identify a select set of companies that we evaluate in greater depth.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Due Diligence Process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Once we identify those companies that we believe warrant more in-depth analysis, we focus on their revenue growth, revenue quality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Construction and Sourcing</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Upon completion of our research and due diligence process, we select investments for inclusion in our portfolio based on their relative qualitative ranking,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 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Execution</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Monitoring</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GSV Asset Management will provide such managerial assistance on our behalf to portfolio companies that request assistance. We may receive fees for these services and will reimburse GSV Asset Management for its allocated costs in providing such assistance, subject to review by our Board of Directors, including our independent directors.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Overview</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the fair value of our portfolio of investments by asset class as of December 31, 2018 and 2017:</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49"/>
        </w:trPr>
        <w:tc>
          <w:tcPr>
            <w:tcW w:w="5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440" w:type="dxa"/>
            <w:vAlign w:val="bottom"/>
          </w:tcPr>
          <w:p>
            <w:pPr>
              <w:jc w:val="right"/>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95"/>
        </w:trPr>
        <w:tc>
          <w:tcPr>
            <w:tcW w:w="5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Portfolio</w:t>
            </w:r>
          </w:p>
        </w:tc>
      </w:tr>
      <w:tr>
        <w:trPr>
          <w:trHeight w:val="249"/>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48,517,824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86,824,096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120,253,822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4,916,578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433,997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52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tcBorders>
              <w:top w:val="single" w:sz="8" w:color="CCEEFF"/>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212,428,493</w:t>
            </w:r>
          </w:p>
        </w:tc>
        <w:tc>
          <w:tcPr>
            <w:tcW w:w="100" w:type="dxa"/>
            <w:vAlign w:val="bottom"/>
            <w:tcBorders>
              <w:top w:val="single" w:sz="8" w:color="CCEEFF"/>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44,589,406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8,160,000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198,815,829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220,588,493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7"/>
        </w:trPr>
        <w:tc>
          <w:tcPr>
            <w:tcW w:w="52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57"/>
        </w:trPr>
        <w:tc>
          <w:tcPr>
            <w:tcW w:w="52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298,809,829</w:t>
            </w:r>
          </w:p>
        </w:tc>
        <w:tc>
          <w:tcPr>
            <w:tcW w:w="100" w:type="dxa"/>
            <w:vAlign w:val="bottom"/>
            <w:tcBorders>
              <w:top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320,582,493</w:t>
            </w:r>
          </w:p>
        </w:tc>
        <w:tc>
          <w:tcPr>
            <w:tcW w:w="100" w:type="dxa"/>
            <w:vAlign w:val="bottom"/>
            <w:tcBorders>
              <w:top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-736600</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-736600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4356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-1088390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-1088390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-1088390</wp:posOffset>
            </wp:positionV>
            <wp:extent cx="4356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6273800</wp:posOffset>
            </wp:positionH>
            <wp:positionV relativeFrom="paragraph">
              <wp:posOffset>-2134870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-2134870</wp:posOffset>
            </wp:positionV>
            <wp:extent cx="3353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We determine the net asset value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162"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members of GSV Asset Management’s portfolio management team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85"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GSV Asset Management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generally determine the fair value of our investments by considering a number of factors. The following represent factors that, among others, could impact our fair value determinations: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trading of our portfolio securities, taking into consideration lock-up requirements and liquidity;</w:t>
      </w:r>
    </w:p>
    <w:p>
      <w:pPr>
        <w:spacing w:after="0" w:line="26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trading of our portfolio securities on a private secondary market, where we have determined that there is meaningful volume and the transactions are considered arm’s length by sophisticated investors;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funding rounds in the companies in which we are invested, where there is meaningful and reputable information available on size, valuation and investors;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by us in current portfolio companies, where the price of the new investment differs materially from prior investments.</w:t>
      </w:r>
    </w:p>
    <w:p>
      <w:pPr>
        <w:spacing w:after="0" w:line="266"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There is inherent subjectivity in determining the fair value of our investments. In addition, we will accrue as a liability, each time we calculate net asset value, the amount we may owe GSV Asset Management for the income incentive fee and the capital gains incentive fee, the latter of which is based on the amount of unrealized and realized capital appreciation.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net asset value, we also consider our recognition of a deferred tax liability for unrealized gains on investments for those investments held in our taxable subsidiaries. See “Note 1—Nature of Operations” to our consolidated financial statements for the year ended December 31, 2018 for a list of our taxable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Advisory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GSV Asset Management serves as our investment adviser. Subject to the overall supervision of our Board of Directors, GSV Asset Management manages our day-to-day operations and provides us with investment advisory services. See “Management’s Discussion and Analysis of Financial Condition and Results of Operations—Recent Developments” in Part II, Item 7 of this Form 10-K.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the Investment Advisory Agreement, GSV Asset Management: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such changes;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what securities we will purchase, retain or sell;</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due diligence on prospective portfolio companies;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services the investments we make; and</w:t>
      </w:r>
    </w:p>
    <w:p>
      <w:pPr>
        <w:spacing w:after="0" w:line="26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with such other investment advisory, research and related services as we, from time to time, reasonably require for the investment of our funds.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GSV Asset Management’s services under the Investment Advisory Agreement are not exclusive, and it is free to furnish similar services to other entities so long as its services to us are not impaired. For example, as of April 17, 2019, GSV Asset Management also manages: Coursera@GSV Fund, LP, Coursera@GSV-EDBI Fund, LP, and GSV@CS, LP, special purpose vehicles each comprised of an underlying investment in the capital stock of Coursera, Inc. (the “Coursera Funds”); GSV@SP, LLC, a special purpose vehicle comprised of an underlying investment in the capital stock of Spotify Technology S.A. (the “GSV@SP Fund”); and GSV@LT, LLC, GSV@LT II, LP, and GSV@LT III, LP, special purpose vehicles each comprised of an underlying investment in the capital stock of Lyft, Inc. (the “Lyft Funds”). GSV Asset Management will likely manage one or more private funds, or series within such private funds, in the future. The Company has no ownership interests in the Coursera Funds, the GSV@SP Fund or the Lyft Funds.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1940 Act prohibits the Company from making certain negotiated co-investments with affiliates unless it receives an order from the SEC permitting it to do so. To the extent that the Company competes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Investment Advisers Act of 1940, and (3) certain restrictions under the 1940 Act regarding co-investments with affiliates. In situations where a particular investment or disposition opportunity is appropriate for both the Company and another entity managed by GSV Asset Management, even where co-investments are permissible under the 1940 Act, GSV Asset Management will first offer any such opportunity in its entirety to the Company. In the event that the size of such investment or disposition opportunity exceeds the Company’s capacity, other funds managed by GSV Asset Management may be offered the opportunity, but only to the extent that the Company and its Board of Directors have confirmed that any such investment or disposition by an affiliated entity is permissible under the 1940 Act and otherwise in the Company’s best interests. The Company’s Chief Compliance Officer and Board of Directors will monitor on a quarterly basis any such allocation of investment or disposition opportunities between the Company and any such other funds.</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GSV Asset Management does not anticipate that it will ordinarily identify investment opportunities that are appropriate for both GSV Capital and the other funds that are currently or in the future may be managed by GSV Asset Management. However, to the extent it does identify such opportunity, GSV Asset Management will allocate any such opportunity across the entities for which the opportunity is appropriate, consistent with (1) its internal conflict-resolution and allocation policies, (2) the requirements of the Investment Advisers Act of 1940, and (3) certain restrictions under the 1940 Act regarding co-investments with affiliates.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GSV Asset Management, and certain of our affiliates have submitted an exemptive relief application to the SEC to permit us to co-invest with other funds managed by GSV Asset Management or its affiliates in a manner consistent with our investment objective and the conditions to the application. As a result of our Internalization, we and GSV Asset Management withdrew such exemptive application on April 2, 2019 because the relief sought was no longer necessary.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business development company, we are prohibited under the 1940 Act from participating in certain transactions with certain of our affiliates without the prior approval of our Board of Directors, including the independent directors, and, in some cases, the SEC. The affiliates with which we may be prohibited from transacting include our officers, directors and employees and any person controlling or under common control with us, subject to certain exceptions.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pay GSV Asset Management a fee for its services under the Investment Advisory Agreement consisting of two components — a base management fee and an incentive fee.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base management fee compensates GSV Asset Management for its work in identifying, evaluating, negotiating, executing and servicing our investments. Under the terms of the Investment Advisory Agreement, the base management fee is calculated at an annual rate of 2.00% of our gross assets, which is our total assets as reflected on our balance sheet (with no deduction for liabilities). Effective January 1, 2017 through January 31, 2018, however, pursuant to a voluntary waiver by GSV Asset Management, we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base management fee is payable monthly in arrears, and is calculated based on the average value of our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GSV Asset Management's incentive fee is determined and payable in arrears as of the end of each calendar year (or upon termination of the Investment Advisory Agreement, as of the termination date), and will equal the lesser of:</w:t>
      </w:r>
    </w:p>
    <w:p>
      <w:pPr>
        <w:spacing w:after="0" w:line="162"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our realized capital gains during such calendar year, if any, calculated on an investment-by-investment basis, subject to a non-compounded preferred return, or “hurdle,” and a “catch-up” feature,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realized capital gains from each investment, expressed as a non-compounded annual rate of return on the cost of such investment since we initially acquired it, will be compared to a hurdle rate of 8.00% per year. We will only pay an incentive fee on any realized capital gains from an investment that exceeds the hurdle rate. We will pay GSV Asset Management an incentive fee with respect to our realized capital gains from each investment as follows:</w:t>
      </w:r>
    </w:p>
    <w:p>
      <w:pPr>
        <w:spacing w:after="0" w:line="176"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fee will be payable on the amount of any realized capital gains from an investment that, when expressed as a non-compounded annual rate of return on the cost of such investment since we initially acquired it, does not exceed the hurdle rate of 8.00% per year.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as an incentive fee 100% of the amount of any realized capital gains from an investment that, when expressed as a non-compounded annual rate of return on the cost of such investment since we initially acquired it, exceeds the hurdle rate of 8.00% per year but is less than a rate of 10.00% per year. We refer to this portion of our realized capital gains from each investment (which exceeds the hurdle rate but is less than 10.00%) as the “catch-up.” The “catch-up” is meant to provide our investment adviser with 20% of the amount of our realized capital gains from an investment that, when expressed as a non-compounded annual rate of return on the cost of such investment since we initially acquired it, exceeds a rate of 10.00% per year.</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as an incentive fee 20% of the amount of any realized capital gains from an investment that, when expressed as a non-compounded annual rate of return on the cost of such investment since we initially acquired it, exceeds a rate of 10.00% per year.</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pursuant to the Waiver Agreement, certain high-water marks must be reached before any incentive fee is paid to GSV Asset Management under the Investment Advisory Agreement. In addition, in no event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w:t>
      </w:r>
    </w:p>
    <w:p>
      <w:pPr>
        <w:spacing w:after="0" w:line="180"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following is a graphical representation of the calculation of our incentive fee under the Investment Advisory Agreement with respect to a single investment, assuming certain "High Water Marks" (detailed below)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114300</wp:posOffset>
            </wp:positionV>
            <wp:extent cx="4056380" cy="179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5638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For accounting purposes, in order to reflect the theoretical capital gains incentive fee that would be payable for a given period as if all unrealized gains were realized, we are required to accrue a capital gains incentive fee based upon realized capital gains and losses during the current calendar year through the end of the period, plus any unrealized capital appreciation and depreciation as of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 except as modified by the Waiver Agreement.</w:t>
      </w:r>
    </w:p>
    <w:p>
      <w:pPr>
        <w:spacing w:after="0" w:line="188"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investments in our portfolio companies. Although we primarily invest through private secondary markets, to the extent we make a direct minority investment in a portfolio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we, nor GSV Asset Management, may have the ability to control the timing of when we realize capital gains or losses with respect to such investment. We expect the timing of such realization events to be determined by our portfolio companies in such cases. To the extent we have non-minority investments, or the securities we hold are traded on a private secondary market or public securities exchange, GSV Asset Management will have greater control over the timing of a realization event. In such cases, our Board of Directors will monitor such investments in connection with their general oversight of the investment management services provided by GSV Asset Management. In addition, as of the end of each fiscal quarter, we will evaluate whether the cumulative aggregate unrealized appreciation on our portfolio would be sufficient to require us to pay an incentive fee to GSV Asset Management if such unrealized appreciation were actually realized as of the end of such quarter, and if so, we will accrue an expense equal to the amount of such incentive fee. Any such accrual of incentive fees will be reflected in the calculation of our net asset value.</w:t>
      </w:r>
    </w:p>
    <w:p>
      <w:pPr>
        <w:spacing w:after="0" w:line="185"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 no event will we pay an incentive fee for any calendar year that exceeds 20% of our realized capital gains, if any, on a cumulative basis from inception through the end of such calendar year, computed net of all realized capital losses and unrealized capital depreciation on a cumulative basis, less the aggregate amount of any previously paid incentive fees. See “Note 3—Related-Party Arrangements” to our consolidated financial statements as of December 31, 2018 for details of incentive fees paid and accrued.</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cost of both the base management fee payable to GSV Asset Management, and any incentive fees earned by GSV Asset Management, are ultimately borne by our common stockholders. In aggregate, inclusive of accruals and reversals, GSV Asset Management earned $10,108,330 under the Investment Advisory Agreement during the fiscal years ended December 31, 2018, 2017, and 2016. Refer to our Consolidated Statements of Operation as of December 31, 2018, 2017 and 2016 included in Part II, Item 6 of this report on Form 10-K for details of management and incentive fees earned and waived.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Agreement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February 2, 2018, GSV Asset Management voluntarily agreed to reduce the fees payable under the Investment Advisory Agreement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Agreement. The Waiver Agreement is effective February 1, 2018 and changes the fee structure set forth in the Investment Advisory Agreement by:</w:t>
      </w:r>
    </w:p>
    <w:p>
      <w:pPr>
        <w:spacing w:after="0" w:line="9" w:lineRule="exact"/>
        <w:rPr>
          <w:sz w:val="20"/>
          <w:szCs w:val="20"/>
          <w:color w:val="auto"/>
        </w:rPr>
      </w:pPr>
    </w:p>
    <w:p>
      <w:pPr>
        <w:jc w:val="both"/>
        <w:ind w:firstLine="8"/>
        <w:spacing w:after="0" w:line="255" w:lineRule="auto"/>
        <w:tabs>
          <w:tab w:leader="none" w:pos="2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our base management fee from 2.00% to 1.75%; and (ii) creating certain high-water marks that must be reached before any incentive fee is paid to GSV Asset Management. In addition to the foregoing changes to the fee structure, GSV Asset Management also agreed to a one-time forfeiture of $5.0 million of previously accrued but unpaid incentive fees.</w:t>
      </w:r>
    </w:p>
    <w:p>
      <w:pPr>
        <w:spacing w:after="0" w:line="186"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Pursuant to the Waiver Agreement, effective February 1, 2018, the base management fee is reduced to 1.75% of gross assets. The base management fee is calculated based on the average value of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our 5.25% Convertible Senior Notes matured on September 15, 2018 (the "5.25% Convertible Senior Notes due 2018"), we were previously carrying a larger cash balance than we would in the ordinary course of business. As a result, under the Waiver Agreement, GSV Asset Management agreed to waive its base management fee on any cash balances effective as of February 1, 2018 until the 5.25% Convertible Senior Notes due 2018 matured on September 15, 2018, at which time we repaid the remaining outstanding aggregate principal amount of the 5.25% Convertible Senior Notes due 2018, including accrued but unpaid interest. As a result, as of and after September 15, 2018, we pay GSV Asset Management a 1.75% base management fee on our cash balances.</w:t>
      </w:r>
    </w:p>
    <w:p>
      <w:pPr>
        <w:spacing w:after="0" w:line="18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Further, pursuant to the Waiver Agreement, in addition to the “hurdle” feature in the incentive fee, GSV Asset Management has agreed to additional conditions on its ability to receive an incentive fee. Specifically, the Waiver Agreement provides that an incentive fee earned by GSV Asset Management under the Investment Advisory Agreement will be payable to GSV Asset Management only if, at the time that such incentive fee becomes payable under the Investment Advisory Agreement, both our stock price and our last reported net asset value per share are equal to or greater than $12.55 (the “High-Water Mark”). The High-Water Mark is based upon the volume weighted average price (VWAP) of all our equity offerings since the initial public offering, less the dollar amount of all dividends paid by us since inception. Upon such time that the High-Water Mark is achieved, and GSV Asset Management is paid an incentive fee, a new High-Water Mark will be established. Each new High-Water Mark will be equal to the most recent High-Water Mark, plus 10%. Any High-Water Mark then in effect will be adjusted to reflect any dividends paid by us or any stock split effected by us.</w:t>
      </w:r>
    </w:p>
    <w:p>
      <w:pPr>
        <w:spacing w:after="0" w:line="185"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In addition, as of December 31, 2018, the Company had accrued $4,660,472 in incentive fees that have not yet become payable under the Investment Advisory Agreement, inclusive of the $5.0 million GSV Asset Management has agreed to forfeit pursuant to the Waiver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For the avoidance of doubt, after these changes take effect, under no circumstances will the aggregate fees earned by GSV Asset Management in any quarterly period be higher than those aggregate fees that would have been earned prior to the effectiveness of the Waiver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Our primary operating expenses are the payment of a base management fee and any incentive fees under the Investment Advisory Agreement (defined below) and the allocable portion of overhead and other expenses incurred by GSV Capital Service Company in performing its obligations under the Administration Agreement. We bear all other cost and expenses of our operations, administration, and transactions, including (without limitation) fees and expenses relating to:</w:t>
      </w:r>
    </w:p>
    <w:p>
      <w:pPr>
        <w:spacing w:after="0" w:line="72" w:lineRule="exact"/>
        <w:rPr>
          <w:sz w:val="20"/>
          <w:szCs w:val="20"/>
          <w:color w:val="auto"/>
        </w:rPr>
      </w:pPr>
    </w:p>
    <w:p>
      <w:pPr>
        <w:ind w:left="1360" w:hanging="353"/>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offering;</w:t>
      </w:r>
    </w:p>
    <w:p>
      <w:pPr>
        <w:spacing w:after="0" w:line="130" w:lineRule="exact"/>
        <w:rPr>
          <w:rFonts w:ascii="Times New Roman" w:cs="Times New Roman" w:eastAsia="Times New Roman" w:hAnsi="Times New Roman"/>
          <w:sz w:val="18"/>
          <w:szCs w:val="18"/>
          <w:color w:val="auto"/>
        </w:rPr>
      </w:pPr>
    </w:p>
    <w:p>
      <w:pPr>
        <w:ind w:left="1360" w:hanging="353"/>
        <w:spacing w:after="0"/>
        <w:tabs>
          <w:tab w:leader="none" w:pos="13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10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GSV Asset Management payable to third parties, including agents, consultants, or other advisers in monitoring our financial and legal affairs and in providing administrative services, monitoring our investments and performing due diligence on any prospective portfolio companies;</w:t>
      </w:r>
    </w:p>
    <w:p>
      <w:pPr>
        <w:spacing w:after="0" w:line="4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and any other related costs, if any, incurred to finance our investments;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effecting sales and repurchases of shares our common stock and other securities;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 payable pursuant to the Investment Advisory Agreement</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if any, payable pursuant to the Administration Agreement</w:t>
      </w:r>
    </w:p>
    <w:p>
      <w:pPr>
        <w:spacing w:after="0" w:line="90"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including agents, consultants, or other advisers, relating to, or associated with, evaluating and making investments</w:t>
      </w:r>
    </w:p>
    <w:p>
      <w:pPr>
        <w:spacing w:after="0" w:line="2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trustee, and custodial fees;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shares on any securities exchange;</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 including travel expenses, and other costs of our Board of Directors’ meetings;</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costs;</w:t>
      </w:r>
    </w:p>
    <w:p>
      <w:pPr>
        <w:spacing w:after="0" w:line="90"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the of the fidelity bond, directors and officers, errors and omissions liability insurance, and any other insurance premiums;</w:t>
      </w:r>
    </w:p>
    <w:p>
      <w:pPr>
        <w:spacing w:after="0" w:line="26"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our website, public relations and marketing efforts (including attendance at industry and investor conferences and similar events);</w:t>
      </w:r>
    </w:p>
    <w:p>
      <w:pPr>
        <w:spacing w:after="0" w:line="26"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26"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either GSV Capital Service Company or us in connection with administering our business, including payments under the Administration Agreement that will be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administrative support personnel.</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these expenses are ultimately borne by our common stockholders.</w:t>
      </w:r>
    </w:p>
    <w:p>
      <w:pPr>
        <w:spacing w:after="0" w:line="225"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All personnel of GSV Asset Management, when and to the extent engaged in providing investment advisory services, and the compensation and expenses of such personnel allocable to such services, are provided and paid for by GSV Asset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Investment Advisory Agreement was initially approved by our Board of Directors on March 28, 2011 and became effective on April 11, 2011.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Unless earlier terminated as described below, the Investment Advisory Agreement will remain in effect from year to year if approved annually by our Board of Directors or by the affirmative vote of the holders of a majority of our outstanding voting securities, including, in either case, approval by a majority of our directors who are not interested persons of any such party, as such term is defined in Section 2(a)(19) of the 1940 Act. The Investment Advisory Agreement will automatically terminate in the event of its assignment. The Investment Advisory Agreement may be terminated by either party without penalty upon not more than 60 days’ written notice to the other. The Investment Advisory Agreement may also be terminated, without penalty, upon the vote of a majority of our outstanding voting securities.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Internalization, the Investment Advisory Agreement was terminated on the Effective Date in accordance with its terms. See “Management’s Discussion and Analysis of Financial Condition and Results of Operations—Recent Developments” in Part II, Item 7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gross negligence in the performance of its duties or by reason of the reckless disregard of its duties and obligations, GSV Asset Management and its officers, managers, partners,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Asset Management’s services under the Investment Advisory Agreement or otherwise as our investment adviser.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Approval of the Investment Advisory Agreement</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On April 9, 2018, at an in-person meeting, our Board of Directors, including a majority of the directors who were not “interested persons,” as defined by the 1940 Act, of the Company or GSV Asset Management, approved the continuation of the Investment Advisory Agreement to April 9, 2019. In its consideration of the re-approval of the Investment Advisory Agreement, the Board of Directors focused on information it had received relating to, among other things:</w:t>
      </w:r>
    </w:p>
    <w:p>
      <w:pPr>
        <w:spacing w:after="0" w:line="4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GSV Asset Management;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performance of GSV Asset Management;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expenses and expense ratio;</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GSV Asset Management or GSV Capital Service Company from their relationships with us and the profitability of those relationships;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such services under the Investment Advisory Agreement;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GSV Asset Management and its affiliates;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internally-managed structure.</w:t>
      </w:r>
    </w:p>
    <w:p>
      <w:pPr>
        <w:spacing w:after="0" w:line="266"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Based on the information reviewed and related discussions, our Board of Directors concluded that fees payable to GSV Asset Management pursuant to the Investment Advisory Agreement were reasonable in relation to the services to be provided. The Board of Directors did not assign relative weights to the above factors or the other factors considered by it. In addition, our Board of Directors did not reach any specific conclusion on each factor considered, but rather, conducted an overall analysis of these factors. Individual members of the Board of Directors may have given different weights to different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Under the Administration Agreement, GSV Capital Service Company performs, or oversees the performance of, our required administrative services, which includes being responsible for the financial records that we are required to maintain and preparing reports to our stockholders and reports filed with the SEC. In addition, GSV Capital Service Company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Further, pursuant to the Administration Agreement, GSV Capital Service Company furnishes us with office facilities, together with equipment and clerical, bookkeeping and record-keeping services at such facilities.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Incurred Under the Administration Agreement</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Costs incurred under the Administration Agreement are based upon our allocable portion of overhead and other expenses incurred by GSV Capital Service Company in performing its obligations under the Administration Agreement, including a portion of the rent and the compensation of our President, Chief Financial Officer, Chief Compliance Officer and other staff providing administrative services.</w:t>
      </w:r>
    </w:p>
    <w:p>
      <w:pPr>
        <w:spacing w:after="0" w:line="176"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In accordance with the terms of the Administration Agreement, overhead and other administrative expenses are generally allocated between us and GSV Asset Management by reference to the relative time spent by personnel in performing administrative and similar functions on our behalf as compared to performing investment advisory or administrative functions on behalf of GSV Asset Management. To the extent personnel retained by GSV Capital Service Company perform administrative tasks for GSV Asset Management, the fees incurred with respect to the actual time dedicated to such tasks will be reimbursed by GSV Asset Management.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GSV Asset Management wholly owns and controls GSV Capital Service Company, which is a disregarded entity for tax purposes.The Administration Agreement may be terminated at any time without penalty upon 60 days’ written notice, by a vote of a majority of our outstanding voting securities, by a vote of our Board of Directors or by GSV Capital Service Company.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Internalization, the Administration Agreement was terminated on the Effective Date in accordance with its terms. See “Management’s Discussion and Analysis of Financial Condition and Results of Operations—Recent Developments” in Part II, Item 7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gross negligence in the performance of their respective duties or by reason of the reckless disregard of their respective duties and obligations, GSV Capital Service Company and its officers, manager,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GSV Capital Service Company’s services under the Administration Agreement or otherwise as our administrator.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have entered into a license agreement with GSV Asset Management pursuant to which GSV Asset Management has agreed to grant us a non-exclusive, royalty-free license to use the name “GSV.” Under this agreement, we have a right to use the GSV name for so long as the Investment Advisory Agreement with GSV Asset Management is in effect. Other than with respect to this limited license, we will have no legal right to the “GSV” name. See “Management’s Discussion and Analysis of Financial Condition and Results of Operations—Recent Developments” in Part II, Item 7 of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180"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4"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Small Business Credit Availability Act (the “SBCAA”) modifies the asset coverage percentage from 200% to 150%. Under the SBCAA,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SBCAA allows the majority of our independent directors to approve an increase in our leverage capacity, and such approval would become effective on the one-year anniversary of such approval. In either case, we would be required to make certain disclosures on our website and in SEC filings regarding, among other things, the receipt of approval to increase our leverage, our leverage capacity and usage, and risks related to leverage.</w:t>
      </w:r>
    </w:p>
    <w:p>
      <w:pPr>
        <w:spacing w:after="0" w:line="1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SBCAA also instructs the SEC to issue rules or amendments to rules allowing BDCs to use the same securities offering and proxy rules that available to operating companies, including, among other things, allowing BDCs to incorporate by reference in registration statements filed with the SEC and allow certain BDCs to file shelf registration statements that are automatically effective and take advantage of other benefits available to Well-Known Seasoned Issuers; however, as of the date of this Form 10-K, we do not know when the rules relating to this legislation will become effective.</w:t>
      </w:r>
    </w:p>
    <w:p>
      <w:pPr>
        <w:spacing w:after="0" w:line="9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tax purposes and our intention to continue to operate in a manner so as to qualify for the tax treatment applicable to RICs. See “Risk Factors—Risks Related to Our Business and Structure” in Part I, Item 1A of this Form 10-K for more information.</w:t>
      </w:r>
    </w:p>
    <w:p>
      <w:pPr>
        <w:spacing w:after="0" w:line="18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0"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“Risk Factors—Risks Related to Our Business and Structure—Regulations governing our operation as a business development company affect our ability to, and the way in which we, raise additional capital, which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BDC, we are also prohibited under the 1940 Act from knowingly participating in certain transactions with our affiliates without the prior approval of our Board of Directors who are not interested persons and, in some cases, prior approval by the SEC. For example, under the 1940 Act, absent receipt of exemptive relief from the SEC, we and certain of our affiliates are generally precluded from co-investing in negotiated private placements of securities. We, GSV Asset Management and certain of our affiliates have submitted an exemptive application to the SEC to permit us to co-invest with other funds managed by GSV Asset Management or its affiliates in a manner consistent with our investment objective and the conditions to the application. There can be no assurance that this exemptive order will be granted. If such relief is granted, then we will be permitted to participate in co-investment transactions with certain of our affiliates if a “required majority” (as defined in Section 57(o) of the 1940 Act) of our independent directors makes certain conclusions in connection with each transaction, including that (1) the terms of the transaction, including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consideration to be paid, are reasonable and fair to us and our stockholders and do not involve overreaching in respect of us or our stockholders on the part of any person concerned and (2) the transaction is consistent with the interests of our stockholders and is consistent with our investment objective and strategies.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As a BDC, we are subject to certain risks and uncertainties. See “Risk Factors—Risks Related to Our Business and Structure” in Part I, Item 1A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Qualifying Assets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76" w:lineRule="exact"/>
        <w:rPr>
          <w:sz w:val="20"/>
          <w:szCs w:val="20"/>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22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26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2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that is traded on a national securities exchange;</w:t>
      </w:r>
    </w:p>
    <w:p>
      <w:pPr>
        <w:spacing w:after="0" w:line="26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$250.0 million;</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and the BDC has an affiliated person who is a director of the eligible portfolio company;</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gross assets of not more than $4.0 million and capital and surplus of not less than $2.0 million; or</w:t>
      </w:r>
    </w:p>
    <w:p>
      <w:pPr>
        <w:spacing w:after="0" w:line="2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such other criteria as may be established by the SEC.</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which we control.</w:t>
      </w:r>
    </w:p>
    <w:p>
      <w:pPr>
        <w:spacing w:after="0" w:line="26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2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options, warrants or rights relating to such securities.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62"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then-current gross assets were comprised of qualifying assets. We would not be required, however, to dispose of any non-qualifying assets in such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Managerial Assistance to Portfolio Companies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Temporary Investments</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GSV Asset Management will monitor the creditworthiness of the counterparties with which we enter into repurchase agreement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and Options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w:t>
      </w:r>
    </w:p>
    <w:p>
      <w:pPr>
        <w:spacing w:after="0" w:line="3" w:lineRule="exact"/>
        <w:rPr>
          <w:sz w:val="20"/>
          <w:szCs w:val="20"/>
          <w:color w:val="auto"/>
        </w:rPr>
      </w:pPr>
    </w:p>
    <w:p>
      <w:pPr>
        <w:jc w:val="both"/>
        <w:ind w:firstLine="8"/>
        <w:spacing w:after="0" w:line="253" w:lineRule="auto"/>
        <w:tabs>
          <w:tab w:leader="none" w:pos="3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stock senior to our common stock if our asset coverage, as defined in the 1940 Act, is at least equal to 200% (or 150% if certain requirements are met)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Borrowings, such as our 4.75% Convertible Senior Notes due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2023 (the "4.75% Convertible Senior Notes due 2023") and the Credit Facility (as defined herein), can magnify the potential for gain or loss on amounts invested and may increase the risk of investing in us.” in Part I, Item 1A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and GSV Asset Management have adopted a joint code of ethics pursuant to Rule 17j-1 under the 1940 Act and Rule 204A-1 under the Advisers Act. This code establishes procedures for personal investments and restricts certain transactions by our personnel. Our code of ethics and our code of business conduct and ethics are available on the EDGAR Database on the SEC’s Internet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and are available on our corporate governance. You may also obtain copies of our code of ethics and our code of business conduct and ethics, after paying a duplicating fee, by electronic request at the following Email address: publicinfo@sec.gov.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Policies and Procedures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and GSV Asset Management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Carl Rizzo currently serves as our Chief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Corporate Governance Regulations</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Sarbanes-Oxley Act imposes a wide variety of regulatory requirements on publicly held companies and their insiders. Many of these requirements affect us. For example:</w:t>
      </w:r>
    </w:p>
    <w:p>
      <w:pPr>
        <w:spacing w:after="0" w:line="162"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must certify the accuracy of the financial statements contained in our periodic reports;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must disclose our conclusions about the effectiveness of our disclosure controls and procedures;</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our management must prepare an annual report regarding its assessment of our internal control over financial reporting and must obtain an audit of the effectiveness of internal control over financial reporting performed by our independent registered public accounting firm; and</w:t>
      </w:r>
    </w:p>
    <w:p>
      <w:pPr>
        <w:spacing w:after="0" w:line="243"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82"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In addition, the Nasdaq Capital Market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 and Procedures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We have delegated our proxy voting responsibility to GSV Asset Management. The Proxy Voting Policies and Procedures of GSV Asset Management are set forth below. The guidelines will be reviewed periodically by GSV Asset Management and our non-interested directors, and, accordingly, are subject to change. For purposes of these Proxy Voting Policies and Procedures described below, “we,” “our” and “us” refer to GSV Asset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in the best interests of its clients, without regard to the investment adviser’s financial or other interest. As part of this duty, we recognize that we must vote client securities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 timely manner, free of actual or apparent conflicts of interest and in the best interests of our clients (or, where the client is a pooled investment vehicle or other similar entity, the client’s equity interest holders (“stockholders”), viewed as a group rather than individually).</w:t>
      </w:r>
    </w:p>
    <w:p>
      <w:pPr>
        <w:spacing w:after="0" w:line="162"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These policies and procedures for voting proxies for our investment advisory clients are intended to comply with Section 206 of, and Rule 206(4)-6 under, the Advisers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Policies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will vote proxies relating to portfolio securities in what we perceive to be the best interests of our clients or, as applicable, their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are compelling long-term reasons to do so.</w:t>
      </w:r>
    </w:p>
    <w:p>
      <w:pPr>
        <w:spacing w:after="0" w:line="180"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proxy voting decisions are made by the senior officers who are responsible for monitoring the relevant client’s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senior management in order to reduce any attempted influence from interested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Voting Records</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You may obtain information about how we voted proxies with respect to our portfolio securities by making a written request for proxy voting information to: Chief Compliance Officer, 345 California Street, Suite 600, San Francisco, CA 94104 or compliance@gsvcap.com.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We restrict access to non-public personal information about our stockholders to employees of GSV Asset Management and its affiliates with a legitimate business need for the information. We maintain physical, electronic and procedural safeguards designed to protect the non-public personal information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The address of that 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www.gsvcap.com</w:t>
      </w:r>
      <w:r>
        <w:rPr>
          <w:rFonts w:ascii="Times New Roman" w:cs="Times New Roman" w:eastAsia="Times New Roman" w:hAnsi="Times New Roman"/>
          <w:sz w:val="18"/>
          <w:szCs w:val="18"/>
          <w:color w:val="auto"/>
        </w:rPr>
        <w:t>. We make available free of charge on our website our annual report on Form 10-K, quarterly reports on Form 10-Q, current reports on Form 8-K and amendments to those reports as soon as reasonably practicable after we electronically file such material with, or furnish it to, the SEC. The information on our website is not incorporated by reference into this annual report on Form 10-K unless specifically so incorporated by reference 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Included in our consolidated financial statements, the following wholly-owned subsidiaries are taxable subsidiaries (collectively, the “GSVC Holdings”), regardless of whether we qualify for tax treatment as a RIC: GSVC AE Holdings, Inc., GSVC AV Holdings, Inc., GSVC NG Holdings, Inc., GSVC SW Holdings, Inc., GSVC WS Holdings, Inc., and GSVC SVDS Holdings, Inc. The GSVC Holdings are C corporations for U.S. federal and state income tax purposes. These taxable subsidiaries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6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California.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Taxed as a RIC</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9" w:lineRule="exact"/>
        <w:rPr>
          <w:sz w:val="20"/>
          <w:szCs w:val="20"/>
          <w:color w:val="auto"/>
        </w:rPr>
      </w:pPr>
    </w:p>
    <w:p>
      <w:pPr>
        <w:jc w:val="both"/>
        <w:ind w:right="20" w:firstLine="351"/>
        <w:spacing w:after="0" w:line="261" w:lineRule="auto"/>
        <w:rPr>
          <w:sz w:val="20"/>
          <w:szCs w:val="20"/>
          <w:color w:val="auto"/>
        </w:rPr>
      </w:pPr>
      <w:r>
        <w:rPr>
          <w:rFonts w:ascii="Times New Roman" w:cs="Times New Roman" w:eastAsia="Times New Roman" w:hAnsi="Times New Roman"/>
          <w:sz w:val="18"/>
          <w:szCs w:val="18"/>
          <w:color w:val="auto"/>
        </w:rPr>
        <w:t>We were taxed as a C corporation for the fiscal years ended December 31, 2012 and 2013. As a result of converting from a C corporation to a RIC, we are required to pay a corporate-level U.S. federal income tax on the net amount of the net built-in gains, if any, in our assets (i.e., the amount by which the net fair market value of our assets exceeds our net adjusted basis in our assets) as of the date of conversion (i.e., January 1, 2014) to the extent that such gains are recognized by us during the applicable five-year recognition period, which began on the date of conversion.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as a Regulated Investment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w:t>
      </w:r>
    </w:p>
    <w:p>
      <w:pPr>
        <w:spacing w:after="0" w:line="13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RIC;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Annual Distribution Requirement,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then we will not be subject to U.S. federal income tax on the portion of our income we distribute (or are deemed to distribute) to stockholders. We will be subject to U.S. federal income tax at the regular corporate rates on any income, including capital gains not distributed (or deemed distributed) to our stockholders.</w:t>
      </w:r>
    </w:p>
    <w:p>
      <w:pPr>
        <w:spacing w:after="0" w:line="176"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gains in excess of capital losses for the one-year period ending October 31 in that calendar year and (3) any ordinary income and net capital gains for preceding years that were not distributed during such preceding years (the “Excise Tax Avoidance Requirement”). We generally will endeavor in each year to make sufficient distributions to our stockholders to avoid any U.S. federal excise tax on our earnings.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order to qualify as a RIC for U.S. federal income tax purposes, we must, among other things: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in effect an election to be regulated as a BDC under the 1940 Act at all times during each taxable year;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loans of certain securities, gains from the sale of stock or other securities or foreign currencies, net income from certain “qualified publicly traded partnerships,” or other income derived with respect to our business of investing in such stock or securities (the “90% Income Test”);</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our stockholders on a timely basis each year at least 90% of “investment company taxable income,” which is generally our net ordinary income plus the excess of realized net short-term capital gains over realized net long-term capital losses (the “Annual Distribution Requirement”).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26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216"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“25% Diversification Test,” and together with the 50% Diversification Test, the “Diversification Tests”).</w:t>
      </w:r>
    </w:p>
    <w:p>
      <w:pPr>
        <w:spacing w:after="0" w:line="221"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If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 assuming that it is not the first quarter of RIC qualification.</w:t>
      </w:r>
    </w:p>
    <w:p>
      <w:pPr>
        <w:spacing w:after="0" w:line="18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the applicable period, the amount of realized gain (loss), the actual amount of net built-in gain or loss present in those assets as of the date of conversion, and the effective tax rates at such times. The payment of any such corporate-level U.S. federal income tax on built-in gain will be an expense that will reduce the amount available for distribution to our stockholders. The built-in gain tax is calculated by determining a RIC’s net unrealized built-in gains, if any, by which the fair market value of the assets of the RIC at the beginning of the first RIC-year exceeds the aggregate adjusted basis of such assets at that time.</w:t>
      </w:r>
    </w:p>
    <w:p>
      <w:pPr>
        <w:spacing w:after="0" w:line="188"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18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Business Development Company—Senior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8"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13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our Qualification as a RIC</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176"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191"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80"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 xml:space="preserve">See “Risk Factors—Risks Related to Our Business and Structure” in Part I, Item 1A of this Form 10-K and “Note 2—Significant Accounting Policies— </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consolidated financial statements for the year ended December 31, 2018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detail.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risks related to our Internalization, see “Management’s Discussion and Analysis of Financial Condition and Results of Operations—Recent Developments” in Part II, Item 7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investments in the rapidly growing venture-capital-backed emerging companies that we target may be extremely risky and we could lose all or part of our investments.</w:t>
      </w:r>
    </w:p>
    <w:p>
      <w:pPr>
        <w:spacing w:after="0" w:line="159"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Investment in the rapidly growing venture-capital-backed emerging companies that we target involves a number of significant risks, including the following:</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they are privately owned, there is generally little publicly available information about these businesses; therefore, although GSV Asset Management’s agents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22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202"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investments are generally not in publicly traded securities, there will be uncertainty regarding the value of our investments, which could adversely affect the determination of our net asset value.</w:t>
      </w:r>
    </w:p>
    <w:p>
      <w:pPr>
        <w:spacing w:after="0" w:line="15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Valuation Committee in accordance with our written valuation policy. In connection with that determination, members of GSV Asset Management’s portfolio management team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Valuation Committee takes into account in providing its fair value recommendation to the Board of Directors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securities based on an overstated net asset value would pay a higher price than the value of our investments might warrant. Conversely, investors selling securities during a period in which the net asset value understates the value of our investments would receive a lower price for their securities than the value of our investments might warrant.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175"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IPO market is, by its very nature, unpredictable. A lack of IPO opportunities for venture capital-backed companies could lead to companies staying longer in our portfolio as private entities still requiring funding. This situation may adversely affect the amount of available venture capital funding to late-stage companies that cannot complete an IPO. Such stagnation could dampen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of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185"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 rights to participate in the sale, thereby reducing the number of shares available to sell by us. Furthermore, prospective buyers may be deterred from entering into purchase transactions with us due to the delay and uncertainty that these transfer and other limitations create.</w:t>
      </w:r>
    </w:p>
    <w:p>
      <w:pPr>
        <w:spacing w:after="0" w:line="185"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180"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value, the fair value of our investments determined in good faith by our Board of Directors may differ significantly from the value that would have been used had a ready market existed for such investments, and the differences could be material.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 addition, even if a portfolio company completes an IPO, we will typically not be able to sell our position until any applicable post-IPO lockup restriction expires. As a result of lockup restrictions, the market price of securities that we hold may decline substantially before we are able to sell them following an IPO. There is also no assurance that a meaningful trading market will develop for our publicly traded portfolio companies following an IPO to allow us to liquidate our position when we desire.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invest principally in the equity and equity-related securities of what we believe to be rapidly growing venture-capital-backed emerging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equity interests we acquire may not appreciate in value and, in fact, may decline in value.</w:t>
      </w:r>
    </w:p>
    <w:p>
      <w:pPr>
        <w:spacing w:after="0" w:line="207"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portfolio companies are currently experiencing operating losses, which may be substantial, and there can be no assurance when or if such companies will operate at a profit.</w:t>
      </w:r>
    </w:p>
    <w:p>
      <w:pPr>
        <w:spacing w:after="0" w:line="15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We have limited information about the financial performance and profitability of some of our portfolio companies. While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lack of liquidity in, and potentially extended holding period of, our many investments may adversely affect our business and will delay any distributions of gains, if any.</w:t>
      </w:r>
    </w:p>
    <w:p>
      <w:pPr>
        <w:spacing w:after="0" w:line="15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have no limitation on the portion of our portfolio that may be invested in illiquid securities, and a substantial portion or all of our portfolio may be invested in such illiquid securities from time to time.</w:t>
      </w:r>
    </w:p>
    <w:p>
      <w:pPr>
        <w:spacing w:after="0" w:line="185"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5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A consequence of our limited number of investments is that the aggregate returns we realize may be significantly adversely affected if a small number of investments perform poorly or if we need to write down the value of any one investment. For example,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2018, 87.2% of our net asset value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5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Given the experience of GSV Asset Management’s senior investment professionals within the technology space, a number of the companies in which we have invested and intend to invest operate in technology-related sectors. Investments in such companies are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w:t>
      </w:r>
    </w:p>
    <w:p>
      <w:pPr>
        <w:spacing w:after="0" w:line="184"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In addition, our portfolio companies face intense competition since their businesses are rapidly evolving, intensely competitive and subject to changing technology, shifting user needs and frequent introductions of new products and services. Potential competitors to our portfolio companies in the technology industry range from large and established companies to emerging start-ups. Further, such companies are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Any of these factors could materially and adversely affect the business and operations of a portfolio company in the technology industry and, in turn, adversely affect the value of these portfolio companies and the value of any securities that we may hold.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could be negatively affected if a significant portfolio company fails to perform as expected.</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2018:</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vMerge w:val="restart"/>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0" w:type="dxa"/>
            <w:vAlign w:val="bottom"/>
          </w:tcPr>
          <w:p>
            <w:pPr>
              <w:spacing w:after="0"/>
              <w:rPr>
                <w:sz w:val="1"/>
                <w:szCs w:val="1"/>
                <w:color w:val="auto"/>
              </w:rPr>
            </w:pPr>
          </w:p>
        </w:tc>
      </w:tr>
      <w:tr>
        <w:trPr>
          <w:trHeight w:val="195"/>
        </w:trPr>
        <w:tc>
          <w:tcPr>
            <w:tcW w:w="420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Palantir Technologies, Inc.</w:t>
            </w:r>
          </w:p>
        </w:tc>
        <w:tc>
          <w:tcPr>
            <w:tcW w:w="22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16,189,935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34,053,394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17.4%</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Spotify Technology S.A.</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10,002,084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26,713,360</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Coursera, Inc.</w:t>
            </w:r>
          </w:p>
        </w:tc>
        <w:tc>
          <w:tcPr>
            <w:tcW w:w="1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14,519,519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23,111,889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Dropbox, Inc.</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13,656,926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17,876,046</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Lyft, Inc.</w:t>
            </w:r>
          </w:p>
        </w:tc>
        <w:tc>
          <w:tcPr>
            <w:tcW w:w="1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4,296,334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15,609,752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Course Hero, Inc.</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5,000,001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14,106,625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StormWind, LLC</w:t>
            </w:r>
          </w:p>
        </w:tc>
        <w:tc>
          <w:tcPr>
            <w:tcW w:w="1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6,130,474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13,386,824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Nextdoor.com, Inc.</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10,006,578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10,097,442</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NestGSV, Inc. (d/b/a GSV Labs, Inc.)</w:t>
            </w:r>
          </w:p>
        </w:tc>
        <w:tc>
          <w:tcPr>
            <w:tcW w:w="1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9,669,056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8,679,711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SharesPost, Inc.</w:t>
            </w: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2,383,703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6,798,904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91,854,610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170,433,947</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-633730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50082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08245" cy="88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-2357755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-2357755</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make follow-on investments, and our failure to make follow-on investments in our portfolio companies could impair the value of our portfolio.</w:t>
      </w:r>
    </w:p>
    <w:p>
      <w:pPr>
        <w:spacing w:after="0" w:line="15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76"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qualify to maintain our status as a RIC, or we lack access to the desired follow-on investment opportunity.</w:t>
      </w:r>
    </w:p>
    <w:p>
      <w:pPr>
        <w:spacing w:after="0" w:line="18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In addition, we may be unable to complete follow-on investments in our portfolio companies that have conducted an IPO as a result of regulatory or financial restrictions.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75"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foreign companies may involve significant risks in addition to the risks inherent in U.S. investments.</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While we invest primarily in U.S. companies, we may invest on an opportunistic basis in certain non-U.S. companies, including those located in emerging markets, that otherwise meet our investment criteria. In regards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8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expose ourselves to risks if we engage in hedging transactions.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on our part to maintain our status as a BDC would reduce our operating flexibility.</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For example, BDCs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GSV Asset Management’s senior investment professionals for our future success. If we lose any of GSV Asset Management’s senior investment professionals, our ability to implement our business strategy could be significantly harmed.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depend on the diligence, skill and network of business contacts of GSV Asset Management’s senior investment professionals. These senior investment professionals evaluate, negotiate, structure, close, monitor and service our investments. Our future success will depend to a significant extent on the continued service and coordination of our investment adviser’s senior investment professionals, particularly Michael T. Moe, Mark Klein and Luben Pampoulov.</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of GSV Asset Management’s senior investment professionals, including Michael T. Moe, Mark Klein and Luben Pampoulov, are free to terminate their relationship with GSV Asset Management at any time. In addition, none of our investment adviser’s senior investment professionals, including Messrs. Moe, Klein and Pampoulov, are subject to any non-compete agreements that would restrict their ability to provide investment advisory services to an entity with an investment objective similar to our own in the event they were to terminate their relationship with GSV Asset Management, or if GSV Asset Management were to no longer serve as our investment adviser. There can be no assurance that our investment adviser will be successful in retaining its senior investment professionals, including Messrs. Moe, Klein and Pampoulov. The departure of any of Messrs. Moe, Klein and Pampoulov could have a material adverse effect on our ability to achieve our investment objective.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growth will require that GSV Asset Management retain and attract new investment and administrative personnel in a competitive market. Its ability to attract and retain personnel with the requisite credentials, experience and skills will depend on several factors including, but not limited to, its ability to offer competitive wages, benefits and professional growth opportunities. Many of the entities with which GSV Asset Management will compete for experienced personnel, including investment funds (such as private equity funds and mezzanine funds) and traditional financial services companies, will have greater resources than it does.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will depend on our ability to achieve our investment objective.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achieve our investment objective will depend on our investment adviser’s ability to identify, analyze and invest in companies that meet our investment criteria. Accomplishing this result on a cost-effective basis is largely a function of our investment adviser’s structuring of the investment process and its ability to provide competent, attentive and efficient services to us. We seek a specified number of investments in rapidly growing venture-capital-backed emerging companies, which may be extremely risky. There can be no assurance that GSV Asset Management will be successful in identifying and investing in companies that meet our investment criteria, or that we will achieve our investment objective.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Even if we are able to grow and build upon our investment operations, any failure to manage our growth effectively could have a material adverse effect on our business, financial condition, results of operations and prospects. Our investment adviser also manages Coursera@GSV Fund, LP, Coursera@GSV-EDBI Fund, LP, and GSV@CS, LP, special purpose vehicles each comprised of an underlying investment in the capital stock of Coursera, Inc. (the “Coursera Funds”); GSV@SP, LLC, a special purpose vehicle comprised of an underlying investment in the capital stock of Spotify Technology S.A. (the “GSV@SP Fund”); and GSV@LT, LLC, GSV@LT II, LP, and GSV@LT III, LP, special purpose vehicles each comprised of an underlying investment in the capital stock of Lyft, Inc. (the “Lyft Funds”). GSV Asset Management will likely manage one or more private funds, or series within such private funds, in the future. We have no ownership interests in the Coursera Funds, the GSV@SP Fund or the Lyft Funds. These demands on their time may distract or slow the rate of investment.</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likely experience fluctuations in our quarterly results and we may be unable to replicate past investment opportunities or make the types of investments we have made to date in future periods.</w:t>
      </w:r>
    </w:p>
    <w:p>
      <w:pPr>
        <w:spacing w:after="0" w:line="15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will likely experience fluctuations in our quarterly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2018,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upon the development and maintenance of strong referral relationships with private equity, venture capital funds and investment banking firms.</w:t>
      </w:r>
    </w:p>
    <w:p>
      <w:pPr>
        <w:spacing w:after="0" w:line="15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are substantially dependent on the GSV Asset Management senior investment professionals’ informal relationships, which we use to help identify and gain access to investment opportunities. If the GSV Asset Management senior investment professionals fail to maintain relationships with key firms, or if they fail to establish strong referral relationships with other firms or other sources of investment opportunities, we will not be able to grow our portfolio of equity investments and achieve our investment objective. In addition, persons with whom GSV Asset Management senior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reduce the ability to identify attractive portfolio companies that meet our investment criteria, either for direct equity investments or for investments through private secondary market transactions or other secondary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risks related to investing in securities traded on private secondary marketplaces.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have utilized and expect to continue to utilize private secondary marketplaces, such as SharesPost, Inc., to acquire investments for our portfolio. When we purchase secondary shares, we may have little or no direct access to financial or other information from these portfolio companies. As a result, we are dependent upon the relationships and contacts of GSV Asset Management’s senior investment professionals and our Board of Directors to obtain the information for GSV Asset Management to perform research and due diligence, and to monitor our investments after they are made. There can be no assurance that GSV Asset Management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18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176"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transfer restrictions and the illiquid nature of our investments, we may not be able to purchase or sell our investments when we wish to do so.</w:t>
      </w:r>
    </w:p>
    <w:p>
      <w:pPr>
        <w:spacing w:after="0" w:line="229"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Most of our investments are or will be in equity or equity-related securities of privately 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and may include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co-sale or tag-along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18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184"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a daily basis, depending on many factors, including the status of the private secondary markets and our particular portfolio at any given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risks associated with investing in venture capital companies with complex capital structures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We invest primarily in what we believe to be rapidly growing, venture-capital-backed emerging companies, either through private secondary transactions, other secondary transactions or direct investments in companies. Such private companies frequently have much more complex capital structures than traditional publicly 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or senior debt outstanding, which may heighten the risk of investing in the underlying equity of such private companies, particularly in circumstances when we have limited information with respect to such capital structures. Although we believe that GSV Asset Management’s senior investment professionals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5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federal and state government as well as the stock exchange on which our common stock is listed. These entities, including the Public Company Accounting Oversight Board, the SEC and the Nasdaq Capital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18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In addition, any failure to keep pace with such rules, or for our management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184"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markets may experience periods of disruption and instability. These market conditions may materially and adversely affect debt and equity capital markets in the United States and abroad, which may in the future have a negative impact on our business and operations.</w:t>
      </w:r>
    </w:p>
    <w:p>
      <w:pPr>
        <w:spacing w:after="0" w:line="159"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As a BDC, we must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62"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200% (or 150% if certain requirements are met) immediately after each time we incur indebtedness.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185"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Given the volatility and dislocation in the capital markets over the past several years, many BDCs have faced, and may in the future face, a challenging environment in which to raise or access capital. In addition, this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market-to-market transactions between market participants. As a result, volatility in the capital markets can adversely affect our investment valuations. Further, the illiquidity of our investments may make it difficult for us to sell such investments if required and to value such investments. As a result, we may realize significantly less than the value at which we will have recorded our investments. An inability to raise capital, and any required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 of our investments for liquidity purposes, could have a material adverse impact on our business, financial condition or results of operations. In addition, a prolonged period of market illiquidity may cause us to reduce the volume of investments we may make and adversely affect the value of our portfolio investments, which could have a material and adverse effect on our business,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 circumstances, we would typically be last in line behind any creditors and would likely experience a complete loss on our investment.</w:t>
      </w:r>
    </w:p>
    <w:p>
      <w:pPr>
        <w:spacing w:after="0" w:line="188"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5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direct equity investment opportunities.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A large number of entities compete with us to make the types of direct equity investments that we target as part of our business strategy. We compete for such investments with a large number of private equity and venture capital funds, other equity and non-equity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us as a BDC.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management and incentive fees may induce GSV Asset Management to make speculative investments.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incentive fee payable by us to GSV Asset Management may create an incentive for GSV Asset Management to make investments on our behalf that are risky or more speculative than would be the case in the absence of such compensation arrangement. The way in which the incentive fee payable to GSV Asset Management is determined, which is calculated as a percentage of the return on invested capital, may encourage GSV Asset Management to use leverage to increase the return on our investments. In addition, the fact that our base management fee is payable based upon our gross assets, which is our total assets as reflected on our balance sheet (with no deduction for liabilities), may encourage GSV Asset Management to use leverage to make additional investments. For example, we currently have the 4.75% Convertible Senior Notes due 2023 outstanding. We will be required, however, to obtain the approval of our Board of Directors before we incur any additional indebtedness.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GSV Asset Management has control over the timing of the acquisition and dispositions of our investments, and; therefore, over when we realize gains and losses on our investments. As a result, GSV Asset Management, and those of our interested directors who are compensated by GSV Asset Management as employees of, or consultants to, GSV Asset Management based on the management and incentive fees paid by us to GSV Asset Management, may face a conflict of interest in determining when it is appropriate to dispose of a specific investment to the extent doing so may serve to maximize the incentive fee at a point where disposing of such investment may not necessarily be in the best interests of our stockholders. The independent members of our Board of Directors monitor such conflicts of interest in connection with their review of the performance of GSV Asset Management under our Investment Advisory Agreement, as well as during their quarterly review of our financial performance and results of operations.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Borrowings, such as the 4.75% Convertible Senior Notes due 2023 and the Credit Facility, can magnify the potential for gain or loss on amounts invested and may increase the risk of investing in us.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Borrowings, also known as leverage, magnify the potential for gain or loss on amounts invested and, therefore, increase the risks associated with investing in our securities. In addition to the 4.75% Convertible Senior Notes due 2023 and the $12.0 million Credit Facility,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4.75% Convertible Senior Notes due 2023, any borrowings under the Credit Facility and any future debt that we incur will depend largely on our financial performance and will be subject to prevailing economic conditions and competitive pressures. Moreover, because the management fee payable to GSV Asset Management is calculated based on our gross assets, including those assets acquired through the use of leverage, GSV Asset Management may have a financial incentive to incur additional leverage which may not be consistent with our stockholders’ interests. In addition, our common stockholders will bear the burden of any increase in our expenses as a result of such leverage, including any increase in the management fee payable to GSV Asset Management. As a result of our use of leverage, we have experienced a substantial increase in operating expenses and may continue to do so in the future.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borrowed funds to make investments exposes us to risks typically associated with leverage.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borrow money and may issue additional debt securities or preferred stock to leverage our capital structure. As a result:</w:t>
      </w:r>
    </w:p>
    <w:p>
      <w:pPr>
        <w:spacing w:after="0" w:line="90"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depreciation in the value of our assets may magnify losses associated with an investment and could totally eliminate the value of an asset to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660" w:hanging="328"/>
        <w:spacing w:after="0" w:line="33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 may be restricted if our asset coverage ratio, as provided in the 1940 Act, is not at least 200% (or 150% if certain requirements are met), and any amounts used to service indebtedness or preferred stock would not be available for such dividends;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Facility is, and any future credit facility we may enter would be, subject to periodic renewal by our lenders, whose continued participation cannot be guaranteed;</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indirectly our common stockholders, bear the entire cost of issuing and paying interest or dividends on such securities;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68" w:lineRule="exact"/>
        <w:rPr>
          <w:rFonts w:ascii="Times New Roman" w:cs="Times New Roman" w:eastAsia="Times New Roman" w:hAnsi="Times New Roman"/>
          <w:sz w:val="18"/>
          <w:szCs w:val="18"/>
          <w:color w:val="auto"/>
        </w:rPr>
      </w:pPr>
    </w:p>
    <w:p>
      <w:pPr>
        <w:ind w:left="660" w:hanging="328"/>
        <w:spacing w:after="0" w:line="34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convertible or exchangeable securities that we issue may have rights, preferences and privileges more favorable than those of our common shares; and</w:t>
      </w:r>
    </w:p>
    <w:p>
      <w:pPr>
        <w:spacing w:after="0" w:line="1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custodial relationships associated with our use of leverage would conform to the requirements of the 1940 Act, and no creditor would have veto</w:t>
      </w:r>
    </w:p>
    <w:p>
      <w:pPr>
        <w:spacing w:after="0" w:line="49" w:lineRule="exact"/>
        <w:rPr>
          <w:rFonts w:ascii="Times New Roman" w:cs="Times New Roman" w:eastAsia="Times New Roman" w:hAnsi="Times New Roman"/>
          <w:sz w:val="18"/>
          <w:szCs w:val="18"/>
          <w:color w:val="auto"/>
        </w:rPr>
      </w:pPr>
    </w:p>
    <w:p>
      <w:pPr>
        <w:ind w:left="660"/>
        <w:spacing w:after="0" w:line="3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over our investment policies, strategies, objectives or decisions except in an event of default or if our asset coverage was less than 200% (or 150% if certain requirements are met.</w:t>
      </w:r>
      <w:r>
        <w:rPr>
          <w:rFonts w:ascii="Times New Roman" w:cs="Times New Roman" w:eastAsia="Times New Roman" w:hAnsi="Times New Roman"/>
          <w:sz w:val="21"/>
          <w:szCs w:val="21"/>
          <w:color w:val="auto"/>
        </w:rPr>
        <w:t>)</w:t>
      </w:r>
    </w:p>
    <w:p>
      <w:pPr>
        <w:spacing w:after="0" w:line="7"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Under the provisions of the 1940 Act, we are permitted, as a BDC, to issue senior securities only in amounts such that our asset coverage ratio equals at least 200%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default under the Credit Facility or any other future indebtedness, we may not be able to make payments on the 4.75% Convertible Senior Notes due 2023.</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default under the Credit Facility or any other future indebtedness to which we may be a party that is not waived by the required lenders or holders, and the remedies sought by the holders of such indebtedness, could make us unable to pay principal, premium, if any, and interest on the 4.75% Convertible Senior Notes due 2023 and substantially decrease the market value of the 4.75% Convertible Senior Notes due 2023.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may have the ability to elect to declare all the funds borrowed thereunder due and payable, together with accrued and unpaid interest, the lenders under the Credit Facility or other debt we may incur in the future may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Credit Facility or other debt that we may incur in the future to avoid being in default. If we breach our covenants under the Credit Facility or other debt and seek a waiver, we may not be able to obtain a waiver from the required lenders or holders. If this occurs, we may be in default under the relevant credit facility or other debt, the lenders or holders could exercise their rights as described above, and we could be forced into bankruptcy or liquidation. If we are unable to repay debt, lenders having secured obligations, including the lenders under the Credit Facility, could proceed against the collateral securing the debt. Because the Credit Facility has, and any future credit facilities will likely have, customary cross-default provisions, if the indebtedness under the 4.75% Convertible Senior Notes due 2023, the Credit Facility or under any future credit facility is accelerated, we may be unable to repay or finance the amounts due.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default under the Credit Facility or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15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Substantially all of our assets are pledged as collateral under the Credit Facility. In the event that we default under the Credit Facility or any other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80"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Following any such default, the agent for the lenders under the Credit Facility or such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the Credit Facility, such sales may be completed at distressed sale prices, thereby diminishing or potentially eliminating the amount of cash available to us after repayment of our outstanding borrowings. Moreover, such deleveraging of our Company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potential conflicts of interest, which could impact our investment returns and limit the flexibility of our investment policies.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an Investment Advisory Agreement with GSV Asset Management. GSV Asset Management is controlled by Michael T. Moe, the Chairman of our Board of Directors. Mr. Moe, along with Luben Pampoulov, collectively manage the business and internal affairs of GSV Asset Management. In addition, GSV Capital Service Company provides us with office facilities and administrative services pursuant to an Administration Agreement. GSV Capital Service Company is a disregraded entity for tax purposes and is wholly-owned and controlled by GSV Asset Management. We may pay GSV Capital Service Company our allocable portion of overhead and other expenses incurred by GSV Capital Service Company in performing its obligations under the Administration Agreement, including a portion of the rent and the compensation of the Company’s President, Chief Financial Officer, Chief Compliance Officer and other staff providing any administrative services, which creates conflicts of interest that our Board of Directors must monitor.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discussed above, GSV Asset Management has control over the timing of the acquisition and dispositions of our investments, and therefore over when we realize gains and losses on our investments. As a result, GSV Asset Management, and those of our interested directors who are compensated by GSV Asset Management as employees of, or consultants to, GSV Asset Management, may face a conflict of interest in determining when it is appropriate to dispose of a specific investment to the extent doing so may serve to maximize the incentive fee at a point where disposing of such investment may not necessarily be in the best interests of our stockholders. In addition, Mark Klein, our Chief Executive Officer and President, and a member of our Board of Directors, or entities with which he is affiliated, receives consulting fees from GSV Asset Management equal to a percentage of each of the base management fee and the incentive fee paid by us to GSV Asset Management pursuant to a consulting agreement with GSV Asset Management.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our executive officers and directors, and the principals of our investment adviser, GSV Asset Management, serve or may serve as officers, directors or managers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GSV Asset Management also manages the Coursera Funds, the GSV@SP Fund, and the Lyft Funds. GSV Asset Management will likely manage one or more private funds, or series within such private funds, in the future. We have no ownership interests in the Coursera Funds, the GSV@SP Fund or the GSV@LT Fund.</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1940 Act prohibits us from participating in certain negotiated co-investments with certain affiliates unless we receive an order from the SEC permitting us to do so. To the extent that we compete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Advisers Act, and (3) certain restrictions under the 1940 Act regarding co-investments with affiliates.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GSV Asset Management and certain of our affiliates have submitted an exemptive relief application to the SEC to permit us to co-invest with other funds managed by GSV Asset Management or its affiliates in a manner consistent with our investment objective and the conditions to the application. As a result of our Internalization, we and GSV Asset Management withdrew such exemptive application on April 2, 2019 because the relief sought was no longer necessary.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business development company, we are prohibited under the 1940 Act from participating in certain transactions with certain of our affiliates without the prior approval of our Board of Directors, including the independent directors, and, in some cases, the SEC. The affiliates with which we may be prohibited from transacting include our officers, directors and employees and any person controlling or under common control with us, subject to certain exceptions.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GSV Asset Management has the right to resign on 60 days’ notice, and we may not be able to find a suitable replacement within that time, resulting in a disruption in our operations that could adversely affect our financial condition, business and results of operations.</w:t>
      </w:r>
    </w:p>
    <w:p>
      <w:pPr>
        <w:spacing w:after="0" w:line="15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GSV Asset Management has the right, under the Investment Advisory Agreement, to resign at any time upon not more than 60 days’ written notice, whether we have found a replacement or not. If GSV Asset Management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GSV Asset Management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representing such income.</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corporate-level U.S. federal income tax.</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 which may expose us to risks, including the typical risks associated with leverage.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issue additional debt securities or preferred stock and/or borrow money from banks or other financial institutions, which we refer to collectively (along with the 4.75% Convertible Senior Notes due 2023) as “senior securities,” up to the maximum amount permitted by the 1940 Act. Under the provisions of the 1940 Act, we are permitted, as a BDC, to issue senior securities in amounts such that our asset coverage ratio, as defined in the 1940 Act, equals at least 200% (or 150% if certain requirements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of the costs of offering and servicing the 4.75% Convertible Senior Notes due 2023 and any additional debt or preferred stock we may issue in the future, including interest or preferential dividend payments thereon, will be borne by our common stockholders. The interests of the holders of the 4.75% Convertible Senior Notes due 2023, any additional debt or preferred stock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will not necessarily be aligned with the interests of our common stockholders. In particular, the rights of holders of the 4.75% Convertible Senior Notes due 2023 and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GSV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addition to regulatory requirements that restrict our ability to raise capital, the loan agreement governing the Credit Facility contains various covenants which, if not complied with, could materially and adversely affecting our liquidity, financial condition, results of operations and ability to pay dividends.</w:t>
      </w:r>
    </w:p>
    <w:p>
      <w:pPr>
        <w:spacing w:after="0" w:line="175"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Under a Loan and Security Agreement (as amended, the “Loan Agreement”) with Western Alliance Bank, pursuant to which Western Alliance Bank agreed to provide us with a $12.0 million senior secured revolving Credit Facility (the "Credit Facility"), we have made certain customary representations and warranties and are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net asset value requirement of at least the greater of $60.0 million or five times the amount of the $12.0 million Credit Facility, a limitation on our net asset value being reduced by more than 15% of our net asset value at December 31, 2016, and maintenance of RIC and BDC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18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under the Loan Agreement, would have a material adverse impact on our liquidity, financial condition, results of operations and ability to pay dividends.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profitable and are unable to qualify as a RIC, which could have a material adverse effect on us and our stockholders.</w:t>
      </w:r>
    </w:p>
    <w:p>
      <w:pPr>
        <w:spacing w:after="0" w:line="15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elected to be treated as a RIC under the Code beginning with our taxable year ended December 31, 2014, have qualified to be treated as a RIC for subsequent taxable years and expect to continue to operate in a manner so as to qualify for the tax treatment applicable to RICs. See “Business—Material U.S. Federal Income Tax Considerations” and “Note 2—Significant Accounting Policies—</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consolidated financial statements for the year ended December 31, 2018 for more information.</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Management generally believes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corporate-level U.S. federal income tax, which could substantially reduce our net assets, the amount of income available for distribution or reinvestment and the amount of our distributions. Such a failure could have a material adverse effect on us and our stockholders.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any year in which we intend to be treated as a RIC, we may be forced to dispose of investments at times when GSV Asset Management would not otherwise do so or raise additional capital at times when we would not otherwise do so, in each case in order to qualify for the special tax treatment accorded to RICs.</w:t>
      </w:r>
    </w:p>
    <w:p>
      <w:pPr>
        <w:spacing w:after="0" w:line="175"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corporate-level U.S. federal income tax.</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recently passed comprehensive tax reform bill could adversely affect our business and financial condition.</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December 22, 2017, the Tax Cuts and Jobs Act of 2017 (the “Tax Act”) was signed into law and significantly changes the Code. The Tax Act,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or net operating losses to 80% of current year taxable income and elimination of net operating loss carrybacks, one time taxation of offshore earnings at reduced rates regardless of whether they are repatriated, immediate deductions for certain new investments instead of deductions for depreciation expense over time, and modifying or repealing many business deductions and credits. Our U.S. federal net operating loss carryovers created in 2018 and thereafter will be carried forward indefinitely pursuant to the Tax Act. We continue to examine the impact this tax legislation may have on our business. Notwithstanding the reduction in the corporate income tax rate, the overall impact of the Tax Act is uncertain and our business and financial condition could be adversely affected. The impact of this Tax Act on holders of the 4.75% Convertible Senior Notes due 2023 or our common stock is also uncertain and could be adverse. We urge such holders to consult with their legal and tax advisors with respect to such legislation and the potential tax consequences of investing in our convertible notes and common stock.</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elected to be taxed for U.S. federal income tax purposes as a RIC under Subchapter M of the Code. If we meet certain requirements, including source of income, asset diversification and distribution requirements, and if we continue to qualify as a BDC, we will continue to qualify for tax treatment as a RIC under the Code and will not have to pay corporate-level income taxes on income we distribute to our stockholders as dividends, allowing us to substantially reduce or eliminate our U.S. federal corporate-level income tax liability. As a BDC, we are generally required to meet a coverage ratio of total assets to total senior securities, which includes all of our borrowings and any preferred stock we may issue in the future, of at least 200% (or 150% if certain requirements are met)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net asset value without stockholder approval. If additional funds are not available to us, we could be forced to curtail or cease new lending and investment activities, and our net asset value could decline.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choose to pay dividends in our common stock, in which case you may be required to pay tax in excess of the cash you receive.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in the past, and may continue to, distribute taxable dividends that are payable in part in shares of our common stock. For example, on November 4, 2015, our Board of Directors declared a dividend of $2.76 per share to stockholders, paid partially in cash and partially in shares of our common stock on December 31, 2015. In accordance with certain applicable U.S. Treasury regulations and published guidance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the lesser of (a) the portion of the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75"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(including the Dodd-Frank Act and the regulations adopted thereunder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8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84"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184"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the GSV Asset Management senior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legislation allows us to incur additional leverage, which could increase the risk of investing in 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1940 Act generally prohibits us from incurring indebtedness unless immediately after such borrowing we have an asset coverage for total borrowings of at least 200% (i.e., the amount of debt may not exceed 50% of the value of our total assets). However, in March 2018, the Small Business Credit Availability Act (the “SBCAA”) was signed into law, which included various changes to regulations under the federal securities laws that impact BDCs. The SBCAA included changes to the 1940 Act to allow BDCs to decrease their asset coverage requirement from 200% to 150% (i.e. the amount of debt may not exceed 66.7% of the value of our total assets), if certain requirements are met. Under the SBCAA, we are allowed to reduce our asset coverage requirement to 150%, and thereby increase our leverage capacity, if shareholders representing at least a majority of the votes cast,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quorum is present, approve a proposal to do so. If we receive shareholder approval, we would be allowed to reduce our asset coverage requirement to 150% on the first day after such approval. Alternatively, the SBCAA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SBCAA,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how tax reform legislation will affect us, our investments, or our stockholders, and any such legislation could adversely affect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Legislative or other actions relating to taxes could have a negative effect on us. The rules dealing with U.S. federal income taxation are constantly under review by persons involved in the legislative process and by the IRS and the U.S. Treasury Department. The U.S. House of Representatives and U.S. Senate recently passed tax reform legislation, which the President signed into law. Such legislation significantly changed the Code, including significant changes to the taxation of business entities, the deductibility of interest expense, and the tax treatment of capital investment. We cannot predict with certainty how any changes in the tax laws might affect us, our stockholders, or our portfolio investments. New legislation and any U.S. Treasury regulations, administrative interpretations or court decisions interpreting such legislation could significantly and negatively affect our ability to qualify for tax treatment as a RIC or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base management fee will still be payable.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base management fee is payable regardless of whether the value of our gross assets or your investment declines. As a result, we will owe GSV Asset Management a base management fee regardless of whether we incurred significant realized capital losses and unrealized capital depreciation (losses) during the period for which the base management fee is paid. Under the terms of the Investment Advisory Agreement, the base management fee is calculated at an annual rate of 2.00% of the value of our gross assets, which we pay monthly in arrears. In addition, pursuant to the Waiver Agreement, the base management fee is calculated at an annual rate of 1.75% of our gross assets beginning as of February 1, 2018. See “Business—Investment Advisory Agreement” in Part I, Item 1 of this Form 10-K for more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publicly traded company.</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Ineffective internal controls could impact our business and operating results.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fund a portion of our investments with preferred stock, which would magnify the potential for gain or loss and the risks of investing in us in the same way as our borrowings.</w:t>
      </w:r>
    </w:p>
    <w:p>
      <w:pPr>
        <w:spacing w:after="0" w:line="15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159" w:lineRule="exact"/>
        <w:rPr>
          <w:sz w:val="20"/>
          <w:szCs w:val="20"/>
          <w:color w:val="auto"/>
        </w:rPr>
      </w:pPr>
    </w:p>
    <w:p>
      <w:pPr>
        <w:jc w:val="both"/>
        <w:ind w:firstLine="351"/>
        <w:spacing w:after="0" w:line="252" w:lineRule="auto"/>
        <w:rPr>
          <w:sz w:val="20"/>
          <w:szCs w:val="20"/>
          <w:color w:val="auto"/>
        </w:rPr>
      </w:pPr>
      <w:r>
        <w:rPr>
          <w:rFonts w:ascii="Times New Roman" w:cs="Times New Roman" w:eastAsia="Times New Roman" w:hAnsi="Times New Roman"/>
          <w:sz w:val="18"/>
          <w:szCs w:val="18"/>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GSV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5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may discourage, delay or make more difficult a change in control of us or the removal of our directors. We are subject to the Maryland Business Combination Act (“MBCA”), subject to any applicable requirements of the 1940 Act. Our Board of Directors has adopted a resolution exempting from the MBCA any business combination between us and any other person, subject to prior approval of such business combination by our Board of Directors, including approval by a majority of our directors who are not “interest persons” as defined in the 1940 Act. If the resolution exempting business combinations is repealed or our Board of Directors does not approve a business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combination, the MBCA may discourage third parties from trying to acquire control of us and increase the difficulty of consummating such an offer. Our bylaws exempt from the Maryland Control Share Acquisition Act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without stockholder action, to classify or reclassify shares of our stock in one or more classes or series, including preferred stock, to cause the issuance of additional shares of our stock, to amend our charter without stockholder approval to increase or decrease the aggregate number of shares of stock or the number of shares of stock of any class or series that we have authority to issue. These provisions, as well as other provisions of our charter and bylaws, may delay, defer or prevent a transaction or a change in control that might otherwise be in the best interests of our stockholders.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15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4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5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acts of war or natural disasters may affect any market for our securities, impact the businesses in which we invest and harm our business, operating results and financial condition.</w:t>
      </w:r>
    </w:p>
    <w:p>
      <w:pPr>
        <w:spacing w:after="0" w:line="15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cyber-security risks.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5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computer-based data processing, transmission, storage, and retrieval systems or destroy data. If a significant number of our managers were unavailable in the event of a disaster, our ability to effectively conduct our business could be severely compromised.</w:t>
      </w:r>
    </w:p>
    <w:p>
      <w:pPr>
        <w:spacing w:after="0" w:line="162"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4.75% Convertible Senior Notes due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the 4.75% Convertible Senior Notes due 2023.</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4.75% Convertible Senior Notes due 2023 are convertible into shares of our common stock. Upon conversion, we must deliver shares of our common stock. The initial conversion rate of the 4.75% Convertible Senior Notes due 2023 is 93.2836 shares of common stock per $1,000 principal amount of the 4.75% Convertible Senior Notes due 2023, which is equivalent to an initial conversion price of approximately $10.72 per share of common stock. Based on the initial conversion rate, as of April 17, 2019, the maximum number of shares of common stock that would be issued upon conversion of the $40,000,000 of 4.75% Convertible Senior Notes due 2023 currently outstanding is approximately 3,731,344. If we deliver shares of common stock upon a conversion at the time our net asset value per share exceeds the conversion price in effect at such time, our stockholders will incur dilution. In addition, our stockholders will experience dilution in their ownership percentage of our common stock upon our issuance of common stock in connection with the conversion of the 4.75% Convertible Senior Notes due 2023 and any dividends paid on our common stock will also be paid on shares issued in connection with such conversion after such issuance.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or have the ability to raise, the funds necessary to repurchase the 4.75% Convertible Senior Notes due 2023 upon a fundamental change, and our debt may contain limitations on our ability to deliver shares of our common stock upon conversion or pay cash upon repurchase of the 4.75% Convertible Senior Notes due 2023.</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Holders of the 4.75% Convertible Senior Notes due 2023 will have the right to require us to repurchase their notes upon the occurrence of certain significant corporate events involving us, including if our common stock ceases to trade on any national securities exchange or we consolidate or merge into another entity in certain circumstances, at a repurchase price equal to 100% of their principal amount, plus accrued and unpaid interest, if any. We refer to such a corporate event as a “fundamental change.” However, we may not have enough available cash or be able to obtain financing at the time we are required to make repurchases of the 4.75% Convertible Senior Notes due 2023 surrendered therefor. In addition, our ability to repurchase the 4.75% Convertible Senior Notes due 2023 or deliver shares of our common stock upon conversions of the 4.75% Convertible Senior Notes due 2023 may be limited by law, by regulatory authority or by agreements governing our indebtedness. For example, the Credit Facility generally prohibits us from prepaying indebtedness other than borrowings under the Credit Facility. As a result, before making any such repurchase of the 4.75% Convertible Senior Notes due 2023, we would have to obtain consent from the lender under the Credit Facility to the extent such requirements remain in effect at such time. Our failure to repurchase the 4.75% Convertible Senior Notes due 2023 at a time when the repurchase is required by the indenture relating to the 4.75% Convertible Senior Notes due 2023 or to deliver any shares of our common stock deliverable on future conversions of such 4.75% Convertible Senior Notes due 2023 as required by such indenture would constitute a default under such indenture. A default under the indenture relating to the 4.75% Convertible Senior Notes due 2023 or the occurrence of a fundamental change itself could also lead to a default under agreements governing our indebtedness, including the Loan Agreement. If the repayment of the related indebtedness were to be accelerated after any applicable notice or grace periods, we may not have sufficient funds to repay the indebtedness and repurchase the 4.75% Convertible Senior Notes due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the 4.75% Convertible Senior Notes due 2023 could discourage an acquisition of us by a third party.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provisions of the 4.75% Convertible Senior Notes due 2023 could make it more difficult or more expensive for a third party to acquire us. Upon the occurrence of certain transactions constituting a fundamental change, the holders of the 4.75% Convertible Senior Notes due 2023 will have the right, at their option, to require us to repurchase all or a portion of their 4.75% Convertible Senior Notes due 2023, plus accrued and unpaid interest. We may also be required to increase the conversion rate of the 4.75% Convertible Senior Notes due 2023 in certain other circumstances, including in the event of certain transactions constituting fundamental changes or a make-whole adjustment event. These provisions could discourage an acquisition of us by a third party.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debt.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4.75% Convertible Senior Notes due 2023,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(including interests in our portfolio companies if permitted pursuant to the terms of our investment) under terms that may be disadvantageous for us,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rating of the 4.75% Convertible Senior Notes due 2023 may negatively affect the trading price and liquidity of the 4.75% Convertible Senior Notes due 2023 and the price of our common stock.</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intend to seek a rating on the 4.75% Convertible Senior Notes due 2023. However, if a rating service were to rate the 4.75% Convertible Senior Notes due 2023, and if such rating service were to assign the 4.75% Convertible Senior Notes due 2023 a rating lower than the rating expected by investors or were to lower its rating on the 4.75% Convertible Senior Notes due 2023 below the rating initially assigned to the 4.75% Convertible Senior Notes due 2023 or otherwise announce its intention to put the 4.75% Convertible Senior Notes due 2023 on credit watch, the trading price or liquidity of the 4.75% Convertible Senior Notes due 2023 and the price of our common stock could decline.</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4.75% Convertible Senior Notes due 2023 may be subject to tax if we make or fail to make certain adjustments to the conversion rate of the 4.75% Convertible Senior Notes due 2023, even though such holders do not receive a corresponding cash distribution.</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conversion rate of the 4.75% Convertible Senior Notes due 2023 is subject to adjustment in certain circumstances, including the payment of cash dividends. If the conversion rate is adjusted as a result of a distribution that is taxable to our common stockholders, holders of the 4.75% Convertible Senior Notes due 2023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such holder. If a make-whole adjustment event occurs on or prior to the business day immediately preceding the stated maturity date of the 4.75% Convertible Senior Notes due 2023, under some circumstances, we will increase the conversion rate for the 4.75% Convertible Senior Notes due 2023 converted in connection with the make-whole adjustment event. Such increase may also be treated as a distribution subject to U.S. federal income tax as a dividend. In addition, if a holder is a Non-U.S. Holder, such holder may be subject to U.S. federal withholding tax in connection with such a deemed distribution. If withholding tax is paid on a noteholder’s behalf as a result of an adjustment to the conversion rate of the 4.75% Convertible Senior Notes due 2023, the withholding agent may offset such payments against payments of cash and common stock on the 4.75% Convertible Senior Notes due 2023. Refer to the prospectus supplement related to the offering of the 4.75% Convertible Senior Notes due 2023, dated March 22, 2018, for more information.</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adverse consequences could result if the 4.75% Convertible Senior Notes due 2023 are treated as equity interests in us for purposes of regulations under the Employee Retirement Income Security Act of 1974.</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regulations under the Employee Retirement Income Security Act of 1974 (“ERISA”), it is possible that, due to their convertibility feature, the 4.75% Convertible Senior Notes due 2023 could be treated as equity interests in us. In that event, if employee benefit plans subject to Title I of ERISA, plans that are not subject to ERISA but that are subject to Section 4975 of the Code, such as individual retirement accounts, and entities that are deemed to hold the assets of such plans or accounts (such plans, accounts, and entities, “Benefit Plan Investors”) were to acquire 25% or more of the aggregate value of the 4.75% Convertible Senior Notes due 2023, among other consequences, we and our management would be subject to ERISA fiduciary duties, and certain transactions we might enter into, or may have entered into, in the ordinary course of our business might constitute non-exempt “prohibited transactions” under Section 406 of ERISA or Section 4975 of the Code and might have to be rescinded at significant cost to us. Moreover, if our underlying assets were deemed to be assets constituting plan assets, (i) our assets could be subject to ERISA’s reporting and disclosure requirements, (ii) a fiduciary causing a Benefit Plan Investor to make an investment in our equity interests could be deemed to have delegated its responsibility to manage the assets of the Benefit Plan Investor, and (iii) various providers of fiduciary or other services to us, and any other parties with authority or control with respect to our assets, could be deemed to be plan fiduciaries or otherwise parties in interest or disqualified persons by virtue of their provision of such services.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believe that the 4.75% Convertible Senior Notes due 2023 should be treated as equity interests in us for purposes of ERISA in light of the relevant regulations. No assurance can be given, however, that the 4.75% Convertible Senior Notes due 2023 will not be so treated.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for convertible debt securities is complex and subject to uncertainty.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accounting for convertible debt securities is complex and subject to frequent scrutiny by the accounting regulatory bodies and is subject to change. The issuance of the 4.75% Convertible Senior Notes due 2023 may affect our earnings per share on a fully diluted basis in certain periods. Further, we cannot predict if or when changes in the accounting for convertible debt securities could be made and whether any such change could have an adverse impact on our reported or future financial results. Any such impacts could adversely affect the market price or value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an above average degree of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and therefore, an investment in our shares may not be suitable for someone with lower risk tolerance.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be volatile and may decrease substantially.</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4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demand for our shares;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RICs, BDCs or other financial services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with respect to RICs or BDCs;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qualify as a RIC for a particular taxable year, or the loss of RIC status;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earnings or fluctuations in our operating results or changes in the expectations of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our portfolio investments;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sentiment against technology-related companies; or</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any of the senior investment professionals of GSV Asset Management.</w:t>
      </w:r>
    </w:p>
    <w:p>
      <w:pPr>
        <w:spacing w:after="0" w:line="131"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of our common stock have recently traded, and may in the future trade, at discounts from net asset value or at premiums that may prove to be unsustainable.</w:t>
      </w:r>
    </w:p>
    <w:p>
      <w:pPr>
        <w:spacing w:after="0" w:line="15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Shares of BDCs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perceived value of companies in our investment portfolio could result in a decline in the trading price of our common stock relative to our net asset value per share.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possibility that our shares will trade at a discount from net asset value or at premiums that are unsustainable are risks separate and distinct from the risk that our net asset value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 As of April 17, 2019, the closing price of our common stock on the Nasdaq Capital Market was $6.52 per share, which represented an approximately 34.1% discount to our net asset value of $9.89 per share as of December 31, 2018.</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175"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18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federal tax purposes, which may result in higher tax liability when the 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proceeds from our offerings, to the extent they are successful, and will use proceeds in part to satisfy operating expenses.</w:t>
      </w:r>
    </w:p>
    <w:p>
      <w:pPr>
        <w:spacing w:after="0" w:line="15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 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56"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Through March 31, 2019, our corporate headquarters were located at 2925 Woodside Road, Woodside, California, 94062, in the offices of GSV Asset Management. Subsequent to the Internalization, we are leasing office space at 345 California Street, Suite 600, San Francisco, CA 94104. During the year ended December 31, 2019 we did not own or lease any office space directly; however, we paid a portion of the rent as allocated to us by GSV Capital Service Company. Our office facilities are suitable and adequate for our business as it is presently conducted.</w:t>
      </w:r>
    </w:p>
    <w:p>
      <w:pPr>
        <w:spacing w:after="0" w:line="200" w:lineRule="exact"/>
        <w:rPr>
          <w:sz w:val="20"/>
          <w:szCs w:val="20"/>
          <w:color w:val="auto"/>
        </w:rPr>
      </w:pPr>
    </w:p>
    <w:p>
      <w:pPr>
        <w:spacing w:after="0" w:line="21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Although we and our subsidiaries may, from time to time, be involved in litigation arising out of our and our subsidiaries’ operations in the normal course of business or otherwise, neither we nor any of our subsidiaries are currently a party to any pending material legal proceedings.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7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“GSVC.” The following table sets forth the high and low closing market prices for our common stock for each fiscal quarter for the years ended December 31, 2018 and 2017. The closing market prices reported below have been adjusted to give retroactive effect to material changes resulting from stock dividends. The reported closing market price of our common stock on April 17, 2019 was $6.52.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0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5.12</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98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6.68</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2017</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98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98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April 17, 2019, there were 3 holders of record of our common stock (including Cede &amp; 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expect to continue to operate in a manner so as to qualify for the tax treatment applicable to RICs. To maintain RIC tax treatment, we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w:t>
      </w:r>
    </w:p>
    <w:p>
      <w:pPr>
        <w:spacing w:after="0" w:line="3" w:lineRule="exact"/>
        <w:rPr>
          <w:sz w:val="20"/>
          <w:szCs w:val="20"/>
          <w:color w:val="auto"/>
        </w:rPr>
      </w:pPr>
    </w:p>
    <w:p>
      <w:pPr>
        <w:jc w:val="both"/>
        <w:ind w:firstLine="8"/>
        <w:spacing w:after="0" w:line="251" w:lineRule="auto"/>
        <w:tabs>
          <w:tab w:leader="none" w:pos="2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fifteenth day of the ninth month following the close of that fiscal year or (2) the extended due date for filing the U.S. federal income tax return for that fiscal year.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 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2018. The table is divided by fiscal year according to record date: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0" w:type="dxa"/>
            <w:vAlign w:val="bottom"/>
            <w:vMerge w:val="restart"/>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vMerge w:val="restart"/>
          </w:tcPr>
          <w:p>
            <w:pPr>
              <w:spacing w:after="0"/>
              <w:rPr>
                <w:sz w:val="13"/>
                <w:szCs w:val="1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gridSpan w:val="2"/>
          </w:tcPr>
          <w:p>
            <w:pPr>
              <w:ind w:left="220"/>
              <w:spacing w:after="0" w:line="270" w:lineRule="exact"/>
              <w:rPr>
                <w:sz w:val="20"/>
                <w:szCs w:val="20"/>
                <w:color w:val="auto"/>
              </w:rPr>
            </w:pPr>
            <w:r>
              <w:rPr>
                <w:rFonts w:ascii="Times New Roman" w:cs="Times New Roman" w:eastAsia="Times New Roman" w:hAnsi="Times New Roman"/>
                <w:sz w:val="18"/>
                <w:szCs w:val="18"/>
                <w:color w:val="auto"/>
              </w:rPr>
              <w:t>November 4, 2015</w:t>
            </w:r>
            <w:r>
              <w:rPr>
                <w:rFonts w:ascii="Times New Roman" w:cs="Times New Roman" w:eastAsia="Times New Roman" w:hAnsi="Times New Roman"/>
                <w:sz w:val="25"/>
                <w:szCs w:val="25"/>
                <w:color w:val="auto"/>
                <w:vertAlign w:val="superscript"/>
              </w:rPr>
              <w:t>(1)</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16, 2015</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December 31,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2016:</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gridSpan w:val="2"/>
          </w:tcPr>
          <w:p>
            <w:pPr>
              <w:ind w:left="220"/>
              <w:spacing w:after="0" w:line="270" w:lineRule="exact"/>
              <w:rPr>
                <w:sz w:val="20"/>
                <w:szCs w:val="20"/>
                <w:color w:val="auto"/>
              </w:rPr>
            </w:pPr>
            <w:r>
              <w:rPr>
                <w:rFonts w:ascii="Times New Roman" w:cs="Times New Roman" w:eastAsia="Times New Roman" w:hAnsi="Times New Roman"/>
                <w:sz w:val="18"/>
                <w:szCs w:val="18"/>
                <w:color w:val="auto"/>
              </w:rPr>
              <w:t>August 3, 2016</w:t>
            </w:r>
            <w:r>
              <w:rPr>
                <w:rFonts w:ascii="Times New Roman" w:cs="Times New Roman" w:eastAsia="Times New Roman" w:hAnsi="Times New Roman"/>
                <w:sz w:val="25"/>
                <w:szCs w:val="25"/>
                <w:color w:val="auto"/>
                <w:vertAlign w:val="superscript"/>
              </w:rPr>
              <w:t>(2)</w:t>
            </w:r>
          </w:p>
        </w:tc>
        <w:tc>
          <w:tcPr>
            <w:tcW w:w="20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16, 2016</w:t>
            </w:r>
          </w:p>
        </w:tc>
        <w:tc>
          <w:tcPr>
            <w:tcW w:w="20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24, 2016</w:t>
            </w: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w:t>
            </w:r>
          </w:p>
        </w:tc>
        <w:tc>
          <w:tcPr>
            <w:tcW w:w="120" w:type="dxa"/>
            <w:vAlign w:val="bottom"/>
            <w:vMerge w:val="restart"/>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340" w:hanging="332"/>
        <w:spacing w:after="0" w:line="251"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distribution of $887,240 on August 24, 2016, $820,753 represented a distribution from realized gains, and $66,487 represented a return of capital.</w:t>
      </w:r>
    </w:p>
    <w:p>
      <w:pPr>
        <w:spacing w:after="0" w:line="23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84"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GSV Asset Management. Stockholders that hold shares in the name of a broker or financial intermediary should contact the broker or financial intermediary regarding any election to receive distributions in cash.</w:t>
      </w:r>
    </w:p>
    <w:p>
      <w:pPr>
        <w:spacing w:after="0" w:line="193"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Times New Roman" w:cs="Times New Roman" w:eastAsia="Times New Roman" w:hAnsi="Times New Roman"/>
          <w:sz w:val="18"/>
          <w:szCs w:val="18"/>
          <w:i w:val="1"/>
          <w:iCs w:val="1"/>
          <w:color w:val="auto"/>
        </w:rPr>
        <w:t>U.S. Federal and State Income Taxes</w:t>
      </w:r>
      <w:r>
        <w:rPr>
          <w:rFonts w:ascii="Times New Roman" w:cs="Times New Roman" w:eastAsia="Times New Roman" w:hAnsi="Times New Roman"/>
          <w:sz w:val="18"/>
          <w:szCs w:val="18"/>
          <w:color w:val="auto"/>
        </w:rPr>
        <w:t>” and “Note 9—Income Taxes” to our consolidated financial statements for the year ended December 31, 2018 for more information. The GSVC Holdings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2018. The graph assumes that, on December 31, 2013, a person invested $100.00 in our common stock, at the closing price of our common stock on December 31, 2013,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848985" cy="425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98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12/31/13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12/31/14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12/31/15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12/31/16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12/31/17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12/31/18</w:t>
            </w:r>
          </w:p>
        </w:tc>
      </w:tr>
      <w:tr>
        <w:trPr>
          <w:trHeight w:val="249"/>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GSVC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67.22</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 Index</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119.91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165.46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159.06</w:t>
            </w:r>
          </w:p>
        </w:tc>
      </w:tr>
      <w:tr>
        <w:trPr>
          <w:trHeight w:val="27"/>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Nasdaq Stock Index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110.59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121.14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135.77</w:t>
            </w:r>
          </w:p>
        </w:tc>
      </w:tr>
      <w:tr>
        <w:trPr>
          <w:trHeight w:val="27"/>
        </w:trPr>
        <w:tc>
          <w:tcPr>
            <w:tcW w:w="2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graph and other information furnished under this Part II, Item 5 of this annual report on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Equity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did not sell any equity securities during the period covered in this report that were not registered under the Securities Act of 1933,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5"/>
          <w:szCs w:val="25"/>
          <w:b w:val="1"/>
          <w:bCs w:val="1"/>
          <w:color w:val="auto"/>
          <w:vertAlign w:val="superscript"/>
        </w:rPr>
        <w:t>(1)</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Information relating to the Company’s purchases of its common stock during the year ended December 31, 2018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Under the Share</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195"/>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8"/>
                <w:szCs w:val="8"/>
                <w:b w:val="1"/>
                <w:bCs w:val="1"/>
                <w:color w:val="auto"/>
              </w:rPr>
              <w:t>(2)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1 through January 31,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5,066,123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1 through February 28, 2018</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179,807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179,807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3,825,455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through March 31,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3,825,455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1 through April 30, 2018</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3,825,455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1 through May 31,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105,047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90,047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8,200,529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1 through June 30, 2018</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227,006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225,578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6,655,571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through July 31,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195,402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195,402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5,285,086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 through August 31, 2018</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192,718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192,718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3,900,423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through September 30,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187,838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187,838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2,581,513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October 1, 2018 through October 31, 2018</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239,954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239,954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933,405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November 1, 2018 through November 30, 2018</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122,881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122,881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5,091,911</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December 1, 2018 through December 31, 2018</w:t>
            </w:r>
            <w:r>
              <w:rPr>
                <w:rFonts w:ascii="Times New Roman" w:cs="Times New Roman" w:eastAsia="Times New Roman" w:hAnsi="Times New Roman"/>
                <w:sz w:val="25"/>
                <w:szCs w:val="25"/>
                <w:color w:val="auto"/>
                <w:vertAlign w:val="superscript"/>
              </w:rPr>
              <w:t>(3)</w:t>
            </w:r>
          </w:p>
        </w:tc>
        <w:tc>
          <w:tcPr>
            <w:tcW w:w="13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49,473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49,473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4,789,673</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1,500,126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1,483,698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500" w:hanging="492"/>
        <w:spacing w:after="0" w:line="247"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December 31, 2018, we repurchased 412,308 shares of our common stock for approximately $2.8 million under the Share Repurchase Program.</w:t>
      </w:r>
    </w:p>
    <w:p>
      <w:pPr>
        <w:ind w:left="500" w:hanging="492"/>
        <w:spacing w:after="0" w:line="246"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purchases of our common stock made on the open market by or on behalf of any “affiliated purchaser,” as defined in Exchange Act Rule 10b-18(a)(3), of the Company.</w:t>
      </w:r>
    </w:p>
    <w:p>
      <w:pPr>
        <w:ind w:left="500" w:hanging="492"/>
        <w:spacing w:after="0"/>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year-end, through April 17, 2019, we did not repurchase any additional shares of our common stock pursuant to the Share Repurchase Program.</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April 17, 2019, the dollar value of shares that may yet be purchased by us under the Share Repurchase Program is approximately $4.8 million.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25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following selected financial and other data for the fiscal years ended December 31, 2018, 2017, 2016, 2015 and 2014, respectively, have been derived from our audited financial statements. The data should be read in conjunction with “Management’s Discussion and Analysis of Financial Condition and Results of Operations” in Part II, Item 7 of this Form 10-K and consolidated financial statements and notes thereto contained in this report.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1,617,836</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852,768</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736,283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290,896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185,946</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15,144,834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22,439,855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1,999,646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26,978,235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21,775,939</w:t>
            </w:r>
          </w:p>
        </w:tc>
      </w:tr>
      <w:tr>
        <w:trPr>
          <w:trHeight w:val="23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Management fee waiver</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(708,272)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Incentive fee waiver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Operating Expenses</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9,252,413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21,731,583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1,999,646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26,978,235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21,775,939</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Benefit/(Reversal of benefit) from taxes on net investment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w:t>
            </w:r>
            <w:r>
              <w:rPr>
                <w:rFonts w:ascii="Times New Roman" w:cs="Times New Roman" w:eastAsia="Times New Roman" w:hAnsi="Times New Roman"/>
                <w:sz w:val="21"/>
                <w:szCs w:val="21"/>
                <w:color w:val="auto"/>
                <w:vertAlign w:val="superscript"/>
              </w:rPr>
              <w:t>(4)</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(21,969,370)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8,810,102</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Loss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(7,634,577)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(20,878,815)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(1,263,363)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(48,656,709)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(12,779,891)</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(7,433,619)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913,982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54,144,229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23,926,124</w:t>
            </w: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 from/(Provision for) taxes on net realized loss/gain</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on investments</w:t>
            </w:r>
            <w:r>
              <w:rPr>
                <w:rFonts w:ascii="Times New Roman" w:cs="Times New Roman" w:eastAsia="Times New Roman" w:hAnsi="Times New Roman"/>
                <w:sz w:val="21"/>
                <w:szCs w:val="21"/>
                <w:color w:val="auto"/>
                <w:vertAlign w:val="superscript"/>
              </w:rPr>
              <w:t>(4)</w:t>
            </w:r>
          </w:p>
        </w:tc>
        <w:tc>
          <w:tcPr>
            <w:tcW w:w="2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(9,769,036)</w:t>
            </w:r>
          </w:p>
        </w:tc>
      </w:tr>
      <w:tr>
        <w:trPr>
          <w:trHeight w:val="250"/>
        </w:trPr>
        <w:tc>
          <w:tcPr>
            <w:tcW w:w="4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Realized 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unrealized appreciation/</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of investments</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9,641,050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34,775,696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(73,213,845)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(13,422,245)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(5,811,797)</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from/(Provision for) taxes on</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depreciation/appreciation</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 investments</w:t>
            </w:r>
            <w:r>
              <w:rPr>
                <w:rFonts w:ascii="Times New Roman" w:cs="Times New Roman" w:eastAsia="Times New Roman" w:hAnsi="Times New Roman"/>
                <w:sz w:val="21"/>
                <w:szCs w:val="21"/>
                <w:color w:val="auto"/>
                <w:vertAlign w:val="superscript"/>
              </w:rPr>
              <w:t>(4)(5)</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6,716,735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2,757,070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2,116,784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16,058,080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2,371,829</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891,743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17,567,933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(74,994,895)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8,466,157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(2,062,771)</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Per Common 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Weighted-Average Common Shares: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20,617,890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21,924,490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19,327,938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19,320,100</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20,617,890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21,924,490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19,327,938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19,320,100</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Net increase/(decrease) in net assets resulting from</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operations per average share:</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asset value per share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14.80</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 price at year-end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8.63</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declared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Shares Outstanding at Year-End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19,762,647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21,246,345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19,320,100</w:t>
            </w: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 Data</w:t>
            </w:r>
            <w:r>
              <w:rPr>
                <w:rFonts w:ascii="Times New Roman" w:cs="Times New Roman" w:eastAsia="Times New Roman" w:hAnsi="Times New Roman"/>
                <w:sz w:val="21"/>
                <w:szCs w:val="21"/>
                <w:b w:val="1"/>
                <w:bCs w:val="1"/>
                <w:color w:val="auto"/>
                <w:vertAlign w:val="superscript"/>
              </w:rPr>
              <w:t>(3)</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330,219,554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381,682,536</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300,964,426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397,843,071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482,979,027</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5.25% Convertible Senior Notes due 2018</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68,382,549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67,512,798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66,649,047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65,795,284</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5.25% Convertible Senior Notes due 2018 embedded</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liability</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4.75% Convertible Senior Notes due 2023</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38,434,511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134,841,395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176,919,670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108,835,616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129,832,126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197,075,354</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Assets</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195,378,159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204,762,866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192,128,810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268,010,945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285,903,673</w:t>
            </w: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____________________</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87"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 value per share is based on basic shares outstanding at the end of the period.</w:t>
      </w:r>
    </w:p>
    <w:p>
      <w:pPr>
        <w:spacing w:after="0" w:line="23" w:lineRule="exact"/>
        <w:rPr>
          <w:rFonts w:ascii="Times New Roman" w:cs="Times New Roman" w:eastAsia="Times New Roman" w:hAnsi="Times New Roman"/>
          <w:sz w:val="16"/>
          <w:szCs w:val="16"/>
          <w:color w:val="auto"/>
        </w:rPr>
      </w:pPr>
    </w:p>
    <w:p>
      <w:pPr>
        <w:jc w:val="both"/>
        <w:ind w:left="340" w:right="20" w:hanging="332"/>
        <w:spacing w:after="0" w:line="250"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2014, total assets increased due to the purchase of a U.S. Treasury bill on margin. During the year ended December 31, 2015, total assets decreased due to a declared dividend, which was paid on December 31, 2015. During the year ended December 31, 2016, total assets and net assets decreased due to a change in unrealized depreciation of investments and net realized losses on investments. During the year ended December 31, 2017, total assets and net assets increased due to a change in unrealized appreciation</w:t>
      </w:r>
    </w:p>
    <w:p>
      <w:pPr>
        <w:sectPr>
          <w:pgSz w:w="11900" w:h="16838" w:orient="portrait"/>
          <w:cols w:equalWidth="0" w:num="1">
            <w:col w:w="11420"/>
          </w:cols>
          <w:pgMar w:left="240" w:top="118"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type w:val="continuous"/>
        </w:sectPr>
      </w:pPr>
    </w:p>
    <w:bookmarkStart w:id="54" w:name="page55"/>
    <w:bookmarkEnd w:id="5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340" w:right="20"/>
        <w:spacing w:after="0" w:line="322" w:lineRule="auto"/>
        <w:rPr>
          <w:sz w:val="20"/>
          <w:szCs w:val="20"/>
          <w:color w:val="auto"/>
        </w:rPr>
      </w:pPr>
      <w:r>
        <w:rPr>
          <w:rFonts w:ascii="Times New Roman" w:cs="Times New Roman" w:eastAsia="Times New Roman" w:hAnsi="Times New Roman"/>
          <w:sz w:val="16"/>
          <w:szCs w:val="16"/>
          <w:color w:val="auto"/>
        </w:rPr>
        <w:t>of investments and net realized gains on investments. During the year ended December 31, 2018, total assets and net assets decreased due to a decrease in net unrealized appreciation of investments and net realized losses on investments. For further discussion of factors that affected our total assets and net assets refer to “Management’s Discussion and Analysis of Financial Condition and Results of Operations—Results of Operations” in Part II, Item 7 of this Form 10-K.</w:t>
      </w:r>
    </w:p>
    <w:p>
      <w:pPr>
        <w:spacing w:after="0" w:line="2" w:lineRule="exact"/>
        <w:rPr>
          <w:sz w:val="20"/>
          <w:szCs w:val="20"/>
          <w:color w:val="auto"/>
        </w:rPr>
      </w:pPr>
    </w:p>
    <w:p>
      <w:pPr>
        <w:jc w:val="both"/>
        <w:ind w:left="340" w:hanging="332"/>
        <w:spacing w:after="0" w:line="254" w:lineRule="auto"/>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debt issuance costs of $1,947,572 and $2,667,069, as of December 31, 2015 and 2014, respectively, related to the Company’s issuance of the 5.25% Convertible Senior Notes due 2018 were previously classified as “Deferred financing costs” as of December 31, 2015 and 2014. In accordance with ASU 2015-03, each of these balances has been retrospectively reclassified as a direct deduction from the 5.25% Convertible Senior Notes due 2018. Refer to “Note 10—Debt Capital Activities” of</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consolidated financial statements as of December 31, 2018 included in this annual report on Form 10-K for further detail.</w:t>
      </w:r>
    </w:p>
    <w:p>
      <w:pPr>
        <w:spacing w:after="0" w:line="5" w:lineRule="exact"/>
        <w:rPr>
          <w:sz w:val="20"/>
          <w:szCs w:val="20"/>
          <w:color w:val="auto"/>
        </w:rPr>
      </w:pPr>
    </w:p>
    <w:p>
      <w:pPr>
        <w:jc w:val="both"/>
        <w:ind w:left="520" w:hanging="512"/>
        <w:spacing w:after="0" w:line="246" w:lineRule="auto"/>
        <w:rPr>
          <w:sz w:val="20"/>
          <w:szCs w:val="20"/>
          <w:color w:val="auto"/>
        </w:rPr>
      </w:pPr>
      <w:r>
        <w:rPr>
          <w:rFonts w:ascii="Times New Roman" w:cs="Times New Roman" w:eastAsia="Times New Roman" w:hAnsi="Times New Roman"/>
          <w:sz w:val="16"/>
          <w:szCs w:val="16"/>
          <w:color w:val="auto"/>
        </w:rPr>
        <w:t>(4)Due to our change in tax status to a RIC from a C Corporation, the associated accrued benefits from and provisions for taxes from previous years were reversed for the year ended December 31, 2015. Refer to “Note 9 — Income Taxes” to our consolidated financial statements as of December 31, 2018 included in this annual report on Form 10-K for further detail.</w:t>
      </w:r>
    </w:p>
    <w:p>
      <w:pPr>
        <w:spacing w:after="0" w:line="1" w:lineRule="exact"/>
        <w:rPr>
          <w:sz w:val="20"/>
          <w:szCs w:val="20"/>
          <w:color w:val="auto"/>
        </w:rPr>
      </w:pPr>
    </w:p>
    <w:p>
      <w:pPr>
        <w:jc w:val="both"/>
        <w:ind w:left="340" w:hanging="332"/>
        <w:spacing w:after="0" w:line="249"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2017, we recognized a net benefit from taxes on unrealized depreciation of $2,757,070 despite recording a net change in unrealized appreciation of approximately $34.8 million. The net tax benefit from taxes on unrealized depreciation for the year ended December 31, 2017 was the result of an approximately $4.1 million decrease in built-in gains tax liability due to the recently passed tax legislation that reduced the U.S. corporate federal income tax rate from 35% to 21%, partially offset by a $1.3 million increase in the net deferred tax liability generated by the GSVC Holdings. During the year ended December 31, 2018, in anticipation of the end of the RIC built-in gain measurement period, we reversed the accrual of related potential tax liabilities of approximately $6.1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involve risks and uncertainties, including, without limitation, statements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26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disproportionately impact the market sectors in which a significant portion of our portfolio is concentrated, causing us to suffer losses in our portfolio;</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investment activities;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 and</w:t>
      </w:r>
    </w:p>
    <w:p>
      <w:pPr>
        <w:spacing w:after="0" w:line="26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202"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annual report on Form 10-K. The following analysis of our financial condition and results of operations should be read in conjunction with our consolidated financial statements and the related notes thereto contained elsewhere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We are an externally managed, non-diversified closed-end management investment company that has elected to be regulated as a business development company (or "BDC") under the 1940 Act. See "—Recent Developments".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91"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 See "—Recent Developments".</w:t>
      </w:r>
    </w:p>
    <w:p>
      <w:pPr>
        <w:spacing w:after="0" w:line="176"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188"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GSV Asset Management’s investment professionals to focus our investments in companies and industries that are more likely to result in beneficial returns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Internalization of Operating Structure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internalizing our operating structure and we began operating as an internally managed non-diversified closed-end management investment company that has elected to be regulated as a BDC under the 1940 Act, as of the Effective Date.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Internalization, the Investment Advisory Agreement and the Administration Agreement were terminated as of the Effective Date. As of such date, we entered into a Consulting Agreement with Michael T. Moe (the former Chairman of our Board of Directors and the Chief Executive Officer and Chief Investment Officer of GSV Asset Management), pursuant to which Mr. Moe will provide certain services to us in connection with our transition to an internally managed operating structure. We also entered into an Amended and Restated Trademark License Agreement with GSV Asset Management to continue to use the trade name “GSV”, and other state or unregistered “GSV” marks, including the trading symbol “GSVC.”</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Internalization, Mr. Moe resigned from our Board of Directors, and our Board of Directors reduced the number of directors that constitute our full Board of Directors to five directors from six directors in accordance with our bylaws.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this Form 10-K discusses our business and operations as an externally managed BDC during the period covered by this Form 10-K and through the Effective Date. See “—Recent Developments” for additional information regarding the forgoing and our Internalization.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Incentive Fee Waiver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 2018, GSV Asset Management voluntarily agreed to reduce the fees payable under the Investment Advisory Agreement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Agreement. The Waiver Agreement is effective February 1, 2018 and changes the fee structure set forth in the Investment Advisory Agreement by:</w:t>
      </w:r>
    </w:p>
    <w:p>
      <w:pPr>
        <w:spacing w:after="0" w:line="9" w:lineRule="exact"/>
        <w:rPr>
          <w:sz w:val="20"/>
          <w:szCs w:val="20"/>
          <w:color w:val="auto"/>
        </w:rPr>
      </w:pPr>
    </w:p>
    <w:p>
      <w:pPr>
        <w:jc w:val="both"/>
        <w:ind w:firstLine="8"/>
        <w:spacing w:after="0" w:line="254" w:lineRule="auto"/>
        <w:tabs>
          <w:tab w:leader="none" w:pos="22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base management fee from 2.00% to 1.75%; and (ii) creating certain high-water marks that must be reached before we pay any incentive fee to GSV Asset Management. In addition to the foregoing changes to the fee structure, GSV Asset Management also agreed to a one-time forfeiture of $5.0 million of previously accrued but unpaid incentive fees. Refer to “Note 3—Related-Party Arrangements” to our consolidated financial statements as of December 31, 2018 for more information regarding the Waiver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Transition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22, 2018, William Tanona resigned from his positions as our President, Chief Financial Officer, Treasurer and Secretary, effective June 12, 2018. In addition, Michael Moe, the former Executive Chairman of our Board of Directors, transitioned to the role of Chairman of the Board of Directors effective May 29, 2018.</w:t>
      </w:r>
    </w:p>
    <w:p>
      <w:pPr>
        <w:spacing w:after="0" w:line="176" w:lineRule="exact"/>
        <w:rPr>
          <w:sz w:val="20"/>
          <w:szCs w:val="20"/>
          <w:color w:val="auto"/>
        </w:rPr>
      </w:pPr>
    </w:p>
    <w:p>
      <w:pPr>
        <w:jc w:val="both"/>
        <w:ind w:firstLine="371"/>
        <w:spacing w:after="0" w:line="282" w:lineRule="auto"/>
        <w:rPr>
          <w:sz w:val="20"/>
          <w:szCs w:val="20"/>
          <w:color w:val="auto"/>
        </w:rPr>
      </w:pPr>
      <w:r>
        <w:rPr>
          <w:rFonts w:ascii="Times New Roman" w:cs="Times New Roman" w:eastAsia="Times New Roman" w:hAnsi="Times New Roman"/>
          <w:sz w:val="18"/>
          <w:szCs w:val="18"/>
          <w:color w:val="auto"/>
        </w:rPr>
        <w:t>On May 29, 2018, our Board of Directors appointed Mark Klein to serve as our President, effective June 12, 2018, in order to fill the vacancy created by Mr. Tanona’s resignation. Mr. Klein continues to also serve as our Chief Executive Officer.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29, 2018, our Board of Directors appointed Allison Green to serve as our Senior Vice President of Finance, effective May 29, 2018, and our Treasurer and Secretary, effective June 12, 2018. Ms. Green continues to also serve as our Controller.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regarding Mr. Klein and Ms. Green, please refer to our current report on Form 8-K filed with the SEC on May 29,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2018, of all of our portfolio investments, excluding U.S. Treasury bills, was $198,815,829.</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2018, we funded investments in an aggregate amount of $10,636,685 (not including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transaction costs) as shown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Gross Payments</w:t>
            </w:r>
          </w:p>
        </w:tc>
        <w:tc>
          <w:tcPr>
            <w:tcW w:w="0" w:type="dxa"/>
            <w:vAlign w:val="bottom"/>
          </w:tcPr>
          <w:p>
            <w:pPr>
              <w:spacing w:after="0"/>
              <w:rPr>
                <w:sz w:val="1"/>
                <w:szCs w:val="1"/>
                <w:color w:val="auto"/>
              </w:rPr>
            </w:pPr>
          </w:p>
        </w:tc>
      </w:tr>
      <w:tr>
        <w:trPr>
          <w:trHeight w:val="25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Ozy Media, Inc.</w:t>
            </w:r>
            <w:r>
              <w:rPr>
                <w:rFonts w:ascii="Times New Roman" w:cs="Times New Roman" w:eastAsia="Times New Roman" w:hAnsi="Times New Roman"/>
                <w:sz w:val="21"/>
                <w:szCs w:val="21"/>
                <w:color w:val="auto"/>
                <w:vertAlign w:val="superscript"/>
              </w:rPr>
              <w:t>(1)</w:t>
            </w:r>
          </w:p>
        </w:tc>
        <w:tc>
          <w:tcPr>
            <w:tcW w:w="53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Promissory Note 10% Due 2/12/2018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1/12/2018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70"/>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SharesPost, Inc.</w:t>
            </w:r>
            <w:r>
              <w:rPr>
                <w:rFonts w:ascii="Times New Roman" w:cs="Times New Roman" w:eastAsia="Times New Roman" w:hAnsi="Times New Roman"/>
                <w:sz w:val="21"/>
                <w:szCs w:val="21"/>
                <w:color w:val="auto"/>
                <w:vertAlign w:val="superscript"/>
              </w:rPr>
              <w:t>(2)</w:t>
            </w:r>
          </w:p>
        </w:tc>
        <w:tc>
          <w:tcPr>
            <w:tcW w:w="5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6/15/2018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100,221</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Knewton, Inc.</w:t>
            </w:r>
          </w:p>
        </w:tc>
        <w:tc>
          <w:tcPr>
            <w:tcW w:w="5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Unsecured Convertible Promissory Note 8% due 12/31/2019</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7/23/2018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134,405</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Nextdoor.com, Inc.</w:t>
            </w:r>
          </w:p>
        </w:tc>
        <w:tc>
          <w:tcPr>
            <w:tcW w:w="5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9/27/2018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6,326,790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Nextdoor.com, Inc.</w:t>
            </w:r>
          </w:p>
        </w:tc>
        <w:tc>
          <w:tcPr>
            <w:tcW w:w="5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Common shares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12/19/2018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1,390,373</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Nextdoor.com, Inc.</w:t>
            </w:r>
          </w:p>
        </w:tc>
        <w:tc>
          <w:tcPr>
            <w:tcW w:w="5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12/27/2018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2,284,896</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NestGSV, Inc. (d/b/a GSV Labs, Inc.)</w:t>
            </w:r>
            <w:r>
              <w:rPr>
                <w:rFonts w:ascii="Times New Roman" w:cs="Times New Roman" w:eastAsia="Times New Roman" w:hAnsi="Times New Roman"/>
                <w:sz w:val="21"/>
                <w:szCs w:val="21"/>
                <w:color w:val="auto"/>
                <w:vertAlign w:val="superscript"/>
              </w:rPr>
              <w:t>(3)</w:t>
            </w:r>
          </w:p>
        </w:tc>
        <w:tc>
          <w:tcPr>
            <w:tcW w:w="5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Unsecured Convertible Promissory Note 12% due 12/31/2019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12/31/2018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10,636,685</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500" w:hanging="492"/>
        <w:spacing w:after="0" w:line="273"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year ended December 31, 2018, Ozy Media, Inc.’s obligations under its financing arrangements with us became past due. </w:t>
      </w:r>
      <w:r>
        <w:rPr>
          <w:rFonts w:ascii="Times New Roman" w:cs="Times New Roman" w:eastAsia="Times New Roman" w:hAnsi="Times New Roman"/>
          <w:sz w:val="18"/>
          <w:szCs w:val="18"/>
          <w:color w:val="auto"/>
        </w:rPr>
        <w:t>Effe</w:t>
      </w:r>
      <w:r>
        <w:rPr>
          <w:rFonts w:ascii="Times New Roman" w:cs="Times New Roman" w:eastAsia="Times New Roman" w:hAnsi="Times New Roman"/>
          <w:sz w:val="16"/>
          <w:szCs w:val="16"/>
          <w:color w:val="auto"/>
        </w:rPr>
        <w:t>ctive April 9, 2018, the term of Ozy Media Inc.'s notes were extended through the issuance of a new convertible promissory note, which extended the maturity date 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December 31, 2018, Ozy Media Inc.'s obligations under its financing arrangements with the Company became past due.</w:t>
      </w:r>
    </w:p>
    <w:p>
      <w:pPr>
        <w:ind w:left="500" w:hanging="492"/>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15, 2018 we exercised our 770,934 warrants to purchase shares of SharesPost, Inc.'s common stock, with a $0.13 strike price.</w:t>
      </w:r>
    </w:p>
    <w:p>
      <w:pPr>
        <w:spacing w:after="0" w:line="15" w:lineRule="exact"/>
        <w:rPr>
          <w:rFonts w:ascii="Times New Roman" w:cs="Times New Roman" w:eastAsia="Times New Roman" w:hAnsi="Times New Roman"/>
          <w:sz w:val="16"/>
          <w:szCs w:val="16"/>
          <w:color w:val="auto"/>
        </w:rPr>
      </w:pPr>
    </w:p>
    <w:p>
      <w:pPr>
        <w:jc w:val="both"/>
        <w:ind w:left="500" w:hanging="492"/>
        <w:spacing w:after="0" w:line="248" w:lineRule="auto"/>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year ended December 31, 2018, we capitalized fees of $32,350.</w:t>
      </w:r>
    </w:p>
    <w:p>
      <w:pPr>
        <w:spacing w:after="0" w:line="225"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we sold investments or received repayments from portfolio companies in an amount of $32,395,839, net of transaction costs, and realized a net loss on investments of approximately $7,433,619 (including U.S. Treasury investments) as shown in following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120" w:type="dxa"/>
            <w:vAlign w:val="bottom"/>
            <w:vMerge w:val="restart"/>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Net Share</w:t>
            </w:r>
          </w:p>
        </w:tc>
        <w:tc>
          <w:tcPr>
            <w:tcW w:w="180" w:type="dxa"/>
            <w:vAlign w:val="bottom"/>
          </w:tcPr>
          <w:p>
            <w:pPr>
              <w:spacing w:after="0"/>
              <w:rPr>
                <w:sz w:val="13"/>
                <w:szCs w:val="13"/>
                <w:color w:val="auto"/>
              </w:rPr>
            </w:pPr>
          </w:p>
        </w:tc>
        <w:tc>
          <w:tcPr>
            <w:tcW w:w="10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Gain/(Loss)</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23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Chegg, Inc.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1/3/2018</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31,831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9,018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Chegg,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1/4/2018</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152,799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43,327</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Chegg, Inc.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1/5/2018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607,623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172,139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Chegg,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1/8/2018</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15,888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267,905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76,837</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Chegg, Inc.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1/9/2018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36,900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619,356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175,598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Chegg, Inc.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2/13/2018</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3,861,271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1,457,883</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Chegg, Inc.</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2/20/2018</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200,000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3,905,530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1,503,045</w:t>
            </w: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9,446,315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3,437,847</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NestGSV, Inc. (d/b/a GSV Labs, Inc.)</w:t>
            </w:r>
            <w:r>
              <w:rPr>
                <w:rFonts w:ascii="Times New Roman" w:cs="Times New Roman" w:eastAsia="Times New Roman" w:hAnsi="Times New Roman"/>
                <w:sz w:val="21"/>
                <w:szCs w:val="21"/>
                <w:color w:val="auto"/>
                <w:vertAlign w:val="superscript"/>
              </w:rPr>
              <w:t>(3)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1/12/2018</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592,129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Avenues Global Holdings,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1/22/2018</w:t>
            </w:r>
          </w:p>
        </w:tc>
        <w:tc>
          <w:tcPr>
            <w:tcW w:w="1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10,014,270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5,923,795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(4,228,059)</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General Assembly Space, Inc.</w:t>
            </w:r>
            <w:r>
              <w:rPr>
                <w:rFonts w:ascii="Times New Roman" w:cs="Times New Roman" w:eastAsia="Times New Roman" w:hAnsi="Times New Roman"/>
                <w:sz w:val="21"/>
                <w:szCs w:val="21"/>
                <w:color w:val="auto"/>
                <w:vertAlign w:val="superscript"/>
              </w:rPr>
              <w:t>(5)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6/12/2018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259,765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7,820,191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3,292,552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Lytro, Inc.</w:t>
            </w:r>
            <w:r>
              <w:rPr>
                <w:rFonts w:ascii="Times New Roman" w:cs="Times New Roman" w:eastAsia="Times New Roman" w:hAnsi="Times New Roman"/>
                <w:sz w:val="21"/>
                <w:szCs w:val="21"/>
                <w:color w:val="auto"/>
                <w:vertAlign w:val="superscript"/>
              </w:rPr>
              <w:t>(6)</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8/1/2018</w:t>
            </w:r>
          </w:p>
        </w:tc>
        <w:tc>
          <w:tcPr>
            <w:tcW w:w="1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3,537,539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791,596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(9,711,762)</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SugarCRM, Inc.</w:t>
            </w:r>
            <w:r>
              <w:rPr>
                <w:rFonts w:ascii="Times New Roman" w:cs="Times New Roman" w:eastAsia="Times New Roman" w:hAnsi="Times New Roman"/>
                <w:sz w:val="21"/>
                <w:szCs w:val="21"/>
                <w:color w:val="auto"/>
                <w:vertAlign w:val="superscript"/>
              </w:rPr>
              <w:t>(7)</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8/30/2018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1,897,933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2,645,183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(4,332,777)</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DreamBox Learning, Inc.</w:t>
            </w:r>
            <w:r>
              <w:rPr>
                <w:rFonts w:ascii="Times New Roman" w:cs="Times New Roman" w:eastAsia="Times New Roman" w:hAnsi="Times New Roman"/>
                <w:sz w:val="21"/>
                <w:szCs w:val="21"/>
                <w:color w:val="auto"/>
                <w:vertAlign w:val="superscript"/>
              </w:rPr>
              <w:t>(8)</w:t>
            </w:r>
          </w:p>
        </w:tc>
        <w:tc>
          <w:tcPr>
            <w:tcW w:w="12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9/5/2018</w:t>
            </w:r>
          </w:p>
        </w:tc>
        <w:tc>
          <w:tcPr>
            <w:tcW w:w="1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6"/>
                <w:szCs w:val="16"/>
                <w:color w:val="auto"/>
              </w:rPr>
              <w:t>10,738,831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5,176,630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2,916,251</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32,395,839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(8,626,628)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-671195</wp:posOffset>
            </wp:positionV>
            <wp:extent cx="7886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-1014095</wp:posOffset>
            </wp:positionV>
            <wp:extent cx="5531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500" w:hanging="492"/>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February 22, 2018, all remaining shares of Chegg, Inc. held by us had been sold.</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repayment of the 12% Unsecured Promissory Note Due 1/15/2018.</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amounts held in escrow or any realized gain/(loss) incurred on the maturity of our U.S. Treasury investments.</w:t>
      </w:r>
    </w:p>
    <w:p>
      <w:pPr>
        <w:spacing w:after="0" w:line="23" w:lineRule="exact"/>
        <w:rPr>
          <w:rFonts w:ascii="Times New Roman" w:cs="Times New Roman" w:eastAsia="Times New Roman" w:hAnsi="Times New Roman"/>
          <w:sz w:val="16"/>
          <w:szCs w:val="16"/>
          <w:color w:val="auto"/>
        </w:rPr>
      </w:pPr>
    </w:p>
    <w:p>
      <w:pPr>
        <w:jc w:val="both"/>
        <w:ind w:left="500" w:hanging="492"/>
        <w:spacing w:after="0" w:line="246" w:lineRule="auto"/>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16, 2018, Adecco Group, a Swiss staffing company, announced that it was acquiring technology education provider General Assembly Space, Inc. for $412.5 million, including debt financing. We have received approximately $7.8 million in net proceeds as a result of the transaction, with approximately $1.5 million of additional proceeds currently being held in escrow. We expect to receive the escrow in 2019.</w:t>
      </w:r>
    </w:p>
    <w:p>
      <w:pPr>
        <w:spacing w:after="0" w:line="1" w:lineRule="exact"/>
        <w:rPr>
          <w:rFonts w:ascii="Times New Roman" w:cs="Times New Roman" w:eastAsia="Times New Roman" w:hAnsi="Times New Roman"/>
          <w:sz w:val="16"/>
          <w:szCs w:val="16"/>
          <w:color w:val="auto"/>
        </w:rPr>
      </w:pPr>
    </w:p>
    <w:p>
      <w:pPr>
        <w:jc w:val="both"/>
        <w:ind w:left="500" w:hanging="492"/>
        <w:spacing w:after="0" w:line="248" w:lineRule="auto"/>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27, 2018, Lytro, Inc. announced that it was preparing to wind down the company over an unspecified period of time. Google LLC acquired Lytro, Inc.’s intellectual property and certain other assets. As a result of the transaction, we have received $0.8 million in net proceeds and expects to receive approximately $0.4 million in additional proceeds currently held in escrow. We expect to receive the proceeds held in escrow in 2019.</w:t>
      </w:r>
    </w:p>
    <w:p>
      <w:pPr>
        <w:jc w:val="both"/>
        <w:ind w:left="500" w:hanging="492"/>
        <w:spacing w:after="0" w:line="264"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June 14, 2018, SugarCRM, Inc. entered into an agreement to be purchased by AKKR Candy Holdings, Inc. As a result of the transaction, we have received $2.6 million in net proceeds and expects to receive approximately $0.3 million in additional proceeds currently held in escrow. We expect to receive the proceeds held in escrow in 2019.</w:t>
      </w:r>
    </w:p>
    <w:p>
      <w:pPr>
        <w:spacing w:after="0" w:line="2"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18, 2018, DreamBox Learning, Inc. entered into a definitive agreement to be acquired by a wholly owned subsidiary of DreamBox Learning Holding, LLC, an entity owned by The Rise Fund Deneb, LP. As a result of the transaction, we have received $5.2 million in proceeds and expects to receive approximately $0.3 million in additional proceeds currently held in escrow. We expect to receive the proceeds held in escrow in 2019.</w:t>
      </w:r>
    </w:p>
    <w:p>
      <w:pPr>
        <w:spacing w:after="0" w:line="177"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During the quarter and year ended December 31, 2018 we did not write-off any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and Investment Activity - 2017</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quarter and year ended December 31, 2017, we did not purchase or close on any investments. We did, however, pay $2,080 in capitalized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portfolio investments we wrote-off and sold during the quarter and year ended December 31, 2017: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December 31, 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12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Gain/(Loss)</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Gain/(Loss)</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AliphCom, Inc. (d/b/a Jawbone)</w:t>
            </w: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(793,152)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AlwaysOn, Inc.</w:t>
            </w:r>
          </w:p>
        </w:tc>
        <w:tc>
          <w:tcPr>
            <w:tcW w:w="3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(1,903,414)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Beamreach Solar, Inc. (f/k/a Solexel, Inc.)</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(14,272,840)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Cricket Media (f/k/a ePals Corporation)</w:t>
            </w:r>
          </w:p>
        </w:tc>
        <w:tc>
          <w:tcPr>
            <w:tcW w:w="3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(2,448,959)</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EarlyShares.com, Inc.</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(312,438)</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Orchestra One, Inc. (f/k/a Learnist, Inc.)</w:t>
            </w:r>
          </w:p>
        </w:tc>
        <w:tc>
          <w:tcPr>
            <w:tcW w:w="3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(4,959,614)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Global Education Learning (Holdings) Ltd.</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(675,495)</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Snap, Inc.</w:t>
            </w:r>
          </w:p>
        </w:tc>
        <w:tc>
          <w:tcPr>
            <w:tcW w:w="3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4,033,360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31,090</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JAMF Holdings, Inc.</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34,931,287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25,474,575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34,931,287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25,474,575</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Spotify Technology S.A.</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23"/>
                <w:szCs w:val="23"/>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13,896,600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10,299,111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13,896,600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10,299,111</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Dataminr, Inc.</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4,803,384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1,635,673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4,803,384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1,635,673</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Whittle Schools, LLC</w:t>
            </w:r>
          </w:p>
        </w:tc>
        <w:tc>
          <w:tcPr>
            <w:tcW w:w="30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4,575,000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4,575,000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(181,045)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Chegg, Inc.</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4,506,108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1,241,122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10,246,005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2,231,611</w:t>
            </w:r>
          </w:p>
        </w:tc>
        <w:tc>
          <w:tcPr>
            <w:tcW w:w="0" w:type="dxa"/>
            <w:vAlign w:val="bottom"/>
          </w:tcPr>
          <w:p>
            <w:pPr>
              <w:spacing w:after="0"/>
              <w:rPr>
                <w:sz w:val="1"/>
                <w:szCs w:val="1"/>
                <w:color w:val="auto"/>
              </w:rPr>
            </w:pPr>
          </w:p>
        </w:tc>
      </w:tr>
      <w:tr>
        <w:trPr>
          <w:trHeight w:val="270"/>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Strategic Data Command, LLC</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23"/>
                <w:szCs w:val="23"/>
                <w:color w:val="auto"/>
              </w:rPr>
            </w:pPr>
          </w:p>
        </w:tc>
        <w:tc>
          <w:tcPr>
            <w:tcW w:w="1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2,454,652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1,524,374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2,454,652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1,524,374</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2,091,501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1,078,692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2,091,501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1,078,692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Circle Media (f/k/a S3 Digital Corp. (d/b/a S3i)</w:t>
            </w:r>
          </w:p>
        </w:tc>
        <w:tc>
          <w:tcPr>
            <w:tcW w:w="3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(1,839,914)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(1,839,914)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Handle Financial, Inc. (f/k/a PayNearMe, Inc.)</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(14,000,398)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(14,000,398)</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Disposals</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67,258,532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25,232,190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77,031,789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887,857</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exclude any realized gain/(loss) incurred on the maturity of our U.S. Treasury investments.</w:t>
      </w:r>
    </w:p>
    <w:p>
      <w:pPr>
        <w:spacing w:after="0" w:line="8" w:lineRule="exact"/>
        <w:rPr>
          <w:rFonts w:ascii="Times New Roman" w:cs="Times New Roman" w:eastAsia="Times New Roman" w:hAnsi="Times New Roman"/>
          <w:sz w:val="16"/>
          <w:szCs w:val="16"/>
          <w:color w:val="auto"/>
        </w:rPr>
      </w:pPr>
    </w:p>
    <w:p>
      <w:pPr>
        <w:ind w:left="340" w:hanging="332"/>
        <w:spacing w:after="0" w:line="246"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proceeds does not reflect amounts expected to be received from the sale of these investments currently being held in escrow. Refer to “Note 2</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Significant Accounting Policies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Escrow Proceeds Receivable” to our consolidated financial statements as of December 31, 2018 for further detail.</w:t>
      </w:r>
    </w:p>
    <w:p>
      <w:pPr>
        <w:ind w:left="340" w:hanging="332"/>
        <w:spacing w:after="0" w:line="263"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only a partial sale of our investment in the denoted portfolio companies. Refer to our Consolidated Schedule of Investments as of December 31, 2017 for the remaining investments held in these portfolio companies as of December 31,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and Investment Activity - 2016</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portfolio investments we purchased during the year ended December 31,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9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5"/>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Beamreach Solar, Inc. (f/k/a Solexel,Inc.)</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37"/>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Curious.com Inc.</w:t>
            </w:r>
          </w:p>
        </w:tc>
        <w:tc>
          <w:tcPr>
            <w:tcW w:w="4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2,000,003</w:t>
            </w:r>
          </w:p>
        </w:tc>
        <w:tc>
          <w:tcPr>
            <w:tcW w:w="0" w:type="dxa"/>
            <w:vAlign w:val="bottom"/>
          </w:tcPr>
          <w:p>
            <w:pPr>
              <w:spacing w:after="0"/>
              <w:rPr>
                <w:sz w:val="1"/>
                <w:szCs w:val="1"/>
                <w:color w:val="auto"/>
              </w:rPr>
            </w:pPr>
          </w:p>
        </w:tc>
      </w:tr>
      <w:tr>
        <w:trPr>
          <w:trHeight w:val="33"/>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Fullbridge, Inc.</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1,000,000</w:t>
            </w:r>
          </w:p>
        </w:tc>
        <w:tc>
          <w:tcPr>
            <w:tcW w:w="0" w:type="dxa"/>
            <w:vAlign w:val="bottom"/>
          </w:tcPr>
          <w:p>
            <w:pPr>
              <w:spacing w:after="0"/>
              <w:rPr>
                <w:sz w:val="1"/>
                <w:szCs w:val="1"/>
                <w:color w:val="auto"/>
              </w:rPr>
            </w:pPr>
          </w:p>
        </w:tc>
      </w:tr>
      <w:tr>
        <w:trPr>
          <w:trHeight w:val="237"/>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Lytro, Inc.</w:t>
            </w:r>
          </w:p>
        </w:tc>
        <w:tc>
          <w:tcPr>
            <w:tcW w:w="4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3,000,002</w:t>
            </w:r>
          </w:p>
        </w:tc>
        <w:tc>
          <w:tcPr>
            <w:tcW w:w="0" w:type="dxa"/>
            <w:vAlign w:val="bottom"/>
          </w:tcPr>
          <w:p>
            <w:pPr>
              <w:spacing w:after="0"/>
              <w:rPr>
                <w:sz w:val="1"/>
                <w:szCs w:val="1"/>
                <w:color w:val="auto"/>
              </w:rPr>
            </w:pPr>
          </w:p>
        </w:tc>
      </w:tr>
      <w:tr>
        <w:trPr>
          <w:trHeight w:val="33"/>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1,526,000</w:t>
            </w:r>
          </w:p>
        </w:tc>
        <w:tc>
          <w:tcPr>
            <w:tcW w:w="0" w:type="dxa"/>
            <w:vAlign w:val="bottom"/>
          </w:tcPr>
          <w:p>
            <w:pPr>
              <w:spacing w:after="0"/>
              <w:rPr>
                <w:sz w:val="1"/>
                <w:szCs w:val="1"/>
                <w:color w:val="auto"/>
              </w:rPr>
            </w:pPr>
          </w:p>
        </w:tc>
      </w:tr>
      <w:tr>
        <w:trPr>
          <w:trHeight w:val="237"/>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Ozy Media, Inc.</w:t>
            </w:r>
          </w:p>
        </w:tc>
        <w:tc>
          <w:tcPr>
            <w:tcW w:w="40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2,000,000</w:t>
            </w:r>
          </w:p>
        </w:tc>
        <w:tc>
          <w:tcPr>
            <w:tcW w:w="0" w:type="dxa"/>
            <w:vAlign w:val="bottom"/>
          </w:tcPr>
          <w:p>
            <w:pPr>
              <w:spacing w:after="0"/>
              <w:rPr>
                <w:sz w:val="1"/>
                <w:szCs w:val="1"/>
                <w:color w:val="auto"/>
              </w:rPr>
            </w:pPr>
          </w:p>
        </w:tc>
      </w:tr>
      <w:tr>
        <w:trPr>
          <w:trHeight w:val="33"/>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Snap Inc. (f/k/a Snapchat, Inc.)</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3,999,990</w:t>
            </w:r>
          </w:p>
        </w:tc>
        <w:tc>
          <w:tcPr>
            <w:tcW w:w="0" w:type="dxa"/>
            <w:vAlign w:val="bottom"/>
          </w:tcPr>
          <w:p>
            <w:pPr>
              <w:spacing w:after="0"/>
              <w:rPr>
                <w:sz w:val="1"/>
                <w:szCs w:val="1"/>
                <w:color w:val="auto"/>
              </w:rPr>
            </w:pPr>
          </w:p>
        </w:tc>
      </w:tr>
      <w:tr>
        <w:trPr>
          <w:trHeight w:val="270"/>
        </w:trPr>
        <w:tc>
          <w:tcPr>
            <w:tcW w:w="97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Capitalized Fees </w:t>
            </w:r>
            <w:r>
              <w:rPr>
                <w:rFonts w:ascii="Times New Roman" w:cs="Times New Roman" w:eastAsia="Times New Roman" w:hAnsi="Times New Roman"/>
                <w:sz w:val="21"/>
                <w:szCs w:val="2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27,347</w:t>
            </w: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Gross Payments</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13,803,342</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w:t>
            </w:r>
          </w:p>
        </w:tc>
        <w:tc>
          <w:tcPr>
            <w:tcW w:w="1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6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78"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Capitalized fees represent costs such as legal and other fees associated with entering into or exiting a portfolio company investment or the ongoing due diligence and other costs associated with an existing portfolio company investment. Refer to “Note 2</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Significant Accounting Policies</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i w:val="1"/>
          <w:iCs w:val="1"/>
          <w:color w:val="auto"/>
        </w:rPr>
        <w:t>Investment Transaction Costs and Escrow Deposits</w:t>
      </w:r>
      <w:r>
        <w:rPr>
          <w:rFonts w:ascii="Times New Roman" w:cs="Times New Roman" w:eastAsia="Times New Roman" w:hAnsi="Times New Roman"/>
          <w:sz w:val="16"/>
          <w:szCs w:val="16"/>
          <w:color w:val="auto"/>
        </w:rPr>
        <w:t>” to our consolidated financial statements as of December 31, 2018 for further detail.</w:t>
      </w:r>
    </w:p>
    <w:p>
      <w:pPr>
        <w:spacing w:after="0" w:line="172"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table below summarizes the portfolio investments we sold or wrote-off during the quarter and year ended December 31,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0" w:type="dxa"/>
            <w:vAlign w:val="bottom"/>
          </w:tcPr>
          <w:p>
            <w:pPr>
              <w:spacing w:after="0"/>
              <w:rPr>
                <w:sz w:val="1"/>
                <w:szCs w:val="1"/>
                <w:color w:val="auto"/>
              </w:rPr>
            </w:pPr>
          </w:p>
        </w:tc>
      </w:tr>
      <w:tr>
        <w:trPr>
          <w:trHeight w:val="149"/>
        </w:trPr>
        <w:tc>
          <w:tcPr>
            <w:tcW w:w="7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right"/>
              <w:ind w:right="501"/>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95"/>
        </w:trPr>
        <w:tc>
          <w:tcPr>
            <w:tcW w:w="7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Gains/(Losses)</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Bloom Energy Corporation</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2,973,438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(882,162)</w:t>
            </w:r>
          </w:p>
        </w:tc>
        <w:tc>
          <w:tcPr>
            <w:tcW w:w="0" w:type="dxa"/>
            <w:vAlign w:val="bottom"/>
          </w:tcPr>
          <w:p>
            <w:pPr>
              <w:spacing w:after="0"/>
              <w:rPr>
                <w:sz w:val="1"/>
                <w:szCs w:val="1"/>
                <w:color w:val="auto"/>
              </w:rPr>
            </w:pPr>
          </w:p>
        </w:tc>
      </w:tr>
      <w:tr>
        <w:trPr>
          <w:trHeight w:val="270"/>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Gilt Groupe Holdings, Inc</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429,261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(6,165,173)</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Lyft, Inc.</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7,651,890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4,430,220</w:t>
            </w:r>
          </w:p>
        </w:tc>
        <w:tc>
          <w:tcPr>
            <w:tcW w:w="0" w:type="dxa"/>
            <w:vAlign w:val="bottom"/>
          </w:tcPr>
          <w:p>
            <w:pPr>
              <w:spacing w:after="0"/>
              <w:rPr>
                <w:sz w:val="1"/>
                <w:szCs w:val="1"/>
                <w:color w:val="auto"/>
              </w:rPr>
            </w:pPr>
          </w:p>
        </w:tc>
      </w:tr>
      <w:tr>
        <w:trPr>
          <w:trHeight w:val="23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NestGSV, Inc. (d/b/a GSVLabs, Inc.)</w:t>
            </w:r>
          </w:p>
        </w:tc>
        <w:tc>
          <w:tcPr>
            <w:tcW w:w="28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Twitter, Inc.</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14,579,469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306,603</w:t>
            </w:r>
          </w:p>
        </w:tc>
        <w:tc>
          <w:tcPr>
            <w:tcW w:w="0" w:type="dxa"/>
            <w:vAlign w:val="bottom"/>
          </w:tcPr>
          <w:p>
            <w:pPr>
              <w:spacing w:after="0"/>
              <w:rPr>
                <w:sz w:val="1"/>
                <w:szCs w:val="1"/>
                <w:color w:val="auto"/>
              </w:rPr>
            </w:pPr>
          </w:p>
        </w:tc>
      </w:tr>
      <w:tr>
        <w:trPr>
          <w:trHeight w:val="23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Upwork Global Inc. (f/k/a Odesk Corporation)</w:t>
            </w:r>
          </w:p>
        </w:tc>
        <w:tc>
          <w:tcPr>
            <w:tcW w:w="280" w:type="dxa"/>
            <w:vAlign w:val="bottom"/>
          </w:tcPr>
          <w:p>
            <w:pPr>
              <w:spacing w:after="0"/>
              <w:rPr>
                <w:sz w:val="20"/>
                <w:szCs w:val="20"/>
                <w:color w:val="auto"/>
              </w:rPr>
            </w:pP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108,531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(77,819)</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26,242,589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(2,388,331)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exclude any realized gain/(loss) incurred on the maturity of our U.S. Treasury investments.</w:t>
      </w:r>
    </w:p>
    <w:p>
      <w:pPr>
        <w:spacing w:after="0" w:line="5" w:lineRule="exact"/>
        <w:rPr>
          <w:rFonts w:ascii="Times New Roman" w:cs="Times New Roman" w:eastAsia="Times New Roman" w:hAnsi="Times New Roman"/>
          <w:sz w:val="16"/>
          <w:szCs w:val="16"/>
          <w:color w:val="auto"/>
        </w:rPr>
      </w:pPr>
    </w:p>
    <w:p>
      <w:pPr>
        <w:ind w:left="340" w:right="20" w:hanging="332"/>
        <w:spacing w:after="0" w:line="257" w:lineRule="auto"/>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$1,991 of the proceeds received from Gilt Groupe Holdings, Inc. represents an excess distribution of proceeds received as part of the January 2016 sale of Gilt Groupe Holdings, Inc. to Hudson’s Bay Co., the parent company of Saks Fifth Avenue.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 </w:t>
      </w:r>
      <w:r>
        <w:rPr>
          <w:rFonts w:ascii="Times New Roman" w:cs="Times New Roman" w:eastAsia="Times New Roman" w:hAnsi="Times New Roman"/>
          <w:sz w:val="18"/>
          <w:szCs w:val="18"/>
          <w:b w:val="1"/>
          <w:bCs w:val="1"/>
          <w:i w:val="1"/>
          <w:iCs w:val="1"/>
          <w:color w:val="auto"/>
        </w:rPr>
        <w:t>Comparison of the years ended December 31, 2018, 2017, and 2016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results for the years ended December 31, 2018, 2017, and 2016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1,617,836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852,768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736,283</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992,836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304,672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523,488</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625,000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73,096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212,795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Gross Operating Expenses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15,144,834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22,439,855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1,999,646</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fee waiver</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fee waiver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Operating Expenses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9,252,413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21,731,583</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1,999,646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 fees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5,199,900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5,666,176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6,896,347</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fees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382,387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7,151,641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(15,188,121)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Costs incurred under Administration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1,702,047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1,874,839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2,545,316</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Directors’ fees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328,480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345,000</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1,587,578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2,068,668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1,966,906</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4,545,471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4,696,819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4,731,430</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482,994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52,901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899,457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600,331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702,768</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(7,634,577)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(20,878,815)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(1,263,363)</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(7,433,619)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913,982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(2,634,471)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Realized loss on partial repurchase of 5.25% Convertible Senior Notes due 2018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3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9,641,050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34,775,696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(73,213,845)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6,716,735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2,757,070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2,116,784</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Increase in Net Assets Resulting from Operations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891,743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17,567,933</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(74,994,895)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-3751580</wp:posOffset>
            </wp:positionV>
            <wp:extent cx="4493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2018 as compared to the year ended December 31, 2017</w:t>
      </w:r>
    </w:p>
    <w:p>
      <w:pPr>
        <w:spacing w:after="0" w:line="227"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Investment income increased to $1,617,836 for the year ended December 31, 2018 from $852,768 for the year ended December 31, 2017. The increase was primarily due to increased interest income related to our debt investments in Ozy Media, Inc., NestGSV, Inc. (d.b.a. GSV Labs, Inc.), and CUX, Inc. (d/b/a CorpU) and interest on cash balances not earned in the prior year. Dividend income also increased during the year as the total dividends received from SPBRX, Inc. (f/k/a GSV Sustainability Partners, Inc.) increased from $475,000 in 2017 to $625,000 in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2017 as compared to the year ended December 31, 2016</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income increased to $852,768 for the year ended December 31, 2017, from $736,283 for the year ended December 31, 2016. The increase was primarily due to increased dividend income which was partially offset by reversals of interest accruals. The increase in dividend income resulted from a $475,000 dividend received from our investment in SPBRX, INC. (f/k/a GSV Sustainability Partners, Inc.). Interest income also increased due to increased interest income from our investment in NestGSV, Inc. (d/b/a GSV Labs,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2018 as compared to the year ended December 31, 2017</w:t>
      </w:r>
    </w:p>
    <w:p>
      <w:pPr>
        <w:spacing w:after="0" w:line="227"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Total operating expenses, net of waiver of management and incentive fees, decreased to $9,252,413 for the year ended December 31, 2018, from $21,731,583 for the year ended December 31, 2017. The decrease was primarily due to a decrease in the accrued incentive fees, enhanced by the one-time incentive fee accrual forfeiture of $5.0 million per the Waiver Agreement</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type w:val="continuous"/>
        </w:sectPr>
      </w:pPr>
    </w:p>
    <w:bookmarkStart w:id="61" w:name="page62"/>
    <w:bookmarkEnd w:id="6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to a lesser extent, an increase in GSV Asset Management’s management fee waiver and costs incurred under Administration Agreement. The increase in GSV Asset Management’s management fee waiver under the Waiver Agreement during the year ended December 31, 2018 resulted primarily from the exclusion of our cash balance from the calculation of the base management fee. The decrease in total operating expenses between periods was also, to a lesser extent, the result of a decrease in professional fees, which include legal, valuation, audit, and consulting fees.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2017 as compared to the year ended December 31, 2016</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Total operating expenses, net of waiver of management fees, increased to $21,731,583 for the year ended December 31, 2017, from $1,999,646 for the year ended December 31, 2016, primarily due to incentive fee accruals for the year ended December 31, 2017 as well as the reversal of incentive fee accruals during fiscal year 2016, and, to a lesser extent, increased professional fees, which include legal, valuation, audit and consulting fees. We accrued incentive fees during the year ended December 31, 2017, as a result of the unrealized appreciation of our portfolio investments in the aggregate during the period. The increase in total operating expenses during the year ended December 31, 2017, was partially offset by lower management fees due to lower average gross assets outstanding, and GSV Asset Management’s voluntary 0.25% reduction to the base management fee payable under the Investment Advisory Agreement, as well as a decrease in costs incurred under the Administration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2018 as compared to the year ended December 31, 2017</w:t>
      </w:r>
    </w:p>
    <w:p>
      <w:pPr>
        <w:spacing w:after="0" w:line="227"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we recognized a net investment loss of $7,634,577, compared to a net investment loss of $20,878,815 for the year ended December 31, 2017. The decrease in net investment loss resulted primarily from the decrease in operating expenses, net of waiver of management fees and one-time incentive fee accrual forfeiture, as discussed above, and an increase in total investment income between 2018 and 2017, also discussed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2017 as compared to the year ended December 31, 2016</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2017, we recognized a net investment loss of $20,878,815, compared to a net investment loss of $1,263,363 for the year ended December 31, 2016. The increase in net investment loss resulted primarily from the large increase in our operating expenses for the year ended December 31, 2017, as discussed above. For the years ended December 31, 2017 and 2016, we recognized no benefit from taxes on net investment loss.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Gain/(Loss) on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2018 as compared to the year ended December 31, 2017</w:t>
      </w:r>
    </w:p>
    <w:p>
      <w:pPr>
        <w:spacing w:after="0" w:line="227"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we recognized a net realized loss of $7,433,619 on our investments, compared to a net realized gain of $913,982 for the year ended December 31, 2017. The components of our net realized gains and losses on portfolio investments for the year ended December 31, 2018 and 2017, excluding U.S. Treasury investments, are reflected in the tables above, under “—Portfolio and Investment Activity.”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year ended December 31, 2017 as compared to the year ended December 31, 2016</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2017, we recognized net realized gains of $913,982, compared to net realized losses of $2,634,471 for the year ended December 31, 2016 and net realized gains of $54,144,229 for the year ended December 31, 2015. The components of our net realized gains and losses on portfolio investments for the years ended December 31, 2017, 2016, and 2015, excluding U.S. Treasury investments, are reflected in the tables above, under "- Portfolio and Investment Activity." For the year ended December 31, 2017, we recognized no provision for taxes on our net realized capital gains due to our election to be treated as a RIC. For the year ended December 31, 2016, we recognized no benefit from taxes on our net realized capital losses due to our election to be treated as a RIC.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Appreciation/(Depreciation) of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2018, we had a net change in unrealized appreciation of $9,641,050. For the year ended December 31, 2017, we had a net change in unrealized appreciation of $34,775,696. For the year ended December 31, 2016, we had a net change in unrealized depreciation of $73,213,845. The following tables summarize, by portfolio company, the significant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unrealized appreciation and/or depreciation of our investment portfolio for the years ended December 31, 2018,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0" w:type="dxa"/>
            <w:vAlign w:val="bottom"/>
          </w:tcPr>
          <w:p>
            <w:pPr>
              <w:spacing w:after="0"/>
              <w:rPr>
                <w:sz w:val="1"/>
                <w:szCs w:val="1"/>
                <w:color w:val="auto"/>
              </w:rPr>
            </w:pPr>
          </w:p>
        </w:tc>
      </w:tr>
      <w:tr>
        <w:trPr>
          <w:trHeight w:val="149"/>
        </w:trPr>
        <w:tc>
          <w:tcPr>
            <w:tcW w:w="8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2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Appreciation/(Depreciation) For the</w:t>
            </w:r>
          </w:p>
        </w:tc>
        <w:tc>
          <w:tcPr>
            <w:tcW w:w="0" w:type="dxa"/>
            <w:vAlign w:val="bottom"/>
          </w:tcPr>
          <w:p>
            <w:pPr>
              <w:spacing w:after="0"/>
              <w:rPr>
                <w:sz w:val="1"/>
                <w:szCs w:val="1"/>
                <w:color w:val="auto"/>
              </w:rPr>
            </w:pPr>
          </w:p>
        </w:tc>
      </w:tr>
      <w:tr>
        <w:trPr>
          <w:trHeight w:val="195"/>
        </w:trPr>
        <w:tc>
          <w:tcPr>
            <w:tcW w:w="8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0" w:type="dxa"/>
            <w:vAlign w:val="bottom"/>
          </w:tcPr>
          <w:p>
            <w:pPr>
              <w:spacing w:after="0"/>
              <w:rPr>
                <w:sz w:val="1"/>
                <w:szCs w:val="1"/>
                <w:color w:val="auto"/>
              </w:rPr>
            </w:pPr>
          </w:p>
        </w:tc>
      </w:tr>
      <w:tr>
        <w:trPr>
          <w:trHeight w:val="255"/>
        </w:trPr>
        <w:tc>
          <w:tcPr>
            <w:tcW w:w="9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Lytro, Inc.</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8,387,816</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Lyft, Inc.</w:t>
            </w:r>
          </w:p>
        </w:tc>
        <w:tc>
          <w:tcPr>
            <w:tcW w:w="180" w:type="dxa"/>
            <w:vAlign w:val="bottom"/>
          </w:tcPr>
          <w:p>
            <w:pPr>
              <w:spacing w:after="0"/>
              <w:rPr>
                <w:sz w:val="20"/>
                <w:szCs w:val="20"/>
                <w:color w:val="auto"/>
              </w:rPr>
            </w:pPr>
          </w:p>
        </w:tc>
        <w:tc>
          <w:tcPr>
            <w:tcW w:w="2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5,486,237</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Coursera, Inc.</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4,751,216</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SharesPost, Inc.</w:t>
            </w:r>
          </w:p>
        </w:tc>
        <w:tc>
          <w:tcPr>
            <w:tcW w:w="180" w:type="dxa"/>
            <w:vAlign w:val="bottom"/>
          </w:tcPr>
          <w:p>
            <w:pPr>
              <w:spacing w:after="0"/>
              <w:rPr>
                <w:sz w:val="20"/>
                <w:szCs w:val="20"/>
                <w:color w:val="auto"/>
              </w:rPr>
            </w:pPr>
          </w:p>
        </w:tc>
        <w:tc>
          <w:tcPr>
            <w:tcW w:w="2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4,401,790</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Avenues Global Holdings, LLC</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4,243,435</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Course Hero, Inc.</w:t>
            </w:r>
          </w:p>
        </w:tc>
        <w:tc>
          <w:tcPr>
            <w:tcW w:w="180" w:type="dxa"/>
            <w:vAlign w:val="bottom"/>
          </w:tcPr>
          <w:p>
            <w:pPr>
              <w:spacing w:after="0"/>
              <w:rPr>
                <w:sz w:val="20"/>
                <w:szCs w:val="20"/>
                <w:color w:val="auto"/>
              </w:rPr>
            </w:pPr>
          </w:p>
        </w:tc>
        <w:tc>
          <w:tcPr>
            <w:tcW w:w="2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4,065,198</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SugarCRM, Inc.</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3,753,157</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Palantir Technologies, Inc.</w:t>
            </w:r>
          </w:p>
        </w:tc>
        <w:tc>
          <w:tcPr>
            <w:tcW w:w="1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(1,022,365)</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Knewton, Inc.</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(1,576,151)</w:t>
            </w:r>
          </w:p>
        </w:tc>
        <w:tc>
          <w:tcPr>
            <w:tcW w:w="0" w:type="dxa"/>
            <w:vAlign w:val="bottom"/>
          </w:tcPr>
          <w:p>
            <w:pPr>
              <w:spacing w:after="0"/>
              <w:rPr>
                <w:sz w:val="1"/>
                <w:szCs w:val="1"/>
                <w:color w:val="auto"/>
              </w:rPr>
            </w:pPr>
          </w:p>
        </w:tc>
      </w:tr>
      <w:tr>
        <w:trPr>
          <w:trHeight w:val="237"/>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Declara, Inc.</w:t>
            </w:r>
          </w:p>
        </w:tc>
        <w:tc>
          <w:tcPr>
            <w:tcW w:w="1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(1,715,261)</w:t>
            </w:r>
          </w:p>
        </w:tc>
        <w:tc>
          <w:tcPr>
            <w:tcW w:w="0" w:type="dxa"/>
            <w:vAlign w:val="bottom"/>
          </w:tcPr>
          <w:p>
            <w:pPr>
              <w:spacing w:after="0"/>
              <w:rPr>
                <w:sz w:val="1"/>
                <w:szCs w:val="1"/>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Ozy Media, Inc.</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(2,070,561)</w:t>
            </w:r>
          </w:p>
        </w:tc>
        <w:tc>
          <w:tcPr>
            <w:tcW w:w="0" w:type="dxa"/>
            <w:vAlign w:val="bottom"/>
          </w:tcPr>
          <w:p>
            <w:pPr>
              <w:spacing w:after="0"/>
              <w:rPr>
                <w:sz w:val="1"/>
                <w:szCs w:val="1"/>
                <w:color w:val="auto"/>
              </w:rPr>
            </w:pPr>
          </w:p>
        </w:tc>
      </w:tr>
      <w:tr>
        <w:trPr>
          <w:trHeight w:val="270"/>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Chegg, Inc.</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3"/>
                <w:szCs w:val="2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(2,151,532)</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(4,015,707)</w:t>
            </w:r>
          </w:p>
        </w:tc>
        <w:tc>
          <w:tcPr>
            <w:tcW w:w="0" w:type="dxa"/>
            <w:vAlign w:val="bottom"/>
          </w:tcPr>
          <w:p>
            <w:pPr>
              <w:spacing w:after="0"/>
              <w:rPr>
                <w:sz w:val="1"/>
                <w:szCs w:val="1"/>
                <w:color w:val="auto"/>
              </w:rPr>
            </w:pPr>
          </w:p>
        </w:tc>
      </w:tr>
      <w:tr>
        <w:trPr>
          <w:trHeight w:val="270"/>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General Assembly Space, Inc.</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3"/>
                <w:szCs w:val="23"/>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(4,840,905)</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Curious.com, Inc.</w:t>
            </w:r>
          </w:p>
        </w:tc>
        <w:tc>
          <w:tcPr>
            <w:tcW w:w="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(5,514,077)</w:t>
            </w:r>
          </w:p>
        </w:tc>
        <w:tc>
          <w:tcPr>
            <w:tcW w:w="0" w:type="dxa"/>
            <w:vAlign w:val="bottom"/>
          </w:tcPr>
          <w:p>
            <w:pPr>
              <w:spacing w:after="0"/>
              <w:rPr>
                <w:sz w:val="1"/>
                <w:szCs w:val="1"/>
                <w:color w:val="auto"/>
              </w:rPr>
            </w:pPr>
          </w:p>
        </w:tc>
      </w:tr>
      <w:tr>
        <w:trPr>
          <w:trHeight w:val="270"/>
        </w:trPr>
        <w:tc>
          <w:tcPr>
            <w:tcW w:w="9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(2,541,240)</w:t>
            </w: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9,641,050</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hanging="492"/>
        <w:spacing w:after="0" w:line="257" w:lineRule="auto"/>
        <w:tabs>
          <w:tab w:leader="none" w:pos="5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(including U.S. Treasury bills) for which individual change in unrealized appreciation/(depreciation) was less than $1.0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8"/>
        </w:trPr>
        <w:tc>
          <w:tcPr>
            <w:tcW w:w="456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8"/>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 for</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 for</w:t>
            </w:r>
          </w:p>
        </w:tc>
        <w:tc>
          <w:tcPr>
            <w:tcW w:w="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the Year Ended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the Year Ended</w:t>
            </w:r>
          </w:p>
        </w:tc>
        <w:tc>
          <w:tcPr>
            <w:tcW w:w="100" w:type="dxa"/>
            <w:vAlign w:val="bottom"/>
          </w:tcPr>
          <w:p>
            <w:pPr>
              <w:spacing w:after="0"/>
              <w:rPr>
                <w:sz w:val="12"/>
                <w:szCs w:val="12"/>
                <w:color w:val="auto"/>
              </w:rPr>
            </w:pPr>
          </w:p>
        </w:tc>
        <w:tc>
          <w:tcPr>
            <w:tcW w:w="4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Pr>
          <w:p>
            <w:pPr>
              <w:spacing w:after="0"/>
              <w:rPr>
                <w:sz w:val="16"/>
                <w:szCs w:val="16"/>
                <w:color w:val="auto"/>
              </w:rPr>
            </w:pPr>
          </w:p>
        </w:tc>
        <w:tc>
          <w:tcPr>
            <w:tcW w:w="4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Spotify Technology S.A.</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15,394,865</w:t>
            </w:r>
          </w:p>
        </w:tc>
        <w:tc>
          <w:tcPr>
            <w:tcW w:w="100" w:type="dxa"/>
            <w:vAlign w:val="bottom"/>
          </w:tcPr>
          <w:p>
            <w:pPr>
              <w:spacing w:after="0"/>
              <w:rPr>
                <w:sz w:val="22"/>
                <w:szCs w:val="22"/>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Palantir Technologies,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(14,844,283)</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Beamreach Solar, Inc. (f/k/a Solexel, Inc.)</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14,272,843</w:t>
            </w:r>
          </w:p>
        </w:tc>
        <w:tc>
          <w:tcPr>
            <w:tcW w:w="100" w:type="dxa"/>
            <w:vAlign w:val="bottom"/>
          </w:tcPr>
          <w:p>
            <w:pPr>
              <w:spacing w:after="0"/>
              <w:rPr>
                <w:sz w:val="23"/>
                <w:szCs w:val="23"/>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Beamreach Solar, Inc. (f/k/a Solexel, Inc.)</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(14,281,910)</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Handle Financial, Inc. (f/k/a PayNearMe, Inc.)</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13,835,988</w:t>
            </w:r>
          </w:p>
        </w:tc>
        <w:tc>
          <w:tcPr>
            <w:tcW w:w="100" w:type="dxa"/>
            <w:vAlign w:val="bottom"/>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Handle Financial, Inc. (f/k/a PayNearMe, Inc.)</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(13,810,477)</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Chegg, Inc.</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7,445,390</w:t>
            </w:r>
          </w:p>
        </w:tc>
        <w:tc>
          <w:tcPr>
            <w:tcW w:w="100" w:type="dxa"/>
            <w:vAlign w:val="bottom"/>
          </w:tcPr>
          <w:p>
            <w:pPr>
              <w:spacing w:after="0"/>
              <w:rPr>
                <w:sz w:val="23"/>
                <w:szCs w:val="23"/>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Dropbox, Inc.</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(9,041,704)</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Orchestra One, Inc. (f/k/a Learnist, Inc.)</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4,959,614</w:t>
            </w:r>
          </w:p>
        </w:tc>
        <w:tc>
          <w:tcPr>
            <w:tcW w:w="100" w:type="dxa"/>
            <w:vAlign w:val="bottom"/>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Fullbridge, Inc.</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(5,904,068)</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Dropbox, Inc.</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4,685,212</w:t>
            </w:r>
          </w:p>
        </w:tc>
        <w:tc>
          <w:tcPr>
            <w:tcW w:w="100" w:type="dxa"/>
            <w:vAlign w:val="bottom"/>
          </w:tcPr>
          <w:p>
            <w:pPr>
              <w:spacing w:after="0"/>
              <w:rPr>
                <w:sz w:val="20"/>
                <w:szCs w:val="20"/>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Dataminr, Inc.</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(5,875,388)</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4,308,957</w:t>
            </w:r>
          </w:p>
        </w:tc>
        <w:tc>
          <w:tcPr>
            <w:tcW w:w="100" w:type="dxa"/>
            <w:vAlign w:val="bottom"/>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Avenues Global Holdings, LLC</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(4,886,897)</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Coursera, Inc.</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3,849,819</w:t>
            </w:r>
          </w:p>
        </w:tc>
        <w:tc>
          <w:tcPr>
            <w:tcW w:w="100" w:type="dxa"/>
            <w:vAlign w:val="bottom"/>
          </w:tcPr>
          <w:p>
            <w:pPr>
              <w:spacing w:after="0"/>
              <w:rPr>
                <w:sz w:val="20"/>
                <w:szCs w:val="20"/>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Declara, Inc.</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(4,506,983)</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StormWind, LLC</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3,832,681</w:t>
            </w:r>
          </w:p>
        </w:tc>
        <w:tc>
          <w:tcPr>
            <w:tcW w:w="100" w:type="dxa"/>
            <w:vAlign w:val="bottom"/>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Twitter, Inc.</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(4,254,018)</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Lyft, Inc.</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2,671,022</w:t>
            </w:r>
          </w:p>
        </w:tc>
        <w:tc>
          <w:tcPr>
            <w:tcW w:w="100" w:type="dxa"/>
            <w:vAlign w:val="bottom"/>
          </w:tcPr>
          <w:p>
            <w:pPr>
              <w:spacing w:after="0"/>
              <w:rPr>
                <w:sz w:val="20"/>
                <w:szCs w:val="20"/>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SugarCRM, Inc.</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(3,866,388)</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Cricket Media (f/k/a ePals, Inc.)</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2,448,959</w:t>
            </w:r>
          </w:p>
        </w:tc>
        <w:tc>
          <w:tcPr>
            <w:tcW w:w="100" w:type="dxa"/>
            <w:vAlign w:val="bottom"/>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Lyft, Inc.</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(3,305,991)</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AlwaysOn, Inc.</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1,903,414</w:t>
            </w:r>
          </w:p>
        </w:tc>
        <w:tc>
          <w:tcPr>
            <w:tcW w:w="100" w:type="dxa"/>
            <w:vAlign w:val="bottom"/>
          </w:tcPr>
          <w:p>
            <w:pPr>
              <w:spacing w:after="0"/>
              <w:rPr>
                <w:sz w:val="23"/>
                <w:szCs w:val="23"/>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NestGSV, Inc. (d/b/a GSV Labs, Inc.)</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(2,827,142)</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Aspiration Partners, Inc.</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1,440,417</w:t>
            </w:r>
          </w:p>
        </w:tc>
        <w:tc>
          <w:tcPr>
            <w:tcW w:w="100" w:type="dxa"/>
            <w:vAlign w:val="bottom"/>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Curious.com, Inc.</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(2,011,360)</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Circle Media (f/k/a/ S3 Digital Corp. (d/b/a S3i))</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1,325,033</w:t>
            </w:r>
          </w:p>
        </w:tc>
        <w:tc>
          <w:tcPr>
            <w:tcW w:w="100" w:type="dxa"/>
            <w:vAlign w:val="bottom"/>
          </w:tcPr>
          <w:p>
            <w:pPr>
              <w:spacing w:after="0"/>
              <w:rPr>
                <w:sz w:val="23"/>
                <w:szCs w:val="23"/>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SPBRX, INC. (f/k/a GSV Sustainability Partners, Inc.)</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(1,940,222)</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Strategic Data Command, LLC</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(1,063,278)</w:t>
            </w:r>
          </w:p>
        </w:tc>
        <w:tc>
          <w:tcPr>
            <w:tcW w:w="100" w:type="dxa"/>
            <w:vAlign w:val="bottom"/>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Ozy Media, Inc.</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(1,518,995)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Maven Research, Inc.</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(1,672,521)</w:t>
            </w:r>
          </w:p>
        </w:tc>
        <w:tc>
          <w:tcPr>
            <w:tcW w:w="100" w:type="dxa"/>
            <w:vAlign w:val="bottom"/>
          </w:tcPr>
          <w:p>
            <w:pPr>
              <w:spacing w:after="0"/>
              <w:rPr>
                <w:sz w:val="20"/>
                <w:szCs w:val="20"/>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Knewton, Inc.</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(1,171,677)</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Dataminr, Inc.</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(2,348,736)</w:t>
            </w:r>
          </w:p>
        </w:tc>
        <w:tc>
          <w:tcPr>
            <w:tcW w:w="100" w:type="dxa"/>
            <w:vAlign w:val="bottom"/>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Strategic Data Command, LLC</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1,050,905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Assembly Space, Inc.</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(2,905,898)</w:t>
            </w:r>
          </w:p>
        </w:tc>
        <w:tc>
          <w:tcPr>
            <w:tcW w:w="100" w:type="dxa"/>
            <w:vAlign w:val="bottom"/>
          </w:tcPr>
          <w:p>
            <w:pPr>
              <w:spacing w:after="0"/>
              <w:rPr>
                <w:sz w:val="20"/>
                <w:szCs w:val="20"/>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General Assembly Space, Inc.</w:t>
            </w:r>
          </w:p>
        </w:tc>
        <w:tc>
          <w:tcPr>
            <w:tcW w:w="12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2,225,392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SugarCRM, Inc.</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(2,893,050)</w:t>
            </w:r>
          </w:p>
        </w:tc>
        <w:tc>
          <w:tcPr>
            <w:tcW w:w="100" w:type="dxa"/>
            <w:vAlign w:val="bottom"/>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2,711,991</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SPBRX, INC. (f/k/a GSV Sustainability Partners, Inc.)</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(3,239,916)</w:t>
            </w:r>
          </w:p>
        </w:tc>
        <w:tc>
          <w:tcPr>
            <w:tcW w:w="100" w:type="dxa"/>
            <w:vAlign w:val="bottom"/>
          </w:tcPr>
          <w:p>
            <w:pPr>
              <w:spacing w:after="0"/>
              <w:rPr>
                <w:sz w:val="20"/>
                <w:szCs w:val="20"/>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JAMF Holdings, Inc.</w:t>
            </w:r>
          </w:p>
        </w:tc>
        <w:tc>
          <w:tcPr>
            <w:tcW w:w="12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3,133,955</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JAMF Holdings, Inc.</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(3,856,826)</w:t>
            </w:r>
          </w:p>
        </w:tc>
        <w:tc>
          <w:tcPr>
            <w:tcW w:w="100" w:type="dxa"/>
            <w:vAlign w:val="bottom"/>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Course Hero, Inc.</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5,532,303</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Curious.com, Inc.</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(4,470,877)</w:t>
            </w:r>
          </w:p>
        </w:tc>
        <w:tc>
          <w:tcPr>
            <w:tcW w:w="100" w:type="dxa"/>
            <w:vAlign w:val="bottom"/>
          </w:tcPr>
          <w:p>
            <w:pPr>
              <w:spacing w:after="0"/>
              <w:rPr>
                <w:sz w:val="23"/>
                <w:szCs w:val="23"/>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Gilt Groupe Holdings, Inc.</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6,055,046</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Palantir Technologies, Inc.</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(5,424,238)</w:t>
            </w:r>
          </w:p>
        </w:tc>
        <w:tc>
          <w:tcPr>
            <w:tcW w:w="100" w:type="dxa"/>
            <w:vAlign w:val="bottom"/>
          </w:tcPr>
          <w:p>
            <w:pPr>
              <w:spacing w:after="0"/>
              <w:rPr>
                <w:sz w:val="23"/>
                <w:szCs w:val="23"/>
                <w:color w:val="auto"/>
              </w:rPr>
            </w:pPr>
          </w:p>
        </w:tc>
        <w:tc>
          <w:tcPr>
            <w:tcW w:w="4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Ozy Media, Inc.</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(5,518,893)</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Declara, Inc.</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(6,111,907)</w:t>
            </w:r>
          </w:p>
        </w:tc>
        <w:tc>
          <w:tcPr>
            <w:tcW w:w="10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Lytro, Inc.</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(8,793,884)</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701,506</w:t>
            </w:r>
          </w:p>
        </w:tc>
        <w:tc>
          <w:tcPr>
            <w:tcW w:w="100" w:type="dxa"/>
            <w:vAlign w:val="bottom"/>
          </w:tcPr>
          <w:p>
            <w:pPr>
              <w:spacing w:after="0"/>
              <w:rPr>
                <w:sz w:val="23"/>
                <w:szCs w:val="23"/>
                <w:color w:val="auto"/>
              </w:rPr>
            </w:pPr>
          </w:p>
        </w:tc>
        <w:tc>
          <w:tcPr>
            <w:tcW w:w="4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124,066</w:t>
            </w: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34,775,696</w:t>
            </w:r>
          </w:p>
        </w:tc>
        <w:tc>
          <w:tcPr>
            <w:tcW w:w="100" w:type="dxa"/>
            <w:vAlign w:val="bottom"/>
          </w:tcPr>
          <w:p>
            <w:pPr>
              <w:spacing w:after="0"/>
              <w:rPr>
                <w:sz w:val="20"/>
                <w:szCs w:val="20"/>
                <w:color w:val="auto"/>
              </w:rPr>
            </w:pPr>
          </w:p>
        </w:tc>
        <w:tc>
          <w:tcPr>
            <w:tcW w:w="43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(73,213,845)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12700</wp:posOffset>
            </wp:positionV>
            <wp:extent cx="763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12700</wp:posOffset>
            </wp:positionV>
            <wp:extent cx="788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-127635</wp:posOffset>
            </wp:positionV>
            <wp:extent cx="763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-127635</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7"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 for this investment resulted from writing off an investment that was previously reduced in value to zero.</w:t>
      </w:r>
    </w:p>
    <w:p>
      <w:pPr>
        <w:spacing w:after="0" w:line="9" w:lineRule="exact"/>
        <w:rPr>
          <w:rFonts w:ascii="Times New Roman" w:cs="Times New Roman" w:eastAsia="Times New Roman" w:hAnsi="Times New Roman"/>
          <w:sz w:val="16"/>
          <w:szCs w:val="16"/>
          <w:color w:val="auto"/>
        </w:rPr>
      </w:pPr>
    </w:p>
    <w:p>
      <w:pPr>
        <w:ind w:left="500" w:hanging="492"/>
        <w:spacing w:after="0" w:line="246" w:lineRule="auto"/>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change in unrealized appreciation/(depreciation) reflected for these investments resulted from the full or partial sale of the relevant investment, which resulted in the reversal of previously accrued unrealized appreciation/(depreciation), as applicable.</w:t>
      </w:r>
    </w:p>
    <w:p>
      <w:pPr>
        <w:ind w:left="500" w:hanging="492"/>
        <w:spacing w:after="0" w:line="257" w:lineRule="auto"/>
        <w:tabs>
          <w:tab w:leader="none" w:pos="5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investments (including U.S. Treasury bills) for which individual change in unrealized appreciation/(depreciation) was less than $1.0 million for the years ended December 31, 2017 or 2016.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Activity</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Please refer to “Note 11—Subsequent Events” to our consolidated financial statements as of December 31, 2018 for details regarding activity in our investment portfolio from January 1, 2019 through April 17, 2019.</w:t>
      </w:r>
    </w:p>
    <w:p>
      <w:pPr>
        <w:spacing w:after="0" w:line="162"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From January 1, 2019 through April 17, 2019, we did not repurchase any additional shares under the Share Repurchase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Internalization of Company’s Operating Structure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March 12, 2019, our Board of Directors approved internalizing our operating structure and we began operating as an internally managed non-diversified closed-end management investment company that has elected to be regulated as a BDC under the 1940 Act, as of the Effective Date, and the following occurred.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Investment Advisory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the Investment Advisory Agreement was terminated by mutual agreement of GSV Asset Management and us in connection with our Internalization.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in Part I, Item 1A of this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Administration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the Administration Agreement was terminated by mutual agreement of GSV Capital Service Company and us in connection with our Internalization.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in Part I, Item 1A of this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Director and Reduction of Number of Directors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Trademark License Agreement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Factor Related to Internalization</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internalized our operating structure, including our management and investment functions; as a result, we may incur significant costs and face significant risks associated with being self-managed, including adverse effects on our business and financial condition.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12, 2019, our Board of Directors approved internalizing our operating structure, including our management and investment functions. There can be no assurances that internalizing our operating structure will be beneficial to us and our stockholders, as we may incur the costs and risks discussed below and may not be able to effectively replicate the services previously provided to us by our former investment adviser, GSV Asset Management, and our former administrator, GSV Capital Service Company.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will no longer bear the costs of the various fees and expenses we previously paid to GSV Asset Management under the Investment Advisory Agreement, our direct expenses will generally include general and administrative costs, including legal, accounting, and other expenses related to corporate governance, SEC reporting and compliance, as well as costs and expenses related to making and managing our investments. We will also now incur the compensation and benefits costs of our officers and other employees and consultants, and we may issue equity awards to our officers, employees and consultants, which awards may decrease net income and funds from our operations and may dilute our stockholders. We may also be subject to potential liabilities commonly faced by employers, such as workers disability and compensation claims, potential labor disputes and other employee-related liabilities and grievances.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the expenses we assume as a result of our internalization are higher than the expenses we would have paid to GSV Asset Management and/or reimbursed to GSV Capital Service Company, our earnings per share may be lower as a result of our internalization than they otherwise would have been, potentially decreasing the amount of funds available to distribute to our stockholders and the value of our shares.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in connection with internalizing our operating structure, we may experience difficulty integrating these functions as a stand-alone entity, and we could have difficulty retaining our personnel, including those performing management, investment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general and administrative functions. These personnel have a great deal of know-how and experience. We may also fail to properly identify the appropriate mix of personnel and capital needs to operate successfully as a stand-alone entity. An inability to effectively manage our internalization could result in our incurring excess costs and operating inefficiencies, and may divert our management’s attention from managing our investments.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Internalization transactions have also, in some cases, been the subject of litigation. Even if these claims are without merit, we could be forced to spend significant amounts of time and money defending claims, which would reduce the amount of funds available for us to make investments and to pay distributions, and may divert our management’s attention from managing our investments.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these factors could have a material adverse effect on our results of operations, financial condition, and ability to pay distributions.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Delayed Filing of 2018 Annual Report on Form 10-K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reported, the Company was unable to file this Annual Report on Form 10-K within the prescribed time period without unreasonable effort or expense because the Company’s independent directors retained independent counsel to conduct a review of certain operational and administrative activities (the “Internal Review”). The Internal Review is now complete and no material issues were found. The results of the Internal Review did not change the Company’s financial statements or results of operations that were reported in its earnings release on March 14,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17, 2019, our Board of Directors appointed Allison Green to serve as our Chief Financial Officer, effective as of such date. Ms. Green currently serves, and will continue to serve, as our Treasurer, Controller and Secretary, and will no longer serve as our Senior Vice President of Finance as of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Our liquidity and capital resources are generated primarily from the sales of our investments and advances from our $12.0 million Credit Facility. In addition, during the year ended December 31, 2018, we issued $40.0 million aggregate principal amount of 4.75% Convertible Senior Notes due 2023, as discussed further below and in “Note 10—Debt Capital Activities” to our consolidated financial statements as of December 31, 2018.</w:t>
      </w:r>
    </w:p>
    <w:p>
      <w:pPr>
        <w:spacing w:after="0" w:line="176"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w:t>
      </w:r>
    </w:p>
    <w:p>
      <w:pPr>
        <w:spacing w:after="0" w:line="180"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Our primary uses of cash are to make investments, pay our operating expenses and make distributions to our stockholders. For the years ended December 31, 2018, 2017, 2016 and our operating expenses, net of any fee waivers, were $9,252,413, $21,731,583, and $1,999,646,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35"/>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28,184,163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59,838,600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8,332,634</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Borrowing availability under the Credit Facility</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3"/>
                <w:szCs w:val="23"/>
                <w:color w:val="auto"/>
              </w:rPr>
            </w:pP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12,000,000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12,000,000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Securities of publicly traded portfolio companies: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Unrestricted securities</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23"/>
                <w:szCs w:val="23"/>
                <w:color w:val="auto"/>
              </w:rPr>
            </w:pP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44,589,406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8,160,000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8,729,005</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Subject to other sales restrictions</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Total securities of publicly traded portfolio companies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44,589,406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8,160,000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8,729,005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Cash Reserves and Liquid Securities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84,773,569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79,998,600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17,061,639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3267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500" w:hanging="492"/>
        <w:spacing w:after="0" w:line="246" w:lineRule="auto"/>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leverage and borrowing base restrictions and other requirements under the Credit Facility as of December 31, 2018 and December 31, 2017. Refer to “Note 10—Debt Capital Activities” to our consolidated financial statements as of December 31, 2018 for details.</w:t>
      </w:r>
    </w:p>
    <w:p>
      <w:pPr>
        <w:jc w:val="both"/>
        <w:ind w:left="500" w:hanging="492"/>
        <w:spacing w:after="0" w:line="252" w:lineRule="auto"/>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“Unrestricted securities” represents common stock of our publicly traded companies that are not subject to any restrictions upon sale. We may incur losses if we liquidate these positions to pay operating expenses or fund new investments. As of December 31, 2018, this balance represents our shares of common stock in Spotify Technology S.A. and Dropbox,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2018, cash decreased to $28,184,163 from $59,838,600 at the beginning of the year. The decrease in cash was primarily due to the repayment of 5.25% Convertible Senior Notes due 2018 of approximately $69.3 million, approximately $10.3 million in cash used under the Share Repurchase Program, and approximately $10.6 million in cash used to make additional investments, partially offset by the receipt of net proceeds from the issuance of $40.0 million aggregate principal amount of 4.75% Convertible Senior Notes due 2023 and approximately $32.4 million in net proceeds from the sale of certain portfolio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Payments Due By Period (dollars 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2"/>
                <w:szCs w:val="12"/>
                <w:color w:val="auto"/>
              </w:rPr>
            </w:pP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5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Payable for securities purchased</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Facility payable</w:t>
            </w:r>
            <w:r>
              <w:rPr>
                <w:rFonts w:ascii="Times New Roman" w:cs="Times New Roman" w:eastAsia="Times New Roman" w:hAnsi="Times New Roman"/>
                <w:sz w:val="21"/>
                <w:szCs w:val="21"/>
                <w:color w:val="auto"/>
                <w:vertAlign w:val="superscript"/>
              </w:rPr>
              <w:t>(2)(3)</w:t>
            </w:r>
          </w:p>
        </w:tc>
        <w:tc>
          <w:tcPr>
            <w:tcW w:w="9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3"/>
                <w:szCs w:val="23"/>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Convertible Senior Notes</w:t>
            </w:r>
            <w:r>
              <w:rPr>
                <w:rFonts w:ascii="Times New Roman" w:cs="Times New Roman" w:eastAsia="Times New Roman" w:hAnsi="Times New Roman"/>
                <w:sz w:val="21"/>
                <w:szCs w:val="21"/>
                <w:color w:val="auto"/>
                <w:vertAlign w:val="superscript"/>
              </w:rPr>
              <w:t>(4)</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129.5</w:t>
            </w:r>
          </w:p>
        </w:tc>
        <w:tc>
          <w:tcPr>
            <w:tcW w:w="12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line="246" w:lineRule="auto"/>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“Payable for securities purchased” relates to the purchase of the U.S. Treasury bill on margin. This balance was subsequently repaid on January 3, 2019, when the $100.0 million United States Treasury bill matured and the $10.5 million margin deposit that we posted as collateral was returned.</w:t>
      </w:r>
    </w:p>
    <w:p>
      <w:pPr>
        <w:ind w:left="500" w:hanging="492"/>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unused amount available under the Credit Facility as of December 31, 2018 was $12.0 million.</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interest rate incurred under the Credit Facility was 0.00% for the year ended December 31, 2018.</w:t>
      </w:r>
    </w:p>
    <w:p>
      <w:pPr>
        <w:spacing w:after="0" w:line="5" w:lineRule="exact"/>
        <w:rPr>
          <w:rFonts w:ascii="Times New Roman" w:cs="Times New Roman" w:eastAsia="Times New Roman" w:hAnsi="Times New Roman"/>
          <w:sz w:val="16"/>
          <w:szCs w:val="16"/>
          <w:color w:val="auto"/>
        </w:rPr>
      </w:pPr>
    </w:p>
    <w:p>
      <w:pPr>
        <w:ind w:left="500" w:right="20" w:hanging="492"/>
        <w:spacing w:after="0" w:line="257" w:lineRule="auto"/>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shown for the "Convertible Senior Notes" reflects the principal balance payable to investors for the 4.75% Convertible Senior Notes due 2023 as of December 31, 2018. Refer to “Note 10—Debt Capital Activities” to our consolidated financial statements as of December 31, 2018 for more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we repurchased 1,483,698 shares of our common stock pursuant to the Share Repurchase Program at an average price of $6.93 per share, or approximately $10.3 million in aggregate. As of December 31, 2018, the dollar value of shares that remained available to be purchased under the Share Repurchase Program was approximately $4.8 million. For more information on the Share Repurchase Program, see "Part II. Item 2. Unregistered Sales of Equity Securities and Use of Proceeds".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December 31, 2018, we had no off-balance sheet arrangements, including any risk management of commodity pricing or other hedging practices.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may employ hedging and other risk management techniques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Loan Agreement, Western Alliance Bank has agreed to provide us with the $12.0 million Credit Facility, which, among other things, matures on May 31, 2019 and bears interest at a per annum rate equal to the prime rate plus 3.50%. In addition, the Loan Agreement requires payment of a fee for unused amounts during the revolving period in an amount equal to 0.50% per annum of the average unused portion of the Credit Facility payable quarterly in arrears. Refer to “Note 10—Debt Capital Activities” to our consolidated financial statements as of December 31, 2018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 &amp; Debt Capital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made no sales of our equity securities during the year ended December 31, 2018 or the year ended December 31, 2017.</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5.25% Convertible Senior Notes due 2018 - Tender Offer, Repurchase, and Repayment</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On December 15, 2017, we announced the commencement of a cash tender offer (the "Tender Offer") to purchase any and all of the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tendered and not validly withdrawn pursuant to the Tender Offer. On March 27, 2018, we repurchased an additional $14.2 million aggregate principal amount of the outstanding 5.25% Convertible Senior Notes due 2018.</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 Refer to “Note 10—Debt Capital Activities” to our consolidated financial statements as of December 31, 2018 for more information regarding the 5.25% Convertible Senior Notes due 2018.</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2023 - Issuance</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$38.4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4.75% Convertible Senior Notes due 2023, we are required under the terms of the Credit Facility to deposit the proceeds from the 4.75% Convertible Senior Notes due 2023 offering into an account at Western Alliance Bank and are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 Refer to “Note 10—Debt Capital Activities” to our consolidated financial statements as of December 31, 2018 for more information regarding the 4.75% Convertible Senior Notes due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2018. The table is divided by fiscal year according to record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 per Share</w:t>
            </w:r>
          </w:p>
        </w:tc>
      </w:tr>
      <w:tr>
        <w:trPr>
          <w:trHeight w:val="249"/>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2015:</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473"/>
        </w:trPr>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November 4, 2015</w:t>
            </w:r>
            <w:r>
              <w:rPr>
                <w:rFonts w:ascii="Times New Roman" w:cs="Times New Roman" w:eastAsia="Times New Roman" w:hAnsi="Times New Roman"/>
                <w:sz w:val="21"/>
                <w:szCs w:val="21"/>
                <w:color w:val="auto"/>
                <w:vertAlign w:val="superscript"/>
              </w:rPr>
              <w:t>(1)</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November 16, 2015</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31, 2015</w:t>
            </w:r>
          </w:p>
        </w:tc>
        <w:tc>
          <w:tcPr>
            <w:tcW w:w="6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Fiscal Year 2016:</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473"/>
        </w:trPr>
        <w:tc>
          <w:tcPr>
            <w:tcW w:w="58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August 3, 2016</w:t>
            </w:r>
            <w:r>
              <w:rPr>
                <w:rFonts w:ascii="Times New Roman" w:cs="Times New Roman" w:eastAsia="Times New Roman" w:hAnsi="Times New Roman"/>
                <w:sz w:val="21"/>
                <w:szCs w:val="21"/>
                <w:color w:val="auto"/>
                <w:vertAlign w:val="superscript"/>
              </w:rPr>
              <w:t>(2)</w:t>
            </w:r>
          </w:p>
        </w:tc>
        <w:tc>
          <w:tcPr>
            <w:tcW w:w="21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16, 2016</w:t>
            </w:r>
          </w:p>
        </w:tc>
        <w:tc>
          <w:tcPr>
            <w:tcW w:w="204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August 24, 2016</w:t>
            </w: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9" w:lineRule="exact"/>
        <w:rPr>
          <w:sz w:val="20"/>
          <w:szCs w:val="20"/>
          <w:color w:val="auto"/>
        </w:rPr>
      </w:pPr>
    </w:p>
    <w:p>
      <w:pPr>
        <w:jc w:val="both"/>
        <w:ind w:left="840" w:hanging="836"/>
        <w:spacing w:after="0" w:line="246" w:lineRule="auto"/>
        <w:rPr>
          <w:sz w:val="20"/>
          <w:szCs w:val="20"/>
          <w:color w:val="auto"/>
        </w:rPr>
      </w:pPr>
      <w:r>
        <w:rPr>
          <w:rFonts w:ascii="Times New Roman" w:cs="Times New Roman" w:eastAsia="Times New Roman" w:hAnsi="Times New Roman"/>
          <w:sz w:val="16"/>
          <w:szCs w:val="16"/>
          <w:color w:val="auto"/>
        </w:rPr>
        <w:t>(1)The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(2)Of the total distribution of $887,240 on August 24, 2016, $820,753 represented a distribution from realized gains and $66,487 represented a return of capital.</w:t>
      </w:r>
    </w:p>
    <w:p>
      <w:pPr>
        <w:spacing w:after="0" w:line="19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treatment as a RIC.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186"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We elected to be treated as a RIC under Subchapter M of the Code beginning with our taxable year ended December 31, 2014 and continue to qualify to be treated as a RIC. 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In order to qualify as a RIC and to avoid corporate-level income tax on the income we distribute to our stockholders, we are required, under Subchapter M of the Code, to distribute at least 90% of our ordinary income and short-term capital gains to our stockholders on an annual basis. See “Note 2—Significant Accounting Policies—</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and State Income Taxes</w:t>
      </w:r>
      <w:r>
        <w:rPr>
          <w:rFonts w:ascii="Times New Roman" w:cs="Times New Roman" w:eastAsia="Times New Roman" w:hAnsi="Times New Roman"/>
          <w:sz w:val="18"/>
          <w:szCs w:val="18"/>
          <w:color w:val="auto"/>
        </w:rPr>
        <w:t>” and “Note 9—Income Taxes” to our consolidated financial statements as of December 31, 2018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consolidated financial statements as of December 31, 2018 for further detail regarding our critical accounting policies and recently issued or adopted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“Note 3—Related-Party Arrangements” to our consolidated financial statements as of December 31, 2018 for more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0"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As of December 31, 2018, all of our debt investments and outstanding borrowings bore fixed rates of interest. The Credit Facility, however, is indexed to the prime rate. We do not expect a significant impact on our net investment income or loss due to changes in the prime rate; however, the table below indicates the impact on our net investment income or loss should the prime rate change. Based on our December 31, 2018 Consolidated Statement of Assets and Liabilities, the following table shows the various, incremental impact of changes in interest rates on our net income or loss related to the Credit Facility for the year ended December 31, 2018, assuming no changes in our investment income and borrowing structure. Although we believe that this measure is indicative of our sensitivity to the below-referenced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Basis Point Change(1)</w:t>
            </w:r>
          </w:p>
        </w:tc>
        <w:tc>
          <w:tcPr>
            <w:tcW w:w="120" w:type="dxa"/>
            <w:vAlign w:val="bottom"/>
            <w:vMerge w:val="restart"/>
          </w:tcPr>
          <w:p>
            <w:pPr>
              <w:spacing w:after="0"/>
              <w:rPr>
                <w:sz w:val="13"/>
                <w:szCs w:val="13"/>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3"/>
                <w:szCs w:val="13"/>
                <w:color w:val="auto"/>
              </w:rPr>
            </w:pPr>
          </w:p>
        </w:tc>
        <w:tc>
          <w:tcPr>
            <w:tcW w:w="12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0" w:type="dxa"/>
            <w:vAlign w:val="bottom"/>
          </w:tcPr>
          <w:p>
            <w:pPr>
              <w:spacing w:after="0"/>
              <w:rPr>
                <w:sz w:val="1"/>
                <w:szCs w:val="1"/>
                <w:color w:val="auto"/>
              </w:rPr>
            </w:pPr>
          </w:p>
        </w:tc>
      </w:tr>
      <w:tr>
        <w:trPr>
          <w:trHeight w:val="23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300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360,000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Up 200 Basis points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Up 100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Down 100 Basis points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120,000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Down 200 Basis points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240,000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Down 300 Basis points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360,000</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right="20" w:hanging="492"/>
        <w:spacing w:after="0" w:line="258" w:lineRule="auto"/>
        <w:tabs>
          <w:tab w:leader="none" w:pos="5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we have borrowed $12.0 million under the Credit Facility for the year ended December 31, 2018. Our actual borrowings under the Credit Facility will vary based on our needs throughout the year. For the year ended December 31, 2018, our actual average borrowings under the Credit Facility were $0.</w:t>
      </w:r>
    </w:p>
    <w:p>
      <w:pPr>
        <w:spacing w:after="0" w:line="150" w:lineRule="exact"/>
        <w:rPr>
          <w:sz w:val="20"/>
          <w:szCs w:val="20"/>
          <w:color w:val="auto"/>
        </w:rPr>
      </w:pPr>
    </w:p>
    <w:p>
      <w:pPr>
        <w:jc w:val="both"/>
        <w:ind w:right="20" w:firstLine="351"/>
        <w:spacing w:after="0" w:line="266" w:lineRule="auto"/>
        <w:rPr>
          <w:sz w:val="20"/>
          <w:szCs w:val="20"/>
          <w:color w:val="auto"/>
        </w:rPr>
      </w:pPr>
      <w:r>
        <w:rPr>
          <w:rFonts w:ascii="Times New Roman" w:cs="Times New Roman" w:eastAsia="Times New Roman" w:hAnsi="Times New Roman"/>
          <w:sz w:val="18"/>
          <w:szCs w:val="18"/>
          <w:color w:val="auto"/>
        </w:rPr>
        <w:t>Although we believe that this measure is indicative of our sensitivity to the above-referenced interest rate changes, it does not reflect potential changes in credit quality, size and composition of the assets on our statement of assets and liabilities and other BDC’s that could affect net increase or decrease in net assets resulting from operations, or net income or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10860" w:type="dxa"/>
            <w:vAlign w:val="bottom"/>
            <w:gridSpan w:val="10"/>
            <w:shd w:val="clear" w:color="auto" w:fill="CCEEFF"/>
          </w:tcPr>
          <w:p>
            <w:pPr>
              <w:ind w:left="40"/>
              <w:spacing w:after="0" w:line="201"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Report of Independent Registered Public Accounting Firm</w:t>
              </w:r>
            </w:hyperlink>
          </w:p>
        </w:tc>
        <w:tc>
          <w:tcPr>
            <w:tcW w:w="560" w:type="dxa"/>
            <w:vAlign w:val="bottom"/>
            <w:gridSpan w:val="3"/>
            <w:shd w:val="clear" w:color="auto" w:fill="CCEEFF"/>
          </w:tcPr>
          <w:p>
            <w:pPr>
              <w:jc w:val="right"/>
              <w:ind w:right="20"/>
              <w:spacing w:after="0" w:line="201"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60" w:type="dxa"/>
            <w:vAlign w:val="bottom"/>
            <w:gridSpan w:val="10"/>
          </w:tcPr>
          <w:p>
            <w:pPr>
              <w:ind w:left="40"/>
              <w:spacing w:after="0" w:line="202"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Report of Independent Registered Public Accounting Firm on Internal Control over Financial Reporting</w:t>
              </w:r>
            </w:hyperlink>
          </w:p>
        </w:tc>
        <w:tc>
          <w:tcPr>
            <w:tcW w:w="56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72</w:t>
              </w:r>
            </w:hyperlink>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60" w:type="dxa"/>
            <w:vAlign w:val="bottom"/>
            <w:gridSpan w:val="10"/>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Assets and Liabilities as of December 31, 2018 and 2017</w:t>
              </w:r>
            </w:hyperlink>
          </w:p>
        </w:tc>
        <w:tc>
          <w:tcPr>
            <w:tcW w:w="56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60" w:type="dxa"/>
            <w:vAlign w:val="bottom"/>
            <w:gridSpan w:val="10"/>
          </w:tcPr>
          <w:p>
            <w:pPr>
              <w:ind w:left="4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56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74</w:t>
              </w:r>
            </w:hyperlink>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60" w:type="dxa"/>
            <w:vAlign w:val="bottom"/>
            <w:gridSpan w:val="10"/>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Consolidated Statements of Changes in Net Assets for the years ended December 31, 2018, 2017 and 2016</w:t>
              </w:r>
            </w:hyperlink>
          </w:p>
        </w:tc>
        <w:tc>
          <w:tcPr>
            <w:tcW w:w="56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60" w:type="dxa"/>
            <w:vAlign w:val="bottom"/>
            <w:gridSpan w:val="10"/>
          </w:tcPr>
          <w:p>
            <w:pPr>
              <w:ind w:left="40"/>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56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76</w:t>
              </w:r>
            </w:hyperlink>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60" w:type="dxa"/>
            <w:vAlign w:val="bottom"/>
            <w:gridSpan w:val="10"/>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Consolidated Schedule of Investments as of December 31, 2018</w:t>
              </w:r>
            </w:hyperlink>
          </w:p>
        </w:tc>
        <w:tc>
          <w:tcPr>
            <w:tcW w:w="56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77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60" w:type="dxa"/>
            <w:vAlign w:val="bottom"/>
            <w:gridSpan w:val="10"/>
          </w:tcPr>
          <w:p>
            <w:pPr>
              <w:ind w:left="40"/>
              <w:spacing w:after="0" w:line="202"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Consolidated Schedule of Investments as of December 31, 2017</w:t>
              </w:r>
            </w:hyperlink>
          </w:p>
        </w:tc>
        <w:tc>
          <w:tcPr>
            <w:tcW w:w="56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82</w:t>
              </w:r>
            </w:hyperlink>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60" w:type="dxa"/>
            <w:vAlign w:val="bottom"/>
            <w:gridSpan w:val="10"/>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Notes to Consolidated Financial Statements</w:t>
              </w:r>
            </w:hyperlink>
          </w:p>
        </w:tc>
        <w:tc>
          <w:tcPr>
            <w:tcW w:w="56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86</w:t>
              </w:r>
            </w:hyperlink>
          </w:p>
        </w:tc>
      </w:tr>
      <w:tr>
        <w:trPr>
          <w:trHeight w:val="675"/>
        </w:trPr>
        <w:tc>
          <w:tcPr>
            <w:tcW w:w="40" w:type="dxa"/>
            <w:vAlign w:val="bottom"/>
            <w:tcBorders>
              <w:top w:val="single" w:sz="8" w:color="CCEEFF"/>
            </w:tcBorders>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2980" w:type="dxa"/>
            <w:vAlign w:val="bottom"/>
            <w:tcBorders>
              <w:top w:val="single" w:sz="8" w:color="CCEEFF"/>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7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1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-1980565</wp:posOffset>
            </wp:positionV>
            <wp:extent cx="68865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GSV Capital Corp.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 and Financial Highlights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assets and liabilities of GSV Capital Corp. and subsidiaries (the "Company"), including the consolidated schedule of investments, as of December 31, 2018 and 2017, the related consolidated statements of operations, cash flows, and changes in net assets for each of the three years in the period ended December 31, 2018, the financial highlights (presented in Note 8) for each of the four years in the period then ended, and the related notes. In our opinion, the consolidated financial statements and financial highlights present fairly, in all material respects, the financial position of the Company as of December 31, 2018 and 2017, and the results of its operations, changes in net assets, and cash flows for each of the three years in the period ended December 31, 2018, and the financial highlights for each of the four years in the period then ended in conformity with accounting principles generally accepted in the United States of America.</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and our report dated April 17, 2019, expressed an unqualified opinion on the Company's internal control over financial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and financial highlights are the responsibility of the Company's management. Our responsibility is to express an opinion on the Company's consolidated financial statements and financial highlights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and financial highlights are free of material misstatement, whether due to error or fraud.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and financial highlights, whether due to error or fraud, and performing procedures that respond to those risks. Such procedures included examining, on a test basis, evidence regarding the amounts and disclosures in the consolidated financial statements and financial highlights. Our audits also included evaluating the accounting principles used and significant estimates made by management, as well as evaluating the overall presentation of the consolidated financial statement and financial highlights. Our procedures included confirmation of investments owned as of December 31, 2018 and 2017, by correspondence with the custodian, loan agents, and borrowers; when replies were not received, we performed other auditing procedures.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GSV Capital Corp.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GSV Capital Corp. and subsidiaries (the “Company”)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statement of assets and liabilities, including the consolidated schedule of investments, the related consolidated statements of operations, cash flows, changes in net assets and the financial highlights as of and for the year ended December 31, 2018, of the Company and our report dated April 17, 2019, expressed an unqualified opinion on the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2019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Non-controlled/non-affiliate investments (cost of $105,869,607 and $137,526,726, respectively)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170,067,233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179,908,234</w:t>
            </w:r>
          </w:p>
        </w:tc>
        <w:tc>
          <w:tcPr>
            <w:tcW w:w="0" w:type="dxa"/>
            <w:vAlign w:val="bottom"/>
          </w:tcPr>
          <w:p>
            <w:pPr>
              <w:spacing w:after="0"/>
              <w:rPr>
                <w:sz w:val="1"/>
                <w:szCs w:val="1"/>
                <w:color w:val="auto"/>
              </w:rPr>
            </w:pPr>
          </w:p>
        </w:tc>
      </w:tr>
      <w:tr>
        <w:trPr>
          <w:trHeight w:val="237"/>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Non-controlled/affiliate investments (cost of $42,333,854 and $41,886,312, respectively)</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5,931,863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16,473,098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Controlled investments (cost of $22,960,942 and $23,161,314,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22,816,733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24,207,161</w:t>
            </w:r>
          </w:p>
        </w:tc>
        <w:tc>
          <w:tcPr>
            <w:tcW w:w="0" w:type="dxa"/>
            <w:vAlign w:val="bottom"/>
          </w:tcPr>
          <w:p>
            <w:pPr>
              <w:spacing w:after="0"/>
              <w:rPr>
                <w:sz w:val="1"/>
                <w:szCs w:val="1"/>
                <w:color w:val="auto"/>
              </w:rPr>
            </w:pPr>
          </w:p>
        </w:tc>
      </w:tr>
      <w:tr>
        <w:trPr>
          <w:trHeight w:val="217"/>
        </w:trPr>
        <w:tc>
          <w:tcPr>
            <w:tcW w:w="8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Portfolio Investments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198,815,829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220,588,493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Investments in U.S. Treasury bills (cost of $99,982,067 and $99,985,833,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99,994,000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99,994,000</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Investments (cost of $271,146,470 and $302,560,185, respectively)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298,809,829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320,582,493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28,184,163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59,838,600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Due from controlled investments</w:t>
            </w:r>
          </w:p>
        </w:tc>
        <w:tc>
          <w:tcPr>
            <w:tcW w:w="2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2,494,582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603,456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255,670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35,141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207,769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208,983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267,541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413,023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330,219,554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381,682,536</w:t>
            </w:r>
          </w:p>
        </w:tc>
        <w:tc>
          <w:tcPr>
            <w:tcW w:w="0" w:type="dxa"/>
            <w:vAlign w:val="bottom"/>
          </w:tcPr>
          <w:p>
            <w:pPr>
              <w:spacing w:after="0"/>
              <w:rPr>
                <w:sz w:val="1"/>
                <w:szCs w:val="1"/>
                <w:color w:val="auto"/>
              </w:rPr>
            </w:pPr>
          </w:p>
        </w:tc>
      </w:tr>
      <w:tr>
        <w:trPr>
          <w:trHeight w:val="217"/>
        </w:trPr>
        <w:tc>
          <w:tcPr>
            <w:tcW w:w="834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to GSV Asset Management</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231,697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490,687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458,203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incentive fees, net of waiver of incentive fees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4,660,472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9,278,085</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management fees, net of waiver of management fees</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415,056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424,447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1,056,563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89,480,103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89,485,825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885,566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7,602,301</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5.25% Convertible Senior Notes due September 15, 2018</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68,382,549</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4.75% Convertible Senior Notes due March 28, 2023</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38,434,511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134,841,395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176,919,670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 and contingencies (Notes 7 and 10)</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195,378,159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204,762,866</w:t>
            </w: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par value $0.01 per share (100,000,000 authorized; 19,762,647 and 21,246,345 issued and outstanding,</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197,626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212,463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Paid-in capital in excess of par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192,322,399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202,584,012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net investment loss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(16,228,294)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(8,593,717)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net realized gains/(losses)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140,100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Accumulated net unrealized appreciation of investments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26,777,793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10,420,008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195,378,159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204,762,866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9.89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9.64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940"/>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3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3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52914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-2068830</wp:posOffset>
            </wp:positionV>
            <wp:extent cx="52914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-4126865</wp:posOffset>
            </wp:positionV>
            <wp:extent cx="52914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-5499100</wp:posOffset>
            </wp:positionV>
            <wp:extent cx="52914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-6528435</wp:posOffset>
            </wp:positionV>
            <wp:extent cx="52914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ind w:left="340" w:hanging="332"/>
        <w:spacing w:after="0"/>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balance references a related-party transaction. Refer to “Note 3—Related-Party Arrangements” for more detail.</w:t>
      </w:r>
    </w:p>
    <w:p>
      <w:pPr>
        <w:spacing w:after="0" w:line="5" w:lineRule="exact"/>
        <w:rPr>
          <w:rFonts w:ascii="Times New Roman" w:cs="Times New Roman" w:eastAsia="Times New Roman" w:hAnsi="Times New Roman"/>
          <w:sz w:val="16"/>
          <w:szCs w:val="16"/>
          <w:color w:val="auto"/>
        </w:rPr>
      </w:pPr>
    </w:p>
    <w:p>
      <w:pPr>
        <w:jc w:val="both"/>
        <w:ind w:left="340" w:hanging="332"/>
        <w:spacing w:after="0" w:line="252"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2018 and December 31, 2017, the 5.25% Convertible Senior Notes due September 15, 2018 had a face value of $0 and $69,000,000, respectively. As of December 31, 2018 and December 31, 2017, the 4.75% Convertible Senior Notes due March 28, 2023 had a face value of $40,000,000 and $0, respectively. Refer to “Note 10—Debt Capital Activities” for a reconciliation of the carrying value to the face value.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4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35"/>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262,473</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73,096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212,795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581,813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59,460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159,016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Controlled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59,835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249,839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101,999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Dividend income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625,000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1,617,836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852,768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736,283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 fees</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5,199,900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5,666,176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6,896,347</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Incentive fees</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382,387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7,151,641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(15,188,121)</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incurred under Administration Agreement</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1,702,047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1,874,839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2,545,316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Directors’ fees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345,000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Professional fees</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1,587,578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2,068,668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1,966,906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4,545,471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4,696,819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4,731,430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482,994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52,901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899,457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600,331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702,768</w:t>
            </w:r>
          </w:p>
        </w:tc>
        <w:tc>
          <w:tcPr>
            <w:tcW w:w="0" w:type="dxa"/>
            <w:vAlign w:val="bottom"/>
          </w:tcPr>
          <w:p>
            <w:pPr>
              <w:spacing w:after="0"/>
              <w:rPr>
                <w:sz w:val="1"/>
                <w:szCs w:val="1"/>
                <w:color w:val="auto"/>
              </w:rPr>
            </w:pPr>
          </w:p>
        </w:tc>
      </w:tr>
      <w:tr>
        <w:trPr>
          <w:trHeight w:val="21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15,144,834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22,439,855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1,999,646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Management fee waiver</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(708,272)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Incentive fee waiver</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expenses, net of waiver of management and incentive fees</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9,252,413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21,731,583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1,999,646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Investment Loss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(7,634,577)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(20,878,815)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(1,263,363)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Realized Gains/(Losses)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(7,432,939)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3,989,476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(2,634,471)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Controlled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(3,075,494)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Net Realized Gains/(Losses) on Investments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(7,433,619)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913,982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(2,634,471)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loss on partial repurchase of 5.25% Convertible Senior Notes due 2018</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Change in Unrealized Appreciation/(Depreciation) of Investments: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Non-controlled/non-affiliated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21,819,883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45,958,490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(54,745,095)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Non-controlled/affiliate investments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(10,988,777)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(16,084,516)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(13,571,477)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Controlled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(1,190,056)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4,901,722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(4,897,273)</w:t>
            </w:r>
          </w:p>
        </w:tc>
        <w:tc>
          <w:tcPr>
            <w:tcW w:w="0" w:type="dxa"/>
            <w:vAlign w:val="bottom"/>
          </w:tcPr>
          <w:p>
            <w:pPr>
              <w:spacing w:after="0"/>
              <w:rPr>
                <w:sz w:val="1"/>
                <w:szCs w:val="1"/>
                <w:color w:val="auto"/>
              </w:rPr>
            </w:pPr>
          </w:p>
        </w:tc>
      </w:tr>
      <w:tr>
        <w:trPr>
          <w:trHeight w:val="217"/>
        </w:trPr>
        <w:tc>
          <w:tcPr>
            <w:tcW w:w="67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Appreciation/(Depreciation) of Investments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9,641,050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34,775,696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(73,213,845)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r>
              <w:rPr>
                <w:rFonts w:ascii="Times New Roman" w:cs="Times New Roman" w:eastAsia="Times New Roman" w:hAnsi="Times New Roman"/>
                <w:sz w:val="21"/>
                <w:szCs w:val="21"/>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6,716,735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2,757,070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2,116,784</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Net Increase/(Decrease) in Net Assets Resulting from Operations</w:t>
            </w: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891,743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17,567,933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(74,994,895)</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Change in Net Assets Resulting from Operations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6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20,617,890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21,924,490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22,181,003</w:t>
            </w:r>
          </w:p>
        </w:tc>
        <w:tc>
          <w:tcPr>
            <w:tcW w:w="0" w:type="dxa"/>
            <w:vAlign w:val="bottom"/>
          </w:tcPr>
          <w:p>
            <w:pPr>
              <w:spacing w:after="0"/>
              <w:rPr>
                <w:sz w:val="1"/>
                <w:szCs w:val="1"/>
                <w:color w:val="auto"/>
              </w:rPr>
            </w:pPr>
          </w:p>
        </w:tc>
      </w:tr>
      <w:tr>
        <w:trPr>
          <w:trHeight w:val="263"/>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20,617,890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21,924,490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22,181,003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-3133725</wp:posOffset>
            </wp:positionV>
            <wp:extent cx="42792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792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-7250430</wp:posOffset>
            </wp:positionV>
            <wp:extent cx="42792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17" w:lineRule="auto"/>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____________________________________________________________________________________________________________________________</w:t>
      </w:r>
    </w:p>
    <w:p>
      <w:pPr>
        <w:ind w:left="340" w:hanging="332"/>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balance references a related-party transaction. Refer to “Note 3—Related-Party Arrangements” for more detail.</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2018, 2017, and 2016, 6,079,068, 5,751,815, and 5,751,815 potentially dilutive common shares, respectively, were excluded from the weighted-average common shares outstanding for diluted net increase in net assets resulting from operations per common share because the effect of these shares would have been anti-dilutive. Refer to “Note 6-Net Change in Net Assets Resulting from Operations per Common Share—Basic and Diluted”</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47" w:lineRule="auto"/>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2018, in anticipation of the end of the RIC built-in gain measurement period, we reversed the accrual of related potential tax liabilities of approximately $6.1 million. During the year ended December 31, 2017, we recognized a net benefit from taxes on unrealized depreciation despite recording a net change in unrealized appreciation of approximately $34.8 million. The tax benefit was the result of a decrease in built-in gains tax liability due to recently passed tax legislation, partially offset by an increase in the net deferred tax liability generated by the GSVC Holdings. Refer to "Note 9—Income Taxes" for further detail.</w:t>
      </w:r>
    </w:p>
    <w:p>
      <w:pPr>
        <w:sectPr>
          <w:pgSz w:w="11900" w:h="16838" w:orient="portrait"/>
          <w:cols w:equalWidth="0" w:num="1">
            <w:col w:w="11420"/>
          </w:cols>
          <w:pgMar w:left="240" w:top="118"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type w:val="continuous"/>
        </w:sectPr>
      </w:pPr>
    </w:p>
    <w:bookmarkStart w:id="76" w:name="page77"/>
    <w:bookmarkEnd w:id="7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6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49"/>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loss</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(7,634,577)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(20,878,815)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(1,263,363)</w:t>
            </w:r>
          </w:p>
        </w:tc>
      </w:tr>
      <w:tr>
        <w:trPr>
          <w:trHeight w:val="27"/>
        </w:trPr>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gains/(losses) on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(2,634,471)</w:t>
            </w: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on partial repurchase of 5.25% Convertible Senior Notes due 2018</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unrealized appreciation/(depreciation)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9,641,050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34,775,696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(73,213,845)</w:t>
            </w: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from taxes on unrealized depreciation of investments</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6,716,735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2,757,070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2,116,784</w:t>
            </w:r>
          </w:p>
        </w:tc>
      </w:tr>
      <w:tr>
        <w:trPr>
          <w:trHeight w:val="27"/>
        </w:trPr>
        <w:tc>
          <w:tcPr>
            <w:tcW w:w="6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Increase/(Decrease) in Net Assets Resulting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891,743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17,567,933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(74,994,895)</w:t>
            </w: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realized gains</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(820,753)</w:t>
            </w:r>
          </w:p>
        </w:tc>
      </w:tr>
      <w:tr>
        <w:trPr>
          <w:trHeight w:val="27"/>
        </w:trPr>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return of capital</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(66,487)</w:t>
            </w:r>
          </w:p>
        </w:tc>
      </w:tr>
      <w:tr>
        <w:trPr>
          <w:trHeight w:val="237"/>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Distributions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(887,240)</w:t>
            </w:r>
          </w:p>
        </w:tc>
      </w:tr>
      <w:tr>
        <w:trPr>
          <w:trHeight w:val="27"/>
        </w:trPr>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Net Assets Resulting from Capital Transactions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Decrease in Net Assets Resulting from Capital Transactions</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(10,276,450)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(4,933,877)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Increase/(Decrease) in Net Assets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(9,384,707)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12,634,056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(75,882,135)</w:t>
            </w:r>
          </w:p>
        </w:tc>
      </w:tr>
      <w:tr>
        <w:trPr>
          <w:trHeight w:val="27"/>
        </w:trPr>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assets at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204,762,866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192,128,810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268,010,945</w:t>
            </w:r>
          </w:p>
        </w:tc>
      </w:tr>
      <w:tr>
        <w:trPr>
          <w:trHeight w:val="297"/>
        </w:trPr>
        <w:tc>
          <w:tcPr>
            <w:tcW w:w="6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Net Assets at End of Year</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195,378,159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204,762,866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192,128,810</w:t>
            </w: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at beginning of year</w:t>
            </w:r>
          </w:p>
        </w:tc>
        <w:tc>
          <w:tcPr>
            <w:tcW w:w="4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21,246,345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22,181,003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22,181,003</w:t>
            </w:r>
          </w:p>
        </w:tc>
      </w:tr>
      <w:tr>
        <w:trPr>
          <w:trHeight w:val="27"/>
        </w:trPr>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repurchased</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(1,483,698)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Shares Outstanding at End of Year</w:t>
            </w:r>
          </w:p>
        </w:tc>
        <w:tc>
          <w:tcPr>
            <w:tcW w:w="4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19,762,647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21,246,345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22,181,003</w:t>
            </w:r>
          </w:p>
        </w:tc>
      </w:tr>
      <w:tr>
        <w:trPr>
          <w:trHeight w:val="20"/>
        </w:trPr>
        <w:tc>
          <w:tcPr>
            <w:tcW w:w="6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-3712845</wp:posOffset>
            </wp:positionV>
            <wp:extent cx="3919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5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6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35"/>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891,743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17,567,933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(74,994,895)</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increase/(decrease) in net assets resulting from operations to</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3"/>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4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realized (gains)/losses on investments</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7,433,619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(913,982)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2,634,471</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(34,775,696)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73,213,845</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deferred tax liability</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(6,716,735)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(2,757,070)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(2,116,784)</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discount on 5.25% Convertible Senior Notes due 2018</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492,170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869,751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863,751</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discount on 4.75% Convertible Senior Notes due 2023</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281,130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210,999</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Write-off of deferred offering costs</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325,248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fixed income security premiums and discounts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(54,522)</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Paid-in-kind interest</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(447,009)</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52,931</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1,034,704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603,456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investments in: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Portfolio investments</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(10,669,035)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(13,803,342)</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U.S. Treasury bills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(399,893,952)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(360,031,336)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(119,998,208)</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sales or maturity of investments in:</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Portfolio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33,925,585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77,031,789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26,241,589</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Treasury bills</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290,000,000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120,000,000</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U.S. Treasury strips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3,685,000</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from GSV Asset Management</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220,770</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from controlled investments</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56,371</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13,884</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and dividends receivable</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57,805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4,237</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Escrow proceeds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to GSV Asset Management</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(4,625,404)</w:t>
            </w: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Payable for securities 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62,987,075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122,592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230,024</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incentive fees</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(4,617,613)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7,151,641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(15,188,121)</w:t>
            </w:r>
          </w:p>
        </w:tc>
      </w:tr>
      <w:tr>
        <w:trPr>
          <w:trHeight w:val="270"/>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management fees</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(159,369)</w:t>
            </w: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9,574,753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56,590,276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(3,960,389)</w:t>
            </w:r>
          </w:p>
        </w:tc>
      </w:tr>
      <w:tr>
        <w:trPr>
          <w:trHeight w:val="33"/>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the issuance of 4.75% Convertible Senior Notes due 2023</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(10,276,450)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(4,933,877)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 of 5.25% Convertible Senior Notes due 2018</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(69,272,565)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Realized loss on repurchase of 5.25% Convertible Senior Notes due 2018</w:t>
            </w:r>
          </w:p>
        </w:tc>
        <w:tc>
          <w:tcPr>
            <w:tcW w:w="4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397,846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Borrowings under credit facility</w:t>
            </w: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16,000,000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3,500,000</w:t>
            </w: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Repayments under credit facility</w:t>
            </w:r>
          </w:p>
        </w:tc>
        <w:tc>
          <w:tcPr>
            <w:tcW w:w="4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(3,500,000)</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credit facility costs</w:t>
            </w: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offering costs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(169,614)</w:t>
            </w:r>
          </w:p>
        </w:tc>
      </w:tr>
      <w:tr>
        <w:trPr>
          <w:trHeight w:val="33"/>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(41,229,190)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(1,056,854)</w:t>
            </w:r>
          </w:p>
        </w:tc>
      </w:tr>
      <w:tr>
        <w:trPr>
          <w:trHeight w:val="217"/>
        </w:trPr>
        <w:tc>
          <w:tcPr>
            <w:tcW w:w="606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Increase/(Decrease) in Cash Balance</w:t>
            </w: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(31,654,437)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51,505,966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(5,017,243)</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Balance at Beginning of Year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59,838,600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8,332,634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13,349,877</w:t>
            </w:r>
          </w:p>
        </w:tc>
      </w:tr>
      <w:tr>
        <w:trPr>
          <w:trHeight w:val="217"/>
        </w:trPr>
        <w:tc>
          <w:tcPr>
            <w:tcW w:w="606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Balance at End of Year</w:t>
            </w:r>
          </w:p>
        </w:tc>
        <w:tc>
          <w:tcPr>
            <w:tcW w:w="42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28,184,163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59,838,600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8,332,634</w:t>
            </w:r>
          </w:p>
        </w:tc>
      </w:tr>
      <w:tr>
        <w:trPr>
          <w:trHeight w:val="33"/>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4,127,163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3,684,410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3,650,961</w:t>
            </w: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Taxes paid</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496,912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54,014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3841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-1885950</wp:posOffset>
            </wp:positionV>
            <wp:extent cx="3841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1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-8866505</wp:posOffset>
            </wp:positionV>
            <wp:extent cx="3841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w:t>
      </w:r>
    </w:p>
    <w:p>
      <w:pPr>
        <w:spacing w:after="0" w:line="93"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balance references a related-party transaction. Refer to “Note 3—Related-Party Arrangements” for more detail.</w:t>
      </w:r>
    </w:p>
    <w:p>
      <w:pPr>
        <w:sectPr>
          <w:pgSz w:w="11900" w:h="16838" w:orient="portrait"/>
          <w:cols w:equalWidth="0" w:num="1">
            <w:col w:w="11420"/>
          </w:cols>
          <w:pgMar w:left="240" w:top="118" w:right="239" w:bottom="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9019"/>
          </w:cols>
          <w:pgMar w:left="1440" w:top="121" w:right="1440" w:bottom="1440" w:gutter="0" w:footer="0" w:header="0"/>
        </w:sectPr>
      </w:pPr>
    </w:p>
    <w:bookmarkStart w:id="79" w:name="page80"/>
    <w:bookmarkEnd w:id="79"/>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1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40" w:type="dxa"/>
            <w:vAlign w:val="bottom"/>
          </w:tcPr>
          <w:p>
            <w:pPr>
              <w:spacing w:after="0"/>
              <w:rPr>
                <w:sz w:val="13"/>
                <w:szCs w:val="13"/>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3200" w:type="dxa"/>
            <w:vAlign w:val="bottom"/>
            <w:gridSpan w:val="18"/>
            <w:vMerge w:val="continue"/>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3200" w:type="dxa"/>
            <w:vAlign w:val="bottom"/>
            <w:tcBorders>
              <w:top w:val="single" w:sz="8" w:color="auto"/>
            </w:tcBorders>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40" w:type="dxa"/>
            <w:vAlign w:val="bottom"/>
            <w:tcBorders>
              <w:top w:val="single" w:sz="8" w:color="CCEEFF"/>
            </w:tcBorders>
            <w:shd w:val="clear" w:color="auto" w:fill="CCEEFF"/>
          </w:tcPr>
          <w:p>
            <w:pPr>
              <w:spacing w:after="0"/>
              <w:rPr>
                <w:sz w:val="23"/>
                <w:szCs w:val="23"/>
                <w:color w:val="auto"/>
              </w:rPr>
            </w:pPr>
          </w:p>
        </w:tc>
        <w:tc>
          <w:tcPr>
            <w:tcW w:w="2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Palantir Technologies, Inc.</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 Class A</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Data Analysis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5/7/2012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5,773,690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16,189,935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34,053,394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Spotify Technology S.A.</w:t>
            </w: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(3)(7)</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Music Streaming</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8/6/2012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235,360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10,002,084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26,713,360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Coursera, Inc.</w:t>
            </w:r>
          </w:p>
        </w:tc>
        <w:tc>
          <w:tcPr>
            <w:tcW w:w="14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6/9/2013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2,961,399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14,519,519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23,111,889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Dropbox, Inc.</w:t>
            </w: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(3)(8)</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Cloud Computing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11/15/2011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874,990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13,656,926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17,876,046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Lyft, Inc.</w:t>
            </w:r>
          </w:p>
        </w:tc>
        <w:tc>
          <w:tcPr>
            <w:tcW w:w="14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E</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Transportation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3/11/2015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128,563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2,503,585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6,583,483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65"/>
        </w:trPr>
        <w:tc>
          <w:tcPr>
            <w:tcW w:w="320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40" w:type="dxa"/>
            <w:vAlign w:val="bottom"/>
            <w:tcBorders>
              <w:bottom w:val="single" w:sz="8" w:color="CCEEFF"/>
            </w:tcBorders>
          </w:tcPr>
          <w:p>
            <w:pPr>
              <w:spacing w:after="0"/>
              <w:rPr>
                <w:sz w:val="23"/>
                <w:szCs w:val="23"/>
                <w:color w:val="auto"/>
              </w:rPr>
            </w:pPr>
          </w:p>
        </w:tc>
        <w:tc>
          <w:tcPr>
            <w:tcW w:w="2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3/21/2014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176,266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1,792,749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9,026,269</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4,296,334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15,609,752</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228"/>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Course Hero, Inc.</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9/18/2014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14,106,625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Nextdoor.com, Inc.</w:t>
            </w:r>
          </w:p>
        </w:tc>
        <w:tc>
          <w:tcPr>
            <w:tcW w:w="14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40" w:type="dxa"/>
            <w:vAlign w:val="bottom"/>
            <w:shd w:val="clear" w:color="auto" w:fill="CCEEFF"/>
          </w:tcPr>
          <w:p>
            <w:pPr>
              <w:spacing w:after="0"/>
              <w:rPr>
                <w:sz w:val="24"/>
                <w:szCs w:val="24"/>
                <w:color w:val="auto"/>
              </w:rPr>
            </w:pPr>
          </w:p>
        </w:tc>
        <w:tc>
          <w:tcPr>
            <w:tcW w:w="2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Social Networking</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9/27/2018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580,360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10,006,578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10,097,442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SharesPost, Inc.</w:t>
            </w:r>
          </w:p>
        </w:tc>
        <w:tc>
          <w:tcPr>
            <w:tcW w:w="14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40" w:type="dxa"/>
            <w:vAlign w:val="bottom"/>
            <w:shd w:val="clear" w:color="auto" w:fill="CCEEFF"/>
          </w:tcPr>
          <w:p>
            <w:pPr>
              <w:spacing w:after="0"/>
              <w:rPr>
                <w:sz w:val="24"/>
                <w:szCs w:val="24"/>
                <w:color w:val="auto"/>
              </w:rPr>
            </w:pPr>
          </w:p>
        </w:tc>
        <w:tc>
          <w:tcPr>
            <w:tcW w:w="2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7/19/2011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1,771,653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2,259,716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5,943,577</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265"/>
        </w:trPr>
        <w:tc>
          <w:tcPr>
            <w:tcW w:w="320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(13)</w:t>
            </w:r>
          </w:p>
        </w:tc>
        <w:tc>
          <w:tcPr>
            <w:tcW w:w="140" w:type="dxa"/>
            <w:vAlign w:val="bottom"/>
            <w:tcBorders>
              <w:bottom w:val="single" w:sz="8" w:color="CCEEFF"/>
            </w:tcBorders>
          </w:tcPr>
          <w:p>
            <w:pPr>
              <w:spacing w:after="0"/>
              <w:rPr>
                <w:sz w:val="23"/>
                <w:szCs w:val="23"/>
                <w:color w:val="auto"/>
              </w:rPr>
            </w:pPr>
          </w:p>
        </w:tc>
        <w:tc>
          <w:tcPr>
            <w:tcW w:w="2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7/20/2011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770,934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123,987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855,327</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2,383,703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6,798,904</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28"/>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Parchment, Inc.</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D 8%</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E-Transcript Exchange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10/1/2012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3,200,512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4,000,982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6,151,161</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Enjoy Technology, Inc.</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Commerce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7/29/2015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1,681,520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4,000,280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4,000,000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65"/>
        </w:trPr>
        <w:tc>
          <w:tcPr>
            <w:tcW w:w="320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40" w:type="dxa"/>
            <w:vAlign w:val="bottom"/>
            <w:tcBorders>
              <w:bottom w:val="single" w:sz="8" w:color="CCEEFF"/>
            </w:tcBorders>
          </w:tcPr>
          <w:p>
            <w:pPr>
              <w:spacing w:after="0"/>
              <w:rPr>
                <w:sz w:val="23"/>
                <w:szCs w:val="23"/>
                <w:color w:val="auto"/>
              </w:rPr>
            </w:pPr>
          </w:p>
        </w:tc>
        <w:tc>
          <w:tcPr>
            <w:tcW w:w="2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10/16/2014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879,198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1,002,440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2,091,436</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5,002,720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6,091,436</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28"/>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A Place for Rover Inc. (f/k/a DogVacay, Inc.)</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Peer-to-Peer Pet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11/3/2014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707,991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2,506,119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3,511,661</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Knewton, Inc.</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E</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375,985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2,021,690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65"/>
        </w:trPr>
        <w:tc>
          <w:tcPr>
            <w:tcW w:w="320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Convertible Promissory Note 8% Due 12/31/2019</w:t>
            </w:r>
            <w:r>
              <w:rPr>
                <w:rFonts w:ascii="Times New Roman" w:cs="Times New Roman" w:eastAsia="Times New Roman" w:hAnsi="Times New Roman"/>
                <w:sz w:val="8"/>
                <w:szCs w:val="8"/>
                <w:color w:val="auto"/>
              </w:rPr>
              <w:t>(12)</w:t>
            </w:r>
          </w:p>
        </w:tc>
        <w:tc>
          <w:tcPr>
            <w:tcW w:w="140" w:type="dxa"/>
            <w:vAlign w:val="bottom"/>
            <w:tcBorders>
              <w:bottom w:val="single" w:sz="8" w:color="CCEEFF"/>
            </w:tcBorders>
          </w:tcPr>
          <w:p>
            <w:pPr>
              <w:spacing w:after="0"/>
              <w:rPr>
                <w:sz w:val="23"/>
                <w:szCs w:val="23"/>
                <w:color w:val="auto"/>
              </w:rPr>
            </w:pPr>
          </w:p>
        </w:tc>
        <w:tc>
          <w:tcPr>
            <w:tcW w:w="26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7/23/2018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134,405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135,213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134,405</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269"/>
        </w:trPr>
        <w:tc>
          <w:tcPr>
            <w:tcW w:w="40" w:type="dxa"/>
            <w:vAlign w:val="bottom"/>
            <w:shd w:val="clear" w:color="auto" w:fill="CCEEFF"/>
          </w:tcPr>
          <w:p>
            <w:pPr>
              <w:spacing w:after="0"/>
              <w:rPr>
                <w:sz w:val="23"/>
                <w:szCs w:val="23"/>
                <w:color w:val="auto"/>
              </w:rPr>
            </w:pPr>
          </w:p>
        </w:tc>
        <w:tc>
          <w:tcPr>
            <w:tcW w:w="316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5,135,212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2,156,095</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23"/>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Clever, Inc.</w:t>
            </w:r>
          </w:p>
        </w:tc>
        <w:tc>
          <w:tcPr>
            <w:tcW w:w="14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40" w:type="dxa"/>
            <w:vAlign w:val="bottom"/>
            <w:shd w:val="clear" w:color="auto" w:fill="CCEEFF"/>
          </w:tcPr>
          <w:p>
            <w:pPr>
              <w:spacing w:after="0"/>
              <w:rPr>
                <w:sz w:val="24"/>
                <w:szCs w:val="24"/>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Education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12/5/2014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1,799,047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2,000,601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Marina Del Rey,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40" w:type="dxa"/>
            <w:vAlign w:val="bottom"/>
            <w:shd w:val="clear" w:color="auto" w:fill="CCEEFF"/>
          </w:tcPr>
          <w:p>
            <w:pPr>
              <w:spacing w:after="0"/>
              <w:rPr>
                <w:sz w:val="24"/>
                <w:szCs w:val="24"/>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Financial Services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8/11/2015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999,975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Tynker (f/k/a Neuron Fuel, Inc.)</w:t>
            </w:r>
          </w:p>
        </w:tc>
        <w:tc>
          <w:tcPr>
            <w:tcW w:w="140" w:type="dxa"/>
            <w:vAlign w:val="bottom"/>
          </w:tcPr>
          <w:p>
            <w:pPr>
              <w:spacing w:after="0"/>
              <w:rPr>
                <w:sz w:val="19"/>
                <w:szCs w:val="19"/>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Computer Software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8/8/2012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534,162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309,310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789,492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4C Insights (f/k/a The Echo Systems Corp.)</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Chicago, IL</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4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Social Data Platform</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3/30/2012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436,219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1,436,404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3200" w:type="dxa"/>
            <w:vAlign w:val="bottom"/>
            <w:gridSpan w:val="18"/>
          </w:tcPr>
          <w:p>
            <w:pPr>
              <w:ind w:left="40"/>
              <w:spacing w:after="0"/>
              <w:rPr>
                <w:sz w:val="20"/>
                <w:szCs w:val="20"/>
                <w:color w:val="auto"/>
              </w:rPr>
            </w:pPr>
            <w:r>
              <w:rPr>
                <w:rFonts w:ascii="Times New Roman" w:cs="Times New Roman" w:eastAsia="Times New Roman" w:hAnsi="Times New Roman"/>
                <w:sz w:val="14"/>
                <w:szCs w:val="14"/>
                <w:b w:val="1"/>
                <w:bCs w:val="1"/>
                <w:color w:val="auto"/>
              </w:rPr>
              <w:t>Fullbridge, Inc.</w:t>
            </w:r>
          </w:p>
        </w:tc>
        <w:tc>
          <w:tcPr>
            <w:tcW w:w="140" w:type="dxa"/>
            <w:vAlign w:val="bottom"/>
          </w:tcPr>
          <w:p>
            <w:pPr>
              <w:spacing w:after="0"/>
              <w:rPr>
                <w:sz w:val="19"/>
                <w:szCs w:val="19"/>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Cambridge, MA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gridSpan w:val="1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40" w:type="dxa"/>
            <w:vAlign w:val="bottom"/>
            <w:shd w:val="clear" w:color="auto" w:fill="CCEEFF"/>
          </w:tcPr>
          <w:p>
            <w:pPr>
              <w:spacing w:after="0"/>
              <w:rPr>
                <w:sz w:val="24"/>
                <w:szCs w:val="24"/>
                <w:color w:val="auto"/>
              </w:rPr>
            </w:pPr>
          </w:p>
        </w:tc>
        <w:tc>
          <w:tcPr>
            <w:tcW w:w="2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Business Education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5/13/2012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517,917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2"/>
        </w:trPr>
        <w:tc>
          <w:tcPr>
            <w:tcW w:w="3200" w:type="dxa"/>
            <w:vAlign w:val="bottom"/>
            <w:tcBorders>
              <w:bottom w:val="single" w:sz="8" w:color="CCEEFF"/>
            </w:tcBorders>
            <w:gridSpan w:val="18"/>
          </w:tcPr>
          <w:p>
            <w:pPr>
              <w:ind w:left="40"/>
              <w:spacing w:after="0"/>
              <w:rPr>
                <w:sz w:val="20"/>
                <w:szCs w:val="20"/>
                <w:color w:val="auto"/>
              </w:rPr>
            </w:pPr>
            <w:r>
              <w:rPr>
                <w:rFonts w:ascii="Times New Roman" w:cs="Times New Roman" w:eastAsia="Times New Roman" w:hAnsi="Times New Roman"/>
                <w:sz w:val="14"/>
                <w:szCs w:val="14"/>
                <w:color w:val="auto"/>
              </w:rPr>
              <w:t>Promissory Note 1.49% Due 11/9/2021</w:t>
            </w:r>
            <w:r>
              <w:rPr>
                <w:rFonts w:ascii="Times New Roman" w:cs="Times New Roman" w:eastAsia="Times New Roman" w:hAnsi="Times New Roman"/>
                <w:sz w:val="8"/>
                <w:szCs w:val="8"/>
                <w:color w:val="auto"/>
              </w:rPr>
              <w:t>(4)</w:t>
            </w:r>
          </w:p>
        </w:tc>
        <w:tc>
          <w:tcPr>
            <w:tcW w:w="140" w:type="dxa"/>
            <w:vAlign w:val="bottom"/>
            <w:tcBorders>
              <w:bottom w:val="single" w:sz="8" w:color="CCEEFF"/>
            </w:tcBorders>
          </w:tcPr>
          <w:p>
            <w:pPr>
              <w:spacing w:after="0"/>
              <w:rPr>
                <w:sz w:val="21"/>
                <w:szCs w:val="21"/>
                <w:color w:val="auto"/>
              </w:rPr>
            </w:pPr>
          </w:p>
        </w:tc>
        <w:tc>
          <w:tcPr>
            <w:tcW w:w="26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3/3/2016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2,270,458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16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2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16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105,869,607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170,067,233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2139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-2640965</wp:posOffset>
            </wp:positionV>
            <wp:extent cx="5213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-3686810</wp:posOffset>
            </wp:positionV>
            <wp:extent cx="5213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-4733290</wp:posOffset>
            </wp:positionV>
            <wp:extent cx="52139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-6139815</wp:posOffset>
            </wp:positionV>
            <wp:extent cx="5213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ectPr>
          <w:pgSz w:w="11900" w:h="16838" w:orient="portrait"/>
          <w:cols w:equalWidth="0" w:num="1">
            <w:col w:w="11420"/>
          </w:cols>
          <w:pgMar w:left="240" w:top="118" w:right="239" w:bottom="644"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8" w:right="239" w:bottom="644" w:gutter="0" w:footer="0" w:header="0"/>
          <w:type w:val="continuous"/>
        </w:sectPr>
      </w:pPr>
    </w:p>
    <w:bookmarkStart w:id="80" w:name="page81"/>
    <w:bookmarkEnd w:id="80"/>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tcPr>
          <w:p>
            <w:pPr>
              <w:spacing w:after="0"/>
              <w:rPr>
                <w:sz w:val="13"/>
                <w:szCs w:val="13"/>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3"/>
                <w:szCs w:val="13"/>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3340" w:type="dxa"/>
            <w:vAlign w:val="bottom"/>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3340" w:type="dxa"/>
            <w:vAlign w:val="bottom"/>
            <w:tcBorders>
              <w:top w:val="single" w:sz="8" w:color="auto"/>
            </w:tcBorders>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8"/>
                <w:szCs w:val="8"/>
                <w:color w:val="auto"/>
              </w:rPr>
              <w:t>(1)</w:t>
            </w:r>
          </w:p>
        </w:tc>
        <w:tc>
          <w:tcPr>
            <w:tcW w:w="120" w:type="dxa"/>
            <w:vAlign w:val="bottom"/>
            <w:tcBorders>
              <w:top w:val="single" w:sz="8" w:color="CCEEFF"/>
            </w:tcBorders>
            <w:shd w:val="clear" w:color="auto" w:fill="CCEEFF"/>
          </w:tcPr>
          <w:p>
            <w:pPr>
              <w:spacing w:after="0"/>
              <w:rPr>
                <w:sz w:val="23"/>
                <w:szCs w:val="23"/>
                <w:color w:val="auto"/>
              </w:rPr>
            </w:pPr>
          </w:p>
        </w:tc>
        <w:tc>
          <w:tcPr>
            <w:tcW w:w="2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Ozy Media, Inc.</w:t>
            </w:r>
          </w:p>
        </w:tc>
        <w:tc>
          <w:tcPr>
            <w:tcW w:w="120" w:type="dxa"/>
            <w:vAlign w:val="bottom"/>
          </w:tcPr>
          <w:p>
            <w:pPr>
              <w:spacing w:after="0"/>
              <w:rPr>
                <w:sz w:val="19"/>
                <w:szCs w:val="19"/>
                <w:color w:val="auto"/>
              </w:rPr>
            </w:pP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Convertible Promissory Note 5% Due 12/31/2018</w:t>
            </w:r>
            <w:r>
              <w:rPr>
                <w:rFonts w:ascii="Times New Roman" w:cs="Times New Roman" w:eastAsia="Times New Roman" w:hAnsi="Times New Roman"/>
                <w:sz w:val="8"/>
                <w:szCs w:val="8"/>
                <w:color w:val="auto"/>
              </w:rPr>
              <w:t>(11)</w:t>
            </w:r>
          </w:p>
        </w:tc>
        <w:tc>
          <w:tcPr>
            <w:tcW w:w="120" w:type="dxa"/>
            <w:vAlign w:val="bottom"/>
            <w:shd w:val="clear" w:color="auto" w:fill="CCEEFF"/>
          </w:tcPr>
          <w:p>
            <w:pPr>
              <w:spacing w:after="0"/>
              <w:rPr>
                <w:sz w:val="23"/>
                <w:szCs w:val="23"/>
                <w:color w:val="auto"/>
              </w:rPr>
            </w:pP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Digital Media Platform</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8/31/2016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2,102,384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2,102,384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3,153,575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65"/>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B 6%</w:t>
            </w:r>
          </w:p>
        </w:tc>
        <w:tc>
          <w:tcPr>
            <w:tcW w:w="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10/3/2014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 6%</w:t>
            </w: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Seed 6%</w:t>
            </w:r>
          </w:p>
        </w:tc>
        <w:tc>
          <w:tcPr>
            <w:tcW w:w="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11/2/2012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Warrants, Strike Price $0.01, Expiration Date</w:t>
            </w:r>
          </w:p>
        </w:tc>
        <w:tc>
          <w:tcPr>
            <w:tcW w:w="1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4/9/2018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295,565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30,647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4/9/2028</w:t>
            </w:r>
            <w:r>
              <w:rPr>
                <w:rFonts w:ascii="Times New Roman" w:cs="Times New Roman" w:eastAsia="Times New Roman" w:hAnsi="Times New Roman"/>
                <w:sz w:val="8"/>
                <w:szCs w:val="8"/>
                <w:color w:val="auto"/>
              </w:rPr>
              <w:t>(11)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10,633,230</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3,153,575</w:t>
            </w:r>
          </w:p>
        </w:tc>
        <w:tc>
          <w:tcPr>
            <w:tcW w:w="10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28"/>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CUX, Inc. (d/b/a CorpU)</w:t>
            </w: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Philadelphia, PA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40" w:type="dxa"/>
            <w:vAlign w:val="bottom"/>
            <w:gridSpan w:val="8"/>
          </w:tcPr>
          <w:p>
            <w:pPr>
              <w:ind w:left="40"/>
              <w:spacing w:after="0" w:line="153" w:lineRule="exact"/>
              <w:rPr>
                <w:sz w:val="20"/>
                <w:szCs w:val="20"/>
                <w:color w:val="auto"/>
              </w:rPr>
            </w:pPr>
            <w:r>
              <w:rPr>
                <w:rFonts w:ascii="Times New Roman" w:cs="Times New Roman" w:eastAsia="Times New Roman" w:hAnsi="Times New Roman"/>
                <w:sz w:val="14"/>
                <w:szCs w:val="14"/>
                <w:color w:val="auto"/>
              </w:rPr>
              <w:t>Senior Subordinated Convertible Promissory Note 10%</w:t>
            </w:r>
          </w:p>
        </w:tc>
        <w:tc>
          <w:tcPr>
            <w:tcW w:w="120" w:type="dxa"/>
            <w:vAlign w:val="bottom"/>
          </w:tcPr>
          <w:p>
            <w:pPr>
              <w:spacing w:after="0"/>
              <w:rPr>
                <w:sz w:val="13"/>
                <w:szCs w:val="13"/>
                <w:color w:val="auto"/>
              </w:rPr>
            </w:pPr>
          </w:p>
        </w:tc>
        <w:tc>
          <w:tcPr>
            <w:tcW w:w="2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Corporate Education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11/26/2014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1,360,489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1,361,969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1,360,489</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93"/>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Due 2/14/2020***</w:t>
            </w:r>
            <w:r>
              <w:rPr>
                <w:rFonts w:ascii="Times New Roman" w:cs="Times New Roman" w:eastAsia="Times New Roman" w:hAnsi="Times New Roman"/>
                <w:sz w:val="8"/>
                <w:szCs w:val="8"/>
                <w:color w:val="auto"/>
              </w:rPr>
              <w:t>(6)</w:t>
            </w:r>
          </w:p>
        </w:tc>
        <w:tc>
          <w:tcPr>
            <w:tcW w:w="12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Convertible preferred shares, Series D 6%</w:t>
            </w: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169,033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778,607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878,005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265"/>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Convertible preferred shares, Series C 8%</w:t>
            </w:r>
          </w:p>
        </w:tc>
        <w:tc>
          <w:tcPr>
            <w:tcW w:w="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3/29/2012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615,763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2,006,077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340" w:type="dxa"/>
            <w:vAlign w:val="bottom"/>
            <w:gridSpan w:val="8"/>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D, Strike Price $4.59,</w:t>
            </w:r>
          </w:p>
        </w:tc>
        <w:tc>
          <w:tcPr>
            <w:tcW w:w="12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16,903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19,946</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93"/>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Expiration Date 2/14/2020</w:t>
            </w:r>
            <w:r>
              <w:rPr>
                <w:rFonts w:ascii="Times New Roman" w:cs="Times New Roman" w:eastAsia="Times New Roman" w:hAnsi="Times New Roman"/>
                <w:sz w:val="8"/>
                <w:szCs w:val="8"/>
                <w:color w:val="auto"/>
              </w:rPr>
              <w:t>(9)</w:t>
            </w: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4,146,653</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2,258,440</w:t>
            </w:r>
          </w:p>
        </w:tc>
        <w:tc>
          <w:tcPr>
            <w:tcW w:w="10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28"/>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EdSurge, Inc.</w:t>
            </w: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Burlingame, CA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120" w:type="dxa"/>
            <w:vAlign w:val="bottom"/>
          </w:tcPr>
          <w:p>
            <w:pPr>
              <w:spacing w:after="0"/>
              <w:rPr>
                <w:sz w:val="23"/>
                <w:szCs w:val="23"/>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Education Media Platform</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11/12/2015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378,788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501,360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70"/>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494,365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500,801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269,848</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00" w:type="dxa"/>
            <w:vAlign w:val="bottom"/>
            <w:tcBorders>
              <w:bottom w:val="single" w:sz="8" w:color="CCEEFF"/>
            </w:tcBorders>
            <w:gridSpan w:val="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1,002,161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519,848</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28"/>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Maven Research, Inc.</w:t>
            </w:r>
          </w:p>
        </w:tc>
        <w:tc>
          <w:tcPr>
            <w:tcW w:w="1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20" w:type="dxa"/>
            <w:vAlign w:val="bottom"/>
          </w:tcPr>
          <w:p>
            <w:pPr>
              <w:spacing w:after="0"/>
              <w:rPr>
                <w:sz w:val="23"/>
                <w:szCs w:val="23"/>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Knowledge Networks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7/2/2012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00" w:type="dxa"/>
            <w:vAlign w:val="bottom"/>
            <w:gridSpan w:val="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340" w:type="dxa"/>
            <w:vAlign w:val="bottom"/>
            <w:tcBorders>
              <w:top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Curious.com, Inc.</w:t>
            </w:r>
          </w:p>
        </w:tc>
        <w:tc>
          <w:tcPr>
            <w:tcW w:w="1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Menlo Park, CA</w:t>
            </w: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(15)</w:t>
            </w:r>
          </w:p>
        </w:tc>
        <w:tc>
          <w:tcPr>
            <w:tcW w:w="120" w:type="dxa"/>
            <w:vAlign w:val="bottom"/>
          </w:tcPr>
          <w:p>
            <w:pPr>
              <w:spacing w:after="0"/>
              <w:rPr>
                <w:sz w:val="23"/>
                <w:szCs w:val="23"/>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11/22/2013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1,135,944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8"/>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Declara, Inc.</w:t>
            </w:r>
          </w:p>
        </w:tc>
        <w:tc>
          <w:tcPr>
            <w:tcW w:w="120" w:type="dxa"/>
            <w:vAlign w:val="bottom"/>
            <w:shd w:val="clear" w:color="auto" w:fill="CCEEFF"/>
          </w:tcPr>
          <w:p>
            <w:pPr>
              <w:spacing w:after="0"/>
              <w:rPr>
                <w:sz w:val="21"/>
                <w:szCs w:val="21"/>
                <w:color w:val="auto"/>
              </w:rPr>
            </w:pPr>
          </w:p>
        </w:tc>
        <w:tc>
          <w:tcPr>
            <w:tcW w:w="2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Palo Alto, CA</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34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Convertible Promissory Note 12% Due 4/30/2018</w:t>
            </w:r>
            <w:r>
              <w:rPr>
                <w:rFonts w:ascii="Times New Roman" w:cs="Times New Roman" w:eastAsia="Times New Roman" w:hAnsi="Times New Roman"/>
                <w:sz w:val="8"/>
                <w:szCs w:val="8"/>
                <w:color w:val="auto"/>
              </w:rPr>
              <w:t>(4)(10)</w:t>
            </w:r>
          </w:p>
        </w:tc>
        <w:tc>
          <w:tcPr>
            <w:tcW w:w="120" w:type="dxa"/>
            <w:vAlign w:val="bottom"/>
          </w:tcPr>
          <w:p>
            <w:pPr>
              <w:spacing w:after="0"/>
              <w:rPr>
                <w:sz w:val="23"/>
                <w:szCs w:val="23"/>
                <w:color w:val="auto"/>
              </w:rPr>
            </w:pP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Social Cognitive Learning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12/30/2015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2,327,727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2,334,152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34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4/17/2014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10,716,390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9,999,999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300" w:type="dxa"/>
            <w:vAlign w:val="bottom"/>
            <w:gridSpan w:val="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12,334,151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7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5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5213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3782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42,333,854</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5,931,863</w:t>
            </w:r>
          </w:p>
        </w:tc>
        <w:tc>
          <w:tcPr>
            <w:tcW w:w="100" w:type="dxa"/>
            <w:vAlign w:val="bottom"/>
          </w:tcPr>
          <w:p>
            <w:pPr>
              <w:spacing w:after="0"/>
              <w:rPr>
                <w:sz w:val="16"/>
                <w:szCs w:val="16"/>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3.04%</w:t>
            </w:r>
          </w:p>
        </w:tc>
      </w:tr>
      <w:tr>
        <w:trPr>
          <w:trHeight w:val="289"/>
        </w:trPr>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5"/>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8"/>
                <w:szCs w:val="8"/>
                <w:color w:val="auto"/>
              </w:rPr>
              <w:t>(2)</w:t>
            </w:r>
          </w:p>
        </w:tc>
        <w:tc>
          <w:tcPr>
            <w:tcW w:w="27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8"/>
        </w:trPr>
        <w:tc>
          <w:tcPr>
            <w:tcW w:w="3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StormWind, LLC</w:t>
            </w:r>
            <w:r>
              <w:rPr>
                <w:rFonts w:ascii="Times New Roman" w:cs="Times New Roman" w:eastAsia="Times New Roman" w:hAnsi="Times New Roman"/>
                <w:sz w:val="8"/>
                <w:szCs w:val="8"/>
                <w:color w:val="auto"/>
              </w:rPr>
              <w:t>(5)</w:t>
            </w:r>
          </w:p>
        </w:tc>
        <w:tc>
          <w:tcPr>
            <w:tcW w:w="276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rPr>
              <w:t>Scottsdale, AZ</w:t>
            </w:r>
          </w:p>
        </w:tc>
        <w:tc>
          <w:tcPr>
            <w:tcW w:w="1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65"/>
        </w:trPr>
        <w:tc>
          <w:tcPr>
            <w:tcW w:w="30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Preferred shares, Series C 8%</w:t>
            </w:r>
          </w:p>
        </w:tc>
        <w:tc>
          <w:tcPr>
            <w:tcW w:w="276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Interactive Learning</w:t>
            </w:r>
          </w:p>
        </w:tc>
        <w:tc>
          <w:tcPr>
            <w:tcW w:w="14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1/7/2014</w:t>
            </w: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2,779,134</w:t>
            </w: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7,194,971</w:t>
            </w:r>
          </w:p>
        </w:tc>
        <w:tc>
          <w:tcPr>
            <w:tcW w:w="100" w:type="dxa"/>
            <w:vAlign w:val="bottom"/>
          </w:tcPr>
          <w:p>
            <w:pPr>
              <w:spacing w:after="0"/>
              <w:rPr>
                <w:sz w:val="23"/>
                <w:szCs w:val="23"/>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3.68%</w:t>
            </w:r>
          </w:p>
        </w:tc>
      </w:tr>
      <w:tr>
        <w:trPr>
          <w:trHeight w:val="275"/>
        </w:trPr>
        <w:tc>
          <w:tcPr>
            <w:tcW w:w="3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 8%</w:t>
            </w:r>
          </w:p>
        </w:tc>
        <w:tc>
          <w:tcPr>
            <w:tcW w:w="27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12/16/2011</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3,279,629</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5,770,328</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2.95%</w:t>
            </w:r>
          </w:p>
        </w:tc>
      </w:tr>
      <w:tr>
        <w:trPr>
          <w:trHeight w:val="265"/>
        </w:trPr>
        <w:tc>
          <w:tcPr>
            <w:tcW w:w="306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4"/>
                <w:szCs w:val="14"/>
                <w:color w:val="auto"/>
              </w:rPr>
              <w:t>Preferred shares, Series A 8%</w:t>
            </w:r>
          </w:p>
        </w:tc>
        <w:tc>
          <w:tcPr>
            <w:tcW w:w="276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center"/>
              <w:ind w:left="148"/>
              <w:spacing w:after="0"/>
              <w:rPr>
                <w:sz w:val="20"/>
                <w:szCs w:val="20"/>
                <w:color w:val="auto"/>
              </w:rPr>
            </w:pPr>
            <w:r>
              <w:rPr>
                <w:rFonts w:ascii="Times New Roman" w:cs="Times New Roman" w:eastAsia="Times New Roman" w:hAnsi="Times New Roman"/>
                <w:sz w:val="14"/>
                <w:szCs w:val="14"/>
                <w:color w:val="auto"/>
              </w:rPr>
              <w:t>2/25/2014</w:t>
            </w:r>
          </w:p>
        </w:tc>
        <w:tc>
          <w:tcPr>
            <w:tcW w:w="1060" w:type="dxa"/>
            <w:vAlign w:val="bottom"/>
            <w:tcBorders>
              <w:bottom w:val="single" w:sz="8" w:color="CCEEFF"/>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366,666</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421,525</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0.22%</w:t>
            </w:r>
          </w:p>
        </w:tc>
      </w:tr>
      <w:tr>
        <w:trPr>
          <w:trHeight w:val="264"/>
        </w:trPr>
        <w:tc>
          <w:tcPr>
            <w:tcW w:w="40" w:type="dxa"/>
            <w:vAlign w:val="bottom"/>
            <w:shd w:val="clear" w:color="auto" w:fill="CCEEFF"/>
          </w:tcPr>
          <w:p>
            <w:pPr>
              <w:spacing w:after="0"/>
              <w:rPr>
                <w:sz w:val="22"/>
                <w:szCs w:val="22"/>
                <w:color w:val="auto"/>
              </w:rPr>
            </w:pPr>
          </w:p>
        </w:tc>
        <w:tc>
          <w:tcPr>
            <w:tcW w:w="3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7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6,130,474</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13,386,824</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52139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5213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00" w:type="dxa"/>
            <w:vAlign w:val="bottom"/>
            <w:vMerge w:val="restart"/>
          </w:tcPr>
          <w:p>
            <w:pPr>
              <w:spacing w:after="0"/>
              <w:rPr>
                <w:sz w:val="13"/>
                <w:szCs w:val="13"/>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Initial</w:t>
            </w:r>
          </w:p>
        </w:tc>
        <w:tc>
          <w:tcPr>
            <w:tcW w:w="16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3"/>
                <w:szCs w:val="13"/>
                <w:color w:val="auto"/>
              </w:rPr>
            </w:pPr>
          </w:p>
        </w:tc>
        <w:tc>
          <w:tcPr>
            <w:tcW w:w="8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332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NestGSV, Inc. (d/b/a GSV Labs, Inc.)</w:t>
            </w:r>
          </w:p>
        </w:tc>
        <w:tc>
          <w:tcPr>
            <w:tcW w:w="2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San Mateo, CA</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Convertible Promissory Note 12% Due 12/31/2019***</w:t>
            </w:r>
          </w:p>
        </w:tc>
        <w:tc>
          <w:tcPr>
            <w:tcW w:w="2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2/17/2016</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936,525</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951,436</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936,525</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0.48 %</w:t>
            </w:r>
          </w:p>
        </w:tc>
        <w:tc>
          <w:tcPr>
            <w:tcW w:w="0" w:type="dxa"/>
            <w:vAlign w:val="bottom"/>
          </w:tcPr>
          <w:p>
            <w:pPr>
              <w:spacing w:after="0"/>
              <w:rPr>
                <w:sz w:val="1"/>
                <w:szCs w:val="1"/>
                <w:color w:val="auto"/>
              </w:rPr>
            </w:pPr>
          </w:p>
        </w:tc>
      </w:tr>
      <w:tr>
        <w:trPr>
          <w:trHeight w:val="139"/>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(14)</w:t>
            </w:r>
          </w:p>
        </w:tc>
        <w:tc>
          <w:tcPr>
            <w:tcW w:w="2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A-4</w:t>
            </w: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10/6/2014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3,720,424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4,904,498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4,960,553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265"/>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Preferred shares, Series A-3</w:t>
            </w: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4/4/2014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1,561,625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2,005,730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1,735,134</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0" w:type="dxa"/>
            <w:vAlign w:val="bottom"/>
          </w:tcPr>
          <w:p>
            <w:pPr>
              <w:spacing w:after="0"/>
              <w:rPr>
                <w:sz w:val="1"/>
                <w:szCs w:val="1"/>
                <w:color w:val="auto"/>
              </w:rPr>
            </w:pPr>
          </w:p>
        </w:tc>
      </w:tr>
      <w:tr>
        <w:trPr>
          <w:trHeight w:val="275"/>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A-2</w:t>
            </w: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7/15/2013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450,001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605,500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265"/>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5/25/2012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1,021,778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499,999</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0.26 %</w:t>
            </w:r>
          </w:p>
        </w:tc>
        <w:tc>
          <w:tcPr>
            <w:tcW w:w="0" w:type="dxa"/>
            <w:vAlign w:val="bottom"/>
          </w:tcPr>
          <w:p>
            <w:pPr>
              <w:spacing w:after="0"/>
              <w:rPr>
                <w:sz w:val="1"/>
                <w:szCs w:val="1"/>
                <w:color w:val="auto"/>
              </w:rPr>
            </w:pPr>
          </w:p>
        </w:tc>
      </w:tr>
      <w:tr>
        <w:trPr>
          <w:trHeight w:val="275"/>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7/1/2014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3"/>
        </w:trPr>
        <w:tc>
          <w:tcPr>
            <w:tcW w:w="3420" w:type="dxa"/>
            <w:vAlign w:val="bottom"/>
            <w:gridSpan w:val="6"/>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Warrants Series A-3, Strike Price $1.33,</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4/4/2014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187,500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26,250</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0" w:type="dxa"/>
            <w:vAlign w:val="bottom"/>
          </w:tcPr>
          <w:p>
            <w:pPr>
              <w:spacing w:after="0"/>
              <w:rPr>
                <w:sz w:val="1"/>
                <w:szCs w:val="1"/>
                <w:color w:val="auto"/>
              </w:rPr>
            </w:pPr>
          </w:p>
        </w:tc>
      </w:tr>
      <w:tr>
        <w:trPr>
          <w:trHeight w:val="193"/>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Expiration Date 4/4/2021</w:t>
            </w:r>
            <w:r>
              <w:rPr>
                <w:rFonts w:ascii="Times New Roman" w:cs="Times New Roman" w:eastAsia="Times New Roman" w:hAnsi="Times New Roman"/>
                <w:sz w:val="8"/>
                <w:szCs w:val="8"/>
                <w:color w:val="auto"/>
              </w:rPr>
              <w:t>(14)</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20" w:type="dxa"/>
            <w:vAlign w:val="bottom"/>
            <w:gridSpan w:val="6"/>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A-4, Strike Price $1.33,</w:t>
            </w:r>
          </w:p>
        </w:tc>
        <w:tc>
          <w:tcPr>
            <w:tcW w:w="2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10/6/2014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145,000</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0" w:type="dxa"/>
            <w:vAlign w:val="bottom"/>
          </w:tcPr>
          <w:p>
            <w:pPr>
              <w:spacing w:after="0"/>
              <w:rPr>
                <w:sz w:val="1"/>
                <w:szCs w:val="1"/>
                <w:color w:val="auto"/>
              </w:rPr>
            </w:pPr>
          </w:p>
        </w:tc>
      </w:tr>
      <w:tr>
        <w:trPr>
          <w:trHeight w:val="198"/>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Expiration Date 10/6/2021</w:t>
            </w:r>
            <w:r>
              <w:rPr>
                <w:rFonts w:ascii="Times New Roman" w:cs="Times New Roman" w:eastAsia="Times New Roman" w:hAnsi="Times New Roman"/>
                <w:sz w:val="8"/>
                <w:szCs w:val="8"/>
                <w:color w:val="auto"/>
              </w:rPr>
              <w:t>(14)</w:t>
            </w: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20" w:type="dxa"/>
            <w:vAlign w:val="bottom"/>
            <w:gridSpan w:val="6"/>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Warrants Series A-4, Strike Price $1.33,</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7/8/2016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74,380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0" w:type="dxa"/>
            <w:vAlign w:val="bottom"/>
          </w:tcPr>
          <w:p>
            <w:pPr>
              <w:spacing w:after="0"/>
              <w:rPr>
                <w:sz w:val="1"/>
                <w:szCs w:val="1"/>
                <w:color w:val="auto"/>
              </w:rPr>
            </w:pPr>
          </w:p>
        </w:tc>
      </w:tr>
      <w:tr>
        <w:trPr>
          <w:trHeight w:val="193"/>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Expiration Date 7/18/2021</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20" w:type="dxa"/>
            <w:vAlign w:val="bottom"/>
            <w:gridSpan w:val="6"/>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B, Strike Price $2.31,</w:t>
            </w:r>
          </w:p>
        </w:tc>
        <w:tc>
          <w:tcPr>
            <w:tcW w:w="2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11/29/2016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29,275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98"/>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Expiration Date 11/29/2021</w:t>
            </w:r>
          </w:p>
        </w:tc>
        <w:tc>
          <w:tcPr>
            <w:tcW w:w="2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20" w:type="dxa"/>
            <w:vAlign w:val="bottom"/>
            <w:gridSpan w:val="6"/>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 Series B, Strike Price $2.31,</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5/29/2017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70,379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93"/>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Expiration Date 5/29/2022</w:t>
            </w: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420" w:type="dxa"/>
            <w:vAlign w:val="bottom"/>
            <w:gridSpan w:val="6"/>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 Series B–Strike Price $2.31,</w:t>
            </w:r>
          </w:p>
        </w:tc>
        <w:tc>
          <w:tcPr>
            <w:tcW w:w="2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12/31/2018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0" w:type="dxa"/>
            <w:vAlign w:val="bottom"/>
          </w:tcPr>
          <w:p>
            <w:pPr>
              <w:spacing w:after="0"/>
              <w:rPr>
                <w:sz w:val="1"/>
                <w:szCs w:val="1"/>
                <w:color w:val="auto"/>
              </w:rPr>
            </w:pPr>
          </w:p>
        </w:tc>
      </w:tr>
      <w:tr>
        <w:trPr>
          <w:trHeight w:val="193"/>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Expiration Date 12/31/2023</w:t>
            </w:r>
            <w:r>
              <w:rPr>
                <w:rFonts w:ascii="Times New Roman" w:cs="Times New Roman" w:eastAsia="Times New Roman" w:hAnsi="Times New Roman"/>
                <w:sz w:val="8"/>
                <w:szCs w:val="8"/>
                <w:color w:val="auto"/>
              </w:rPr>
              <w:t>(14)</w:t>
            </w: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338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9,669,056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8,679,711</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4.44 %</w:t>
            </w:r>
          </w:p>
        </w:tc>
        <w:tc>
          <w:tcPr>
            <w:tcW w:w="0" w:type="dxa"/>
            <w:vAlign w:val="bottom"/>
          </w:tcPr>
          <w:p>
            <w:pPr>
              <w:spacing w:after="0"/>
              <w:rPr>
                <w:sz w:val="1"/>
                <w:szCs w:val="1"/>
                <w:color w:val="auto"/>
              </w:rPr>
            </w:pPr>
          </w:p>
        </w:tc>
      </w:tr>
      <w:tr>
        <w:trPr>
          <w:trHeight w:val="147"/>
        </w:trPr>
        <w:tc>
          <w:tcPr>
            <w:tcW w:w="3420" w:type="dxa"/>
            <w:vAlign w:val="bottom"/>
            <w:gridSpan w:val="6"/>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SPBRX, INC. (f/k/a GSV Sustainability Partners,</w:t>
            </w:r>
          </w:p>
        </w:tc>
        <w:tc>
          <w:tcPr>
            <w:tcW w:w="24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Woodside, CA</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Inc.)</w:t>
            </w:r>
          </w:p>
        </w:tc>
        <w:tc>
          <w:tcPr>
            <w:tcW w:w="2740" w:type="dxa"/>
            <w:vAlign w:val="bottom"/>
            <w:tcBorders>
              <w:top w:val="single" w:sz="8" w:color="auto"/>
              <w:bottom w:val="single" w:sz="8" w:color="CCEEFF"/>
            </w:tcBorders>
            <w:gridSpan w:val="2"/>
            <w:shd w:val="clear" w:color="auto" w:fill="CCEEFF"/>
          </w:tcPr>
          <w:p>
            <w:pPr>
              <w:spacing w:after="0"/>
              <w:rPr>
                <w:sz w:val="12"/>
                <w:szCs w:val="12"/>
                <w:color w:val="auto"/>
              </w:rPr>
            </w:pPr>
          </w:p>
        </w:tc>
        <w:tc>
          <w:tcPr>
            <w:tcW w:w="3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400" w:type="dxa"/>
            <w:vAlign w:val="bottom"/>
            <w:tcBorders>
              <w:top w:val="single" w:sz="8" w:color="CCEEFF"/>
              <w:bottom w:val="single" w:sz="8" w:color="CCEEFF"/>
            </w:tcBorders>
            <w:gridSpan w:val="2"/>
            <w:vMerge w:val="continue"/>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342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Preferred shares, Class A***</w:t>
            </w:r>
            <w:r>
              <w:rPr>
                <w:rFonts w:ascii="Times New Roman" w:cs="Times New Roman" w:eastAsia="Times New Roman" w:hAnsi="Times New Roman"/>
                <w:sz w:val="8"/>
                <w:szCs w:val="8"/>
                <w:color w:val="auto"/>
              </w:rPr>
              <w:t>(16)</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Clean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14,300,000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7,151,412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750,198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0" w:type="dxa"/>
            <w:vAlign w:val="bottom"/>
          </w:tcPr>
          <w:p>
            <w:pPr>
              <w:spacing w:after="0"/>
              <w:rPr>
                <w:sz w:val="1"/>
                <w:szCs w:val="1"/>
                <w:color w:val="auto"/>
              </w:rPr>
            </w:pPr>
          </w:p>
        </w:tc>
      </w:tr>
      <w:tr>
        <w:trPr>
          <w:trHeight w:val="270"/>
        </w:trPr>
        <w:tc>
          <w:tcPr>
            <w:tcW w:w="34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4/15/2014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38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7,161,412</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750,198</w:t>
            </w:r>
          </w:p>
        </w:tc>
        <w:tc>
          <w:tcPr>
            <w:tcW w:w="10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0.38 %</w:t>
            </w:r>
          </w:p>
        </w:tc>
        <w:tc>
          <w:tcPr>
            <w:tcW w:w="0" w:type="dxa"/>
            <w:vAlign w:val="bottom"/>
          </w:tcPr>
          <w:p>
            <w:pPr>
              <w:spacing w:after="0"/>
              <w:rPr>
                <w:sz w:val="1"/>
                <w:szCs w:val="1"/>
                <w:color w:val="auto"/>
              </w:rPr>
            </w:pPr>
          </w:p>
        </w:tc>
      </w:tr>
      <w:tr>
        <w:trPr>
          <w:trHeight w:val="269"/>
        </w:trPr>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22,960,942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22,816,733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11.68 %</w:t>
            </w:r>
          </w:p>
        </w:tc>
      </w:tr>
      <w:tr>
        <w:trPr>
          <w:trHeight w:val="289"/>
        </w:trPr>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3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171,164,403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198,815,829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101.76 %</w:t>
            </w:r>
          </w:p>
        </w:tc>
      </w:tr>
      <w:tr>
        <w:trPr>
          <w:trHeight w:val="275"/>
        </w:trPr>
        <w:tc>
          <w:tcPr>
            <w:tcW w:w="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3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w:t>
            </w:r>
          </w:p>
        </w:tc>
        <w:tc>
          <w:tcPr>
            <w:tcW w:w="3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84"/>
        </w:trPr>
        <w:tc>
          <w:tcPr>
            <w:tcW w:w="3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bills, 0%, due 1/3/2019***</w:t>
            </w:r>
            <w:r>
              <w:rPr>
                <w:rFonts w:ascii="Times New Roman" w:cs="Times New Roman" w:eastAsia="Times New Roman" w:hAnsi="Times New Roman"/>
                <w:sz w:val="8"/>
                <w:szCs w:val="8"/>
                <w:color w:val="auto"/>
              </w:rPr>
              <w:t>(3)</w:t>
            </w:r>
          </w:p>
        </w:tc>
        <w:tc>
          <w:tcPr>
            <w:tcW w:w="3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12/27/2018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100,000,000</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99,982,067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99,994,000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51.18 %</w:t>
            </w:r>
          </w:p>
        </w:tc>
      </w:tr>
      <w:tr>
        <w:trPr>
          <w:trHeight w:val="284"/>
        </w:trPr>
        <w:tc>
          <w:tcPr>
            <w:tcW w:w="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540" w:type="dxa"/>
            <w:vAlign w:val="bottom"/>
            <w:tcBorders>
              <w:bottom w:val="single" w:sz="8" w:color="CCEEFF"/>
            </w:tcBorders>
          </w:tcPr>
          <w:p>
            <w:pPr>
              <w:spacing w:after="0"/>
              <w:rPr>
                <w:sz w:val="24"/>
                <w:szCs w:val="24"/>
                <w:color w:val="auto"/>
              </w:rPr>
            </w:pPr>
          </w:p>
        </w:tc>
        <w:tc>
          <w:tcPr>
            <w:tcW w:w="3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0"/>
        </w:trPr>
        <w:tc>
          <w:tcPr>
            <w:tcW w:w="3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3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271,146,470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298,809,829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152.94 %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96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-1430655</wp:posOffset>
            </wp:positionV>
            <wp:extent cx="2101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1"/>
          <w:szCs w:val="11"/>
          <w:color w:val="auto"/>
        </w:rPr>
        <w:t>__________________________________________</w:t>
      </w:r>
    </w:p>
    <w:p>
      <w:pPr>
        <w:jc w:val="both"/>
        <w:ind w:left="500" w:hanging="492"/>
        <w:spacing w:after="0" w:line="273" w:lineRule="auto"/>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spacing w:after="0" w:line="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500" w:right="20" w:hanging="492"/>
        <w:spacing w:after="0" w:line="253" w:lineRule="auto"/>
        <w:tabs>
          <w:tab w:leader="none" w:pos="5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GSV Capital Corp. believes do not represent “qualifying assets” under Section 55(a) of the Investment Company Act of 1940, as amended (the “1940 Act”). Of GSV Capital Corp.’s total investments as of December 31, 2018, 14.92% of its total investments are non-qualifying assets.</w:t>
      </w:r>
    </w:p>
    <w:p>
      <w:pPr>
        <w:ind w:left="500" w:hanging="492"/>
        <w:spacing w:after="0"/>
        <w:tabs>
          <w:tab w:leader="none" w:pos="5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76" w:lineRule="exact"/>
        <w:rPr>
          <w:sz w:val="20"/>
          <w:szCs w:val="20"/>
          <w:color w:val="auto"/>
        </w:rPr>
      </w:pPr>
    </w:p>
    <w:p>
      <w:pPr>
        <w:jc w:val="both"/>
        <w:ind w:left="500" w:hanging="492"/>
        <w:spacing w:after="0" w:line="258" w:lineRule="auto"/>
        <w:tabs>
          <w:tab w:leader="none" w:pos="5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ectPr>
          <w:pgSz w:w="11900" w:h="16838" w:orient="portrait"/>
          <w:cols w:equalWidth="0" w:num="1">
            <w:col w:w="11420"/>
          </w:cols>
          <w:pgMar w:left="240" w:top="11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8" w:right="239" w:bottom="1440" w:gutter="0" w:footer="0" w:header="0"/>
          <w:type w:val="continuous"/>
        </w:sectPr>
      </w:pPr>
    </w:p>
    <w:bookmarkStart w:id="82" w:name="page83"/>
    <w:bookmarkEnd w:id="8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84" w:lineRule="exact"/>
        <w:rPr>
          <w:sz w:val="20"/>
          <w:szCs w:val="20"/>
          <w:color w:val="auto"/>
        </w:rPr>
      </w:pPr>
    </w:p>
    <w:p>
      <w:pPr>
        <w:jc w:val="both"/>
        <w:ind w:left="500" w:hanging="492"/>
        <w:spacing w:after="0" w:line="258"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5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or Level 2 and valued using observable inputs.</w:t>
      </w:r>
    </w:p>
    <w:p>
      <w:pPr>
        <w:spacing w:after="0" w:line="19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2018, the investments noted had been placed on non-accrual status.</w:t>
      </w:r>
    </w:p>
    <w:p>
      <w:pPr>
        <w:spacing w:after="0" w:line="19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investments in StormWind, LLC are held through GSV Capital Corp.'s wholly owned subsidiary, GSVC SW Holdings, Inc.</w:t>
      </w:r>
    </w:p>
    <w:p>
      <w:pPr>
        <w:spacing w:after="0" w:line="194"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55"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14, 2018, as disclosed in its Amendment No. 1 to its Form F-1 Registration Statement filed in connection with its direct listing, Spotify Technology S.A. effectuated a 40:1 stock split of its ordinary shares, beneficiary certificates and any other of its outstanding securities. On April 3, 2018, Spotify Technology S.A., registered for resale up to 55,731,480 ordinary shares by the registered shareholders in a direct listing. GSV Capital Corp.'s common shares of Spotify Technology S.A. are considered unrestricted as they are not subject to restriction upon sale. At December 31, 2018, GSV Capital Corp. valued its common shares of Spotify Technology S.A. based on its December 31, 2018 closing price.</w:t>
      </w:r>
    </w:p>
    <w:p>
      <w:pPr>
        <w:spacing w:after="0" w:line="157" w:lineRule="exact"/>
        <w:rPr>
          <w:rFonts w:ascii="Times New Roman" w:cs="Times New Roman" w:eastAsia="Times New Roman" w:hAnsi="Times New Roman"/>
          <w:sz w:val="16"/>
          <w:szCs w:val="16"/>
          <w:color w:val="auto"/>
        </w:rPr>
      </w:pPr>
    </w:p>
    <w:p>
      <w:pPr>
        <w:jc w:val="both"/>
        <w:ind w:left="500" w:hanging="492"/>
        <w:spacing w:after="0" w:line="255"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7, 2018, as disclosed in its Amendment No. 1 to its Form S-1 Registration Statement filed in connection with its initial public offering, Dropbox, Inc. effectuated a 1:1.5 reverse stock split of its capital stock. On March 23, 2018, Dropbox, Inc. priced its initial public offering for 26,822,409 Class A common shares at a price of $21.00 per share. Dropbox, Inc., also registered for resale up to 9,177,591 Class A common shares by the registered shareholders. As of August 23, 2018 GSV Capital Corp.'s shares of common stock in Dropbox, Inc. were no longer restricted. At December 31, 2018, GSV Capital Corp. valued its common shares of Dropbox, Inc. based on its December 31, 2018 closing price.</w:t>
      </w:r>
    </w:p>
    <w:p>
      <w:pPr>
        <w:spacing w:after="0" w:line="157"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60"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369" w:lineRule="exact"/>
        <w:rPr>
          <w:rFonts w:ascii="Times New Roman" w:cs="Times New Roman" w:eastAsia="Times New Roman" w:hAnsi="Times New Roman"/>
          <w:sz w:val="16"/>
          <w:szCs w:val="16"/>
          <w:color w:val="auto"/>
        </w:rPr>
      </w:pPr>
    </w:p>
    <w:p>
      <w:pPr>
        <w:jc w:val="both"/>
        <w:ind w:left="500" w:hanging="492"/>
        <w:spacing w:after="0" w:line="278" w:lineRule="auto"/>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w:t>
      </w:r>
      <w:r>
        <w:rPr>
          <w:rFonts w:ascii="Times New Roman" w:cs="Times New Roman" w:eastAsia="Times New Roman" w:hAnsi="Times New Roman"/>
          <w:sz w:val="16"/>
          <w:szCs w:val="16"/>
          <w:color w:val="auto"/>
        </w:rPr>
        <w:t>ctive April 9, 2018, the term of Ozy Media Inc.'s notes were extended through the issuance of a new convertible promissory note, which extended the maturity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December 31, 2018, Ozy Media Inc.'s obligations under its financing arrangements with the Company became past due.</w:t>
      </w:r>
    </w:p>
    <w:p>
      <w:pPr>
        <w:spacing w:after="0" w:line="155" w:lineRule="exact"/>
        <w:rPr>
          <w:rFonts w:ascii="Times New Roman" w:cs="Times New Roman" w:eastAsia="Times New Roman" w:hAnsi="Times New Roman"/>
          <w:sz w:val="18"/>
          <w:szCs w:val="18"/>
          <w:color w:val="auto"/>
        </w:rPr>
      </w:pPr>
    </w:p>
    <w:p>
      <w:pPr>
        <w:ind w:left="500" w:hanging="492"/>
        <w:spacing w:after="0" w:line="281"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23, 2018, Knewton, Inc. issued an 8% unsecured convertible promissory amount with a principal amount of $134,405 and a maturity date of December 31, 2019 to GSV Capital Corp.</w:t>
      </w:r>
    </w:p>
    <w:p>
      <w:pPr>
        <w:spacing w:after="0" w:line="13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15, 2018 GSV Capital Corp. exercised its 770,934 warrants to purchase shares of SharesPost, Inc.'s common stock, with a $0.13 strike price.</w:t>
      </w:r>
    </w:p>
    <w:p>
      <w:pPr>
        <w:spacing w:after="0" w:line="194" w:lineRule="exact"/>
        <w:rPr>
          <w:rFonts w:ascii="Times New Roman" w:cs="Times New Roman" w:eastAsia="Times New Roman" w:hAnsi="Times New Roman"/>
          <w:sz w:val="16"/>
          <w:szCs w:val="16"/>
          <w:color w:val="auto"/>
        </w:rPr>
      </w:pPr>
    </w:p>
    <w:p>
      <w:pPr>
        <w:jc w:val="both"/>
        <w:ind w:left="500" w:hanging="492"/>
        <w:spacing w:after="0" w:line="253" w:lineRule="auto"/>
        <w:tabs>
          <w:tab w:leader="none" w:pos="5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184" w:lineRule="exact"/>
        <w:rPr>
          <w:sz w:val="20"/>
          <w:szCs w:val="20"/>
          <w:color w:val="auto"/>
        </w:rPr>
      </w:pPr>
    </w:p>
    <w:p>
      <w:pPr>
        <w:ind w:left="500" w:right="20" w:hanging="492"/>
        <w:spacing w:after="0" w:line="281" w:lineRule="auto"/>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36"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1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tcPr>
          <w:p>
            <w:pPr>
              <w:spacing w:after="0"/>
              <w:rPr>
                <w:sz w:val="13"/>
                <w:szCs w:val="1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195"/>
        </w:trPr>
        <w:tc>
          <w:tcPr>
            <w:tcW w:w="3540" w:type="dxa"/>
            <w:vAlign w:val="bottom"/>
            <w:gridSpan w:val="16"/>
            <w:vMerge w:val="continue"/>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55"/>
        </w:trPr>
        <w:tc>
          <w:tcPr>
            <w:tcW w:w="3540" w:type="dxa"/>
            <w:vAlign w:val="bottom"/>
            <w:tcBorders>
              <w:top w:val="single" w:sz="8" w:color="auto"/>
            </w:tcBorders>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Palantir Technologies,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Palo Alto,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 Class A</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Data Analysis</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5,773,690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16,189,935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35,075,759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Spotify Technology S.A.**</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Stockholm, Sweden</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Music Streaming</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10,002,084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30,729,068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Coursera,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Mountain View,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2,961,399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14,519,519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18,360,674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Dropbox,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Cloud Computing Services</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552,486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5,015,773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7,524,859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65"/>
        </w:trPr>
        <w:tc>
          <w:tcPr>
            <w:tcW w:w="3540" w:type="dxa"/>
            <w:vAlign w:val="bottom"/>
            <w:tcBorders>
              <w:bottom w:val="single" w:sz="8" w:color="CCEEFF"/>
            </w:tcBorders>
            <w:gridSpan w:val="16"/>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Borders>
              <w:bottom w:val="single" w:sz="8" w:color="CCEEFF"/>
            </w:tcBorders>
          </w:tcPr>
          <w:p>
            <w:pPr>
              <w:spacing w:after="0"/>
              <w:rPr>
                <w:sz w:val="23"/>
                <w:szCs w:val="23"/>
                <w:color w:val="auto"/>
              </w:rPr>
            </w:pPr>
          </w:p>
        </w:tc>
        <w:tc>
          <w:tcPr>
            <w:tcW w:w="27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760,000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8,641,153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10,350,837</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13,656,926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17,875,696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228"/>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General Assembly Space,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C</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126,552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2,999,978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5,281,440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65"/>
        </w:trPr>
        <w:tc>
          <w:tcPr>
            <w:tcW w:w="3540" w:type="dxa"/>
            <w:vAlign w:val="bottom"/>
            <w:tcBorders>
              <w:bottom w:val="single" w:sz="8" w:color="CCEEFF"/>
            </w:tcBorders>
            <w:gridSpan w:val="16"/>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Borders>
              <w:bottom w:val="single" w:sz="8" w:color="CCEEFF"/>
            </w:tcBorders>
          </w:tcPr>
          <w:p>
            <w:pPr>
              <w:spacing w:after="0"/>
              <w:rPr>
                <w:sz w:val="23"/>
                <w:szCs w:val="23"/>
                <w:color w:val="auto"/>
              </w:rPr>
            </w:pPr>
          </w:p>
        </w:tc>
        <w:tc>
          <w:tcPr>
            <w:tcW w:w="27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133,213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2,999,983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5,559,426</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5,999,961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10,840,866</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228"/>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Lyft,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On-Demand Transportation Services</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128,563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2,503,585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4,269,577</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65"/>
        </w:trPr>
        <w:tc>
          <w:tcPr>
            <w:tcW w:w="3540" w:type="dxa"/>
            <w:vAlign w:val="bottom"/>
            <w:tcBorders>
              <w:bottom w:val="single" w:sz="8" w:color="CCEEFF"/>
            </w:tcBorders>
            <w:gridSpan w:val="16"/>
          </w:tcPr>
          <w:p>
            <w:pPr>
              <w:ind w:left="40"/>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20" w:type="dxa"/>
            <w:vAlign w:val="bottom"/>
            <w:tcBorders>
              <w:bottom w:val="single" w:sz="8" w:color="CCEEFF"/>
            </w:tcBorders>
          </w:tcPr>
          <w:p>
            <w:pPr>
              <w:spacing w:after="0"/>
              <w:rPr>
                <w:sz w:val="23"/>
                <w:szCs w:val="23"/>
                <w:color w:val="auto"/>
              </w:rPr>
            </w:pPr>
          </w:p>
        </w:tc>
        <w:tc>
          <w:tcPr>
            <w:tcW w:w="27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176,266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1,792,749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5,853,938</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4,296,334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10,123,515</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28"/>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Course Hero,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Redwood City,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2,145,509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10,041,426</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Chegg, Inc.**</w:t>
            </w:r>
          </w:p>
        </w:tc>
        <w:tc>
          <w:tcPr>
            <w:tcW w:w="120" w:type="dxa"/>
            <w:vAlign w:val="bottom"/>
          </w:tcPr>
          <w:p>
            <w:pPr>
              <w:spacing w:after="0"/>
              <w:rPr>
                <w:sz w:val="19"/>
                <w:szCs w:val="19"/>
                <w:color w:val="auto"/>
              </w:rPr>
            </w:pP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Santa Clara,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r>
              <w:rPr>
                <w:rFonts w:ascii="Times New Roman" w:cs="Times New Roman" w:eastAsia="Times New Roman" w:hAnsi="Times New Roman"/>
                <w:sz w:val="8"/>
                <w:szCs w:val="8"/>
                <w:color w:val="auto"/>
              </w:rPr>
              <w:t>(3)(11)</w:t>
            </w:r>
          </w:p>
        </w:tc>
        <w:tc>
          <w:tcPr>
            <w:tcW w:w="120" w:type="dxa"/>
            <w:vAlign w:val="bottom"/>
            <w:shd w:val="clear" w:color="auto" w:fill="CCEEFF"/>
          </w:tcPr>
          <w:p>
            <w:pPr>
              <w:spacing w:after="0"/>
              <w:rPr>
                <w:sz w:val="24"/>
                <w:szCs w:val="24"/>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 Services</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6,008,468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8,160,000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Avenues Global Holdings, LLC</w:t>
            </w:r>
            <w:r>
              <w:rPr>
                <w:rFonts w:ascii="Times New Roman" w:cs="Times New Roman" w:eastAsia="Times New Roman" w:hAnsi="Times New Roman"/>
                <w:sz w:val="8"/>
                <w:szCs w:val="8"/>
                <w:color w:val="auto"/>
              </w:rPr>
              <w:t>(4)</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Junior Preferred Stock</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Globally-Focused Private School</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10,014,270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10,151,854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5,908,419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Parchment,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Scottsdale, AZ</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E-Transcript Exchange</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3,200,512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4,000,982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5,583,562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Enjoy Technology,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Menlo Park,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On-Demand Commerce</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1,681,520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4,000,280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3,929,210</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65"/>
        </w:trPr>
        <w:tc>
          <w:tcPr>
            <w:tcW w:w="3540" w:type="dxa"/>
            <w:vAlign w:val="bottom"/>
            <w:tcBorders>
              <w:bottom w:val="single" w:sz="8" w:color="CCEEFF"/>
            </w:tcBorders>
            <w:gridSpan w:val="16"/>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Borders>
              <w:bottom w:val="single" w:sz="8" w:color="CCEEFF"/>
            </w:tcBorders>
          </w:tcPr>
          <w:p>
            <w:pPr>
              <w:spacing w:after="0"/>
              <w:rPr>
                <w:sz w:val="23"/>
                <w:szCs w:val="23"/>
                <w:color w:val="auto"/>
              </w:rPr>
            </w:pPr>
          </w:p>
        </w:tc>
        <w:tc>
          <w:tcPr>
            <w:tcW w:w="27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879,198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1,002,440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1,190,998</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5,002,720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5,120,208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28"/>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Knewton,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New York, NY</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375,985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4,999,999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3,597,034</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SugarCRM,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Cupertino,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E</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Customer Relationship Manager</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373,134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1,500,522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1,838,912</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265"/>
        </w:trPr>
        <w:tc>
          <w:tcPr>
            <w:tcW w:w="3540" w:type="dxa"/>
            <w:vAlign w:val="bottom"/>
            <w:tcBorders>
              <w:bottom w:val="single" w:sz="8" w:color="CCEEFF"/>
            </w:tcBorders>
            <w:gridSpan w:val="16"/>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Borders>
              <w:bottom w:val="single" w:sz="8" w:color="CCEEFF"/>
            </w:tcBorders>
          </w:tcPr>
          <w:p>
            <w:pPr>
              <w:spacing w:after="0"/>
              <w:rPr>
                <w:sz w:val="23"/>
                <w:szCs w:val="23"/>
                <w:color w:val="auto"/>
              </w:rPr>
            </w:pPr>
          </w:p>
        </w:tc>
        <w:tc>
          <w:tcPr>
            <w:tcW w:w="27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1,524,799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5,476,502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1,384,956</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6,977,024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3,223,868</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28"/>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A Place for Rover Inc. (f/k/a DogVacay, Inc.)</w:t>
            </w:r>
            <w:r>
              <w:rPr>
                <w:rFonts w:ascii="Times New Roman" w:cs="Times New Roman" w:eastAsia="Times New Roman" w:hAnsi="Times New Roman"/>
                <w:sz w:val="8"/>
                <w:szCs w:val="8"/>
                <w:color w:val="auto"/>
              </w:rPr>
              <w:t>(7)</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Seattle, WA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Peer-to-Peer Pet Services</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707,991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2,506,119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3,130,348</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30"/>
        </w:trPr>
        <w:tc>
          <w:tcPr>
            <w:tcW w:w="3540" w:type="dxa"/>
            <w:vAlign w:val="bottom"/>
            <w:gridSpan w:val="16"/>
          </w:tcPr>
          <w:p>
            <w:pPr>
              <w:ind w:left="40"/>
              <w:spacing w:after="0"/>
              <w:rPr>
                <w:sz w:val="20"/>
                <w:szCs w:val="20"/>
                <w:color w:val="auto"/>
              </w:rPr>
            </w:pPr>
            <w:r>
              <w:rPr>
                <w:rFonts w:ascii="Times New Roman" w:cs="Times New Roman" w:eastAsia="Times New Roman" w:hAnsi="Times New Roman"/>
                <w:sz w:val="14"/>
                <w:szCs w:val="14"/>
                <w:b w:val="1"/>
                <w:bCs w:val="1"/>
                <w:color w:val="auto"/>
              </w:rPr>
              <w:t>SharesPost, Inc.</w:t>
            </w:r>
          </w:p>
        </w:tc>
        <w:tc>
          <w:tcPr>
            <w:tcW w:w="120" w:type="dxa"/>
            <w:vAlign w:val="bottom"/>
          </w:tcPr>
          <w:p>
            <w:pPr>
              <w:spacing w:after="0"/>
              <w:rPr>
                <w:sz w:val="19"/>
                <w:szCs w:val="19"/>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gridSpan w:val="16"/>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Online Marketplace Finance</w:t>
            </w: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1,771,653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2,259,716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2,249,999</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53"/>
        </w:trPr>
        <w:tc>
          <w:tcPr>
            <w:tcW w:w="3540" w:type="dxa"/>
            <w:vAlign w:val="bottom"/>
            <w:gridSpan w:val="16"/>
          </w:tcPr>
          <w:p>
            <w:pPr>
              <w:ind w:left="40"/>
              <w:spacing w:after="0" w:line="153" w:lineRule="exact"/>
              <w:rPr>
                <w:sz w:val="20"/>
                <w:szCs w:val="20"/>
                <w:color w:val="auto"/>
              </w:rPr>
            </w:pPr>
            <w:r>
              <w:rPr>
                <w:rFonts w:ascii="Times New Roman" w:cs="Times New Roman" w:eastAsia="Times New Roman" w:hAnsi="Times New Roman"/>
                <w:sz w:val="14"/>
                <w:szCs w:val="14"/>
                <w:color w:val="auto"/>
              </w:rPr>
              <w:t>Common warrants, $0.13 Strike Price,</w:t>
            </w: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770,934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23,128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46,256</w:t>
            </w: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93"/>
        </w:trPr>
        <w:tc>
          <w:tcPr>
            <w:tcW w:w="4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gridSpan w:val="15"/>
          </w:tcPr>
          <w:p>
            <w:pPr>
              <w:ind w:left="160"/>
              <w:spacing w:after="0"/>
              <w:rPr>
                <w:sz w:val="20"/>
                <w:szCs w:val="20"/>
                <w:color w:val="auto"/>
              </w:rPr>
            </w:pPr>
            <w:r>
              <w:rPr>
                <w:rFonts w:ascii="Times New Roman" w:cs="Times New Roman" w:eastAsia="Times New Roman" w:hAnsi="Times New Roman"/>
                <w:sz w:val="14"/>
                <w:szCs w:val="14"/>
                <w:color w:val="auto"/>
              </w:rPr>
              <w:t>Expiration Date 6/15/2018</w:t>
            </w: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500" w:type="dxa"/>
            <w:vAlign w:val="bottom"/>
            <w:gridSpan w:val="1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2,282,844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2,296,255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-1276985</wp:posOffset>
            </wp:positionV>
            <wp:extent cx="48710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48710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-4415790</wp:posOffset>
            </wp:positionV>
            <wp:extent cx="48710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-5119370</wp:posOffset>
            </wp:positionV>
            <wp:extent cx="48710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71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-5822315</wp:posOffset>
            </wp:positionV>
            <wp:extent cx="48710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8" w:right="239" w:bottom="1440" w:gutter="0" w:footer="0" w:header="0"/>
          <w:type w:val="continuous"/>
        </w:sectPr>
      </w:pPr>
    </w:p>
    <w:bookmarkStart w:id="85" w:name="page86"/>
    <w:bookmarkEnd w:id="8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1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tcPr>
          <w:p>
            <w:pPr>
              <w:spacing w:after="0"/>
              <w:rPr>
                <w:sz w:val="13"/>
                <w:szCs w:val="1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8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3"/>
                <w:szCs w:val="13"/>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Net Assets</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auto"/>
            </w:tcBorders>
            <w:gridSpan w:val="1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DreamBox Learning,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Bellevue, WA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120" w:type="dxa"/>
            <w:vAlign w:val="bottom"/>
          </w:tcPr>
          <w:p>
            <w:pPr>
              <w:spacing w:after="0"/>
              <w:rPr>
                <w:sz w:val="23"/>
                <w:szCs w:val="2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Education Technology</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7,159,221</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1,502,362</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1,518,176</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3,579,610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758,017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759,088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2,260,379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2,277,264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28"/>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Lytro,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Mountain View,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Preferred shares, Series D</w:t>
            </w:r>
          </w:p>
        </w:tc>
        <w:tc>
          <w:tcPr>
            <w:tcW w:w="120" w:type="dxa"/>
            <w:vAlign w:val="bottom"/>
          </w:tcPr>
          <w:p>
            <w:pPr>
              <w:spacing w:after="0"/>
              <w:rPr>
                <w:sz w:val="23"/>
                <w:szCs w:val="23"/>
                <w:color w:val="auto"/>
              </w:rPr>
            </w:pP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Light Field Imaging Platform</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159,160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502,081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100,680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C-1</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3,378,379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10,000,002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2,013,587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10,502,083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2,114,267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28"/>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Clever,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tcPr>
          <w:p>
            <w:pPr>
              <w:spacing w:after="0"/>
              <w:rPr>
                <w:sz w:val="23"/>
                <w:szCs w:val="23"/>
                <w:color w:val="auto"/>
              </w:rPr>
            </w:pP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Education Software</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1,799,047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2,000,601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2,000,001</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0" w:type="dxa"/>
            <w:vAlign w:val="bottom"/>
          </w:tcPr>
          <w:p>
            <w:pPr>
              <w:spacing w:after="0"/>
              <w:rPr>
                <w:sz w:val="1"/>
                <w:szCs w:val="1"/>
                <w:color w:val="auto"/>
              </w:rPr>
            </w:pPr>
          </w:p>
        </w:tc>
      </w:tr>
      <w:tr>
        <w:trPr>
          <w:trHeight w:val="235"/>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Aspiration Partners,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Marina Del Rey,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Pr>
          <w:p>
            <w:pPr>
              <w:spacing w:after="0"/>
              <w:rPr>
                <w:sz w:val="23"/>
                <w:szCs w:val="23"/>
                <w:color w:val="auto"/>
              </w:rPr>
            </w:pP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Financial Services</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540,270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1,001,815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1,748,371</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0" w:type="dxa"/>
            <w:vAlign w:val="bottom"/>
          </w:tcPr>
          <w:p>
            <w:pPr>
              <w:spacing w:after="0"/>
              <w:rPr>
                <w:sz w:val="1"/>
                <w:szCs w:val="1"/>
                <w:color w:val="auto"/>
              </w:rPr>
            </w:pPr>
          </w:p>
        </w:tc>
      </w:tr>
      <w:tr>
        <w:trPr>
          <w:trHeight w:val="235"/>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Tynker (f/k/a Neuron Fuel,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Pr>
          <w:p>
            <w:pPr>
              <w:spacing w:after="0"/>
              <w:rPr>
                <w:sz w:val="23"/>
                <w:szCs w:val="2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Computer Software</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534,162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309,310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791,361</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0" w:type="dxa"/>
            <w:vAlign w:val="bottom"/>
          </w:tcPr>
          <w:p>
            <w:pPr>
              <w:spacing w:after="0"/>
              <w:rPr>
                <w:sz w:val="1"/>
                <w:szCs w:val="1"/>
                <w:color w:val="auto"/>
              </w:rPr>
            </w:pPr>
          </w:p>
        </w:tc>
      </w:tr>
      <w:tr>
        <w:trPr>
          <w:trHeight w:val="235"/>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4C Insights (f/k/a The Echo Systems Corp.)</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Chicago, IL</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Pr>
          <w:p>
            <w:pPr>
              <w:spacing w:after="0"/>
              <w:rPr>
                <w:sz w:val="23"/>
                <w:szCs w:val="2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Social Data Platform</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436,219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1,436,404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593,702</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235"/>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Fullbridge,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Cambridge, MA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120" w:type="dxa"/>
            <w:vAlign w:val="bottom"/>
          </w:tcPr>
          <w:p>
            <w:pPr>
              <w:spacing w:after="0"/>
              <w:rPr>
                <w:sz w:val="23"/>
                <w:szCs w:val="2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Business Education</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517,917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6,150,506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Promissory note 1.47%, Due 11/9/2021</w:t>
            </w:r>
            <w:r>
              <w:rPr>
                <w:rFonts w:ascii="Times New Roman" w:cs="Times New Roman" w:eastAsia="Times New Roman" w:hAnsi="Times New Roman"/>
                <w:sz w:val="8"/>
                <w:szCs w:val="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2,270,458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2,270,858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316,570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8,421,364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316,570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269"/>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Non-controlled/Non-affiliate</w:t>
            </w:r>
          </w:p>
        </w:tc>
        <w:tc>
          <w:tcPr>
            <w:tcW w:w="120" w:type="dxa"/>
            <w:vAlign w:val="bottom"/>
            <w:shd w:val="clear" w:color="auto" w:fill="CCEEFF"/>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137,526,726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179,908,234</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87.89%</w:t>
            </w:r>
          </w:p>
        </w:tc>
        <w:tc>
          <w:tcPr>
            <w:tcW w:w="0" w:type="dxa"/>
            <w:vAlign w:val="bottom"/>
          </w:tcPr>
          <w:p>
            <w:pPr>
              <w:spacing w:after="0"/>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NON-CONTROLLED/AFFILIATE</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Curious.com,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Menlo Park,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tcPr>
          <w:p>
            <w:pPr>
              <w:spacing w:after="0"/>
              <w:rPr>
                <w:sz w:val="23"/>
                <w:szCs w:val="2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Online Education</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3,407,834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12,000,006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5,514,077</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235"/>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Ozy Media, Inc.</w:t>
            </w:r>
          </w:p>
        </w:tc>
        <w:tc>
          <w:tcPr>
            <w:tcW w:w="120" w:type="dxa"/>
            <w:vAlign w:val="bottom"/>
            <w:shd w:val="clear" w:color="auto" w:fill="CCEEFF"/>
          </w:tcPr>
          <w:p>
            <w:pPr>
              <w:spacing w:after="0"/>
              <w:rPr>
                <w:sz w:val="20"/>
                <w:szCs w:val="20"/>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Mountain View, CA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40" w:type="dxa"/>
            <w:vAlign w:val="bottom"/>
            <w:gridSpan w:val="14"/>
          </w:tcPr>
          <w:p>
            <w:pPr>
              <w:ind w:left="40"/>
              <w:spacing w:after="0" w:line="153" w:lineRule="exact"/>
              <w:rPr>
                <w:sz w:val="20"/>
                <w:szCs w:val="20"/>
                <w:color w:val="auto"/>
              </w:rPr>
            </w:pPr>
            <w:r>
              <w:rPr>
                <w:rFonts w:ascii="Times New Roman" w:cs="Times New Roman" w:eastAsia="Times New Roman" w:hAnsi="Times New Roman"/>
                <w:sz w:val="14"/>
                <w:szCs w:val="14"/>
                <w:color w:val="auto"/>
              </w:rPr>
              <w:t>Convertible Promissory Note 5% Due</w:t>
            </w:r>
          </w:p>
        </w:tc>
        <w:tc>
          <w:tcPr>
            <w:tcW w:w="120" w:type="dxa"/>
            <w:vAlign w:val="bottom"/>
          </w:tcPr>
          <w:p>
            <w:pPr>
              <w:spacing w:after="0"/>
              <w:rPr>
                <w:sz w:val="13"/>
                <w:szCs w:val="13"/>
                <w:color w:val="auto"/>
              </w:rPr>
            </w:pPr>
          </w:p>
        </w:tc>
        <w:tc>
          <w:tcPr>
            <w:tcW w:w="2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Digital Media Platform</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2,000,000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1,067,639</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193"/>
        </w:trPr>
        <w:tc>
          <w:tcPr>
            <w:tcW w:w="100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2/28/2018***</w:t>
            </w:r>
            <w:r>
              <w:rPr>
                <w:rFonts w:ascii="Times New Roman" w:cs="Times New Roman" w:eastAsia="Times New Roman" w:hAnsi="Times New Roman"/>
                <w:sz w:val="8"/>
                <w:szCs w:val="8"/>
                <w:color w:val="auto"/>
              </w:rPr>
              <w:t>(14)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Preferred shares, Series B</w:t>
            </w:r>
          </w:p>
        </w:tc>
        <w:tc>
          <w:tcPr>
            <w:tcW w:w="1140" w:type="dxa"/>
            <w:vAlign w:val="bottom"/>
            <w:tcBorders>
              <w:bottom w:val="single" w:sz="8" w:color="CCEEFF"/>
            </w:tcBorders>
            <w:gridSpan w:val="4"/>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922,509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4,999,999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2,367,022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1,090,909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3,000,200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1,419,810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Seed</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236,635</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10,500,199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5,091,106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28"/>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CUX, Inc. (d/b/a CorpU)</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Philadelphia, PA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40" w:type="dxa"/>
            <w:vAlign w:val="bottom"/>
            <w:gridSpan w:val="14"/>
          </w:tcPr>
          <w:p>
            <w:pPr>
              <w:ind w:left="40"/>
              <w:spacing w:after="0" w:line="153" w:lineRule="exact"/>
              <w:rPr>
                <w:sz w:val="20"/>
                <w:szCs w:val="20"/>
                <w:color w:val="auto"/>
              </w:rPr>
            </w:pPr>
            <w:r>
              <w:rPr>
                <w:rFonts w:ascii="Times New Roman" w:cs="Times New Roman" w:eastAsia="Times New Roman" w:hAnsi="Times New Roman"/>
                <w:sz w:val="14"/>
                <w:szCs w:val="14"/>
                <w:color w:val="auto"/>
              </w:rPr>
              <w:t>Senior Subordinated Convertible Promissory Note 8%, Due</w:t>
            </w:r>
          </w:p>
        </w:tc>
        <w:tc>
          <w:tcPr>
            <w:tcW w:w="120" w:type="dxa"/>
            <w:vAlign w:val="bottom"/>
          </w:tcPr>
          <w:p>
            <w:pPr>
              <w:spacing w:after="0"/>
              <w:rPr>
                <w:sz w:val="13"/>
                <w:szCs w:val="13"/>
                <w:color w:val="auto"/>
              </w:rPr>
            </w:pPr>
          </w:p>
        </w:tc>
        <w:tc>
          <w:tcPr>
            <w:tcW w:w="2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Corporate Education</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1,259,712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1,259,712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1,259,712</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0" w:type="dxa"/>
            <w:vAlign w:val="bottom"/>
          </w:tcPr>
          <w:p>
            <w:pPr>
              <w:spacing w:after="0"/>
              <w:rPr>
                <w:sz w:val="1"/>
                <w:szCs w:val="1"/>
                <w:color w:val="auto"/>
              </w:rPr>
            </w:pPr>
          </w:p>
        </w:tc>
      </w:tr>
      <w:tr>
        <w:trPr>
          <w:trHeight w:val="193"/>
        </w:trPr>
        <w:tc>
          <w:tcPr>
            <w:tcW w:w="102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11/26/2018***</w:t>
            </w:r>
            <w:r>
              <w:rPr>
                <w:rFonts w:ascii="Times New Roman" w:cs="Times New Roman" w:eastAsia="Times New Roman" w:hAnsi="Times New Roman"/>
                <w:sz w:val="8"/>
                <w:szCs w:val="8"/>
                <w:color w:val="auto"/>
              </w:rPr>
              <w:t>(6)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Convertible preferred shares, Series D</w:t>
            </w: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169,033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778,607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989,489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Convertible preferred shares, Series C</w:t>
            </w:r>
          </w:p>
        </w:tc>
        <w:tc>
          <w:tcPr>
            <w:tcW w:w="1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615,763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2,006,077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480,184</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58"/>
        </w:trPr>
        <w:tc>
          <w:tcPr>
            <w:tcW w:w="3540" w:type="dxa"/>
            <w:vAlign w:val="bottom"/>
            <w:gridSpan w:val="14"/>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D–Strike Price $4.59–Expiration</w:t>
            </w:r>
          </w:p>
        </w:tc>
        <w:tc>
          <w:tcPr>
            <w:tcW w:w="12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16,903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2,366</w:t>
            </w: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93"/>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Date 2/25/2018</w:t>
            </w:r>
            <w:r>
              <w:rPr>
                <w:rFonts w:ascii="Times New Roman" w:cs="Times New Roman" w:eastAsia="Times New Roman" w:hAnsi="Times New Roman"/>
                <w:sz w:val="8"/>
                <w:szCs w:val="8"/>
                <w:color w:val="auto"/>
              </w:rPr>
              <w:t>(15)</w:t>
            </w:r>
          </w:p>
        </w:tc>
        <w:tc>
          <w:tcPr>
            <w:tcW w:w="1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tcPr>
          <w:p>
            <w:pPr>
              <w:spacing w:after="0"/>
              <w:rPr>
                <w:sz w:val="22"/>
                <w:szCs w:val="22"/>
                <w:color w:val="auto"/>
              </w:rPr>
            </w:pPr>
          </w:p>
        </w:tc>
        <w:tc>
          <w:tcPr>
            <w:tcW w:w="3500" w:type="dxa"/>
            <w:vAlign w:val="bottom"/>
            <w:tcBorders>
              <w:top w:val="single" w:sz="8" w:color="CCEEFF"/>
              <w:bottom w:val="single" w:sz="8" w:color="CCEEFF"/>
            </w:tcBorders>
            <w:gridSpan w:val="1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CCEEFF"/>
              <w:bottom w:val="single" w:sz="8" w:color="CCEEFF"/>
            </w:tcBorders>
          </w:tcPr>
          <w:p>
            <w:pPr>
              <w:spacing w:after="0"/>
              <w:rPr>
                <w:sz w:val="22"/>
                <w:szCs w:val="22"/>
                <w:color w:val="auto"/>
              </w:rPr>
            </w:pPr>
          </w:p>
        </w:tc>
        <w:tc>
          <w:tcPr>
            <w:tcW w:w="2740" w:type="dxa"/>
            <w:vAlign w:val="bottom"/>
            <w:tcBorders>
              <w:top w:val="single" w:sz="8" w:color="CCEEFF"/>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940" w:type="dxa"/>
            <w:vAlign w:val="bottom"/>
            <w:tcBorders>
              <w:top w:val="single" w:sz="8" w:color="CCEEFF"/>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4,044,396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2,731,751</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28"/>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Declara,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Palo Alto,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40" w:type="dxa"/>
            <w:vAlign w:val="bottom"/>
            <w:gridSpan w:val="14"/>
          </w:tcPr>
          <w:p>
            <w:pPr>
              <w:ind w:left="40"/>
              <w:spacing w:after="0" w:line="153" w:lineRule="exact"/>
              <w:rPr>
                <w:sz w:val="20"/>
                <w:szCs w:val="20"/>
                <w:color w:val="auto"/>
              </w:rPr>
            </w:pPr>
            <w:r>
              <w:rPr>
                <w:rFonts w:ascii="Times New Roman" w:cs="Times New Roman" w:eastAsia="Times New Roman" w:hAnsi="Times New Roman"/>
                <w:sz w:val="14"/>
                <w:szCs w:val="14"/>
                <w:color w:val="auto"/>
              </w:rPr>
              <w:t>Convertible Promissory Note 9% Due</w:t>
            </w:r>
          </w:p>
        </w:tc>
        <w:tc>
          <w:tcPr>
            <w:tcW w:w="120" w:type="dxa"/>
            <w:vAlign w:val="bottom"/>
          </w:tcPr>
          <w:p>
            <w:pPr>
              <w:spacing w:after="0"/>
              <w:rPr>
                <w:sz w:val="13"/>
                <w:szCs w:val="13"/>
                <w:color w:val="auto"/>
              </w:rPr>
            </w:pPr>
          </w:p>
        </w:tc>
        <w:tc>
          <w:tcPr>
            <w:tcW w:w="2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Social Cognitive Learning</w:t>
            </w: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2,120,658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2,121,898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1,120,329</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93"/>
        </w:trPr>
        <w:tc>
          <w:tcPr>
            <w:tcW w:w="100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12/31/2017</w:t>
            </w:r>
            <w:r>
              <w:rPr>
                <w:rFonts w:ascii="Times New Roman" w:cs="Times New Roman" w:eastAsia="Times New Roman" w:hAnsi="Times New Roman"/>
                <w:sz w:val="8"/>
                <w:szCs w:val="8"/>
                <w:color w:val="auto"/>
              </w:rPr>
              <w:t>(10)(12)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10,716,390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9,999,999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382,678</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gridSpan w:val="1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12,121,897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1,503,007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0" w:type="dxa"/>
            <w:vAlign w:val="bottom"/>
          </w:tcPr>
          <w:p>
            <w:pPr>
              <w:spacing w:after="0"/>
              <w:rPr>
                <w:sz w:val="1"/>
                <w:szCs w:val="1"/>
                <w:color w:val="auto"/>
              </w:rPr>
            </w:pPr>
          </w:p>
        </w:tc>
      </w:tr>
      <w:tr>
        <w:trPr>
          <w:trHeight w:val="228"/>
        </w:trPr>
        <w:tc>
          <w:tcPr>
            <w:tcW w:w="3540" w:type="dxa"/>
            <w:vAlign w:val="bottom"/>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EdSurge, Inc.</w:t>
            </w:r>
          </w:p>
        </w:tc>
        <w:tc>
          <w:tcPr>
            <w:tcW w:w="12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Burlingame, CA</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gridSpan w:val="14"/>
          </w:tcPr>
          <w:p>
            <w:pPr>
              <w:ind w:left="4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120" w:type="dxa"/>
            <w:vAlign w:val="bottom"/>
          </w:tcPr>
          <w:p>
            <w:pPr>
              <w:spacing w:after="0"/>
              <w:rPr>
                <w:sz w:val="23"/>
                <w:szCs w:val="2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Education Media Platform</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378,788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501,360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1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1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494,365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500,801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581,917</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500" w:type="dxa"/>
            <w:vAlign w:val="bottom"/>
            <w:gridSpan w:val="13"/>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1,002,161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1,081,917</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6350</wp:posOffset>
            </wp:positionV>
            <wp:extent cx="23241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-695960</wp:posOffset>
            </wp:positionV>
            <wp:extent cx="48539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-1450975</wp:posOffset>
            </wp:positionV>
            <wp:extent cx="48539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-2600325</wp:posOffset>
            </wp:positionV>
            <wp:extent cx="48539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-4384040</wp:posOffset>
            </wp:positionV>
            <wp:extent cx="48539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-6459220</wp:posOffset>
            </wp:positionV>
            <wp:extent cx="48539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-7162165</wp:posOffset>
            </wp:positionV>
            <wp:extent cx="48539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ectPr>
          <w:pgSz w:w="11900" w:h="16838" w:orient="portrait"/>
          <w:cols w:equalWidth="0" w:num="1">
            <w:col w:w="11420"/>
          </w:cols>
          <w:pgMar w:left="240" w:top="118" w:right="239" w:bottom="1157"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8" w:right="239" w:bottom="1157" w:gutter="0" w:footer="0" w:header="0"/>
          <w:type w:val="continuous"/>
        </w:sectPr>
      </w:pPr>
    </w:p>
    <w:bookmarkStart w:id="86" w:name="page87"/>
    <w:bookmarkEnd w:id="8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20" w:type="dxa"/>
            <w:vAlign w:val="bottom"/>
            <w:vMerge w:val="restart"/>
          </w:tcPr>
          <w:p>
            <w:pPr>
              <w:spacing w:after="0"/>
              <w:rPr>
                <w:sz w:val="13"/>
                <w:szCs w:val="13"/>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Headquarters/</w:t>
            </w:r>
          </w:p>
        </w:tc>
        <w:tc>
          <w:tcPr>
            <w:tcW w:w="18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3"/>
                <w:szCs w:val="13"/>
                <w:color w:val="auto"/>
              </w:rPr>
            </w:pP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3"/>
                <w:szCs w:val="13"/>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of Net Assets</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auto"/>
            </w:tcBorders>
            <w:gridSpan w:val="7"/>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Maven Research, Inc.</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San Francisco, CA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C</w:t>
            </w: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Knowledge Networks</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318,979</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2,000,447</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501,240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120" w:type="dxa"/>
            <w:vAlign w:val="bottom"/>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49,505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217,206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gridSpan w:val="7"/>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2,217,653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551,240</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269"/>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Non-controlled/Affiliate</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41,886,312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16,473,098</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w:t>
            </w:r>
          </w:p>
        </w:tc>
        <w:tc>
          <w:tcPr>
            <w:tcW w:w="0" w:type="dxa"/>
            <w:vAlign w:val="bottom"/>
          </w:tcPr>
          <w:p>
            <w:pPr>
              <w:spacing w:after="0"/>
              <w:rPr>
                <w:sz w:val="1"/>
                <w:szCs w:val="1"/>
                <w:color w:val="auto"/>
              </w:rPr>
            </w:pPr>
          </w:p>
        </w:tc>
      </w:tr>
      <w:tr>
        <w:trPr>
          <w:trHeight w:val="265"/>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8"/>
                <w:szCs w:val="8"/>
                <w:color w:val="auto"/>
              </w:rPr>
              <w:t>(2)</w:t>
            </w: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StormWind, LLC</w:t>
            </w:r>
            <w:r>
              <w:rPr>
                <w:rFonts w:ascii="Times New Roman" w:cs="Times New Roman" w:eastAsia="Times New Roman" w:hAnsi="Times New Roman"/>
                <w:sz w:val="8"/>
                <w:szCs w:val="8"/>
                <w:color w:val="auto"/>
              </w:rPr>
              <w:t>(5)</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Scottsdale, AZ</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C</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Interactive Learning</w:t>
            </w: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2,779,134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4,000,787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7,223,904</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75"/>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B</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3,279,629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2,019,687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5,804,472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65"/>
        </w:trPr>
        <w:tc>
          <w:tcPr>
            <w:tcW w:w="3660" w:type="dxa"/>
            <w:vAlign w:val="bottom"/>
            <w:tcBorders>
              <w:bottom w:val="single" w:sz="8" w:color="CCEEFF"/>
            </w:tcBorders>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A</w:t>
            </w:r>
          </w:p>
        </w:tc>
        <w:tc>
          <w:tcPr>
            <w:tcW w:w="27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366,666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425,342</w:t>
            </w:r>
          </w:p>
        </w:tc>
        <w:tc>
          <w:tcPr>
            <w:tcW w:w="12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6,130,474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13,453,718</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228"/>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NestGSV, Inc. (d/b/a GSV Labs, Inc.)</w:t>
            </w:r>
          </w:p>
        </w:tc>
        <w:tc>
          <w:tcPr>
            <w:tcW w:w="2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Redwood City,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60" w:type="dxa"/>
            <w:vAlign w:val="bottom"/>
            <w:gridSpan w:val="8"/>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Convertible Promissory Note 8% Due</w:t>
            </w:r>
          </w:p>
        </w:tc>
        <w:tc>
          <w:tcPr>
            <w:tcW w:w="288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Global Innovation Platform</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560,199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564,079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560,199</w:t>
            </w: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198"/>
        </w:trPr>
        <w:tc>
          <w:tcPr>
            <w:tcW w:w="11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7/31/2018***</w:t>
            </w:r>
            <w:r>
              <w:rPr>
                <w:rFonts w:ascii="Times New Roman" w:cs="Times New Roman" w:eastAsia="Times New Roman" w:hAnsi="Times New Roman"/>
                <w:sz w:val="8"/>
                <w:szCs w:val="8"/>
                <w:color w:val="auto"/>
              </w:rPr>
              <w:t>(9)</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8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gridSpan w:val="8"/>
          </w:tcPr>
          <w:p>
            <w:pPr>
              <w:ind w:left="40"/>
              <w:spacing w:after="0" w:line="153" w:lineRule="exact"/>
              <w:rPr>
                <w:sz w:val="20"/>
                <w:szCs w:val="20"/>
                <w:color w:val="auto"/>
              </w:rPr>
            </w:pPr>
            <w:r>
              <w:rPr>
                <w:rFonts w:ascii="Times New Roman" w:cs="Times New Roman" w:eastAsia="Times New Roman" w:hAnsi="Times New Roman"/>
                <w:sz w:val="14"/>
                <w:szCs w:val="14"/>
                <w:color w:val="auto"/>
              </w:rPr>
              <w:t>Unsecured Promissory Note 12% Due</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592,129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592,809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592,129</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93"/>
        </w:trPr>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1/15/2018***</w:t>
            </w:r>
            <w:r>
              <w:rPr>
                <w:rFonts w:ascii="Times New Roman" w:cs="Times New Roman" w:eastAsia="Times New Roman" w:hAnsi="Times New Roman"/>
                <w:sz w:val="8"/>
                <w:szCs w:val="8"/>
                <w:color w:val="auto"/>
              </w:rPr>
              <w:t>(8)</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A-4</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3,720,424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4,904,498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5,390,842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65"/>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A-3</w:t>
            </w: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1,561,625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2,005,730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1,885,644</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0" w:type="dxa"/>
            <w:vAlign w:val="bottom"/>
          </w:tcPr>
          <w:p>
            <w:pPr>
              <w:spacing w:after="0"/>
              <w:rPr>
                <w:sz w:val="1"/>
                <w:szCs w:val="1"/>
                <w:color w:val="auto"/>
              </w:rPr>
            </w:pPr>
          </w:p>
        </w:tc>
      </w:tr>
      <w:tr>
        <w:trPr>
          <w:trHeight w:val="275"/>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Series A-2</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450,001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605,500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326,022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65"/>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Preferred shares, Series A-1</w:t>
            </w: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1,021,778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543,370</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0" w:type="dxa"/>
            <w:vAlign w:val="bottom"/>
          </w:tcPr>
          <w:p>
            <w:pPr>
              <w:spacing w:after="0"/>
              <w:rPr>
                <w:sz w:val="1"/>
                <w:szCs w:val="1"/>
                <w:color w:val="auto"/>
              </w:rPr>
            </w:pPr>
          </w:p>
        </w:tc>
      </w:tr>
      <w:tr>
        <w:trPr>
          <w:trHeight w:val="275"/>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660" w:type="dxa"/>
            <w:vAlign w:val="bottom"/>
            <w:gridSpan w:val="8"/>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Warrants Series A-3–Strike Price $1.33–</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187,500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1,875</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Expiration Date 4/4/2019</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660" w:type="dxa"/>
            <w:vAlign w:val="bottom"/>
            <w:gridSpan w:val="8"/>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A-4–Strike Price $1.33–</w:t>
            </w:r>
          </w:p>
        </w:tc>
        <w:tc>
          <w:tcPr>
            <w:tcW w:w="2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160,000</w:t>
            </w: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62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Expiration Date 10/6/2019</w:t>
            </w: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gridSpan w:val="8"/>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Warrants Series A-4–Strike Price $1.33–</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74,380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102,500</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620" w:type="dxa"/>
            <w:vAlign w:val="bottom"/>
            <w:gridSpan w:val="7"/>
          </w:tcPr>
          <w:p>
            <w:pPr>
              <w:ind w:left="160"/>
              <w:spacing w:after="0"/>
              <w:rPr>
                <w:sz w:val="20"/>
                <w:szCs w:val="20"/>
                <w:color w:val="auto"/>
              </w:rPr>
            </w:pPr>
            <w:r>
              <w:rPr>
                <w:rFonts w:ascii="Times New Roman" w:cs="Times New Roman" w:eastAsia="Times New Roman" w:hAnsi="Times New Roman"/>
                <w:sz w:val="14"/>
                <w:szCs w:val="14"/>
                <w:color w:val="auto"/>
              </w:rPr>
              <w:t>Expiration Date 7/18/2021</w:t>
            </w: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660" w:type="dxa"/>
            <w:vAlign w:val="bottom"/>
            <w:gridSpan w:val="8"/>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Preferred Warrants Series B–Strike Price $2.31–Expiration</w:t>
            </w:r>
          </w:p>
        </w:tc>
        <w:tc>
          <w:tcPr>
            <w:tcW w:w="2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29,275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41,000</w:t>
            </w: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362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Date 11/29/2021</w:t>
            </w:r>
            <w:r>
              <w:rPr>
                <w:rFonts w:ascii="Times New Roman" w:cs="Times New Roman" w:eastAsia="Times New Roman" w:hAnsi="Times New Roman"/>
                <w:sz w:val="8"/>
                <w:szCs w:val="8"/>
                <w:color w:val="auto"/>
              </w:rPr>
              <w:t>(13)</w:t>
            </w: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gridSpan w:val="8"/>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Warrant Series B–Strike Price $2.31, Expiration</w:t>
            </w:r>
          </w:p>
        </w:tc>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70,379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80,000</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93"/>
        </w:trPr>
        <w:tc>
          <w:tcPr>
            <w:tcW w:w="4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7"/>
          </w:tcPr>
          <w:p>
            <w:pPr>
              <w:ind w:left="160"/>
              <w:spacing w:after="0"/>
              <w:rPr>
                <w:sz w:val="20"/>
                <w:szCs w:val="20"/>
                <w:color w:val="auto"/>
              </w:rPr>
            </w:pPr>
            <w:r>
              <w:rPr>
                <w:rFonts w:ascii="Times New Roman" w:cs="Times New Roman" w:eastAsia="Times New Roman" w:hAnsi="Times New Roman"/>
                <w:sz w:val="14"/>
                <w:szCs w:val="14"/>
                <w:color w:val="auto"/>
              </w:rPr>
              <w:t>Date 5/29/2022</w:t>
            </w:r>
            <w:r>
              <w:rPr>
                <w:rFonts w:ascii="Times New Roman" w:cs="Times New Roman" w:eastAsia="Times New Roman" w:hAnsi="Times New Roman"/>
                <w:sz w:val="8"/>
                <w:szCs w:val="8"/>
                <w:color w:val="auto"/>
              </w:rPr>
              <w:t>(8)</w:t>
            </w:r>
          </w:p>
        </w:tc>
        <w:tc>
          <w:tcPr>
            <w:tcW w:w="27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9,869,428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9,683,581</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228"/>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SPBRX, INC. (f/k/a GSV Sustainability Partners, Inc.)</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Woodside, CA</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shares, Class A***</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Clean Technology</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7,151,412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1,069,862</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265"/>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500" w:type="dxa"/>
            <w:vAlign w:val="bottom"/>
            <w:tcBorders>
              <w:top w:val="single" w:sz="8" w:color="CCEEFF"/>
              <w:bottom w:val="single" w:sz="8" w:color="CCEEFF"/>
            </w:tcBorders>
            <w:gridSpan w:val="6"/>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1,069,862</w:t>
            </w: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Total Controlled</w:t>
            </w:r>
          </w:p>
        </w:tc>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23,161,314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24,207,161</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11.82%</w:t>
            </w:r>
          </w:p>
        </w:tc>
        <w:tc>
          <w:tcPr>
            <w:tcW w:w="0" w:type="dxa"/>
            <w:vAlign w:val="bottom"/>
          </w:tcPr>
          <w:p>
            <w:pPr>
              <w:spacing w:after="0"/>
              <w:rPr>
                <w:sz w:val="1"/>
                <w:szCs w:val="1"/>
                <w:color w:val="auto"/>
              </w:rPr>
            </w:pPr>
          </w:p>
        </w:tc>
      </w:tr>
      <w:tr>
        <w:trPr>
          <w:trHeight w:val="269"/>
        </w:trPr>
        <w:tc>
          <w:tcPr>
            <w:tcW w:w="366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2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202,574,352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220,588,493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107.74%</w:t>
            </w:r>
          </w:p>
        </w:tc>
        <w:tc>
          <w:tcPr>
            <w:tcW w:w="0" w:type="dxa"/>
            <w:vAlign w:val="bottom"/>
          </w:tcPr>
          <w:p>
            <w:pPr>
              <w:spacing w:after="0"/>
              <w:rPr>
                <w:sz w:val="1"/>
                <w:szCs w:val="1"/>
                <w:color w:val="auto"/>
              </w:rPr>
            </w:pPr>
          </w:p>
        </w:tc>
      </w:tr>
      <w:tr>
        <w:trPr>
          <w:trHeight w:val="230"/>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U.S. Treasury</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bills, 0%, due 1/4/2018***</w:t>
            </w:r>
            <w:r>
              <w:rPr>
                <w:rFonts w:ascii="Times New Roman" w:cs="Times New Roman" w:eastAsia="Times New Roman" w:hAnsi="Times New Roman"/>
                <w:sz w:val="8"/>
                <w:szCs w:val="8"/>
                <w:color w:val="auto"/>
              </w:rPr>
              <w:t>(3)</w:t>
            </w:r>
          </w:p>
        </w:tc>
        <w:tc>
          <w:tcPr>
            <w:tcW w:w="120" w:type="dxa"/>
            <w:vAlign w:val="bottom"/>
            <w:shd w:val="clear" w:color="auto" w:fill="CCEEFF"/>
          </w:tcPr>
          <w:p>
            <w:pPr>
              <w:spacing w:after="0"/>
              <w:rPr>
                <w:sz w:val="23"/>
                <w:szCs w:val="23"/>
                <w:color w:val="auto"/>
              </w:rPr>
            </w:pPr>
          </w:p>
        </w:tc>
        <w:tc>
          <w:tcPr>
            <w:tcW w:w="2740" w:type="dxa"/>
            <w:vAlign w:val="bottom"/>
            <w:tcBorders>
              <w:bottom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99,985,833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99,994,000</w:t>
            </w:r>
          </w:p>
        </w:tc>
        <w:tc>
          <w:tcPr>
            <w:tcW w:w="12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0" w:type="dxa"/>
            <w:vAlign w:val="bottom"/>
          </w:tcPr>
          <w:p>
            <w:pPr>
              <w:spacing w:after="0"/>
              <w:rPr>
                <w:sz w:val="1"/>
                <w:szCs w:val="1"/>
                <w:color w:val="auto"/>
              </w:rPr>
            </w:pPr>
          </w:p>
        </w:tc>
      </w:tr>
      <w:tr>
        <w:trPr>
          <w:trHeight w:val="259"/>
        </w:trPr>
        <w:tc>
          <w:tcPr>
            <w:tcW w:w="36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302,560,185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320,582,493</w:t>
            </w:r>
          </w:p>
        </w:tc>
        <w:tc>
          <w:tcPr>
            <w:tcW w:w="1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-1270</wp:posOffset>
            </wp:positionV>
            <wp:extent cx="23241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-695960</wp:posOffset>
            </wp:positionV>
            <wp:extent cx="48539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-1056640</wp:posOffset>
            </wp:positionV>
            <wp:extent cx="48539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48539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-4538345</wp:posOffset>
            </wp:positionV>
            <wp:extent cx="48539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53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-5575935</wp:posOffset>
            </wp:positionV>
            <wp:extent cx="48539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-94615</wp:posOffset>
            </wp:positionV>
            <wp:extent cx="23241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02" w:lineRule="exact"/>
        <w:rPr>
          <w:sz w:val="20"/>
          <w:szCs w:val="20"/>
          <w:color w:val="auto"/>
        </w:rPr>
      </w:pPr>
    </w:p>
    <w:p>
      <w:pPr>
        <w:jc w:val="both"/>
        <w:ind w:left="500" w:hanging="492"/>
        <w:spacing w:after="0" w:line="255" w:lineRule="auto"/>
        <w:tabs>
          <w:tab w:leader="none" w:pos="5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non-control/non-affiliated and non-income-producing, unless otherwise identified. Equity investments are subject to lock-up restrictions upon their initial public offering (“IPO”).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investments are restricted as to resale, unless otherwise noted, and were valued at fair value as determined in good faith by the Company’s Board of Directors.</w:t>
      </w:r>
    </w:p>
    <w:p>
      <w:pPr>
        <w:sectPr>
          <w:pgSz w:w="11900" w:h="16838" w:orient="portrait"/>
          <w:cols w:equalWidth="0" w:num="1">
            <w:col w:w="11420"/>
          </w:cols>
          <w:pgMar w:left="240" w:top="11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8" w:right="239" w:bottom="1440" w:gutter="0" w:footer="0" w:header="0"/>
          <w:type w:val="continuous"/>
        </w:sectPr>
      </w:pPr>
    </w:p>
    <w:bookmarkStart w:id="87" w:name="page88"/>
    <w:bookmarkEnd w:id="8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11" w:lineRule="exact"/>
        <w:rPr>
          <w:sz w:val="20"/>
          <w:szCs w:val="20"/>
          <w:color w:val="auto"/>
        </w:rPr>
      </w:pPr>
    </w:p>
    <w:p>
      <w:pPr>
        <w:ind w:left="500" w:right="20" w:hanging="492"/>
        <w:spacing w:after="0" w:line="281" w:lineRule="auto"/>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GSV Capital Corp. believes do not represent “qualifying assets” under Section 55(a) of the Investment Company Act of 1940, as amended (the “1940 Act”). Of GSV Capital Corp.’s total portfolio as of December 31, 2017, 12.13% of its total investments are non-qualifying assets.</w:t>
      </w:r>
    </w:p>
    <w:p>
      <w:pPr>
        <w:spacing w:after="0" w:line="13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94" w:lineRule="exact"/>
        <w:rPr>
          <w:sz w:val="20"/>
          <w:szCs w:val="20"/>
          <w:color w:val="auto"/>
        </w:rPr>
      </w:pPr>
    </w:p>
    <w:p>
      <w:pPr>
        <w:jc w:val="both"/>
        <w:ind w:left="500" w:hanging="492"/>
        <w:spacing w:after="0" w:line="258"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5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investment considered Level 1 valued using observable inputs.</w:t>
      </w:r>
    </w:p>
    <w:p>
      <w:pPr>
        <w:spacing w:after="0" w:line="194" w:lineRule="exact"/>
        <w:rPr>
          <w:rFonts w:ascii="Times New Roman" w:cs="Times New Roman" w:eastAsia="Times New Roman" w:hAnsi="Times New Roman"/>
          <w:sz w:val="16"/>
          <w:szCs w:val="16"/>
          <w:color w:val="auto"/>
        </w:rPr>
      </w:pPr>
    </w:p>
    <w:p>
      <w:pPr>
        <w:ind w:left="500" w:hanging="492"/>
        <w:spacing w:after="0" w:line="281"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 in Avenues Global Holdings, LLC is held through its wholly owned subsidiary, GSVC AV Holdings, Inc. In January 2018, GSV Capital Corp. sold its entire position in Avenues Global Holdings, LLC.</w:t>
      </w:r>
    </w:p>
    <w:p>
      <w:pPr>
        <w:spacing w:after="0" w:line="13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 in StormWind, LLC is held through its wholly owned subsidiary, GSVC SW Holdings, Inc.</w:t>
      </w:r>
    </w:p>
    <w:p>
      <w:pPr>
        <w:spacing w:after="0" w:line="194" w:lineRule="exact"/>
        <w:rPr>
          <w:rFonts w:ascii="Times New Roman" w:cs="Times New Roman" w:eastAsia="Times New Roman" w:hAnsi="Times New Roman"/>
          <w:sz w:val="16"/>
          <w:szCs w:val="16"/>
          <w:color w:val="auto"/>
        </w:rPr>
      </w:pPr>
    </w:p>
    <w:p>
      <w:pPr>
        <w:ind w:left="500" w:right="20" w:hanging="492"/>
        <w:spacing w:after="0" w:line="281"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36" w:lineRule="exact"/>
        <w:rPr>
          <w:rFonts w:ascii="Times New Roman" w:cs="Times New Roman" w:eastAsia="Times New Roman" w:hAnsi="Times New Roman"/>
          <w:sz w:val="16"/>
          <w:szCs w:val="16"/>
          <w:color w:val="auto"/>
        </w:rPr>
      </w:pPr>
    </w:p>
    <w:p>
      <w:pPr>
        <w:ind w:left="500" w:hanging="492"/>
        <w:spacing w:after="0" w:line="281"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29, 2017, A Place for Rover, Inc. acquired DogVacay, Inc. and, pursuant to a plan of reorganization, the Company received common shares of A Place for Rover Inc. in exchange for the Company’s previously held Series B-1 preferred shares of DogVacay, Inc.</w:t>
      </w:r>
    </w:p>
    <w:p>
      <w:pPr>
        <w:spacing w:after="0" w:line="136"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Refer to “Note 4—Investments at Fair Value.” On November 29, 2017, the maturity date of the unsecured promissory note to NestGSV, Inc. (d/b/a GSV Labs, Inc.) was extended to January 15, 2018. In January 2018, upon its maturity, NestGSV, Inc. (d/b/a GSV Labs, Inc.) repaid the unsecured promissory note, with interest.</w:t>
      </w:r>
    </w:p>
    <w:p>
      <w:pPr>
        <w:spacing w:after="0" w:line="15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31, 2017, the maturity date of the convertible promissory note to NestGSV, Inc. (d/b/a GSV Labs, Inc.) was extended to July 31, 2018.</w:t>
      </w:r>
    </w:p>
    <w:p>
      <w:pPr>
        <w:spacing w:after="0" w:line="194"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 2017, the maturity date of the convertible promissory note to Declara, Inc. was extended to December 31, 2017. The convertible promissory note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151"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12, 2013, Chegg, Inc. priced its IPO. The lock-up agreement for the Company’s Chegg, Inc. common shares expired on May 11, 2014. As a result, the Company’s Chegg, Inc. common shares are considered unrestricted. As of February 22, 2018, all remaining shares of Chegg, Inc. held by GSV Capital Corp. had been sold.</w:t>
      </w:r>
    </w:p>
    <w:p>
      <w:pPr>
        <w:spacing w:after="0" w:line="178"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2017, the investments noted had been placed on non-accrual status.</w:t>
      </w:r>
    </w:p>
    <w:p>
      <w:pPr>
        <w:spacing w:after="0" w:line="194" w:lineRule="exact"/>
        <w:rPr>
          <w:rFonts w:ascii="Times New Roman" w:cs="Times New Roman" w:eastAsia="Times New Roman" w:hAnsi="Times New Roman"/>
          <w:sz w:val="16"/>
          <w:szCs w:val="16"/>
          <w:color w:val="auto"/>
        </w:rPr>
      </w:pPr>
    </w:p>
    <w:p>
      <w:pPr>
        <w:ind w:left="500" w:right="20" w:hanging="492"/>
        <w:spacing w:after="0" w:line="281"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136" w:lineRule="exact"/>
        <w:rPr>
          <w:rFonts w:ascii="Times New Roman" w:cs="Times New Roman" w:eastAsia="Times New Roman" w:hAnsi="Times New Roman"/>
          <w:sz w:val="16"/>
          <w:szCs w:val="16"/>
          <w:color w:val="auto"/>
        </w:rPr>
      </w:pPr>
    </w:p>
    <w:p>
      <w:pPr>
        <w:ind w:left="500" w:hanging="492"/>
        <w:spacing w:after="0" w:line="281" w:lineRule="auto"/>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year-ended December 31, 2017, Ozy Media, Inc.’s obligations under its financing arrangements with the Company became past due. The Company and Ozy Media are in the process of renegotiating the terms of the Company’s investment.</w:t>
      </w:r>
    </w:p>
    <w:p>
      <w:pPr>
        <w:spacing w:after="0" w:line="13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23, 2018, CUX, Inc. (d/b/a CorpU) agreed to extend the maturity of the Company’s Series D warrants until August 1, 2018.</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8" w:right="2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1—NATURE OF OPERATIONS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Subsequent to year end, on and effective March 12, 2019 (the “Effective Date”), the Company's Board of Directors determined that internalizing the operating structure (“Internalization”) was in the best interests of the Company and its stockholders and approved Internalization. As a result, the Company began operating as an internally managed non-diversified closed-end management investment company that has elected to be regulated as a BDC under the 1940 Act, as of the Effective Date. Refer to "Note 11 - Subsequent Events" for further detail.</w:t>
      </w:r>
    </w:p>
    <w:p>
      <w:pPr>
        <w:spacing w:after="0" w:line="180"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16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table below displays all the Company’s subsidiaries as of December 31, 2018,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Times New Roman" w:cs="Times New Roman" w:eastAsia="Times New Roman" w:hAnsi="Times New Roman"/>
          <w:sz w:val="18"/>
          <w:szCs w:val="18"/>
          <w:i w:val="1"/>
          <w:iCs w:val="1"/>
          <w:color w:val="auto"/>
        </w:rPr>
        <w:t>Basis of Consolidation</w:t>
      </w:r>
      <w:r>
        <w:rPr>
          <w:rFonts w:ascii="Times New Roman" w:cs="Times New Roman" w:eastAsia="Times New Roman" w:hAnsi="Times New Roman"/>
          <w:sz w:val="18"/>
          <w:szCs w:val="18"/>
          <w:color w:val="auto"/>
        </w:rPr>
        <w:t>” below for further detail.</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20" w:type="dxa"/>
            <w:vAlign w:val="bottom"/>
            <w:vMerge w:val="restart"/>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GCL</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13,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Subsidiaries below are referred to collectively, as the “GSVC Holdings”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GSVC AE Holdings, Inc. (“GAE”)</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GSVC AV Holdings, Inc. (“GAV”)</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GSVC NG Holdings, Inc. (“GNG”)</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GSVC SW Holdings, Inc. (“GSW”)</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GSVC WS Holdings, Inc. (“GWS”)</w:t>
            </w:r>
          </w:p>
        </w:tc>
        <w:tc>
          <w:tcPr>
            <w:tcW w:w="1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28, 2012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GSVC SVDS Holdings, Inc. (“SVDS”)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13, 2013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8" w:right="2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GSVC Holdings and GCL, its wholly-owned subsidiaries. All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and Risk Factors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in the nature of its operations, as well as vulnerability due to certain concentrations. Refer to "Risk Factors” in Part I, Item 1A of this Form 10-K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Fair Value</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2"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0" w:lineRule="exact"/>
        <w:rPr>
          <w:sz w:val="20"/>
          <w:szCs w:val="20"/>
          <w:color w:val="auto"/>
        </w:rPr>
      </w:pPr>
    </w:p>
    <w:p>
      <w:pPr>
        <w:jc w:val="both"/>
        <w:ind w:right="20" w:firstLine="351"/>
        <w:spacing w:after="0" w:line="286" w:lineRule="auto"/>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unadjusted quoted prices for identical assets or liabilities in an active market that the Company has the ability to access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measurement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jc w:val="both"/>
        <w:ind w:firstLine="351"/>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Level 1 prices, such as quoted prices for similar assets or liabilities; quoted prices in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 at the measurement date for substantially the full term of the assets or liabilities.</w:t>
      </w:r>
    </w:p>
    <w:p>
      <w:pPr>
        <w:spacing w:after="0" w:line="171" w:lineRule="exact"/>
        <w:rPr>
          <w:sz w:val="20"/>
          <w:szCs w:val="20"/>
          <w:color w:val="auto"/>
        </w:rPr>
      </w:pPr>
    </w:p>
    <w:p>
      <w:pPr>
        <w:jc w:val="both"/>
        <w:ind w:firstLine="351"/>
        <w:spacing w:after="0" w:line="268"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that reflect management’s best estimate of what market participants would use in pricing the asset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4"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0"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88"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of the Company’s Board of Directors (the “Valuation Committee”), does not reliably represent fair value, shall each be valued as follows:</w:t>
      </w:r>
    </w:p>
    <w:p>
      <w:pPr>
        <w:spacing w:after="0" w:line="176" w:lineRule="exact"/>
        <w:rPr>
          <w:sz w:val="20"/>
          <w:szCs w:val="20"/>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GSV Asset Management senior management;</w:t>
      </w:r>
    </w:p>
    <w:p>
      <w:pPr>
        <w:spacing w:after="0" w:line="26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21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then discusses the valuations recommended by the Valuation Committee and determines in good faith the fair value of each investment in the portfolio.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8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0"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88"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8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 reassigned to the cost basis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common or preferred stock. These conversions are noted as non-cash operating items on the Consolidated Statements of Cash Flows.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 Classification</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2018 and December 31, 2017, for details regarding the nature and composition of the Company’s investment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Levelling Policy</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Transactions</w:t>
      </w:r>
    </w:p>
    <w:p>
      <w:pPr>
        <w:spacing w:after="0" w:line="227"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Securities transactions are accounted for on the date the transaction for the purchase or sale of the securities is entered into by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Other Financial Instruments</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Escrow Proceeds Receivable</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During the year-ended December 31, 2017, the Company completed the sales of its investments in JAMF Holdings, Inc. and Strategic Data Command, LLC. During the year ended December 31, 2018, the Company completed the sale of its investments in General Assembly Space, Inc., Lytro, Inc., SugarCRM, Inc., and DreamBox Learning, Inc. A portion of the proceeds from the sale of these portfolio investments and those sold in prior years are held in escrow as a recourse for indemnity claims that may arise under the sale agreement. Amounts held in escrow are held at estimated realizable value and included in net realized gains (losses) on investments in the Consolidated Statements of Operations for the period in which they occurred. Any remaining escrow proceeds balances from these transactions reasonably expected to be received are reflected on the Consolidated Statement of Assets and Liabilities as escrow proceeds receivable. At December 31, 2018 and December 31, 2017, the Company had $2,494,582 and $603,456, respectively, in escrow proceeds receivable. During the year ended December 31, 2018, the Company received the remainder of escrow proceeds receivable from the sales of JAMF Holdings, Inc. and Strategic Data Command, LLC in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As of December 31, 2018, and December 31, 2017, the Company had deferred financing costs of $267,541 and $413,023, respectively, on the Consolidated Statements of Assets and Liabilities.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credit facility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51,636</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267,541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361,387</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Deferred Financing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267,541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413,023</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2825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Transaction Costs and Escrow Deposits</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 is closed. Such transactions would be reflected on the Consolidated Statement of Assets and Liabilities as escrow deposits. At December 31, 2018 and December 31, 2017, the Company had no escrow 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Appreciation or Depreciation of Investments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Unrealized appreciation or depreciation is calculated as the difference between the fair value of the investment and the cost basis of such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and State Income Taxes</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the Company meets the Annual Distribution Requirement, but does not distribute (or is not deemed to have distributed) each calendar year a sum of</w:t>
      </w:r>
    </w:p>
    <w:p>
      <w:pPr>
        <w:spacing w:after="0" w:line="27" w:lineRule="exact"/>
        <w:rPr>
          <w:sz w:val="20"/>
          <w:szCs w:val="20"/>
          <w:color w:val="auto"/>
        </w:rPr>
      </w:pPr>
    </w:p>
    <w:p>
      <w:pPr>
        <w:jc w:val="both"/>
        <w:ind w:firstLine="8"/>
        <w:spacing w:after="0" w:line="252"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90"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88"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Information</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Times New Roman" w:cs="Times New Roman" w:eastAsia="Times New Roman" w:hAnsi="Times New Roman"/>
          <w:sz w:val="18"/>
          <w:szCs w:val="18"/>
          <w:i w:val="1"/>
          <w:iCs w:val="1"/>
          <w:color w:val="auto"/>
        </w:rPr>
        <w:t>FASB ASC 260, Earnings Per Share</w:t>
      </w:r>
      <w:r>
        <w:rPr>
          <w:rFonts w:ascii="Times New Roman" w:cs="Times New Roman" w:eastAsia="Times New Roman" w:hAnsi="Times New Roman"/>
          <w:sz w:val="18"/>
          <w:szCs w:val="18"/>
          <w:color w:val="auto"/>
        </w:rPr>
        <w:t xml:space="preserve"> (“ASC 260”) to determine the number of potentially dilutive shares outstanding. Refer to “Note 6—Net Increase in Net Assets Resulting from Operations per Common Share—Basic and Diluted” for further detail.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 xml:space="preserve">In July 2017, the FASB issued ASU 2017-13 which addressed the application of ASU 2014-9,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 it relates to adoption period for entities not otherwise required to adopt the new revenue recognition standard, but whose financial statements or financial information are included in another entity’s filing with the Securities and Exchange Commission (the "SEC"). ASU 2014-9, issued by FASB in May 2014, and related amendments, provide comprehensive guidance for recognizing revenue from contracts with customers. Entities will be able to recognize revenue when the entity transfers promised goods or services to customers in an amount that reflects the consideration to which the entity expects to be entitled to in exchange for those goods or services. The guidance in ASU 2014-9, and the related amendments, is effective for the Company on January 1, 2018. The Company adopted the ASU on January 1, 2018, which did not have a material impact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which changes the fair value measurement disclosure requirements of </w:t>
      </w:r>
      <w:r>
        <w:rPr>
          <w:rFonts w:ascii="Times New Roman" w:cs="Times New Roman" w:eastAsia="Times New Roman" w:hAnsi="Times New Roman"/>
          <w:sz w:val="18"/>
          <w:szCs w:val="18"/>
          <w:i w:val="1"/>
          <w:iCs w:val="1"/>
          <w:color w:val="auto"/>
        </w:rPr>
        <w:t>FASB ASC 820,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guidance is effective for all entities for interim and annual periods beginning after December 15, 2019. Early adoption is permitted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eliminated or modified disclosure requirements upon issuance of the guidance. The Company did not early adopt the eliminated and modified disclosure requirements during the year ended December 31, 2018, but plans to adopt the guidance upon its effective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Advisory Agreement</w:t>
      </w:r>
    </w:p>
    <w:p>
      <w:pPr>
        <w:spacing w:after="0" w:line="229"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The Company has entered into an investment advisory agreement with GSV Asset Management (the “Investment Advisory Agreement”). Under the terms of the Investment Advisory Agreement, GSV Asset Management is paid a quarterly management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fee and an annual incentive fee. GSV Asset Management is controlled by Michael Moe, the Chairman of the Company’s Board of Directors. Mr. Moe, through his ownership interest in GSV Asset Management, is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and a President of the Company’s Board of Directors, or entities with which he is affiliated, receives consulting fees from GSV Asset Management equal to a percentage of each of the base management fee and the incentive fee paid by the Company to GSV Asset Management pursuant to a consulting agreement with GSV Asset Management.</w:t>
      </w:r>
    </w:p>
    <w:p>
      <w:pPr>
        <w:spacing w:after="0" w:line="188"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Under the Investment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Subsequent to year end, in connection with the Company's Internalization, the Investment Advisory Agreement was terminated on the Effective Date in accordance with its terms. Refer to "Note 11—Subsequent Events"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Investment Advisory Agreement, GSV Asset Management is paid a base management fee of 2.00% of gross assets, which is the Company’s total assets reflected on its Consolidated Statements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8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GSV Asset Management earned $5,199,900, $5,666,176, and $6,896,347 in management fees for the years ended December 31, 2018, 2017, and 2016, respectively, and waived $892,421 and $708,272 in management fees for the years ended December 31, 2018 and 2017, respectively. GSV Asset Management did not waive management fees for the year ended December 31,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Under the terms of the Investment Advisory Agreement, GSV Asset Management is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is modified pursuant to the terms of the Waiver Agreement, as further described below.</w:t>
      </w:r>
    </w:p>
    <w:p>
      <w:pPr>
        <w:spacing w:after="0" w:line="188"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Company is required to accrue incentive fees for all periods as if the Company had fully liquidated its entire investment portfolio at the fair value stated on the Consolidated Statements of Assets and Liabilities as of December 31, 2018 and December 31, 2017. This accrual considers both the hypothetical liquidation of the Company’s portfolio described previously, as well as the Company’s actual cumulative realized gains and losses since inception, as well any previously paid incentive fees.</w:t>
      </w:r>
    </w:p>
    <w:p>
      <w:pPr>
        <w:spacing w:after="0" w:line="180"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the Company accrued incentive fees of $382,387. Pursuant to the Waiver Agreement, on February 2, 2018, GSV Asset Management forfeited $5.0 million of the then accrued incentive fees. For the year ended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2017, the Company accrued incentive fees of $7,151,641. For the year ended December 31, 2016 the Company reversed incentive fee accruals of $15,188,121. As of December 31, 2018, the Company's accrued incentive fee balance due GSV Asset Management was $4,660,472, net of the Waiver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Incentive Fee Waiver Agreement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February 2, 2018, GSV Asset Management voluntarily agreed to reduce the fees payable under the Investment Advisory Agreement pursuant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Agreement. The Waiver Agreement is effective February 1, 2018 and changes the fee structure set forth in the Investment Advisory Agreement by:</w:t>
      </w:r>
    </w:p>
    <w:p>
      <w:pPr>
        <w:spacing w:after="0" w:line="9" w:lineRule="exact"/>
        <w:rPr>
          <w:sz w:val="20"/>
          <w:szCs w:val="20"/>
          <w:color w:val="auto"/>
        </w:rPr>
      </w:pPr>
    </w:p>
    <w:p>
      <w:pPr>
        <w:jc w:val="both"/>
        <w:ind w:firstLine="8"/>
        <w:spacing w:after="0" w:line="255" w:lineRule="auto"/>
        <w:tabs>
          <w:tab w:leader="none" w:pos="2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Company’s base management fee from 2.00% to 1.75%; and (ii) creating certain high-water marks that must be reached before any incentive fee is paid to GSV Asset Management. In addition to the foregoing changes to the fee structure, GSV Asset Management also agreed to a one-time forfeiture of $5.0 million of previously accrued but unpaid incentive fees.</w:t>
      </w:r>
    </w:p>
    <w:p>
      <w:pPr>
        <w:spacing w:after="0" w:line="186"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Pursuant to the Waiver Agreement, effective February 1, 2018, the base management fee is reduced to 1.75% of the Company’s gross assets. The base management fee is calculated based on the average value of the Company’s gross assets at the end of the two most recently completed calendar quarters, and appropriately adjusted for any equity or debt capital raises, repurchases or redemptions during the current calendar quarter. The base management fee for any partial month or quarter will be appropriately prorated. In addition, because the Company's 5.25% Convertible Senior Notes matured on September 15, 2018 (the "5.25% Convertible Senior Notes due 2018"), the Company was previously carrying a larger cash balance than it would in the ordinary course of its business. As a result, under the Waiver Agreement, GSV Asset Management agreed to waive its base management fee on any cash balances effective as of February 1, 2018 until the 5.25% Convertible Senior Notes due 2018 matured on September 15, 2018, at which time the Company repaid the remaining outstanding aggregate principal amount of the 5.25% Convertible Senior Notes due 2018, including accrued but unpaid interest. As a result, as of and after September 15, 2018, the Company pays GSV Asset Management a 1.75% base management fee on its cash balances.</w:t>
      </w:r>
    </w:p>
    <w:p>
      <w:pPr>
        <w:spacing w:after="0" w:line="18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Pursuant to the Waiver Agreement, in addition to the “hurdle” feature in the incentive fee, GSV Asset Management has agreed to additional conditions on its ability to receive an incentive fee. Specifically, the Waiver Agreement provides that an incentive fee earned by GSV Asset Management under the Investment Advisory Agreement will be payable to GSV Asset Management only if, at the time that such incentive fee becomes payable under the Investment Advisory Agreement, both the Company’s stock price and its last reported net asset value per share are equal to or greater than $12.55 (the “High-Water Mark”). The High-Water Mark is based upon the volume weighted average price (VWAP) of all the Company’s equity offerings since its initial public offering, less the dollar amount of all dividends paid by the Company since inception. Upon such time that the High-Water Mark is achieved, and GSV Asset Management is paid an incentive fee, a new High-Water Mark will be established. Each new High-Water Mark will be equal to the most recent High-Water Mark, plus 10%. Any High-Water Mark then in effect will be adjusted to reflect any dividends paid by the Company or any stock split effected by the Company.</w:t>
      </w:r>
    </w:p>
    <w:p>
      <w:pPr>
        <w:spacing w:after="0" w:line="189"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For the avoidance of doubt, after the effective date of the Waiver Agreement, under no circumstances will the aggregate fees earned by GSV Asset Management in any quarterly period be higher than those aggregate fees that would have been earned prior to the effectiveness of the Waiver Agreement.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each of December 31, 2018 and December 31, 2017, there were no receivables owed to the Company by GSV Asset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22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is no limit on the total amount of expenses the Company may be required to reimburse to GSV Capital Service Company, GSV Capital Service Company will only charge the Company for the actual expenses GSV Capital Service Company incurs on the Company’s behalf, or the Company’s allocable portion thereof, without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profit to GSV Capital Service Company. There were $1,702,047, $1,874,839, and $2,545,316 in such costs incurred under the Administration Agreement for the years ended December 31, 2018, 2017, and 2016,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year end, in connection with the Company's Internalization, the Administration Agreement was terminated on the Effective Date in accordance with its terms. Refer to "Note 11—Subsequent Events"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GSV Asset Management</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GSV Asset Management wholly owns and controls GSV Capital Service Company, which is a disregarded entity for tax purposes. As of each of December 31, 2018 and December 31, 2017, the Company owed GSV Asset Management, via the Administration Agreement with GSV Capital Service Company, $0 and $231,697, respectively, primarily for the reimbursement of overhead allocation expenses and travel expenses, pursuant to the Administration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Investment Advisory Agreement with GSV Asset Management is in effect. Other than with respect to this limited license, the Company has no legal right to the “GSV” name.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year-end, in connection with the Company's Internalization, as of the Effective Date, the Company entered into an Amended and Restated Trademark License Agreement to continue to use the trade name “GSV”, and other state or unregistered “GSV” marks, including the trading symbol “GSVC.” Refer to "Note 11—Subsequent Events" for further detail.</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Arrangements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Mark Moe, who is the brother of Michael Moe, the Chairman of the Company’s Board of Directors, serves as Vice President of Business Development, Global Expansion for NestGSV, Inc. (d/b/a GSV Labs, Inc.), one of the Company’s portfolio companies. Diane Flynn, who is the spouse of the Company’s former President, Mark Flynn, served as Chief Marketing Officer of NestGSV, Inc. until her resignation in January 2017. Ron Johnson, the Chief Executive Officer of Enjoy Technology, Inc., one of the Company’s portfolio companies, is the brother-in-law of the Company’s former President, Mark Flynn. As of December 31, 2018, the fair values of the Company’s investments in NestGSV, Inc. and Enjoy Technology, Inc. were $8,679,711 and $6,091,436, respectively.</w:t>
      </w:r>
    </w:p>
    <w:p>
      <w:pPr>
        <w:spacing w:after="0" w:line="188"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In addition, the Company’s executive officers and directors, and the principals of the Company’s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April 17, 2019, GSV Asset Management also manages: Coursera@GSV Fund, LP, Coursera@GSV-EDBI Fund, LP, and GSV@CS, LP, special purpose vehicles each comprised of an underlying investment in the capital stock of Coursera, Inc. (the “Coursera Funds”); GSV@SP, LLC, a special purpose vehicle comprised of an underlying investment in the capital stock of Spotify Technology S.A. (the “GSV@SP Fund”); and GSV@LT, LLC, GSV@LT II, LP, and GSV@LT III, LP, special purpose vehicles each comprised of an underlying investment in the capital stock of Lyft, Inc. (the “Lyft Funds”). GSV Asset Management will likely manage one or more private funds, or series within such private funds, in the future. The Company has no ownership interests in the Coursera Funds, the GSV@SP Fund or the Lyft Funds.</w:t>
      </w:r>
    </w:p>
    <w:p>
      <w:pPr>
        <w:spacing w:after="0" w:line="18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1940 Act prohibits the Company from partcipating in certain negotiated co-investments with certain affiliates unless it receives an order from the SEC permitting it to do so. To the extent that the Company competes with entities managed by GSV Asset Management or any of its affiliates for one or more investment or disposition opportunities, GSV Asset Management will allocate any such opportunity across the entities for which the opportunity is appropriate, consistent with (1) its internal conflict-resolution and allocation policies, (2) the requirements of the Investment Advisers Act of 1940, and</w:t>
      </w:r>
    </w:p>
    <w:p>
      <w:pPr>
        <w:spacing w:after="0" w:line="3" w:lineRule="exact"/>
        <w:rPr>
          <w:sz w:val="20"/>
          <w:szCs w:val="20"/>
          <w:color w:val="auto"/>
        </w:rPr>
      </w:pPr>
    </w:p>
    <w:p>
      <w:pPr>
        <w:ind w:firstLine="8"/>
        <w:spacing w:after="0" w:line="261" w:lineRule="auto"/>
        <w:tabs>
          <w:tab w:leader="none" w:pos="2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under the 1940 Act regarding co-investments with affiliates. Where co-investment is permissible under the 1940 Act, for example where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only term of a transaction negotiated is price, and where a particular investment or disposition opportunity is appropriate for both the Company and another entity managed by GSV Asset Management, GSV Asset Management will first offer any such opportunity in its entirety to the Company. In the event that the size of such investment or disposition opportunity exceeds the Company’s capacity, other funds managed by GSV Asset Management may be offered the opportunity, but only to the extent that the Company and its Board of Directors have confirmed that any such investment or disposition by an affiliated entity is permissible under the 1940 Act and otherwise in the Company’s best interests. The Company’s Chief Compliance Officer and Board of Directors will monitor on a quarterly basis any such allocation of investment or disposition opportunities between the Company and any such other funds.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GSV Asset Management and certain of their affiliates have submitted an exemptive relief application to the SEC to permit the Company to co-invest with other funds managed by GSV Asset Management or its affiliates in a manner consistent with the Company’s investment objectives and the conditions to the application. As a result of the internalization of the Company’s operating structure, the Company and GSV Asset Management withdrew such exemptive application on April 2, 2019 because the relief sought was no longer necessary.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business development company,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Composition</w:t>
      </w:r>
    </w:p>
    <w:p>
      <w:pPr>
        <w:spacing w:after="0" w:line="22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December 31, 2018, the Company had 55 positions in 26 portfolio companies. As of December 31, 2017, the Company had 63 positions in 31 portfolio companies.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18" w:right="239" w:bottom="1440" w:gutter="0" w:footer="0" w:header="0"/>
        </w:sectPr>
      </w:pPr>
    </w:p>
    <w:bookmarkStart w:id="100" w:name="page101"/>
    <w:bookmarkEnd w:id="10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composition of the Company’s investment portfolio by security type at cost and fair value as of December 31, 2018 and December 31,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2"/>
                <w:szCs w:val="12"/>
                <w:color w:val="auto"/>
              </w:rPr>
            </w:pPr>
          </w:p>
        </w:tc>
        <w:tc>
          <w:tcPr>
            <w:tcW w:w="1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300" w:type="dxa"/>
            <w:vAlign w:val="bottom"/>
          </w:tcPr>
          <w:p>
            <w:pPr>
              <w:spacing w:after="0"/>
              <w:rPr>
                <w:sz w:val="12"/>
                <w:szCs w:val="12"/>
                <w:color w:val="auto"/>
              </w:rPr>
            </w:pP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06"/>
        </w:trPr>
        <w:tc>
          <w:tcPr>
            <w:tcW w:w="1900" w:type="dxa"/>
            <w:vAlign w:val="bottom"/>
            <w:tcBorders>
              <w:top w:val="single" w:sz="8" w:color="CCEEFF"/>
            </w:tcBorders>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b w:val="1"/>
                <w:bCs w:val="1"/>
                <w:color w:val="auto"/>
              </w:rPr>
              <w:t>Private Portfolio</w:t>
            </w: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48,424,535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48,517,824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53,413,686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86,824,096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89,715,085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134,145,680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120,253,822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9,156,012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8,809,356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4,916,578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209,761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197,162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433,997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1"/>
        </w:trPr>
        <w:tc>
          <w:tcPr>
            <w:tcW w:w="19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Private 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147,505,393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196,565,884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212,428,493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Publicly Traded</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23,659,010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44,589,406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6,008,468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8,160,000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1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0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Total Portfolio</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171,164,403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198,815,829</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202,574,352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220,588,493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1"/>
        </w:trPr>
        <w:tc>
          <w:tcPr>
            <w:tcW w:w="19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Non-Portfolio</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9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bill</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99,982,067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99,985,833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99,994,000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57"/>
        </w:trPr>
        <w:tc>
          <w:tcPr>
            <w:tcW w:w="1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271,146,470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298,809,829</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302,560,185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320,582,493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industrial and geographic compositions of the Company’s portfolio at fair value as of December 31, 2018 and December 31, 2017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49"/>
        </w:trPr>
        <w:tc>
          <w:tcPr>
            <w:tcW w:w="1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Industry</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 Technology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64,480,375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90,658,640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Big Data/Cloud</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51,929,440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57,678,330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Social/Mobile</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39,964,377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38,528,143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Marketplaces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41,691,439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32,653,518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Sustainability</w:t>
            </w: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750,198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1,069,862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198,815,829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220,588,493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1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60" w:type="dxa"/>
            <w:vAlign w:val="bottom"/>
          </w:tcPr>
          <w:p>
            <w:pPr>
              <w:spacing w:after="0"/>
              <w:rPr>
                <w:sz w:val="12"/>
                <w:szCs w:val="12"/>
                <w:color w:val="auto"/>
              </w:rPr>
            </w:pP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18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249"/>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Geographic Region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167,687,933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165,871,083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Mid-west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593,702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Northeast</w:t>
            </w: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4,414,536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23,394,640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26,713,360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30,729,068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7"/>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198,815,829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220,588,493</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-1903095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18" w:right="239" w:bottom="1440" w:gutter="0" w:footer="0" w:header="0"/>
          <w:type w:val="continuous"/>
        </w:sectPr>
      </w:pPr>
    </w:p>
    <w:bookmarkStart w:id="101" w:name="page102"/>
    <w:bookmarkEnd w:id="10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composition of the Company’s industrial themes presented above: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Industry Theme</w:t>
            </w:r>
          </w:p>
        </w:tc>
        <w:tc>
          <w:tcPr>
            <w:tcW w:w="120" w:type="dxa"/>
            <w:vAlign w:val="bottom"/>
          </w:tcPr>
          <w:p>
            <w:pPr>
              <w:spacing w:after="0"/>
              <w:rPr>
                <w:sz w:val="16"/>
                <w:szCs w:val="16"/>
                <w:color w:val="auto"/>
              </w:rPr>
            </w:pPr>
          </w:p>
        </w:tc>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r>
      <w:tr>
        <w:trPr>
          <w:trHeight w:val="242"/>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 Technology</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 Software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 Technology</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E-Transcript Exchange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Globally-Focused Private School</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Interactive Learning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Online Education</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Online Education Services</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Big Data/Cloud</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Cloud Computing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 Manager</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Analysis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Social Cognitive Learning</w:t>
            </w:r>
          </w:p>
        </w:tc>
      </w:tr>
      <w:tr>
        <w:trPr>
          <w:trHeight w:val="27"/>
        </w:trPr>
        <w:tc>
          <w:tcPr>
            <w:tcW w:w="3780" w:type="dxa"/>
            <w:vAlign w:val="bottom"/>
            <w:tcBorders>
              <w:bottom w:val="single" w:sz="8" w:color="auto"/>
            </w:tcBorders>
            <w:gridSpan w:val="2"/>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Marketplaces</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Innovation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Knowledge Networks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On-Demand Commerce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On-Demand Transportation Services</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Online Marketplace Finance</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Peer-to-Peer Pet Services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Social/Mobile</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Media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 Field Imaging Platform</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On-Demand Music Streaming</w:t>
            </w: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Social Data Platform</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Sustainability</w:t>
            </w:r>
          </w:p>
        </w:tc>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Clean Technology</w:t>
            </w:r>
          </w:p>
        </w:tc>
      </w:tr>
      <w:tr>
        <w:trPr>
          <w:trHeight w:val="702"/>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99</w:t>
            </w:r>
          </w:p>
        </w:tc>
      </w:tr>
    </w:tbl>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Inputs</w:t>
      </w:r>
    </w:p>
    <w:p>
      <w:pPr>
        <w:spacing w:after="0" w:line="229"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fair values of the Company’s investments disaggregated into the three levels of the fair value hierarchy based upon the lowest level of significant input used in the valuation as of December 31, 2018 and December 31, 2017 are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48,517,824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48,517,824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99,856,159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5,584,994</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267,446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154,226,423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44,589,406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44,589,406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44,589,406</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198,815,829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99,994,000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99,994,000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144,583,406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154,226,423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298,809,829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86,824,096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86,824,096</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120,253,822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120,253,822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4,916,578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4,916,578</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433,997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433,997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212,428,493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212,428,493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8,160,000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8,160,000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8,160,000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212,428,493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220,588,493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99,994,000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99,994,000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108,154,000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212,428,493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320,582,493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-3712845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-3712845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-4064000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-4064000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-4775835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-4775835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Unobservable Inputs for Level 3 Assets and Liabilities</w:t>
      </w:r>
    </w:p>
    <w:p>
      <w:pPr>
        <w:spacing w:after="0" w:line="229" w:lineRule="exact"/>
        <w:rPr>
          <w:sz w:val="20"/>
          <w:szCs w:val="20"/>
          <w:color w:val="auto"/>
        </w:rPr>
      </w:pPr>
    </w:p>
    <w:p>
      <w:pPr>
        <w:jc w:val="both"/>
        <w:ind w:right="20" w:firstLine="351"/>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FASB ASC 820, the tables below provide quantitative information about the Company’s fair value measurements of its Level 3 assets as of December 31, 2018 and December 31, 2017.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December 31, 2018 and December 31, 2017. Significant changes in the inputs in isolation would result in a significant change in the fair value measurement, depending on the input and the materiality of the investment. Refer to “Note 2—Significant Accounting Policies— </w:t>
      </w:r>
      <w:r>
        <w:rPr>
          <w:rFonts w:ascii="Times New Roman" w:cs="Times New Roman" w:eastAsia="Times New Roman" w:hAnsi="Times New Roman"/>
          <w:sz w:val="18"/>
          <w:szCs w:val="18"/>
          <w:i w:val="1"/>
          <w:iCs w:val="1"/>
          <w:color w:val="auto"/>
        </w:rPr>
        <w:t>Investments at Fair Value</w:t>
      </w:r>
      <w:r>
        <w:rPr>
          <w:rFonts w:ascii="Times New Roman" w:cs="Times New Roman" w:eastAsia="Times New Roman" w:hAnsi="Times New Roman"/>
          <w:sz w:val="18"/>
          <w:szCs w:val="18"/>
          <w:color w:val="auto"/>
        </w:rPr>
        <w:t>” for more detail.</w:t>
      </w:r>
    </w:p>
    <w:p>
      <w:pPr>
        <w:spacing w:after="0" w:line="3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3680" w:type="dxa"/>
            <w:vAlign w:val="bottom"/>
            <w:tcBorders>
              <w:top w:val="single" w:sz="8" w:color="auto"/>
              <w:left w:val="single" w:sz="8" w:color="auto"/>
              <w:right w:val="single" w:sz="8" w:color="auto"/>
            </w:tcBorders>
          </w:tcPr>
          <w:p>
            <w:pPr>
              <w:spacing w:after="0"/>
              <w:rPr>
                <w:sz w:val="14"/>
                <w:szCs w:val="14"/>
                <w:color w:val="auto"/>
              </w:rPr>
            </w:pPr>
          </w:p>
        </w:tc>
        <w:tc>
          <w:tcPr>
            <w:tcW w:w="196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192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68"/>
        </w:trPr>
        <w:tc>
          <w:tcPr>
            <w:tcW w:w="368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960" w:type="dxa"/>
            <w:vAlign w:val="bottom"/>
            <w:tcBorders>
              <w:right w:val="single" w:sz="8" w:color="auto"/>
            </w:tcBorders>
            <w:vMerge w:val="restart"/>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9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Approach/</w:t>
            </w:r>
          </w:p>
        </w:tc>
        <w:tc>
          <w:tcPr>
            <w:tcW w:w="1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r>
              <w:rPr>
                <w:rFonts w:ascii="Times New Roman" w:cs="Times New Roman" w:eastAsia="Times New Roman" w:hAnsi="Times New Roman"/>
                <w:sz w:val="8"/>
                <w:szCs w:val="8"/>
                <w:b w:val="1"/>
                <w:bCs w:val="1"/>
                <w:color w:val="auto"/>
              </w:rPr>
              <w:t>(2)</w:t>
            </w:r>
          </w:p>
        </w:tc>
        <w:tc>
          <w:tcPr>
            <w:tcW w:w="19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8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09"/>
        </w:trPr>
        <w:tc>
          <w:tcPr>
            <w:tcW w:w="368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r>
              <w:rPr>
                <w:rFonts w:ascii="Times New Roman" w:cs="Times New Roman" w:eastAsia="Times New Roman" w:hAnsi="Times New Roman"/>
                <w:sz w:val="8"/>
                <w:szCs w:val="8"/>
                <w:b w:val="1"/>
                <w:bCs w:val="1"/>
                <w:color w:val="auto"/>
              </w:rPr>
              <w:t>(1)</w:t>
            </w:r>
          </w:p>
        </w:tc>
        <w:tc>
          <w:tcPr>
            <w:tcW w:w="192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680" w:type="dxa"/>
            <w:vAlign w:val="bottom"/>
            <w:tcBorders>
              <w:left w:val="single" w:sz="8" w:color="auto"/>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in</w:t>
            </w:r>
          </w:p>
        </w:tc>
        <w:tc>
          <w:tcPr>
            <w:tcW w:w="196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1.26x - 4.95x (4.04x)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368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$48,517,824</w:t>
            </w:r>
          </w:p>
        </w:tc>
        <w:tc>
          <w:tcPr>
            <w:tcW w:w="194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26"/>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companies</w:t>
            </w:r>
          </w:p>
        </w:tc>
        <w:tc>
          <w:tcPr>
            <w:tcW w:w="196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680" w:type="dxa"/>
            <w:vAlign w:val="bottom"/>
            <w:tcBorders>
              <w:left w:val="single" w:sz="8" w:color="auto"/>
              <w:right w:val="single" w:sz="8" w:color="auto"/>
            </w:tcBorders>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18"/>
                <w:szCs w:val="18"/>
                <w:color w:val="auto"/>
                <w:w w:val="96"/>
              </w:rPr>
              <w:t>Discounted cash flow</w:t>
            </w:r>
            <w:r>
              <w:rPr>
                <w:rFonts w:ascii="Times New Roman" w:cs="Times New Roman" w:eastAsia="Times New Roman" w:hAnsi="Times New Roman"/>
                <w:sz w:val="25"/>
                <w:szCs w:val="25"/>
                <w:color w:val="auto"/>
                <w:w w:val="96"/>
                <w:vertAlign w:val="superscript"/>
              </w:rPr>
              <w:t>(2)</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12.0% (12.0%)</w:t>
            </w:r>
          </w:p>
        </w:tc>
        <w:tc>
          <w:tcPr>
            <w:tcW w:w="0" w:type="dxa"/>
            <w:vAlign w:val="bottom"/>
          </w:tcPr>
          <w:p>
            <w:pPr>
              <w:spacing w:after="0"/>
              <w:rPr>
                <w:sz w:val="1"/>
                <w:szCs w:val="1"/>
                <w:color w:val="auto"/>
              </w:rPr>
            </w:pPr>
          </w:p>
        </w:tc>
      </w:tr>
      <w:tr>
        <w:trPr>
          <w:trHeight w:val="203"/>
        </w:trPr>
        <w:tc>
          <w:tcPr>
            <w:tcW w:w="3680" w:type="dxa"/>
            <w:vAlign w:val="bottom"/>
            <w:tcBorders>
              <w:left w:val="single" w:sz="8" w:color="auto"/>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right w:val="single" w:sz="8" w:color="auto"/>
            </w:tcBorders>
            <w:vMerge w:val="continue"/>
          </w:tcPr>
          <w:p>
            <w:pPr>
              <w:spacing w:after="0"/>
              <w:rPr>
                <w:sz w:val="17"/>
                <w:szCs w:val="17"/>
                <w:color w:val="auto"/>
              </w:rPr>
            </w:pPr>
          </w:p>
        </w:tc>
        <w:tc>
          <w:tcPr>
            <w:tcW w:w="1920" w:type="dxa"/>
            <w:vAlign w:val="bottom"/>
            <w:tcBorders>
              <w:bottom w:val="single" w:sz="8" w:color="auto"/>
              <w:right w:val="single" w:sz="8" w:color="auto"/>
            </w:tcBorders>
            <w:vMerge w:val="continue"/>
          </w:tcPr>
          <w:p>
            <w:pPr>
              <w:spacing w:after="0"/>
              <w:rPr>
                <w:sz w:val="17"/>
                <w:szCs w:val="17"/>
                <w:color w:val="auto"/>
              </w:rPr>
            </w:pPr>
          </w:p>
        </w:tc>
        <w:tc>
          <w:tcPr>
            <w:tcW w:w="19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Precedent</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2.60x - 3.07x (2.69x)</w:t>
            </w:r>
          </w:p>
        </w:tc>
        <w:tc>
          <w:tcPr>
            <w:tcW w:w="0" w:type="dxa"/>
            <w:vAlign w:val="bottom"/>
          </w:tcPr>
          <w:p>
            <w:pPr>
              <w:spacing w:after="0"/>
              <w:rPr>
                <w:sz w:val="1"/>
                <w:szCs w:val="1"/>
                <w:color w:val="auto"/>
              </w:rPr>
            </w:pPr>
          </w:p>
        </w:tc>
      </w:tr>
      <w:tr>
        <w:trPr>
          <w:trHeight w:val="126"/>
        </w:trPr>
        <w:tc>
          <w:tcPr>
            <w:tcW w:w="3680" w:type="dxa"/>
            <w:vAlign w:val="bottom"/>
            <w:tcBorders>
              <w:left w:val="single" w:sz="8" w:color="auto"/>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transactions</w:t>
            </w: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8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Preferred stock in</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$99,856,159</w:t>
            </w: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2.20x - 4.15x (3.39x)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vMerge w:val="continue"/>
          </w:tcPr>
          <w:p>
            <w:pPr>
              <w:spacing w:after="0"/>
              <w:rPr>
                <w:sz w:val="2"/>
                <w:szCs w:val="2"/>
                <w:color w:val="auto"/>
              </w:rPr>
            </w:pPr>
          </w:p>
        </w:tc>
        <w:tc>
          <w:tcPr>
            <w:tcW w:w="1960" w:type="dxa"/>
            <w:vAlign w:val="bottom"/>
            <w:tcBorders>
              <w:right w:val="single" w:sz="8" w:color="auto"/>
            </w:tcBorders>
            <w:vMerge w:val="continue"/>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companies</w:t>
            </w:r>
          </w:p>
        </w:tc>
        <w:tc>
          <w:tcPr>
            <w:tcW w:w="19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restart"/>
          </w:tcPr>
          <w:p>
            <w:pPr>
              <w:jc w:val="center"/>
              <w:spacing w:after="0" w:line="264" w:lineRule="exact"/>
              <w:rPr>
                <w:sz w:val="20"/>
                <w:szCs w:val="20"/>
                <w:color w:val="auto"/>
              </w:rPr>
            </w:pPr>
            <w:r>
              <w:rPr>
                <w:rFonts w:ascii="Times New Roman" w:cs="Times New Roman" w:eastAsia="Times New Roman" w:hAnsi="Times New Roman"/>
                <w:sz w:val="18"/>
                <w:szCs w:val="18"/>
                <w:color w:val="auto"/>
                <w:w w:val="96"/>
              </w:rPr>
              <w:t>Discounted cash flow</w:t>
            </w:r>
            <w:r>
              <w:rPr>
                <w:rFonts w:ascii="Times New Roman" w:cs="Times New Roman" w:eastAsia="Times New Roman" w:hAnsi="Times New Roman"/>
                <w:sz w:val="25"/>
                <w:szCs w:val="25"/>
                <w:color w:val="auto"/>
                <w:w w:val="96"/>
                <w:vertAlign w:val="superscript"/>
              </w:rPr>
              <w:t>(2)</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12.0% (12.0%)</w:t>
            </w:r>
          </w:p>
        </w:tc>
        <w:tc>
          <w:tcPr>
            <w:tcW w:w="0" w:type="dxa"/>
            <w:vAlign w:val="bottom"/>
          </w:tcPr>
          <w:p>
            <w:pPr>
              <w:spacing w:after="0"/>
              <w:rPr>
                <w:sz w:val="1"/>
                <w:szCs w:val="1"/>
                <w:color w:val="auto"/>
              </w:rPr>
            </w:pPr>
          </w:p>
        </w:tc>
      </w:tr>
      <w:tr>
        <w:trPr>
          <w:trHeight w:val="140"/>
        </w:trPr>
        <w:tc>
          <w:tcPr>
            <w:tcW w:w="3680" w:type="dxa"/>
            <w:vAlign w:val="bottom"/>
            <w:tcBorders>
              <w:left w:val="single" w:sz="8" w:color="auto"/>
              <w:right w:val="single" w:sz="8" w:color="auto"/>
            </w:tcBorders>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PWERM</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1.09x - 5.40x (3.18x)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 approach</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1.26x - 2.40x (2.30x)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$5,584,994</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PWERM</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1.31x - 5.40x (1.91x)</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right w:val="single" w:sz="8" w:color="auto"/>
            </w:tcBorders>
          </w:tcPr>
          <w:p>
            <w:pPr>
              <w:spacing w:after="0"/>
              <w:rPr>
                <w:sz w:val="2"/>
                <w:szCs w:val="2"/>
                <w:color w:val="auto"/>
              </w:rPr>
            </w:pPr>
          </w:p>
        </w:tc>
        <w:tc>
          <w:tcPr>
            <w:tcW w:w="1960" w:type="dxa"/>
            <w:vAlign w:val="bottom"/>
            <w:tcBorders>
              <w:right w:val="single" w:sz="8" w:color="auto"/>
            </w:tcBorders>
          </w:tcPr>
          <w:p>
            <w:pPr>
              <w:spacing w:after="0"/>
              <w:rPr>
                <w:sz w:val="2"/>
                <w:szCs w:val="2"/>
                <w:color w:val="auto"/>
              </w:rPr>
            </w:pPr>
          </w:p>
        </w:tc>
        <w:tc>
          <w:tcPr>
            <w:tcW w:w="194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680" w:type="dxa"/>
            <w:vAlign w:val="bottom"/>
            <w:tcBorders>
              <w:left w:val="single" w:sz="8" w:color="auto"/>
              <w:right w:val="single" w:sz="8" w:color="auto"/>
            </w:tcBorders>
          </w:tcPr>
          <w:p>
            <w:pPr>
              <w:spacing w:after="0"/>
              <w:rPr>
                <w:sz w:val="7"/>
                <w:szCs w:val="7"/>
                <w:color w:val="auto"/>
              </w:rPr>
            </w:pPr>
          </w:p>
        </w:tc>
        <w:tc>
          <w:tcPr>
            <w:tcW w:w="196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Liquidation value</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49"/>
        </w:trPr>
        <w:tc>
          <w:tcPr>
            <w:tcW w:w="3680" w:type="dxa"/>
            <w:vAlign w:val="bottom"/>
            <w:tcBorders>
              <w:left w:val="single" w:sz="8" w:color="auto"/>
              <w:right w:val="single" w:sz="8" w:color="auto"/>
            </w:tcBorders>
          </w:tcPr>
          <w:p>
            <w:pPr>
              <w:spacing w:after="0"/>
              <w:rPr>
                <w:sz w:val="12"/>
                <w:szCs w:val="12"/>
                <w:color w:val="auto"/>
              </w:rPr>
            </w:pPr>
          </w:p>
        </w:tc>
        <w:tc>
          <w:tcPr>
            <w:tcW w:w="196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to expiration</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1.1-9.3 (2.6)</w:t>
            </w:r>
          </w:p>
        </w:tc>
        <w:tc>
          <w:tcPr>
            <w:tcW w:w="0" w:type="dxa"/>
            <w:vAlign w:val="bottom"/>
          </w:tcPr>
          <w:p>
            <w:pPr>
              <w:spacing w:after="0"/>
              <w:rPr>
                <w:sz w:val="1"/>
                <w:szCs w:val="1"/>
                <w:color w:val="auto"/>
              </w:rPr>
            </w:pPr>
          </w:p>
        </w:tc>
      </w:tr>
      <w:tr>
        <w:trPr>
          <w:trHeight w:val="126"/>
        </w:trPr>
        <w:tc>
          <w:tcPr>
            <w:tcW w:w="3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$267,446</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Option pricing model</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9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80" w:type="dxa"/>
            <w:vAlign w:val="bottom"/>
            <w:tcBorders>
              <w:left w:val="single" w:sz="8" w:color="auto"/>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920" w:type="dxa"/>
            <w:vAlign w:val="bottom"/>
            <w:tcBorders>
              <w:bottom w:val="single" w:sz="8" w:color="auto"/>
              <w:right w:val="single" w:sz="8" w:color="auto"/>
            </w:tcBorders>
            <w:vMerge w:val="continue"/>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80" w:type="dxa"/>
            <w:vAlign w:val="bottom"/>
            <w:tcBorders>
              <w:left w:val="single" w:sz="8" w:color="auto"/>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28.1%-37.1% (29.0%)</w:t>
            </w:r>
          </w:p>
        </w:tc>
        <w:tc>
          <w:tcPr>
            <w:tcW w:w="0" w:type="dxa"/>
            <w:vAlign w:val="bottom"/>
          </w:tcPr>
          <w:p>
            <w:pPr>
              <w:spacing w:after="0"/>
              <w:rPr>
                <w:sz w:val="1"/>
                <w:szCs w:val="1"/>
                <w:color w:val="auto"/>
              </w:rPr>
            </w:pP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jc w:val="both"/>
        <w:ind w:left="660" w:right="20" w:hanging="652"/>
        <w:spacing w:after="0" w:line="255" w:lineRule="auto"/>
        <w:tabs>
          <w:tab w:leader="none" w:pos="6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2018,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Times New Roman" w:cs="Times New Roman" w:eastAsia="Times New Roman" w:hAnsi="Times New Roman"/>
          <w:sz w:val="16"/>
          <w:szCs w:val="16"/>
          <w:i w:val="1"/>
          <w:iCs w:val="1"/>
          <w:color w:val="auto"/>
        </w:rPr>
        <w:t>Investments at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Value</w:t>
      </w:r>
      <w:r>
        <w:rPr>
          <w:rFonts w:ascii="Times New Roman" w:cs="Times New Roman" w:eastAsia="Times New Roman" w:hAnsi="Times New Roman"/>
          <w:sz w:val="16"/>
          <w:szCs w:val="16"/>
          <w:color w:val="auto"/>
        </w:rPr>
        <w:t>” for more detail.</w:t>
      </w:r>
    </w:p>
    <w:p>
      <w:pPr>
        <w:spacing w:after="0" w:line="75" w:lineRule="exact"/>
        <w:rPr>
          <w:rFonts w:ascii="Times New Roman" w:cs="Times New Roman" w:eastAsia="Times New Roman" w:hAnsi="Times New Roman"/>
          <w:sz w:val="16"/>
          <w:szCs w:val="16"/>
          <w:color w:val="auto"/>
        </w:rPr>
      </w:pPr>
    </w:p>
    <w:p>
      <w:pPr>
        <w:jc w:val="both"/>
        <w:ind w:left="660" w:right="20" w:hanging="652"/>
        <w:spacing w:after="0" w:line="263" w:lineRule="auto"/>
        <w:tabs>
          <w:tab w:leader="none" w:pos="66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40"/>
          </w:cols>
          <w:pgMar w:left="240" w:top="118" w:right="219" w:bottom="1440" w:gutter="0" w:footer="0" w:header="0"/>
        </w:sectPr>
      </w:pPr>
    </w:p>
    <w:bookmarkStart w:id="104" w:name="page105"/>
    <w:bookmarkEnd w:id="10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73" w:lineRule="exact"/>
        <w:rPr>
          <w:sz w:val="20"/>
          <w:szCs w:val="20"/>
          <w:color w:val="auto"/>
        </w:rPr>
      </w:pPr>
    </w:p>
    <w:p>
      <w:pPr>
        <w:jc w:val="both"/>
        <w:ind w:left="660" w:right="20"/>
        <w:spacing w:after="0" w:line="340" w:lineRule="auto"/>
        <w:rPr>
          <w:sz w:val="20"/>
          <w:szCs w:val="20"/>
          <w:color w:val="auto"/>
        </w:rPr>
      </w:pPr>
      <w:r>
        <w:rPr>
          <w:rFonts w:ascii="Times New Roman" w:cs="Times New Roman" w:eastAsia="Times New Roman" w:hAnsi="Times New Roman"/>
          <w:sz w:val="16"/>
          <w:szCs w:val="16"/>
          <w:color w:val="auto"/>
        </w:rPr>
        <w:t>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Fair Value</w:t>
      </w:r>
      <w:r>
        <w:rPr>
          <w:rFonts w:ascii="Times New Roman" w:cs="Times New Roman" w:eastAsia="Times New Roman" w:hAnsi="Times New Roman"/>
          <w:sz w:val="16"/>
          <w:szCs w:val="16"/>
          <w:color w:val="auto"/>
        </w:rPr>
        <w:t>” for more detail.</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2900" w:type="dxa"/>
            <w:vAlign w:val="bottom"/>
            <w:tcBorders>
              <w:top w:val="single" w:sz="8" w:color="auto"/>
              <w:left w:val="single" w:sz="8" w:color="auto"/>
              <w:right w:val="single" w:sz="8" w:color="auto"/>
            </w:tcBorders>
          </w:tcPr>
          <w:p>
            <w:pPr>
              <w:spacing w:after="0"/>
              <w:rPr>
                <w:sz w:val="14"/>
                <w:szCs w:val="14"/>
                <w:color w:val="auto"/>
              </w:rPr>
            </w:pPr>
          </w:p>
        </w:tc>
        <w:tc>
          <w:tcPr>
            <w:tcW w:w="1820" w:type="dxa"/>
            <w:vAlign w:val="bottom"/>
            <w:tcBorders>
              <w:top w:val="single" w:sz="8" w:color="auto"/>
              <w:right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500" w:type="dxa"/>
            <w:vAlign w:val="bottom"/>
            <w:tcBorders>
              <w:top w:val="single" w:sz="8" w:color="auto"/>
              <w:right w:val="single" w:sz="8" w:color="auto"/>
            </w:tcBorders>
          </w:tcPr>
          <w:p>
            <w:pPr>
              <w:spacing w:after="0"/>
              <w:rPr>
                <w:sz w:val="14"/>
                <w:szCs w:val="14"/>
                <w:color w:val="auto"/>
              </w:rPr>
            </w:pPr>
          </w:p>
        </w:tc>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0" w:type="dxa"/>
            <w:vAlign w:val="bottom"/>
          </w:tcPr>
          <w:p>
            <w:pPr>
              <w:spacing w:after="0"/>
              <w:rPr>
                <w:sz w:val="1"/>
                <w:szCs w:val="1"/>
                <w:color w:val="auto"/>
              </w:rPr>
            </w:pPr>
          </w:p>
        </w:tc>
      </w:tr>
      <w:tr>
        <w:trPr>
          <w:trHeight w:val="68"/>
        </w:trPr>
        <w:tc>
          <w:tcPr>
            <w:tcW w:w="290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w:t>
            </w:r>
          </w:p>
        </w:tc>
        <w:tc>
          <w:tcPr>
            <w:tcW w:w="1820" w:type="dxa"/>
            <w:vAlign w:val="bottom"/>
            <w:tcBorders>
              <w:right w:val="single" w:sz="8" w:color="auto"/>
            </w:tcBorders>
            <w:vMerge w:val="restart"/>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Approach/</w:t>
            </w:r>
          </w:p>
        </w:tc>
        <w:tc>
          <w:tcPr>
            <w:tcW w:w="25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r>
              <w:rPr>
                <w:rFonts w:ascii="Times New Roman" w:cs="Times New Roman" w:eastAsia="Times New Roman" w:hAnsi="Times New Roman"/>
                <w:sz w:val="8"/>
                <w:szCs w:val="8"/>
                <w:b w:val="1"/>
                <w:bCs w:val="1"/>
                <w:color w:val="auto"/>
              </w:rPr>
              <w:t>(2)</w:t>
            </w: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90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9"/>
        </w:trPr>
        <w:tc>
          <w:tcPr>
            <w:tcW w:w="2900" w:type="dxa"/>
            <w:vAlign w:val="bottom"/>
            <w:tcBorders>
              <w:left w:val="single" w:sz="8" w:color="auto"/>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r>
              <w:rPr>
                <w:rFonts w:ascii="Times New Roman" w:cs="Times New Roman" w:eastAsia="Times New Roman" w:hAnsi="Times New Roman"/>
                <w:sz w:val="8"/>
                <w:szCs w:val="8"/>
                <w:b w:val="1"/>
                <w:bCs w:val="1"/>
                <w:color w:val="auto"/>
              </w:rPr>
              <w:t>(1)</w:t>
            </w:r>
          </w:p>
        </w:tc>
        <w:tc>
          <w:tcPr>
            <w:tcW w:w="25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90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900" w:type="dxa"/>
            <w:vAlign w:val="bottom"/>
            <w:tcBorders>
              <w:left w:val="single" w:sz="8" w:color="auto"/>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2.03x–7.08x (5.70x)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in</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$86,824,096</w:t>
            </w:r>
          </w:p>
        </w:tc>
        <w:tc>
          <w:tcPr>
            <w:tcW w:w="206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Liquidation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5"/>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companies</w:t>
            </w:r>
          </w:p>
        </w:tc>
        <w:tc>
          <w:tcPr>
            <w:tcW w:w="1820" w:type="dxa"/>
            <w:vAlign w:val="bottom"/>
            <w:tcBorders>
              <w:right w:val="single" w:sz="8" w:color="auto"/>
            </w:tcBorders>
            <w:vMerge w:val="continue"/>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900" w:type="dxa"/>
            <w:vAlign w:val="bottom"/>
            <w:tcBorders>
              <w:left w:val="single" w:sz="8" w:color="auto"/>
              <w:right w:val="single" w:sz="8" w:color="auto"/>
            </w:tcBorders>
            <w:vMerge w:val="continue"/>
          </w:tcPr>
          <w:p>
            <w:pPr>
              <w:spacing w:after="0"/>
              <w:rPr>
                <w:sz w:val="5"/>
                <w:szCs w:val="5"/>
                <w:color w:val="auto"/>
              </w:rPr>
            </w:pPr>
          </w:p>
        </w:tc>
        <w:tc>
          <w:tcPr>
            <w:tcW w:w="182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w:t>
            </w: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12.0% (12.0)%</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continue"/>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900" w:type="dxa"/>
            <w:vAlign w:val="bottom"/>
            <w:tcBorders>
              <w:left w:val="single" w:sz="8" w:color="auto"/>
              <w:right w:val="single" w:sz="8" w:color="auto"/>
            </w:tcBorders>
          </w:tcPr>
          <w:p>
            <w:pPr>
              <w:spacing w:after="0"/>
              <w:rPr>
                <w:sz w:val="5"/>
                <w:szCs w:val="5"/>
                <w:color w:val="auto"/>
              </w:rPr>
            </w:pPr>
          </w:p>
        </w:tc>
        <w:tc>
          <w:tcPr>
            <w:tcW w:w="182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vMerge w:val="continue"/>
          </w:tcPr>
          <w:p>
            <w:pPr>
              <w:spacing w:after="0"/>
              <w:rPr>
                <w:sz w:val="5"/>
                <w:szCs w:val="5"/>
                <w:color w:val="auto"/>
              </w:rPr>
            </w:pPr>
          </w:p>
        </w:tc>
        <w:tc>
          <w:tcPr>
            <w:tcW w:w="250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900" w:type="dxa"/>
            <w:vAlign w:val="bottom"/>
            <w:tcBorders>
              <w:left w:val="single" w:sz="8" w:color="auto"/>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Long-term revenue</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900" w:type="dxa"/>
            <w:vAlign w:val="bottom"/>
            <w:tcBorders>
              <w:left w:val="single" w:sz="8" w:color="auto"/>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18"/>
                <w:szCs w:val="18"/>
                <w:color w:val="auto"/>
                <w:w w:val="94"/>
              </w:rPr>
              <w:t>Cash Flow</w:t>
            </w:r>
            <w:r>
              <w:rPr>
                <w:rFonts w:ascii="Times New Roman" w:cs="Times New Roman" w:eastAsia="Times New Roman" w:hAnsi="Times New Roman"/>
                <w:sz w:val="25"/>
                <w:szCs w:val="25"/>
                <w:color w:val="auto"/>
                <w:w w:val="94"/>
                <w:vertAlign w:val="superscript"/>
              </w:rPr>
              <w:t>(2)</w:t>
            </w:r>
          </w:p>
        </w:tc>
        <w:tc>
          <w:tcPr>
            <w:tcW w:w="2500" w:type="dxa"/>
            <w:vAlign w:val="bottom"/>
            <w:tcBorders>
              <w:right w:val="single" w:sz="8" w:color="auto"/>
            </w:tcBorders>
            <w:vMerge w:val="continue"/>
          </w:tcPr>
          <w:p>
            <w:pPr>
              <w:spacing w:after="0"/>
              <w:rPr>
                <w:sz w:val="19"/>
                <w:szCs w:val="19"/>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 (0.0)%</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growth</w:t>
            </w: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Precedent transactions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1.91x–7.08x (3.80x)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EBIT multiples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27.8x (27.8x)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stock in</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$120,253,822</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 (12.0)%</w:t>
            </w:r>
          </w:p>
        </w:tc>
        <w:tc>
          <w:tcPr>
            <w:tcW w:w="0" w:type="dxa"/>
            <w:vAlign w:val="bottom"/>
          </w:tcPr>
          <w:p>
            <w:pPr>
              <w:spacing w:after="0"/>
              <w:rPr>
                <w:sz w:val="1"/>
                <w:szCs w:val="1"/>
                <w:color w:val="auto"/>
              </w:rPr>
            </w:pPr>
          </w:p>
        </w:tc>
      </w:tr>
      <w:tr>
        <w:trPr>
          <w:trHeight w:val="45"/>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private companies</w:t>
            </w:r>
          </w:p>
        </w:tc>
        <w:tc>
          <w:tcPr>
            <w:tcW w:w="1820" w:type="dxa"/>
            <w:vAlign w:val="bottom"/>
            <w:tcBorders>
              <w:right w:val="single" w:sz="8" w:color="auto"/>
            </w:tcBorders>
            <w:vMerge w:val="continue"/>
          </w:tcPr>
          <w:p>
            <w:pPr>
              <w:spacing w:after="0"/>
              <w:rPr>
                <w:sz w:val="3"/>
                <w:szCs w:val="3"/>
                <w:color w:val="auto"/>
              </w:rPr>
            </w:pPr>
          </w:p>
        </w:tc>
        <w:tc>
          <w:tcPr>
            <w:tcW w:w="2060" w:type="dxa"/>
            <w:vAlign w:val="bottom"/>
            <w:tcBorders>
              <w:right w:val="single" w:sz="8" w:color="auto"/>
            </w:tcBorders>
            <w:vMerge w:val="continue"/>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2900" w:type="dxa"/>
            <w:vAlign w:val="bottom"/>
            <w:tcBorders>
              <w:left w:val="single" w:sz="8" w:color="auto"/>
              <w:right w:val="single" w:sz="8" w:color="auto"/>
            </w:tcBorders>
            <w:vMerge w:val="continue"/>
          </w:tcPr>
          <w:p>
            <w:pPr>
              <w:spacing w:after="0"/>
              <w:rPr>
                <w:sz w:val="6"/>
                <w:szCs w:val="6"/>
                <w:color w:val="auto"/>
              </w:rPr>
            </w:pPr>
          </w:p>
        </w:tc>
        <w:tc>
          <w:tcPr>
            <w:tcW w:w="1820" w:type="dxa"/>
            <w:vAlign w:val="bottom"/>
            <w:tcBorders>
              <w:right w:val="single" w:sz="8" w:color="auto"/>
            </w:tcBorders>
            <w:vMerge w:val="continue"/>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Long-term revenue</w:t>
            </w: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900" w:type="dxa"/>
            <w:vAlign w:val="bottom"/>
            <w:tcBorders>
              <w:left w:val="single" w:sz="8" w:color="auto"/>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vMerge w:val="restart"/>
          </w:tcPr>
          <w:p>
            <w:pPr>
              <w:jc w:val="center"/>
              <w:spacing w:after="0" w:line="221" w:lineRule="exact"/>
              <w:rPr>
                <w:sz w:val="20"/>
                <w:szCs w:val="20"/>
                <w:color w:val="auto"/>
              </w:rPr>
            </w:pPr>
            <w:r>
              <w:rPr>
                <w:rFonts w:ascii="Times New Roman" w:cs="Times New Roman" w:eastAsia="Times New Roman" w:hAnsi="Times New Roman"/>
                <w:sz w:val="18"/>
                <w:szCs w:val="18"/>
                <w:color w:val="auto"/>
                <w:w w:val="94"/>
              </w:rPr>
              <w:t>Cash Flow</w:t>
            </w:r>
            <w:r>
              <w:rPr>
                <w:rFonts w:ascii="Times New Roman" w:cs="Times New Roman" w:eastAsia="Times New Roman" w:hAnsi="Times New Roman"/>
                <w:sz w:val="25"/>
                <w:szCs w:val="25"/>
                <w:color w:val="auto"/>
                <w:w w:val="94"/>
                <w:vertAlign w:val="superscript"/>
              </w:rPr>
              <w:t>(2)</w:t>
            </w:r>
          </w:p>
        </w:tc>
        <w:tc>
          <w:tcPr>
            <w:tcW w:w="250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 (0.0)%</w:t>
            </w:r>
          </w:p>
        </w:tc>
        <w:tc>
          <w:tcPr>
            <w:tcW w:w="0" w:type="dxa"/>
            <w:vAlign w:val="bottom"/>
          </w:tcPr>
          <w:p>
            <w:pPr>
              <w:spacing w:after="0"/>
              <w:rPr>
                <w:sz w:val="1"/>
                <w:szCs w:val="1"/>
                <w:color w:val="auto"/>
              </w:rPr>
            </w:pPr>
          </w:p>
        </w:tc>
      </w:tr>
      <w:tr>
        <w:trPr>
          <w:trHeight w:val="122"/>
        </w:trPr>
        <w:tc>
          <w:tcPr>
            <w:tcW w:w="290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growth</w:t>
            </w:r>
          </w:p>
        </w:tc>
        <w:tc>
          <w:tcPr>
            <w:tcW w:w="2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PWERM</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Liquidation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2.28x–4.60x (3.23x)</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Market approach</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Liquidation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 investments</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$4,916,578</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PWERM</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Revenue multiples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3.04x–4.60x (3.84x)</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820" w:type="dxa"/>
            <w:vAlign w:val="bottom"/>
            <w:tcBorders>
              <w:right w:val="single" w:sz="8" w:color="auto"/>
            </w:tcBorders>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Liquidation value</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$433,997</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Option pricing model</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Term to expiration (Years)</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0.2-3.0 (2.2)</w:t>
            </w:r>
          </w:p>
        </w:tc>
        <w:tc>
          <w:tcPr>
            <w:tcW w:w="0" w:type="dxa"/>
            <w:vAlign w:val="bottom"/>
          </w:tcPr>
          <w:p>
            <w:pPr>
              <w:spacing w:after="0"/>
              <w:rPr>
                <w:sz w:val="1"/>
                <w:szCs w:val="1"/>
                <w:color w:val="auto"/>
              </w:rPr>
            </w:pPr>
          </w:p>
        </w:tc>
      </w:tr>
      <w:tr>
        <w:trPr>
          <w:trHeight w:val="27"/>
        </w:trPr>
        <w:tc>
          <w:tcPr>
            <w:tcW w:w="2900" w:type="dxa"/>
            <w:vAlign w:val="bottom"/>
            <w:tcBorders>
              <w:left w:val="single" w:sz="8" w:color="auto"/>
              <w:right w:val="single" w:sz="8" w:color="auto"/>
            </w:tcBorders>
            <w:vMerge w:val="continue"/>
          </w:tcPr>
          <w:p>
            <w:pPr>
              <w:spacing w:after="0"/>
              <w:rPr>
                <w:sz w:val="2"/>
                <w:szCs w:val="2"/>
                <w:color w:val="auto"/>
              </w:rPr>
            </w:pPr>
          </w:p>
        </w:tc>
        <w:tc>
          <w:tcPr>
            <w:tcW w:w="1820" w:type="dxa"/>
            <w:vAlign w:val="bottom"/>
            <w:tcBorders>
              <w:right w:val="single" w:sz="8" w:color="auto"/>
            </w:tcBorders>
            <w:vMerge w:val="continue"/>
          </w:tcPr>
          <w:p>
            <w:pPr>
              <w:spacing w:after="0"/>
              <w:rPr>
                <w:sz w:val="2"/>
                <w:szCs w:val="2"/>
                <w:color w:val="auto"/>
              </w:rPr>
            </w:pPr>
          </w:p>
        </w:tc>
        <w:tc>
          <w:tcPr>
            <w:tcW w:w="2060" w:type="dxa"/>
            <w:vAlign w:val="bottom"/>
            <w:tcBorders>
              <w:right w:val="single" w:sz="8" w:color="auto"/>
            </w:tcBorders>
            <w:vMerge w:val="continue"/>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900" w:type="dxa"/>
            <w:vAlign w:val="bottom"/>
            <w:tcBorders>
              <w:left w:val="single" w:sz="8" w:color="auto"/>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206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Volatility</w:t>
            </w: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18.8%–51.6% (36.5)%</w:t>
            </w:r>
          </w:p>
        </w:tc>
        <w:tc>
          <w:tcPr>
            <w:tcW w:w="0" w:type="dxa"/>
            <w:vAlign w:val="bottom"/>
          </w:tcPr>
          <w:p>
            <w:pPr>
              <w:spacing w:after="0"/>
              <w:rPr>
                <w:sz w:val="1"/>
                <w:szCs w:val="1"/>
                <w:color w:val="auto"/>
              </w:rPr>
            </w:pPr>
          </w:p>
        </w:tc>
      </w:tr>
      <w:tr>
        <w:trPr>
          <w:trHeight w:val="149"/>
        </w:trPr>
        <w:tc>
          <w:tcPr>
            <w:tcW w:w="290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250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jc w:val="both"/>
        <w:ind w:left="660" w:right="20" w:hanging="652"/>
        <w:spacing w:after="0" w:line="255" w:lineRule="auto"/>
        <w:tabs>
          <w:tab w:leader="none" w:pos="6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2017,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Refer to “Note 2—Significant Accounting Policies—</w:t>
      </w:r>
      <w:r>
        <w:rPr>
          <w:rFonts w:ascii="Times New Roman" w:cs="Times New Roman" w:eastAsia="Times New Roman" w:hAnsi="Times New Roman"/>
          <w:sz w:val="16"/>
          <w:szCs w:val="16"/>
          <w:i w:val="1"/>
          <w:iCs w:val="1"/>
          <w:color w:val="auto"/>
        </w:rPr>
        <w:t>Investments at 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Value</w:t>
      </w:r>
      <w:r>
        <w:rPr>
          <w:rFonts w:ascii="Times New Roman" w:cs="Times New Roman" w:eastAsia="Times New Roman" w:hAnsi="Times New Roman"/>
          <w:sz w:val="16"/>
          <w:szCs w:val="16"/>
          <w:color w:val="auto"/>
        </w:rPr>
        <w:t>” for more detail.</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40"/>
          </w:cols>
          <w:pgMar w:left="240" w:top="118" w:right="219" w:bottom="1440" w:gutter="0" w:footer="0" w:header="0"/>
        </w:sectPr>
      </w:pPr>
    </w:p>
    <w:bookmarkStart w:id="105" w:name="page106"/>
    <w:bookmarkEnd w:id="10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46" w:lineRule="exact"/>
        <w:rPr>
          <w:sz w:val="20"/>
          <w:szCs w:val="20"/>
          <w:color w:val="auto"/>
        </w:rPr>
      </w:pPr>
    </w:p>
    <w:p>
      <w:pPr>
        <w:jc w:val="both"/>
        <w:ind w:left="660" w:hanging="652"/>
        <w:spacing w:after="0" w:line="250" w:lineRule="auto"/>
        <w:tabs>
          <w:tab w:leader="none" w:pos="6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 for more detail.</w:t>
      </w:r>
    </w:p>
    <w:p>
      <w:pPr>
        <w:spacing w:after="0" w:line="1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2018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8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00" w:type="dxa"/>
            <w:vAlign w:val="bottom"/>
          </w:tcPr>
          <w:p>
            <w:pPr>
              <w:spacing w:after="0"/>
              <w:rPr>
                <w:sz w:val="12"/>
                <w:szCs w:val="12"/>
                <w:color w:val="auto"/>
              </w:rPr>
            </w:pPr>
          </w:p>
        </w:tc>
        <w:tc>
          <w:tcPr>
            <w:tcW w:w="118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as of December 31, 2017</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86,824,096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120,253,822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4,916,578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433,997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212,428,493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Transfers out of Level 3</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(41,707,506)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(7,734,804)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(49,442,310)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10,108,434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1,044,531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11,185,789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Sales/Maturity of investments</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(6,910,798)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(16,958,428)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(24,592,002)</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Exercises and conversions</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5,537,205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(5,514,077)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fixed income security</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premiums and discounts</w:t>
            </w: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30,660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(12,026,369)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unrealized appreciation/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included 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(3,766,485)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20,266,036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321,761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16,642,162</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Fair Value as of December 31, 2018</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48,517,824</w:t>
            </w:r>
          </w:p>
        </w:tc>
        <w:tc>
          <w:tcPr>
            <w:tcW w:w="12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99,856,159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5,584,994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267,446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154,226,423</w:t>
            </w:r>
          </w:p>
        </w:tc>
        <w:tc>
          <w:tcPr>
            <w:tcW w:w="0" w:type="dxa"/>
            <w:vAlign w:val="bottom"/>
          </w:tcPr>
          <w:p>
            <w:pPr>
              <w:spacing w:after="0"/>
              <w:rPr>
                <w:sz w:val="1"/>
                <w:szCs w:val="1"/>
                <w:color w:val="auto"/>
              </w:rPr>
            </w:pPr>
          </w:p>
        </w:tc>
      </w:tr>
      <w:tr>
        <w:trPr>
          <w:trHeight w:val="185"/>
        </w:trPr>
        <w:tc>
          <w:tcPr>
            <w:tcW w:w="354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(12,412,555)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10,061,576</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317,201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(156,021)</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(2,189,799)</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held as of December 31, 2018</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During the year ended December 31, 2018, the Company’s portfolio investments had the following corporate actions which are reflected above: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Conversion from</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 to</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Dropbox, Inc.</w:t>
            </w:r>
          </w:p>
        </w:tc>
        <w:tc>
          <w:tcPr>
            <w:tcW w:w="4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Preferred shares, Series A-1 &amp; Common shares</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Public Common Shares (Level 2)</w:t>
            </w:r>
          </w:p>
        </w:tc>
      </w:tr>
      <w:tr>
        <w:trPr>
          <w:trHeight w:val="23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shares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Public Common Shares (Level 1)</w:t>
            </w: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Curious.com, Inc.</w:t>
            </w:r>
          </w:p>
        </w:tc>
        <w:tc>
          <w:tcPr>
            <w:tcW w:w="49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Preferred shares, Series B</w:t>
            </w:r>
          </w:p>
        </w:tc>
        <w:tc>
          <w:tcPr>
            <w:tcW w:w="3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shares</w:t>
            </w:r>
          </w:p>
        </w:tc>
      </w:tr>
      <w:tr>
        <w:trPr>
          <w:trHeight w:val="237"/>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SharesPost, Inc.</w:t>
            </w: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Common warrants</w:t>
            </w:r>
          </w:p>
        </w:tc>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-673100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-673100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07" w:lineRule="exact"/>
        <w:rPr>
          <w:sz w:val="20"/>
          <w:szCs w:val="20"/>
          <w:color w:val="auto"/>
        </w:rPr>
      </w:pPr>
    </w:p>
    <w:p>
      <w:pPr>
        <w:ind w:left="340" w:right="20" w:hanging="332"/>
        <w:spacing w:after="0" w:line="281" w:lineRule="auto"/>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investments includes escrow proceeds receivable of approximately $2.5 million from the sale of the Company’s investments in General Assembly Space, Inc., Lytro, Inc., SugarCRM, Inc., and DreamBox Learning, Inc.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18" w:right="239" w:bottom="1440" w:gutter="0" w:footer="0" w:header="0"/>
        </w:sectPr>
      </w:pPr>
    </w:p>
    <w:bookmarkStart w:id="106" w:name="page107"/>
    <w:bookmarkEnd w:id="10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aggregate values of Level 3 assets and liabilities changed during the year ended December 31, 2017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2017</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40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00" w:type="dxa"/>
            <w:vAlign w:val="bottom"/>
          </w:tcPr>
          <w:p>
            <w:pPr>
              <w:spacing w:after="0"/>
              <w:rPr>
                <w:sz w:val="12"/>
                <w:szCs w:val="12"/>
                <w:color w:val="auto"/>
              </w:rPr>
            </w:pPr>
          </w:p>
        </w:tc>
        <w:tc>
          <w:tcPr>
            <w:tcW w:w="118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as of December 31, 2016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83,074,410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162,238,879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7,821,948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150,904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253,286,141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Transfers into Level 3</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(4,369,130)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capitalized fees and interest</w:t>
            </w:r>
          </w:p>
        </w:tc>
        <w:tc>
          <w:tcPr>
            <w:tcW w:w="3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60,649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226,449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484,301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Sales of investments </w:t>
            </w:r>
            <w:r>
              <w:rPr>
                <w:rFonts w:ascii="Times New Roman" w:cs="Times New Roman" w:eastAsia="Times New Roman" w:hAnsi="Times New Roman"/>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(17,986,251)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(45,369,628)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(63,426,258)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gains/(losses)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(10,440,384)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9,433,159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Exercises, conversions and assignments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2,506,119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(2,506,119)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fixed income security</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premiums and discounts</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139,544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139,544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unrealized depreciation included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 earnings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31,794,118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244,644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27,688,736</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Fair Value as of December 31,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86,824,096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120,253,822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4,916,578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433,997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212,428,493</w:t>
            </w:r>
          </w:p>
        </w:tc>
        <w:tc>
          <w:tcPr>
            <w:tcW w:w="0" w:type="dxa"/>
            <w:vAlign w:val="bottom"/>
          </w:tcPr>
          <w:p>
            <w:pPr>
              <w:spacing w:after="0"/>
              <w:rPr>
                <w:sz w:val="1"/>
                <w:szCs w:val="1"/>
                <w:color w:val="auto"/>
              </w:rPr>
            </w:pPr>
          </w:p>
        </w:tc>
      </w:tr>
      <w:tr>
        <w:trPr>
          <w:trHeight w:val="185"/>
        </w:trPr>
        <w:tc>
          <w:tcPr>
            <w:tcW w:w="354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Net change in unrealized appreciation/</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of Level 3 investments still</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10,742,585</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(12,221,603)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(3,170,869)</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212,714</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(4,437,173)</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held as of December 31, 2017</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During year ended December 31, 2017, the Company’s portfolio investments had the following corporate actions which are reflected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Portfolio Company</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Transfer from</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Transfer to</w:t>
            </w:r>
          </w:p>
        </w:tc>
      </w:tr>
      <w:tr>
        <w:trPr>
          <w:trHeight w:val="33"/>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A Place for Rover Inc. (f/k/a DogVacay, Inc.)</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shd w:val="clear" w:color="auto" w:fill="CCEEFF"/>
              </w:rPr>
              <w:t>Preferred shares, Series B-1</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shd w:val="clear" w:color="auto" w:fill="CCEEFF"/>
              </w:rPr>
              <w:t>Common shares</w:t>
            </w:r>
          </w:p>
        </w:tc>
      </w:tr>
      <w:tr>
        <w:trPr>
          <w:trHeight w:val="41"/>
        </w:trPr>
        <w:tc>
          <w:tcPr>
            <w:tcW w:w="6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-179705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-179705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4" w:lineRule="exact"/>
        <w:rPr>
          <w:sz w:val="20"/>
          <w:szCs w:val="20"/>
          <w:color w:val="auto"/>
        </w:rPr>
      </w:pPr>
    </w:p>
    <w:p>
      <w:pPr>
        <w:ind w:left="340" w:hanging="332"/>
        <w:spacing w:after="0" w:line="281" w:lineRule="auto"/>
        <w:tabs>
          <w:tab w:leader="none" w:pos="3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investments includes escrow proceeds receivable of $603,456 from the sale of the Company’s investments in JAMF Holdings Inc. and Strategic Data Command, LLC.</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Investments In, and Advances to, Affiliates</w:t>
      </w:r>
    </w:p>
    <w:p>
      <w:pPr>
        <w:spacing w:after="0" w:line="229"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2018 involving the Company’s controlled investments and non-controlled/affiliate investments were as follows: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December</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1"/>
        </w:trPr>
        <w:tc>
          <w:tcPr>
            <w:tcW w:w="280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6"/>
                <w:szCs w:val="16"/>
                <w:b w:val="1"/>
                <w:bCs w:val="1"/>
                <w:color w:val="auto"/>
              </w:rPr>
              <w:t>CONTROLLED INVESTMENTS*</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Inc.)–Convertible Promissory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Note 12% Due 12/31/2019***</w:t>
            </w:r>
            <w:r>
              <w:rPr>
                <w:rFonts w:ascii="Times New Roman" w:cs="Times New Roman" w:eastAsia="Times New Roman" w:hAnsi="Times New Roman"/>
                <w:sz w:val="21"/>
                <w:szCs w:val="21"/>
                <w:color w:val="auto"/>
                <w:vertAlign w:val="superscript"/>
              </w:rPr>
              <w:t>(10)</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936,525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57,466</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560,199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392,437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936,525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Inc.)–Unsecured Promissory Note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12% Due 1/15/2018***</w:t>
            </w:r>
            <w:r>
              <w:rPr>
                <w:rFonts w:ascii="Times New Roman" w:cs="Times New Roman" w:eastAsia="Times New Roman" w:hAnsi="Times New Roman"/>
                <w:sz w:val="21"/>
                <w:szCs w:val="21"/>
                <w:color w:val="auto"/>
                <w:vertAlign w:val="superscript"/>
              </w:rPr>
              <w:t>(8)</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592,129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(592,129)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59,835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1,152,328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392,437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(592,129)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936,525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59,835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1,152,328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392,437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(592,129)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936,525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SPBRX, INC. (f/k/a GSV</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Sustainability Partners, Inc.)–</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Preferred shares, Class A***</w:t>
            </w:r>
            <w:r>
              <w:rPr>
                <w:rFonts w:ascii="Times New Roman" w:cs="Times New Roman" w:eastAsia="Times New Roman" w:hAnsi="Times New Roman"/>
                <w:sz w:val="21"/>
                <w:szCs w:val="21"/>
                <w:color w:val="auto"/>
                <w:vertAlign w:val="superscript"/>
              </w:rPr>
              <w:t>(12)</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14,300,000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625,000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1,069,862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(319,664)</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750,198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Inc.)–Preferred stock Series A-4</w:t>
            </w:r>
          </w:p>
        </w:tc>
        <w:tc>
          <w:tcPr>
            <w:tcW w:w="86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color w:val="auto"/>
              </w:rPr>
              <w:t>3,720,424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5,390,842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4,960,553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Inc.)–Preferred stock Series A-3</w:t>
            </w:r>
          </w:p>
        </w:tc>
        <w:tc>
          <w:tcPr>
            <w:tcW w:w="860" w:type="dxa"/>
            <w:vAlign w:val="bottom"/>
            <w:tcBorders>
              <w:bottom w:val="single" w:sz="8" w:color="CCEEFF"/>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1,561,625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1,885,644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1,735,134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Inc.)–Preferred stock Series A-2</w:t>
            </w:r>
          </w:p>
        </w:tc>
        <w:tc>
          <w:tcPr>
            <w:tcW w:w="120" w:type="dxa"/>
            <w:vAlign w:val="bottom"/>
          </w:tcPr>
          <w:p>
            <w:pPr>
              <w:spacing w:after="0"/>
              <w:rPr>
                <w:sz w:val="18"/>
                <w:szCs w:val="18"/>
                <w:color w:val="auto"/>
              </w:rPr>
            </w:pPr>
          </w:p>
        </w:tc>
        <w:tc>
          <w:tcPr>
            <w:tcW w:w="7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450,001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326,022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Inc.)–Preferred stock Series A-1</w:t>
            </w:r>
          </w:p>
        </w:tc>
        <w:tc>
          <w:tcPr>
            <w:tcW w:w="860" w:type="dxa"/>
            <w:vAlign w:val="bottom"/>
            <w:tcBorders>
              <w:bottom w:val="single" w:sz="8" w:color="CCEEFF"/>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543,370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499,999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8,145,878</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(650,192)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7,495,686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-3966210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Interest,</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6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C 8%</w:t>
            </w:r>
            <w:r>
              <w:rPr>
                <w:rFonts w:ascii="Times New Roman" w:cs="Times New Roman" w:eastAsia="Times New Roman" w:hAnsi="Times New Roman"/>
                <w:sz w:val="21"/>
                <w:szCs w:val="21"/>
                <w:color w:val="auto"/>
                <w:vertAlign w:val="superscript"/>
              </w:rPr>
              <w:t>(3)</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2,779,134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7,223,904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7,194,971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B 8%</w:t>
            </w:r>
            <w:r>
              <w:rPr>
                <w:rFonts w:ascii="Times New Roman" w:cs="Times New Roman" w:eastAsia="Times New Roman" w:hAnsi="Times New Roman"/>
                <w:sz w:val="21"/>
                <w:szCs w:val="21"/>
                <w:color w:val="auto"/>
                <w:vertAlign w:val="superscript"/>
              </w:rPr>
              <w:t>(3)</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3,279,629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5,804,472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5,770,328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16"/>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6"/>
                <w:szCs w:val="16"/>
                <w:color w:val="auto"/>
              </w:rPr>
              <w:t>Series A 8%</w:t>
            </w:r>
            <w:r>
              <w:rPr>
                <w:rFonts w:ascii="Times New Roman" w:cs="Times New Roman" w:eastAsia="Times New Roman" w:hAnsi="Times New Roman"/>
                <w:sz w:val="21"/>
                <w:szCs w:val="21"/>
                <w:color w:val="auto"/>
                <w:vertAlign w:val="superscript"/>
              </w:rPr>
              <w:t>(3)</w:t>
            </w:r>
          </w:p>
        </w:tc>
        <w:tc>
          <w:tcPr>
            <w:tcW w:w="78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rPr>
              <w:t>366,666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425,342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421,525</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7"/>
              </w:rPr>
              <w:t>13,453,718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13,386,824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625,000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7"/>
              </w:rPr>
              <w:t>22,669,458</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(1,036,750)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21,632,708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Inc.)–Preferred Warrant Series A-3,</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Strike Price $1.33, Expiration Date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4/4/2021</w:t>
            </w:r>
            <w:r>
              <w:rPr>
                <w:rFonts w:ascii="Times New Roman" w:cs="Times New Roman" w:eastAsia="Times New Roman" w:hAnsi="Times New Roman"/>
                <w:sz w:val="21"/>
                <w:szCs w:val="21"/>
                <w:color w:val="auto"/>
                <w:vertAlign w:val="superscript"/>
              </w:rPr>
              <w:t>(10)</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187,500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24,375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6"/>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Inc.)–Preferred Warrant Series A-4,</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Strike Price $1.33, Expiration Date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10/6/2021</w:t>
            </w:r>
            <w:r>
              <w:rPr>
                <w:rFonts w:ascii="Times New Roman" w:cs="Times New Roman" w:eastAsia="Times New Roman" w:hAnsi="Times New Roman"/>
                <w:sz w:val="21"/>
                <w:szCs w:val="21"/>
                <w:color w:val="auto"/>
                <w:vertAlign w:val="superscript"/>
              </w:rPr>
              <w:t>(10)</w:t>
            </w:r>
          </w:p>
        </w:tc>
        <w:tc>
          <w:tcPr>
            <w:tcW w:w="1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Inc.)–Preferred Warrant Series A-4,</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Strike Price $1.33, Expiration Date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7/18/2021</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70,000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6"/>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Inc.)–Preferred Warrant Series B,</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Strike Price $2.31, Expiration Date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11/29/2021</w:t>
            </w:r>
          </w:p>
        </w:tc>
        <w:tc>
          <w:tcPr>
            <w:tcW w:w="1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Inc.)–Preferred Warrant Series B,</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Strike Price $2.31, Expiration Date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5/29/2022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16"/>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Inc.)–Preferred Warrant Series B,</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Strike Price $2.31, Expiration Date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12/31/2023</w:t>
            </w:r>
            <w:r>
              <w:rPr>
                <w:rFonts w:ascii="Times New Roman" w:cs="Times New Roman" w:eastAsia="Times New Roman" w:hAnsi="Times New Roman"/>
                <w:sz w:val="21"/>
                <w:szCs w:val="21"/>
                <w:color w:val="auto"/>
                <w:vertAlign w:val="superscript"/>
              </w:rPr>
              <w:t>(10)</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5,000</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385,375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247,500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37"/>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385,375</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(142,955)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247,500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SPBRX, INC. (f/k/a GSV</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Sustainability Partners, Inc.)–</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Common shares</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-6148070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800" w:type="dxa"/>
            <w:vAlign w:val="bottom"/>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6"/>
        </w:trPr>
        <w:tc>
          <w:tcPr>
            <w:tcW w:w="4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Inc.)–Common shares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684,835</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24,207,161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397,517</w:t>
            </w:r>
          </w:p>
        </w:tc>
        <w:tc>
          <w:tcPr>
            <w:tcW w:w="1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(592,129)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(1,195,135)</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22,816,733</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11.68%</w:t>
            </w:r>
          </w:p>
        </w:tc>
        <w:tc>
          <w:tcPr>
            <w:tcW w:w="0" w:type="dxa"/>
            <w:vAlign w:val="bottom"/>
          </w:tcPr>
          <w:p>
            <w:pPr>
              <w:spacing w:after="0"/>
              <w:rPr>
                <w:sz w:val="1"/>
                <w:szCs w:val="1"/>
                <w:color w:val="auto"/>
              </w:rPr>
            </w:pPr>
          </w:p>
        </w:tc>
      </w:tr>
      <w:tr>
        <w:trPr>
          <w:trHeight w:val="232"/>
        </w:trPr>
        <w:tc>
          <w:tcPr>
            <w:tcW w:w="2620" w:type="dxa"/>
            <w:vAlign w:val="bottom"/>
            <w:gridSpan w:val="4"/>
            <w:shd w:val="clear" w:color="auto" w:fill="CCEEFF"/>
          </w:tcPr>
          <w:p>
            <w:pPr>
              <w:ind w:left="40"/>
              <w:spacing w:after="0" w:line="232"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4"/>
            <w:vMerge w:val="restart"/>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NON-CONTROLLED/AFFILIATE</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gridSpan w:val="4"/>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8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CUX, Inc. (d/b/a CorpU)–Senior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Convertible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Promissory Note 10%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2/14/2020***</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1,360,489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104,256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102,257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1,360,489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8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Ozy Media, Inc.–Convertible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Promissory Note 5%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12/31/2018</w:t>
            </w:r>
            <w:r>
              <w:rPr>
                <w:rFonts w:ascii="Times New Roman" w:cs="Times New Roman" w:eastAsia="Times New Roman" w:hAnsi="Times New Roman"/>
                <w:sz w:val="21"/>
                <w:szCs w:val="21"/>
                <w:color w:val="auto"/>
                <w:vertAlign w:val="superscript"/>
              </w:rPr>
              <w:t>(7)</w:t>
            </w: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2,102,384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268,104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1,067,639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133,031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1,983,552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3,153,575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Ozy Media, Inc.–Promissory Note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tcPr>
          <w:p>
            <w:pPr>
              <w:spacing w:after="0"/>
              <w:rPr>
                <w:sz w:val="21"/>
                <w:szCs w:val="21"/>
                <w:color w:val="auto"/>
              </w:rPr>
            </w:pPr>
          </w:p>
        </w:tc>
        <w:tc>
          <w:tcPr>
            <w:tcW w:w="258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6"/>
                <w:szCs w:val="16"/>
                <w:color w:val="auto"/>
              </w:rPr>
              <w:t>10% Due 2/12/2018***</w:t>
            </w:r>
            <w:r>
              <w:rPr>
                <w:rFonts w:ascii="Times New Roman" w:cs="Times New Roman" w:eastAsia="Times New Roman" w:hAnsi="Times New Roman"/>
                <w:sz w:val="21"/>
                <w:szCs w:val="21"/>
                <w:color w:val="auto"/>
                <w:vertAlign w:val="superscript"/>
              </w:rPr>
              <w:t>(7)</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2,384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(100,000)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270,488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1,067,639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233,031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(130,647)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1,983,552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3,153,575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8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Declara, Inc.–Convertible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Promissory Note 12%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4"/>
              </w:rPr>
              <w:t>4/30/2018</w:t>
            </w:r>
            <w:r>
              <w:rPr>
                <w:rFonts w:ascii="Times New Roman" w:cs="Times New Roman" w:eastAsia="Times New Roman" w:hAnsi="Times New Roman"/>
                <w:sz w:val="21"/>
                <w:szCs w:val="21"/>
                <w:color w:val="auto"/>
                <w:w w:val="94"/>
                <w:vertAlign w:val="superscript"/>
              </w:rPr>
              <w:t>(6)(9)</w:t>
            </w: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2,327,727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207,069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1,120,329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212,254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(1,332,583)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581,813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3,447,680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547,542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(130,647)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649,489</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4,514,064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8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CUX, Inc. (d/b/a CorpU)–</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Series D 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169,033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878,005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CUX, Inc. (d/b/a CorpU)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58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Series C 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615,763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878,005</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58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Declara, Inc.–Preferred shares,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Series A 8%</w:t>
            </w:r>
          </w:p>
        </w:tc>
        <w:tc>
          <w:tcPr>
            <w:tcW w:w="9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10,716,390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800" w:type="dxa"/>
            <w:vAlign w:val="bottom"/>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6"/>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Education Media Platform</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EdSurge, Inc.–Preferred shares,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A-1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16"/>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EdSurge, Inc.–Preferred shares,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A</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581,917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269,848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Education Media Platform</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1,081,917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519,848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37"/>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Maven Research, Inc.–Preferred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shares, Series C</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501,240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(501,240)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Maven Research, Inc.–Preferred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shares, Series B</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B 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2,367,022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(2,367,022)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Series A 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1,419,810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Inc.–Preferred shares,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Seed 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236,635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4,023,467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(4,023,467)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7,508,975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1,397,854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0" w:type="dxa"/>
            <w:vAlign w:val="bottom"/>
          </w:tcPr>
          <w:p>
            <w:pPr>
              <w:spacing w:after="0"/>
              <w:rPr>
                <w:sz w:val="1"/>
                <w:szCs w:val="1"/>
                <w:color w:val="auto"/>
              </w:rPr>
            </w:pP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CUX, Inc. (d/b/a CorpU) –Preferred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warrants, Series D, Strike Price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$4.59, Expiration Date 2/14/2020</w:t>
            </w:r>
            <w:r>
              <w:rPr>
                <w:rFonts w:ascii="Times New Roman" w:cs="Times New Roman" w:eastAsia="Times New Roman" w:hAnsi="Times New Roman"/>
                <w:sz w:val="21"/>
                <w:szCs w:val="21"/>
                <w:color w:val="auto"/>
                <w:vertAlign w:val="superscript"/>
              </w:rPr>
              <w:t>(5)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17,580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OzyMedia, Inc.–Common Warrants,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Strike Price $0.01, Expiration Date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4/9/2028</w:t>
            </w:r>
            <w:r>
              <w:rPr>
                <w:rFonts w:ascii="Times New Roman" w:cs="Times New Roman" w:eastAsia="Times New Roman" w:hAnsi="Times New Roman"/>
                <w:sz w:val="21"/>
                <w:szCs w:val="21"/>
                <w:color w:val="auto"/>
                <w:vertAlign w:val="superscript"/>
              </w:rPr>
              <w:t>(7)</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30,647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30,647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19,946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Curious.com, Inc.–Common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shares</w:t>
            </w:r>
            <w:r>
              <w:rPr>
                <w:rFonts w:ascii="Times New Roman" w:cs="Times New Roman" w:eastAsia="Times New Roman" w:hAnsi="Times New Roman"/>
                <w:sz w:val="21"/>
                <w:szCs w:val="21"/>
                <w:color w:val="auto"/>
                <w:vertAlign w:val="superscript"/>
              </w:rPr>
              <w:t>(11)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5,514,077</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(5,514,077)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5,514,077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(5,514,077)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66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w:t>
            </w:r>
          </w:p>
        </w:tc>
        <w:tc>
          <w:tcPr>
            <w:tcW w:w="120" w:type="dxa"/>
            <w:vAlign w:val="bottom"/>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CONTROLLED/AFFILIATE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581,813</w:t>
            </w:r>
          </w:p>
        </w:tc>
        <w:tc>
          <w:tcPr>
            <w:tcW w:w="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7"/>
              </w:rPr>
              <w:t>16,473,098</w:t>
            </w:r>
          </w:p>
        </w:tc>
        <w:tc>
          <w:tcPr>
            <w:tcW w:w="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578,189</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(130,647)</w:t>
            </w:r>
          </w:p>
        </w:tc>
        <w:tc>
          <w:tcPr>
            <w:tcW w:w="12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(10,988,777)</w:t>
            </w:r>
          </w:p>
        </w:tc>
        <w:tc>
          <w:tcPr>
            <w:tcW w:w="12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5,931,863</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0" w:type="dxa"/>
            <w:vAlign w:val="bottom"/>
          </w:tcPr>
          <w:p>
            <w:pPr>
              <w:spacing w:after="0"/>
              <w:rPr>
                <w:sz w:val="1"/>
                <w:szCs w:val="1"/>
                <w:color w:val="auto"/>
              </w:rPr>
            </w:pPr>
          </w:p>
        </w:tc>
      </w:tr>
      <w:tr>
        <w:trPr>
          <w:trHeight w:val="272"/>
        </w:trPr>
        <w:tc>
          <w:tcPr>
            <w:tcW w:w="2660" w:type="dxa"/>
            <w:vAlign w:val="bottom"/>
            <w:tcBorders>
              <w:bottom w:val="single" w:sz="8" w:color="CCEEFF"/>
            </w:tcBorders>
          </w:tcPr>
          <w:p>
            <w:pPr>
              <w:ind w:left="40"/>
              <w:spacing w:after="0" w:line="232"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6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68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16897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-1440180</wp:posOffset>
            </wp:positionV>
            <wp:extent cx="16897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118" w:right="239" w:bottom="1440" w:gutter="0" w:footer="0" w:header="0"/>
        </w:sectPr>
      </w:pPr>
    </w:p>
    <w:bookmarkStart w:id="111" w:name="page112"/>
    <w:bookmarkEnd w:id="1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5" w:lineRule="exact"/>
        <w:rPr>
          <w:sz w:val="20"/>
          <w:szCs w:val="20"/>
          <w:color w:val="auto"/>
        </w:rPr>
      </w:pPr>
    </w:p>
    <w:p>
      <w:pPr>
        <w:jc w:val="both"/>
        <w:ind w:left="340" w:hanging="332"/>
        <w:spacing w:after="0" w:line="281"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and GSV Asset Management’s officers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w:t>
      </w:r>
      <w:r>
        <w:rPr>
          <w:rFonts w:ascii="Times New Roman" w:cs="Times New Roman" w:eastAsia="Times New Roman" w:hAnsi="Times New Roman"/>
          <w:sz w:val="16"/>
          <w:szCs w:val="16"/>
          <w:i w:val="1"/>
          <w:iCs w:val="1"/>
          <w:color w:val="auto"/>
        </w:rPr>
        <w:t>Investments at Fair Value</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GSV Capital Corp. believes do not represent “qualifying assets” under Section 55(a) of the 1940 Act.</w:t>
      </w:r>
    </w:p>
    <w:p>
      <w:pPr>
        <w:spacing w:after="0" w:line="19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is income-producing.</w:t>
      </w:r>
    </w:p>
    <w:p>
      <w:pPr>
        <w:spacing w:after="0" w:line="194" w:lineRule="exact"/>
        <w:rPr>
          <w:sz w:val="20"/>
          <w:szCs w:val="20"/>
          <w:color w:val="auto"/>
        </w:rPr>
      </w:pPr>
    </w:p>
    <w:p>
      <w:pPr>
        <w:jc w:val="both"/>
        <w:ind w:left="500" w:hanging="492"/>
        <w:spacing w:after="0" w:line="263" w:lineRule="auto"/>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51"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investments in StormWind, LLC are held through GSV Capital Corp.'s wholly owned subsidiary, GSVC SW Holdings, Inc.</w:t>
      </w:r>
    </w:p>
    <w:p>
      <w:pPr>
        <w:spacing w:after="0" w:line="194"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On October 31, 2018, GSV Capital Corp. agreed to extend the maturity of the Senior Subordinated Convertible Promissory Note to CUX, Inc. (d/b/a CorpU) until February 14, 2020, with a new interest rate of 10%. Accrued interest will continue to be compounded annually on November 26 of the current and each subsequent year until repaid.</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23, 2018, CUX, Inc. (d/b/a CorpU) agreed to extend the maturity of the GSV Capital Corp.'s Series D warrants until August 1, 2018. On July 31, 2018, CUX, Inc. (d/b/a CorpU) agreed to further extend the maturity of GSV Capital Corp.'s Series D warrants until November 26, 2018. On October 31, 2018, and in connection with the extension of the maturity date on the related debt investment, CUX, Inc. (d/b/a CorpU) agreed to further extend the maturity of GSV Capital Corp's Series D warrants until February 14, 2020.</w:t>
      </w:r>
    </w:p>
    <w:p>
      <w:pPr>
        <w:spacing w:after="0" w:line="154" w:lineRule="exact"/>
        <w:rPr>
          <w:rFonts w:ascii="Times New Roman" w:cs="Times New Roman" w:eastAsia="Times New Roman" w:hAnsi="Times New Roman"/>
          <w:sz w:val="16"/>
          <w:szCs w:val="16"/>
          <w:color w:val="auto"/>
        </w:rPr>
      </w:pPr>
    </w:p>
    <w:p>
      <w:pPr>
        <w:jc w:val="both"/>
        <w:ind w:left="500" w:hanging="492"/>
        <w:spacing w:after="0" w:line="260" w:lineRule="auto"/>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31, 2018, the maturity date of the convertible promissory note to Declara, Inc. was extended an additional three months to April 30, 2018 and the interest rate on the convertible promissory note increased to 12% per annum (including 365 days for the purposes of accrual). On January 31, 2018 the convertible promissory note to Declara Inc. was placed on non-accrual status. On April 30, 2018, the Company deemed this investment to be in default based on Declara Inc.'s financial position.</w:t>
      </w:r>
    </w:p>
    <w:p>
      <w:pPr>
        <w:spacing w:after="0" w:line="342" w:lineRule="exact"/>
        <w:rPr>
          <w:rFonts w:ascii="Times New Roman" w:cs="Times New Roman" w:eastAsia="Times New Roman" w:hAnsi="Times New Roman"/>
          <w:sz w:val="16"/>
          <w:szCs w:val="16"/>
          <w:color w:val="auto"/>
        </w:rPr>
      </w:pPr>
    </w:p>
    <w:p>
      <w:pPr>
        <w:jc w:val="both"/>
        <w:ind w:left="500" w:hanging="492"/>
        <w:spacing w:after="0" w:line="278" w:lineRule="auto"/>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Effe</w:t>
      </w:r>
      <w:r>
        <w:rPr>
          <w:rFonts w:ascii="Times New Roman" w:cs="Times New Roman" w:eastAsia="Times New Roman" w:hAnsi="Times New Roman"/>
          <w:sz w:val="16"/>
          <w:szCs w:val="16"/>
          <w:color w:val="auto"/>
        </w:rPr>
        <w:t>ctive April 9, 2018, the term of Ozy Media Inc.'s notes were extended through the issuance of a new convertible promissory note, which extended the maturity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the Company was issued warrants exercisable for 295,565 shares of Ozy Media Inc.'s common stock. Subsequent to the year-ended December 31, 2018, Ozy Media Inc.'s obligations under its financing arrangements with the Company became past due.</w:t>
      </w:r>
    </w:p>
    <w:p>
      <w:pPr>
        <w:spacing w:after="0" w:line="15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12, 2018, the unsecured promissory note to NestGSV, Inc. (d/b/a GSV Labs, Inc.) was repaid, with interest.</w:t>
      </w:r>
    </w:p>
    <w:p>
      <w:pPr>
        <w:spacing w:after="0" w:line="194"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2018, the investments noted had been placed on non-accrual status.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18" w:right="239" w:bottom="1440" w:gutter="0" w:footer="0" w:header="0"/>
        </w:sectPr>
      </w:pPr>
    </w:p>
    <w:bookmarkStart w:id="112" w:name="page113"/>
    <w:bookmarkEnd w:id="1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8" w:lineRule="exact"/>
        <w:rPr>
          <w:sz w:val="20"/>
          <w:szCs w:val="20"/>
          <w:color w:val="auto"/>
        </w:rPr>
      </w:pPr>
    </w:p>
    <w:p>
      <w:pPr>
        <w:jc w:val="both"/>
        <w:ind w:left="500" w:hanging="492"/>
        <w:spacing w:after="0" w:line="253" w:lineRule="auto"/>
        <w:tabs>
          <w:tab w:leader="none" w:pos="5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31, 2018, GSV Capital Corp agreed to extend the Convertible Promissory Note to NestGSV, Inc. (d/b/a GSV Labs, Inc.) until December 31, 2018, with a new interest rate of 12%. Previously accrued interest will be capitalized into the principal of the extended note. On December 31, 2018, GSV Capital Corp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The Company also received an additional 250,000 Series B Preferred Warrants due December 31, 2023.</w:t>
      </w:r>
    </w:p>
    <w:p>
      <w:pPr>
        <w:spacing w:after="0" w:line="159" w:lineRule="exact"/>
        <w:rPr>
          <w:rFonts w:ascii="Times New Roman" w:cs="Times New Roman" w:eastAsia="Times New Roman" w:hAnsi="Times New Roman"/>
          <w:sz w:val="16"/>
          <w:szCs w:val="16"/>
          <w:color w:val="auto"/>
        </w:rPr>
      </w:pPr>
    </w:p>
    <w:p>
      <w:pPr>
        <w:ind w:left="500" w:right="20" w:hanging="492"/>
        <w:spacing w:after="0" w:line="281" w:lineRule="auto"/>
        <w:tabs>
          <w:tab w:leader="none" w:pos="5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8, 2018, Curious.com, Inc. completed a recapitalization and issued new Series C preferred shares. In connection with the offering, GSV Capital Corp.'s 3,407,834 Series B preferred shares were converted into common shares. Additionally, a 1:3 reverse stock split was declared on the now common shares.</w:t>
      </w:r>
    </w:p>
    <w:p>
      <w:pPr>
        <w:spacing w:after="0" w:line="136"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SPBRX, INC. (f/k/a GSV Sustainability Partners, Inc.) preferred shares held by GSV Capital Corp. do not entitle GSV Capital Corp. to a preferred dividend rate. During the year ended December 31, 2018, SPBRX, INC. declared, and GSV Capital Corp. received, an aggregate of $625,000 in cash distributions. GSV Capital Corp. does not anticipate that SPBRX, INC. will pay distributions on a quarterly or regular basis or become a predictable distributor of distributions.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ind w:right="20" w:firstLine="351"/>
        <w:spacing w:after="0" w:line="282" w:lineRule="auto"/>
        <w:rPr>
          <w:sz w:val="20"/>
          <w:szCs w:val="20"/>
          <w:color w:val="auto"/>
        </w:rPr>
      </w:pPr>
      <w:r>
        <w:rPr>
          <w:rFonts w:ascii="Times New Roman" w:cs="Times New Roman" w:eastAsia="Times New Roman" w:hAnsi="Times New Roman"/>
          <w:sz w:val="18"/>
          <w:szCs w:val="18"/>
          <w:color w:val="auto"/>
        </w:rPr>
        <w:t>Transactions during the year ended December 31, 2017 involving the Company’s controlled investments and non-controlled/affiliate investments were as follows: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Purchases,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00" w:type="dxa"/>
            <w:vAlign w:val="bottom"/>
            <w:gridSpan w:val="3"/>
            <w:vMerge w:val="continue"/>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2"/>
                <w:szCs w:val="12"/>
                <w:color w:val="auto"/>
              </w:rPr>
            </w:pPr>
          </w:p>
        </w:tc>
        <w:tc>
          <w:tcPr>
            <w:tcW w:w="6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760" w:type="dxa"/>
            <w:vAlign w:val="bottom"/>
          </w:tcPr>
          <w:p>
            <w:pPr>
              <w:jc w:val="right"/>
              <w:ind w:right="126"/>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1"/>
        </w:trPr>
        <w:tc>
          <w:tcPr>
            <w:tcW w:w="2800" w:type="dxa"/>
            <w:vAlign w:val="bottom"/>
            <w:gridSpan w:val="4"/>
            <w:shd w:val="clear" w:color="auto" w:fill="CCEEFF"/>
          </w:tcPr>
          <w:p>
            <w:pPr>
              <w:ind w:left="40"/>
              <w:spacing w:after="0" w:line="201" w:lineRule="exact"/>
              <w:rPr>
                <w:sz w:val="20"/>
                <w:szCs w:val="20"/>
                <w:color w:val="auto"/>
              </w:rPr>
            </w:pPr>
            <w:r>
              <w:rPr>
                <w:rFonts w:ascii="Times New Roman" w:cs="Times New Roman" w:eastAsia="Times New Roman" w:hAnsi="Times New Roman"/>
                <w:sz w:val="16"/>
                <w:szCs w:val="16"/>
                <w:b w:val="1"/>
                <w:bCs w:val="1"/>
                <w:color w:val="auto"/>
              </w:rPr>
              <w:t>CONTROLLED INVESTMENTS*</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Inc.)–Convertible Promissory</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Note 8% Due 7/31/2018***</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560,199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88,604</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427,900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106,490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25,809</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560,199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Inc.)–Unsecured Promissory Note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12% Due 5/29/2017***</w:t>
            </w:r>
            <w:r>
              <w:rPr>
                <w:rFonts w:ascii="Times New Roman" w:cs="Times New Roman" w:eastAsia="Times New Roman" w:hAnsi="Times New Roman"/>
                <w:sz w:val="21"/>
                <w:szCs w:val="21"/>
                <w:color w:val="auto"/>
                <w:vertAlign w:val="superscript"/>
              </w:rPr>
              <w:t>(4)</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50,146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496,725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24,195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(526,000)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7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Inc.)–Unsecured Promissory Note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tcPr>
          <w:p>
            <w:pPr>
              <w:spacing w:after="0"/>
              <w:rPr>
                <w:sz w:val="21"/>
                <w:szCs w:val="21"/>
                <w:color w:val="auto"/>
              </w:rPr>
            </w:pPr>
          </w:p>
        </w:tc>
        <w:tc>
          <w:tcPr>
            <w:tcW w:w="2760" w:type="dxa"/>
            <w:vAlign w:val="bottom"/>
            <w:tcBorders>
              <w:bottom w:val="single" w:sz="8" w:color="CCEEFF"/>
            </w:tcBorders>
            <w:gridSpan w:val="3"/>
          </w:tcPr>
          <w:p>
            <w:pPr>
              <w:ind w:left="400"/>
              <w:spacing w:after="0"/>
              <w:rPr>
                <w:sz w:val="20"/>
                <w:szCs w:val="20"/>
                <w:color w:val="auto"/>
              </w:rPr>
            </w:pPr>
            <w:r>
              <w:rPr>
                <w:rFonts w:ascii="Times New Roman" w:cs="Times New Roman" w:eastAsia="Times New Roman" w:hAnsi="Times New Roman"/>
                <w:sz w:val="16"/>
                <w:szCs w:val="16"/>
                <w:color w:val="auto"/>
              </w:rPr>
              <w:t>12% Due 1/15/2018***</w:t>
            </w:r>
            <w:r>
              <w:rPr>
                <w:rFonts w:ascii="Times New Roman" w:cs="Times New Roman" w:eastAsia="Times New Roman" w:hAnsi="Times New Roman"/>
                <w:sz w:val="21"/>
                <w:szCs w:val="21"/>
                <w:color w:val="auto"/>
                <w:vertAlign w:val="superscript"/>
              </w:rPr>
              <w:t>(4)</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rPr>
              <w:t>592,129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111,089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592,809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592,129</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249,839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924,625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723,494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(526,000)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30,209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1,152,328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37"/>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249,839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924,625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723,494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(526,000)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30,209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1,152,328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SPBRX, INC. (f/k/a GSV</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27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Preferred shares, Class A***</w:t>
            </w:r>
          </w:p>
        </w:tc>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14,300,000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475,000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4,309,778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(3,239,916)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1,069,862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Inc.)–Preferred stock Series A-4</w:t>
            </w: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3,720,424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2,715,910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2,674,932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5,390,842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Inc.)–Preferred stock Series A-3</w:t>
            </w: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1,561,625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952,591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933,053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1,885,644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Inc.)–Preferred stock Series A-2</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450,001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166,500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159,522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326,022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7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Inc.)–Preferred stock Series A-1</w:t>
            </w: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273,370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543,370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4,105,001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4,040,877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8,145,878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60" w:type="dxa"/>
            <w:vAlign w:val="bottom"/>
            <w:gridSpan w:val="3"/>
          </w:tcPr>
          <w:p>
            <w:pPr>
              <w:ind w:left="140"/>
              <w:spacing w:after="0"/>
              <w:rPr>
                <w:sz w:val="20"/>
                <w:szCs w:val="20"/>
                <w:color w:val="auto"/>
              </w:rPr>
            </w:pPr>
            <w:r>
              <w:rPr>
                <w:rFonts w:ascii="Times New Roman" w:cs="Times New Roman" w:eastAsia="Times New Roman" w:hAnsi="Times New Roman"/>
                <w:sz w:val="16"/>
                <w:szCs w:val="16"/>
                <w:i w:val="1"/>
                <w:iCs w:val="1"/>
                <w:color w:val="auto"/>
              </w:rPr>
              <w:t>Interactive Learning</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Series C</w:t>
            </w:r>
            <w:r>
              <w:rPr>
                <w:rFonts w:ascii="Times New Roman" w:cs="Times New Roman" w:eastAsia="Times New Roman" w:hAnsi="Times New Roman"/>
                <w:sz w:val="21"/>
                <w:szCs w:val="21"/>
                <w:color w:val="auto"/>
                <w:vertAlign w:val="superscript"/>
              </w:rPr>
              <w:t>(3)</w:t>
            </w:r>
          </w:p>
        </w:tc>
        <w:tc>
          <w:tcPr>
            <w:tcW w:w="8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2,779,134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4,650,838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2,573,066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7,223,904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6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7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Series B</w:t>
            </w:r>
            <w:r>
              <w:rPr>
                <w:rFonts w:ascii="Times New Roman" w:cs="Times New Roman" w:eastAsia="Times New Roman" w:hAnsi="Times New Roman"/>
                <w:sz w:val="21"/>
                <w:szCs w:val="21"/>
                <w:color w:val="auto"/>
                <w:vertAlign w:val="superscript"/>
              </w:rPr>
              <w:t>(3)</w:t>
            </w: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3,279,629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4,470,403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1,334,069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5,804,472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-960120</wp:posOffset>
            </wp:positionV>
            <wp:extent cx="5575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-3413125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-5196840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118" w:right="239" w:bottom="1440" w:gutter="0" w:footer="0" w:header="0"/>
        </w:sectPr>
      </w:pPr>
    </w:p>
    <w:bookmarkStart w:id="114" w:name="page115"/>
    <w:bookmarkEnd w:id="1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4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8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4"/>
        </w:trPr>
        <w:tc>
          <w:tcPr>
            <w:tcW w:w="26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StormWind, LLC–Preferred shares,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Series A</w:t>
            </w:r>
            <w:r>
              <w:rPr>
                <w:rFonts w:ascii="Times New Roman" w:cs="Times New Roman" w:eastAsia="Times New Roman" w:hAnsi="Times New Roman"/>
                <w:sz w:val="21"/>
                <w:szCs w:val="21"/>
                <w:color w:val="auto"/>
                <w:vertAlign w:val="superscript"/>
              </w:rPr>
              <w:t>(3)</w:t>
            </w:r>
          </w:p>
        </w:tc>
        <w:tc>
          <w:tcPr>
            <w:tcW w:w="880" w:type="dxa"/>
            <w:vAlign w:val="bottom"/>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366,666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499,796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425,342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31"/>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Total Interactive Learning</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9,621,037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3,832,681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7"/>
              </w:rPr>
              <w:t>13,453,718</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7"/>
              </w:rPr>
              <w:t>18,035,816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4,633,642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7"/>
              </w:rPr>
              <w:t>22,669,458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Inc.)–Preferred Warrant Series 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3–Strike Price $1.33, Expiration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Date 4/4/2019</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187,500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Inc.)–Preferred Warrant Series 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4–Strike Price $1.33, Expiration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Date 10/6/2019</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160,000</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6"/>
        </w:trPr>
        <w:tc>
          <w:tcPr>
            <w:tcW w:w="2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Inc.)–Preferred Warrant Series A-</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4–Strike Price $1.33, Expiration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Date 7/18/2021</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102,500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Inc.)–Preferred Warrant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Series B–Strike Price $2.31,</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Expiration Date 11/29/2021</w:t>
            </w:r>
            <w:r>
              <w:rPr>
                <w:rFonts w:ascii="Times New Roman" w:cs="Times New Roman" w:eastAsia="Times New Roman" w:hAnsi="Times New Roman"/>
                <w:sz w:val="21"/>
                <w:szCs w:val="21"/>
                <w:color w:val="auto"/>
                <w:vertAlign w:val="superscript"/>
              </w:rPr>
              <w:t>(11)</w:t>
            </w:r>
          </w:p>
        </w:tc>
        <w:tc>
          <w:tcPr>
            <w:tcW w:w="880" w:type="dxa"/>
            <w:vAlign w:val="bottom"/>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100,000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41,000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6"/>
        </w:trPr>
        <w:tc>
          <w:tcPr>
            <w:tcW w:w="2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Inc.)–Preferred Warrant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Series B–Strike Price $2.31,</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Expiration Date 5/29/2022</w:t>
            </w:r>
            <w:r>
              <w:rPr>
                <w:rFonts w:ascii="Times New Roman" w:cs="Times New Roman" w:eastAsia="Times New Roman" w:hAnsi="Times New Roman"/>
                <w:sz w:val="21"/>
                <w:szCs w:val="21"/>
                <w:color w:val="auto"/>
                <w:vertAlign w:val="superscript"/>
              </w:rPr>
              <w:t>(4)</w:t>
            </w:r>
          </w:p>
        </w:tc>
        <w:tc>
          <w:tcPr>
            <w:tcW w:w="880" w:type="dxa"/>
            <w:vAlign w:val="bottom"/>
            <w:tcBorders>
              <w:bottom w:val="single" w:sz="8" w:color="CCEEFF"/>
            </w:tcBorders>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125,000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70,379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9,621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80,000</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Global Innovation Platform</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70,379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237,871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385,375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77,125</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70,379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237,871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385,375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Clean Technology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SPBRX, INC. (f/k/a GSV</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Sustainability Partners, Inc.)–</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Common shares</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Global Innovation Platform</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NestGSV, Inc. (d/b/a GSV Labs,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Inc.)–Common shares</w:t>
            </w:r>
          </w:p>
        </w:tc>
        <w:tc>
          <w:tcPr>
            <w:tcW w:w="880" w:type="dxa"/>
            <w:vAlign w:val="bottom"/>
            <w:tcBorders>
              <w:bottom w:val="single" w:sz="8" w:color="CCEEFF"/>
            </w:tcBorders>
            <w:gridSpan w:val="2"/>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200,000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CONTROLLED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724,839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19,037,566</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793,873</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(526,000)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4,901,722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7"/>
              </w:rPr>
              <w:t>24,207,161</w:t>
            </w: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0" w:type="dxa"/>
            <w:vAlign w:val="bottom"/>
          </w:tcPr>
          <w:p>
            <w:pPr>
              <w:spacing w:after="0"/>
              <w:rPr>
                <w:sz w:val="1"/>
                <w:szCs w:val="1"/>
                <w:color w:val="auto"/>
              </w:rPr>
            </w:pPr>
          </w:p>
        </w:tc>
      </w:tr>
      <w:tr>
        <w:trPr>
          <w:trHeight w:val="232"/>
        </w:trPr>
        <w:tc>
          <w:tcPr>
            <w:tcW w:w="2660" w:type="dxa"/>
            <w:vAlign w:val="bottom"/>
            <w:shd w:val="clear" w:color="auto" w:fill="CCEEFF"/>
          </w:tcPr>
          <w:p>
            <w:pPr>
              <w:ind w:left="200"/>
              <w:spacing w:after="0" w:line="232"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(2)</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-5805170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118" w:right="239" w:bottom="1440" w:gutter="0" w:footer="0" w:header="0"/>
        </w:sectPr>
      </w:pPr>
    </w:p>
    <w:bookmarkStart w:id="115" w:name="page116"/>
    <w:bookmarkEnd w:id="1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980" w:type="dxa"/>
            <w:vAlign w:val="bottom"/>
            <w:gridSpan w:val="3"/>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7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20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20" w:type="dxa"/>
            <w:vAlign w:val="bottom"/>
          </w:tcPr>
          <w:p>
            <w:pPr>
              <w:spacing w:after="0"/>
              <w:rPr>
                <w:sz w:val="12"/>
                <w:szCs w:val="12"/>
                <w:color w:val="auto"/>
              </w:rPr>
            </w:pPr>
          </w:p>
        </w:tc>
        <w:tc>
          <w:tcPr>
            <w:tcW w:w="760" w:type="dxa"/>
            <w:vAlign w:val="bottom"/>
          </w:tcPr>
          <w:p>
            <w:pPr>
              <w:jc w:val="right"/>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7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Pr>
          <w:p>
            <w:pPr>
              <w:spacing w:after="0"/>
              <w:rPr>
                <w:sz w:val="16"/>
                <w:szCs w:val="16"/>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88"/>
        </w:trPr>
        <w:tc>
          <w:tcPr>
            <w:tcW w:w="270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NON-CONTROLLED/AFFILIATE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CUX, Inc. (d/b/a CorpU)–Senior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Subordinated Convertible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Promissory Note 8%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11/26/2018***</w:t>
            </w:r>
            <w:r>
              <w:rPr>
                <w:rFonts w:ascii="Times New Roman" w:cs="Times New Roman" w:eastAsia="Times New Roman" w:hAnsi="Times New Roman"/>
                <w:sz w:val="21"/>
                <w:szCs w:val="21"/>
                <w:color w:val="auto"/>
                <w:vertAlign w:val="superscript"/>
              </w:rPr>
              <w:t>(6)</w:t>
            </w: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1,259,712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93,772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1,166,400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93,312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1,259,712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Ozy Media, Inc.–Convertible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Promissory Note 5%,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2/28/2018***</w:t>
            </w:r>
            <w:r>
              <w:rPr>
                <w:rFonts w:ascii="Times New Roman" w:cs="Times New Roman" w:eastAsia="Times New Roman" w:hAnsi="Times New Roman"/>
                <w:sz w:val="21"/>
                <w:szCs w:val="21"/>
                <w:color w:val="auto"/>
                <w:vertAlign w:val="superscript"/>
              </w:rPr>
              <w:t>(12)</w:t>
            </w: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2,000,000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(932,361)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1,067,639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Declara, Inc.–Convertible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Promissory Note 9% Due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3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12/31/2017</w:t>
            </w:r>
            <w:r>
              <w:rPr>
                <w:rFonts w:ascii="Times New Roman" w:cs="Times New Roman" w:eastAsia="Times New Roman" w:hAnsi="Times New Roman"/>
                <w:sz w:val="21"/>
                <w:szCs w:val="21"/>
                <w:color w:val="auto"/>
                <w:vertAlign w:val="superscript"/>
              </w:rPr>
              <w:t>(8)</w:t>
            </w: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2,120,658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2,827,020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(1,707,931)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1,120,329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6"/>
                <w:szCs w:val="16"/>
                <w:i w:val="1"/>
                <w:iCs w:val="1"/>
                <w:color w:val="auto"/>
              </w:rPr>
              <w:t>Sports Analytics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Circle Media (f/k/a S3 Digital Corp.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(d/b/a S3i))–Promissory Note,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12%, 11/17/2017***</w:t>
            </w:r>
            <w:r>
              <w:rPr>
                <w:rFonts w:ascii="Times New Roman" w:cs="Times New Roman" w:eastAsia="Times New Roman" w:hAnsi="Times New Roman"/>
                <w:sz w:val="21"/>
                <w:szCs w:val="21"/>
                <w:color w:val="auto"/>
                <w:vertAlign w:val="superscript"/>
              </w:rPr>
              <w:t>(13)</w:t>
            </w:r>
          </w:p>
        </w:tc>
        <w:tc>
          <w:tcPr>
            <w:tcW w:w="1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26,544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59,460</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6,019,964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98,121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(30,408)</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(2,639,997)</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3,447,680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CUX, Inc. (d/b/a CorpU)–</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Series D</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169,033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775,861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213,628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989,489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CUX, Inc. (d/b/a CorpU)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Series 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615,763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1,913,484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(1,433,300)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480,184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Total Corporate Education</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2,689,345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(1,219,672)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1,469,673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6"/>
                <w:szCs w:val="16"/>
                <w:i w:val="1"/>
                <w:iCs w:val="1"/>
                <w:color w:val="auto"/>
              </w:rPr>
              <w:t>Globally-Focused Private School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Whittle Schools, LLC–Preferred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Series B</w:t>
            </w:r>
            <w:r>
              <w:rPr>
                <w:rFonts w:ascii="Times New Roman" w:cs="Times New Roman" w:eastAsia="Times New Roman" w:hAnsi="Times New Roman"/>
                <w:sz w:val="21"/>
                <w:szCs w:val="21"/>
                <w:color w:val="auto"/>
                <w:vertAlign w:val="superscript"/>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3,000,000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119,299</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6"/>
                <w:szCs w:val="16"/>
                <w:i w:val="1"/>
                <w:iCs w:val="1"/>
                <w:color w:val="auto"/>
              </w:rPr>
              <w:t>Online Education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Curious.com, Inc.–Preferred shares,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Series B</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3,407,834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9,984,954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(4,470,877)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5,514,077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16"/>
                <w:szCs w:val="16"/>
                <w:i w:val="1"/>
                <w:iCs w:val="1"/>
                <w:color w:val="auto"/>
              </w:rPr>
              <w:t>Sports Analytics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Circle Media (f/k/a S3 Digital Corp.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(d/b/a S3i))–Preferred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5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Series A</w:t>
            </w:r>
            <w:r>
              <w:rPr>
                <w:rFonts w:ascii="Times New Roman" w:cs="Times New Roman" w:eastAsia="Times New Roman" w:hAnsi="Times New Roman"/>
                <w:sz w:val="21"/>
                <w:szCs w:val="21"/>
                <w:color w:val="auto"/>
                <w:vertAlign w:val="superscript"/>
              </w:rPr>
              <w:t>(13)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484,769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(1,777,576)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1,292,807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118" w:right="239" w:bottom="1440" w:gutter="0" w:footer="0" w:header="0"/>
        </w:sectPr>
      </w:pPr>
    </w:p>
    <w:bookmarkStart w:id="116" w:name="page117"/>
    <w:bookmarkEnd w:id="1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Credited</w:t>
            </w:r>
          </w:p>
        </w:tc>
        <w:tc>
          <w:tcPr>
            <w:tcW w:w="10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9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760" w:type="dxa"/>
            <w:vAlign w:val="bottom"/>
          </w:tcPr>
          <w:p>
            <w:pPr>
              <w:jc w:val="right"/>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0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36"/>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Social Cognitive Learning</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Declara, Inc.–Preferred shares,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Series 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10,716,390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4,786,654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(4,403,976)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382,678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Education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EdSurge, Inc.–Preferred shares,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Series A-1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EdSurge, Inc.–Preferred shares,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Series A</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581,917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Education Media Platform</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1,088,294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1,081,917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Education Technology</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Global Education Learning</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(Holdings) Ltd.–Preferred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Series A**</w:t>
            </w:r>
            <w:r>
              <w:rPr>
                <w:rFonts w:ascii="Times New Roman" w:cs="Times New Roman" w:eastAsia="Times New Roman" w:hAnsi="Times New Roman"/>
                <w:sz w:val="21"/>
                <w:szCs w:val="21"/>
                <w:color w:val="auto"/>
                <w:vertAlign w:val="superscript"/>
              </w:rPr>
              <w:t>(9)</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(675,495)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675,495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Knowledge Networks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Maven Research, Inc.–Preferred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Series C</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1,999,998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(1,498,758)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Maven Research, Inc.–Preferred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shares, Series B</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Total Knowledge Networks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2,223,761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37"/>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Digital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Inc.–Preferred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Series B</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4,999,999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(2,632,977)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2,367,022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6"/>
        </w:trPr>
        <w:tc>
          <w:tcPr>
            <w:tcW w:w="2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OzyMedia, Inc.–Preferred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shares, Series A</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1,090,909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1,419,810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OzyMedia, Inc.–Preferred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Series Seed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236,635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31"/>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Total Digital Media Platform</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8,609,999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(4,586,532)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4,023,467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Social Media</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AlwaysOn, Inc.–Preferred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shares, Series A-1</w:t>
            </w:r>
            <w:r>
              <w:rPr>
                <w:rFonts w:ascii="Times New Roman" w:cs="Times New Roman" w:eastAsia="Times New Roman" w:hAnsi="Times New Roman"/>
                <w:sz w:val="21"/>
                <w:szCs w:val="21"/>
                <w:color w:val="auto"/>
                <w:vertAlign w:val="superscript"/>
              </w:rPr>
              <w:t>(10)</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876,023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AlwaysOn, Inc.–Preferred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shares, Series A</w:t>
            </w:r>
            <w:r>
              <w:rPr>
                <w:rFonts w:ascii="Times New Roman" w:cs="Times New Roman" w:eastAsia="Times New Roman" w:hAnsi="Times New Roman"/>
                <w:sz w:val="21"/>
                <w:szCs w:val="21"/>
                <w:color w:val="auto"/>
                <w:vertAlign w:val="superscript"/>
              </w:rPr>
              <w:t>(10)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(1,027,391)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1,027,391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Total Social Media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(1,903,414)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1,903,414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Preferred Stock</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32,867,776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119,299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(4,475,784)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(12,488,239)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13,023,052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37"/>
        </w:trPr>
        <w:tc>
          <w:tcPr>
            <w:tcW w:w="2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Big Data Consulting</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Strategic Data Command, LLC–</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Common shares</w:t>
            </w:r>
            <w:r>
              <w:rPr>
                <w:rFonts w:ascii="Times New Roman" w:cs="Times New Roman" w:eastAsia="Times New Roman" w:hAnsi="Times New Roman"/>
                <w:sz w:val="21"/>
                <w:szCs w:val="21"/>
                <w:color w:val="auto"/>
                <w:vertAlign w:val="superscript"/>
              </w:rPr>
              <w:t>(7)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2,052,555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$(2,514,651)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1,524,374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(1,063,278)</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Globally-Focused Private School</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Whittle Schools, LLC–Common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shares</w:t>
            </w:r>
            <w:r>
              <w:rPr>
                <w:rFonts w:ascii="Times New Roman" w:cs="Times New Roman" w:eastAsia="Times New Roman" w:hAnsi="Times New Roman"/>
                <w:sz w:val="21"/>
                <w:szCs w:val="21"/>
                <w:color w:val="auto"/>
                <w:vertAlign w:val="superscript"/>
              </w:rPr>
              <w:t>(5)</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59,649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77,097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Common Stock</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3,552,555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60,649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$(4,089,651)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1,462,628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420"/>
          </w:cols>
          <w:pgMar w:left="240" w:top="118" w:right="239" w:bottom="1440" w:gutter="0" w:footer="0" w:header="0"/>
          <w:type w:val="continuous"/>
        </w:sectPr>
      </w:pPr>
    </w:p>
    <w:bookmarkStart w:id="117" w:name="page118"/>
    <w:bookmarkEnd w:id="1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Investments In, and Advances to, Affiliates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 or</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Capitalized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Type/Industry/Portfolio</w:t>
            </w: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and</w:t>
            </w:r>
          </w:p>
        </w:tc>
        <w:tc>
          <w:tcPr>
            <w:tcW w:w="100" w:type="dxa"/>
            <w:vAlign w:val="bottom"/>
          </w:tcPr>
          <w:p>
            <w:pPr>
              <w:spacing w:after="0"/>
              <w:rPr>
                <w:sz w:val="12"/>
                <w:szCs w:val="12"/>
                <w:color w:val="auto"/>
              </w:rPr>
            </w:pPr>
          </w:p>
        </w:tc>
        <w:tc>
          <w:tcPr>
            <w:tcW w:w="8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Sports Analytics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Circle Media (f/k/a S3 Digital</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 (d/b/a S3i))–Preferred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warrants, $1.17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Expiration Date 11/18/2022</w:t>
            </w:r>
            <w:r>
              <w:rPr>
                <w:rFonts w:ascii="Times New Roman" w:cs="Times New Roman" w:eastAsia="Times New Roman" w:hAnsi="Times New Roman"/>
                <w:sz w:val="21"/>
                <w:szCs w:val="21"/>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Circle Media (f/k/a S3 Digital</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Corp. (d/b/a S3i))–Preferred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warrants, $1.17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Expiration Date 8/29/2021</w:t>
            </w:r>
            <w:r>
              <w:rPr>
                <w:rFonts w:ascii="Times New Roman" w:cs="Times New Roman" w:eastAsia="Times New Roman" w:hAnsi="Times New Roman"/>
                <w:sz w:val="21"/>
                <w:szCs w:val="21"/>
                <w:color w:val="auto"/>
                <w:vertAlign w:val="superscript"/>
              </w:rPr>
              <w:t>(13)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rPr>
              <w:t>Circle Media (f/k/a S3 Digital</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 (d/b/a S3i))–Preferred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warrants, $1.17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Expiration Date 6/26/2021</w:t>
            </w:r>
            <w:r>
              <w:rPr>
                <w:rFonts w:ascii="Times New Roman" w:cs="Times New Roman" w:eastAsia="Times New Roman" w:hAnsi="Times New Roman"/>
                <w:sz w:val="21"/>
                <w:szCs w:val="21"/>
                <w:color w:val="auto"/>
                <w:vertAlign w:val="superscript"/>
              </w:rPr>
              <w:t>(13)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Circle Media (f/k/a S3 Digital</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Corp. (d/b/a S3i))–Preferred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warrants, $1.17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Expiration Date 9/30/2020</w:t>
            </w:r>
            <w:r>
              <w:rPr>
                <w:rFonts w:ascii="Times New Roman" w:cs="Times New Roman" w:eastAsia="Times New Roman" w:hAnsi="Times New Roman"/>
                <w:sz w:val="21"/>
                <w:szCs w:val="21"/>
                <w:color w:val="auto"/>
                <w:vertAlign w:val="superscript"/>
              </w:rPr>
              <w:t>(13)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Circle Media (f/k/a S3 Digital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Corp. (d/b/a S3i))–Preferred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warrants, $1.00 Strike Price,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Expiration Date 11/21/2017</w:t>
            </w:r>
            <w:r>
              <w:rPr>
                <w:rFonts w:ascii="Times New Roman" w:cs="Times New Roman" w:eastAsia="Times New Roman" w:hAnsi="Times New Roman"/>
                <w:sz w:val="21"/>
                <w:szCs w:val="21"/>
                <w:color w:val="auto"/>
                <w:vertAlign w:val="superscript"/>
              </w:rPr>
              <w:t>(13)</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31,354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Total Sports Analytics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31,930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Corporate Education</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CUX, Inc. (d/b/a CorpU) -</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Preferred warrants, Series 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Strike Price $4.59, Expiration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Date 2/25/2018</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Social Media</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AlwaysOn, Inc.–Preferred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Warrants Series A, $1.00 strike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xml:space="preserve">price, expire 1/9/2017 </w:t>
            </w:r>
            <w:r>
              <w:rPr>
                <w:rFonts w:ascii="Times New Roman" w:cs="Times New Roman" w:eastAsia="Times New Roman" w:hAnsi="Times New Roman"/>
                <w:sz w:val="21"/>
                <w:szCs w:val="21"/>
                <w:color w:val="auto"/>
                <w:vertAlign w:val="superscript"/>
              </w:rPr>
              <w:t>(10)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2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Warrants</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29,901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0" w:type="dxa"/>
            <w:vAlign w:val="bottom"/>
          </w:tcPr>
          <w:p>
            <w:pPr>
              <w:spacing w:after="0"/>
              <w:rPr>
                <w:sz w:val="1"/>
                <w:szCs w:val="1"/>
                <w:color w:val="auto"/>
              </w:rPr>
            </w:pPr>
          </w:p>
        </w:tc>
      </w:tr>
      <w:tr>
        <w:trPr>
          <w:trHeight w:val="207"/>
        </w:trPr>
        <w:tc>
          <w:tcPr>
            <w:tcW w:w="25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NON-</w:t>
            </w:r>
          </w:p>
        </w:tc>
        <w:tc>
          <w:tcPr>
            <w:tcW w:w="10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CONTROLLED/AFFILIATE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59,460</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42,444,690</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278,069</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(7,089,651)</w:t>
            </w:r>
          </w:p>
        </w:tc>
        <w:tc>
          <w:tcPr>
            <w:tcW w:w="10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(3,075,494)</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(16,084,516)</w:t>
            </w:r>
          </w:p>
        </w:tc>
        <w:tc>
          <w:tcPr>
            <w:tcW w:w="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16,473,098</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8.04%</w:t>
            </w:r>
          </w:p>
        </w:tc>
        <w:tc>
          <w:tcPr>
            <w:tcW w:w="0" w:type="dxa"/>
            <w:vAlign w:val="bottom"/>
          </w:tcPr>
          <w:p>
            <w:pPr>
              <w:spacing w:after="0"/>
              <w:rPr>
                <w:sz w:val="1"/>
                <w:szCs w:val="1"/>
                <w:color w:val="auto"/>
              </w:rPr>
            </w:pPr>
          </w:p>
        </w:tc>
      </w:tr>
      <w:tr>
        <w:trPr>
          <w:trHeight w:val="274"/>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INVESTMENTS*</w:t>
            </w:r>
            <w:r>
              <w:rPr>
                <w:rFonts w:ascii="Times New Roman" w:cs="Times New Roman" w:eastAsia="Times New Roman" w:hAnsi="Times New Roman"/>
                <w:sz w:val="21"/>
                <w:szCs w:val="21"/>
                <w:b w:val="1"/>
                <w:bCs w:val="1"/>
                <w:color w:val="auto"/>
                <w:vertAlign w:val="superscript"/>
              </w:rPr>
              <w:t>(1)</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vMerge w:val="continue"/>
          </w:tcPr>
          <w:p>
            <w:pPr>
              <w:spacing w:after="0"/>
              <w:rPr>
                <w:sz w:val="23"/>
                <w:szCs w:val="23"/>
                <w:color w:val="auto"/>
              </w:rPr>
            </w:pPr>
          </w:p>
        </w:tc>
        <w:tc>
          <w:tcPr>
            <w:tcW w:w="8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-26035</wp:posOffset>
            </wp:positionV>
            <wp:extent cx="500824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08245" cy="26035"/>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-5205730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7" w:lineRule="exact"/>
        <w:rPr>
          <w:sz w:val="20"/>
          <w:szCs w:val="20"/>
          <w:color w:val="auto"/>
        </w:rPr>
      </w:pPr>
    </w:p>
    <w:p>
      <w:pPr>
        <w:jc w:val="both"/>
        <w:ind w:left="340" w:hanging="332"/>
        <w:spacing w:after="0" w:line="257" w:lineRule="auto"/>
        <w:tabs>
          <w:tab w:leader="none" w:pos="34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225"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assets that GSV Capital Corp. believes do not represent “qualifying assets” under Section 55(a) of the 1940 Act.</w:t>
      </w:r>
    </w:p>
    <w:p>
      <w:pPr>
        <w:spacing w:after="0" w:line="243"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118" w:right="239" w:bottom="1440" w:gutter="0" w:footer="0" w:header="0"/>
        </w:sectPr>
      </w:pPr>
    </w:p>
    <w:bookmarkStart w:id="118" w:name="page119"/>
    <w:bookmarkEnd w:id="1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Investment is income-producing.</w:t>
      </w:r>
    </w:p>
    <w:p>
      <w:pPr>
        <w:spacing w:after="0" w:line="194" w:lineRule="exact"/>
        <w:rPr>
          <w:sz w:val="20"/>
          <w:szCs w:val="20"/>
          <w:color w:val="auto"/>
        </w:rPr>
      </w:pPr>
    </w:p>
    <w:p>
      <w:pPr>
        <w:jc w:val="both"/>
        <w:ind w:left="340" w:hanging="332"/>
        <w:spacing w:after="0" w:line="263"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securities with the right to elect directors) of such company.</w:t>
      </w:r>
    </w:p>
    <w:p>
      <w:pPr>
        <w:spacing w:after="0" w:line="151"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 in StormWind, LLC is held through its wholly owned subsidiary, GSVC SW Holdings, Inc.</w:t>
      </w:r>
    </w:p>
    <w:p>
      <w:pPr>
        <w:spacing w:after="0" w:line="194" w:lineRule="exact"/>
        <w:rPr>
          <w:rFonts w:ascii="Times New Roman" w:cs="Times New Roman" w:eastAsia="Times New Roman" w:hAnsi="Times New Roman"/>
          <w:sz w:val="16"/>
          <w:szCs w:val="16"/>
          <w:color w:val="auto"/>
        </w:rPr>
      </w:pPr>
    </w:p>
    <w:p>
      <w:pPr>
        <w:jc w:val="both"/>
        <w:ind w:left="340" w:hanging="332"/>
        <w:spacing w:after="0" w:line="258"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On November 29, 2017, the maturity date of the unsecured promissory note to NestGSV, Inc. (d/b/a GSV Labs, Inc.) was extended to January 15, 2018. On January 12, 2018, the unsecured promissory note to NestGSV, Inc. (d/b/a GSV Labs, Inc.) was repaid, with interest.</w:t>
      </w:r>
    </w:p>
    <w:p>
      <w:pPr>
        <w:spacing w:after="0" w:line="154"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 In November 2017, the Company sold its entire position in Whittle Schools, LLC.</w:t>
      </w:r>
    </w:p>
    <w:p>
      <w:pPr>
        <w:spacing w:after="0" w:line="151" w:lineRule="exact"/>
        <w:rPr>
          <w:rFonts w:ascii="Times New Roman" w:cs="Times New Roman" w:eastAsia="Times New Roman" w:hAnsi="Times New Roman"/>
          <w:sz w:val="16"/>
          <w:szCs w:val="16"/>
          <w:color w:val="auto"/>
        </w:rPr>
      </w:pPr>
    </w:p>
    <w:p>
      <w:pPr>
        <w:ind w:left="340" w:right="20" w:hanging="332"/>
        <w:spacing w:after="0" w:line="281"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136" w:lineRule="exact"/>
        <w:rPr>
          <w:rFonts w:ascii="Times New Roman" w:cs="Times New Roman" w:eastAsia="Times New Roman" w:hAnsi="Times New Roman"/>
          <w:sz w:val="16"/>
          <w:szCs w:val="16"/>
          <w:color w:val="auto"/>
        </w:rPr>
      </w:pPr>
    </w:p>
    <w:p>
      <w:pPr>
        <w:ind w:left="340" w:right="20" w:hanging="332"/>
        <w:spacing w:after="0" w:line="281"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GSV Capital Corp.’s investment in Strategic Data Command, LLC is held through its wholly owned subsidiary, GSVC SVDS Holdings, Inc. In November 2017, the Company sold its entire position in Strategic Data Command, LLC.</w:t>
      </w:r>
    </w:p>
    <w:p>
      <w:pPr>
        <w:spacing w:after="0" w:line="136" w:lineRule="exact"/>
        <w:rPr>
          <w:rFonts w:ascii="Times New Roman" w:cs="Times New Roman" w:eastAsia="Times New Roman" w:hAnsi="Times New Roman"/>
          <w:sz w:val="16"/>
          <w:szCs w:val="16"/>
          <w:color w:val="auto"/>
        </w:rPr>
      </w:pPr>
    </w:p>
    <w:p>
      <w:pPr>
        <w:jc w:val="both"/>
        <w:ind w:left="340" w:hanging="332"/>
        <w:spacing w:after="0" w:line="258"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 2017, the maturity date of the convertible promissory note to Declara, Inc. was extended to December 31, 2017. The convertible promissory note to Declara, Inc. was further extended until January 31, 2018. The maturity date of the convertible promissory note to Declara, Inc. was then subsequently extended an additional three months to April 30, 2018. On January 31, 2018 the interest rate on the convertible promissory note increased to 12% per annum (including 365 days for the purposes of accrual).</w:t>
      </w:r>
    </w:p>
    <w:p>
      <w:pPr>
        <w:spacing w:after="0" w:line="15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wrote-off its investment in Global Education Learning (Holdings) Ltd. during the three months ended June 30, 2017.</w:t>
      </w:r>
    </w:p>
    <w:p>
      <w:pPr>
        <w:spacing w:after="0" w:line="19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wrote-off its investment in AlwaysOn, Inc. during the three months ended March 31, 2017.</w:t>
      </w:r>
    </w:p>
    <w:p>
      <w:pPr>
        <w:spacing w:after="0" w:line="261" w:lineRule="exact"/>
        <w:rPr>
          <w:rFonts w:ascii="Times New Roman" w:cs="Times New Roman" w:eastAsia="Times New Roman" w:hAnsi="Times New Roman"/>
          <w:sz w:val="16"/>
          <w:szCs w:val="16"/>
          <w:color w:val="auto"/>
        </w:rPr>
      </w:pPr>
    </w:p>
    <w:p>
      <w:pPr>
        <w:ind w:left="340" w:right="20" w:hanging="332"/>
        <w:spacing w:after="0" w:line="281"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fourth quarter of 2017, NestGSV, Inc. (d/b/a GSV Labs, Inc.) met certain financing qualifications under the Company’s warrant agreement with NestGSV, Inc. (d/b/a GSV Labs, Inc.) and the Company’s Series A-4 warrants with a strike price of $1.33 converted to Series B warrants with a $2.31 strike price.</w:t>
      </w:r>
    </w:p>
    <w:p>
      <w:pPr>
        <w:spacing w:after="0" w:line="136" w:lineRule="exact"/>
        <w:rPr>
          <w:rFonts w:ascii="Times New Roman" w:cs="Times New Roman" w:eastAsia="Times New Roman" w:hAnsi="Times New Roman"/>
          <w:sz w:val="16"/>
          <w:szCs w:val="16"/>
          <w:color w:val="auto"/>
        </w:rPr>
      </w:pPr>
    </w:p>
    <w:p>
      <w:pPr>
        <w:ind w:left="340" w:right="20" w:hanging="332"/>
        <w:spacing w:after="0" w:line="281" w:lineRule="auto"/>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year-ended December 31, 2017, Ozy Media, Inc.’s obligations under its financing arrangements with the Company became past due. The Company and Ozy Media are in the process of renegotiating the terms of the Company’s investment.</w:t>
      </w:r>
    </w:p>
    <w:p>
      <w:pPr>
        <w:spacing w:after="0" w:line="13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wrote-off its investment in Circle Media (f/k/a S3 Digital Corp. (d/b/a S3i)) during the three months ended December 31, 2017.</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118" w:right="239" w:bottom="1440" w:gutter="0" w:footer="0" w:header="0"/>
        </w:sectPr>
      </w:pPr>
    </w:p>
    <w:bookmarkStart w:id="119" w:name="page120"/>
    <w:bookmarkEnd w:id="1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5—SHARE REPURCHASE PROGRAM, EQUITY OFFERINGS AND RELATED EXPENSES</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4"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During the quarter and year ended December 31, 2018, the Company repurchased 412,308 and 1,483,698 shares, respectively, of the Company’s common stock pursuant to the Share Repurchase Program for an average share price of $6.77 and $6.93, respectively, or approximately $2.8 million and $10.3 million, respectively, in aggregate. As of December 31, 2018, the dollar value of shares that remained available to be purchased by the Company under the Share Repurchase Program was approximately $4.8 million.</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new shares of the Company’s common stock were issued during the year ended December 31, 2018.</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420"/>
          </w:cols>
          <w:pgMar w:left="240" w:top="118" w:right="239" w:bottom="1440" w:gutter="0" w:footer="0" w:header="0"/>
        </w:sectPr>
      </w:pPr>
    </w:p>
    <w:bookmarkStart w:id="120" w:name="page121"/>
    <w:bookmarkEnd w:id="1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and diluted net increase in net assets resulting from operations per common share, pursuant to ASC 260, for the year ended December 31, 2018 and 2017.</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03"/>
        </w:trPr>
        <w:tc>
          <w:tcPr>
            <w:tcW w:w="70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Earnings/(Loss) per common share–basic:</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891,743</w:t>
            </w:r>
          </w:p>
        </w:tc>
        <w:tc>
          <w:tcPr>
            <w:tcW w:w="5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17,567,933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(74,994,895)</w:t>
            </w:r>
          </w:p>
        </w:tc>
        <w:tc>
          <w:tcPr>
            <w:tcW w:w="0" w:type="dxa"/>
            <w:vAlign w:val="bottom"/>
          </w:tcPr>
          <w:p>
            <w:pPr>
              <w:spacing w:after="0"/>
              <w:rPr>
                <w:sz w:val="1"/>
                <w:szCs w:val="1"/>
                <w:color w:val="auto"/>
              </w:rPr>
            </w:pPr>
          </w:p>
        </w:tc>
      </w:tr>
      <w:tr>
        <w:trPr>
          <w:trHeight w:val="237"/>
        </w:trPr>
        <w:tc>
          <w:tcPr>
            <w:tcW w:w="70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shares–basic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20,617,890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21,924,490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22,181,003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Earnings/(Loss) per common share–basic</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50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Earnings/(Loss) per common share–diluted: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8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net assets resulting from operations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891,743</w:t>
            </w:r>
          </w:p>
        </w:tc>
        <w:tc>
          <w:tcPr>
            <w:tcW w:w="5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17,567,933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(74,994,895)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Adjustment for interest and amortization on 5.25% Convertible Senior Notes due 2018</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for interest and amortization on 4.75% Convertible Senior Notes due 2023</w:t>
            </w:r>
            <w:r>
              <w:rPr>
                <w:rFonts w:ascii="Times New Roman" w:cs="Times New Roman" w:eastAsia="Times New Roman" w:hAnsi="Times New Roman"/>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0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Net change in net assets resulting from operations, as adjusted</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891,743</w:t>
            </w:r>
          </w:p>
        </w:tc>
        <w:tc>
          <w:tcPr>
            <w:tcW w:w="5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17,567,933</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(74,994,895)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7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for dilutive effect of 5.25% Convertible Senior Notes due 2018</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Adjustment for dilutive effect of 4.75% Convertible Senior Notes due 2023</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20,617,890</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21,924,490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22,181,003</w:t>
            </w:r>
          </w:p>
        </w:tc>
        <w:tc>
          <w:tcPr>
            <w:tcW w:w="0" w:type="dxa"/>
            <w:vAlign w:val="bottom"/>
          </w:tcPr>
          <w:p>
            <w:pPr>
              <w:spacing w:after="0"/>
              <w:rPr>
                <w:sz w:val="1"/>
                <w:szCs w:val="1"/>
                <w:color w:val="auto"/>
              </w:rPr>
            </w:pPr>
          </w:p>
        </w:tc>
      </w:tr>
      <w:tr>
        <w:trPr>
          <w:trHeight w:val="244"/>
        </w:trPr>
        <w:tc>
          <w:tcPr>
            <w:tcW w:w="7080" w:type="dxa"/>
            <w:vAlign w:val="bottom"/>
            <w:tcBorders>
              <w:top w:val="single" w:sz="8" w:color="CCEEFF"/>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Earnings/(Loss) per common share–diluted</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44" w:lineRule="exact"/>
        <w:rPr>
          <w:sz w:val="20"/>
          <w:szCs w:val="20"/>
          <w:color w:val="auto"/>
        </w:rPr>
      </w:pPr>
    </w:p>
    <w:p>
      <w:pPr>
        <w:jc w:val="both"/>
        <w:ind w:left="660" w:hanging="490"/>
        <w:spacing w:after="0" w:line="292"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years ended December 31, 2018, 2017, and 2016</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xml:space="preserve"> 6,079,068, 5,751,815, and 5,751,815 potentially dilutive common shares, respectively, were excluded from the weighted-average common shares outstanding for diluted net change in net assets resulting from operations per common share because the effect of these shares would have been anti-dilutive.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7—COMMITMENTS AND CONTINGENCIES</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 At December 31, 2018 and December 31, 2017, the Company had not entered into any investment agreements that required it to make a future investment in a portfolio company.</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118" w:right="239" w:bottom="1440" w:gutter="0" w:footer="0" w:header="0"/>
        </w:sectPr>
      </w:pPr>
    </w:p>
    <w:bookmarkStart w:id="121" w:name="page122"/>
    <w:bookmarkEnd w:id="1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8—FINANCIAL HIGHLIGHTS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 Basic Share Data</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asset value at beginning of the year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8.66</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14.91</w:t>
            </w:r>
          </w:p>
        </w:tc>
      </w:tr>
      <w:tr>
        <w:trPr>
          <w:trHeight w:val="270"/>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loss</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3"/>
                <w:szCs w:val="23"/>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(0.66)</w:t>
            </w:r>
          </w:p>
        </w:tc>
      </w:tr>
      <w:tr>
        <w:trPr>
          <w:trHeight w:val="27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realized gain/(loss) on investments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 from/(Provision for) taxes on net realized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3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gain/loss of investments</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(0.51)</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loss on partial repurchase of 5.25%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Convertible Senior Notes due 2018</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change in unrealized appreciation/(depreciation)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3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of investments</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(0.30)</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 from taxes on unrealized depreciation of</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0.12</w:t>
            </w:r>
          </w:p>
        </w:tc>
      </w:tr>
      <w:tr>
        <w:trPr>
          <w:trHeight w:val="237"/>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from realized gain</w:t>
            </w: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asset value at end of year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14.80</w:t>
            </w:r>
          </w:p>
        </w:tc>
      </w:tr>
      <w:tr>
        <w:trPr>
          <w:trHeight w:val="22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 share market value at end of year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5.45</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8.63</w:t>
            </w: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return based on market value</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(28.62)%</w:t>
            </w:r>
          </w:p>
        </w:tc>
      </w:tr>
      <w:tr>
        <w:trPr>
          <w:trHeight w:val="270"/>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return based on net asset value</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(0.74)%</w:t>
            </w: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outstanding at end of year</w:t>
            </w:r>
          </w:p>
        </w:tc>
        <w:tc>
          <w:tcPr>
            <w:tcW w:w="26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19,762,647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21,246,345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19,320,100</w:t>
            </w:r>
          </w:p>
        </w:tc>
      </w:tr>
      <w:tr>
        <w:trPr>
          <w:trHeight w:val="33"/>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Ratios/Supplemental Data:</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assets at end of year</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195,378,159</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204,762,866</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192,128,810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268,010,945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285,903,673</w:t>
            </w:r>
          </w:p>
        </w:tc>
      </w:tr>
      <w:tr>
        <w:trPr>
          <w:trHeight w:val="33"/>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Average net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208,678,731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199,457,678</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243,577,514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296,560,393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284,953,811</w:t>
            </w:r>
          </w:p>
        </w:tc>
      </w:tr>
      <w:tr>
        <w:trPr>
          <w:trHeight w:val="270"/>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Ratio of gross operating expenses to average net assets</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incentive fee waiver to average net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Ratio of management fee waiver to average net assets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income tax provisions to average net assets</w:t>
            </w: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(0.50)%</w:t>
            </w:r>
          </w:p>
        </w:tc>
      </w:tr>
      <w:tr>
        <w:trPr>
          <w:trHeight w:val="290"/>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Ratio of net operating expenses to average net assets</w:t>
            </w:r>
            <w:r>
              <w:rPr>
                <w:rFonts w:ascii="Times New Roman" w:cs="Times New Roman" w:eastAsia="Times New Roman" w:hAnsi="Times New Roman"/>
                <w:sz w:val="21"/>
                <w:szCs w:val="21"/>
                <w:color w:val="auto"/>
                <w:vertAlign w:val="superscript"/>
              </w:rPr>
              <w:t>(3)</w:t>
            </w:r>
          </w:p>
        </w:tc>
        <w:tc>
          <w:tcPr>
            <w:tcW w:w="2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37"/>
        </w:trPr>
        <w:tc>
          <w:tcPr>
            <w:tcW w:w="3880" w:type="dxa"/>
            <w:vAlign w:val="bottom"/>
            <w:shd w:val="clear" w:color="auto" w:fill="CCEEFF"/>
          </w:tcPr>
          <w:p>
            <w:pPr>
              <w:ind w:left="40"/>
              <w:spacing w:after="0" w:line="237" w:lineRule="exact"/>
              <w:rPr>
                <w:sz w:val="20"/>
                <w:szCs w:val="20"/>
                <w:color w:val="auto"/>
              </w:rPr>
            </w:pPr>
            <w:r>
              <w:rPr>
                <w:rFonts w:ascii="Times New Roman" w:cs="Times New Roman" w:eastAsia="Times New Roman" w:hAnsi="Times New Roman"/>
                <w:sz w:val="16"/>
                <w:szCs w:val="16"/>
                <w:color w:val="auto"/>
              </w:rPr>
              <w:t>Ratio of net investment loss to average net assets</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(4.48)%</w:t>
            </w:r>
          </w:p>
        </w:tc>
      </w:tr>
      <w:tr>
        <w:trPr>
          <w:trHeight w:val="237"/>
        </w:trPr>
        <w:tc>
          <w:tcPr>
            <w:tcW w:w="3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Portfolio Turnover Ratio</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r>
      <w:tr>
        <w:trPr>
          <w:trHeight w:val="240"/>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-842645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00" w:hanging="492"/>
        <w:spacing w:after="0"/>
        <w:tabs>
          <w:tab w:leader="none" w:pos="5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weighted-average number of shares outstanding for the relevant period.</w:t>
      </w:r>
    </w:p>
    <w:p>
      <w:pPr>
        <w:spacing w:after="0" w:line="5" w:lineRule="exact"/>
        <w:rPr>
          <w:rFonts w:ascii="Times New Roman" w:cs="Times New Roman" w:eastAsia="Times New Roman" w:hAnsi="Times New Roman"/>
          <w:sz w:val="16"/>
          <w:szCs w:val="16"/>
          <w:color w:val="auto"/>
        </w:rPr>
      </w:pPr>
    </w:p>
    <w:p>
      <w:pPr>
        <w:ind w:left="500" w:right="20" w:hanging="492"/>
        <w:spacing w:after="0" w:line="246" w:lineRule="auto"/>
        <w:tabs>
          <w:tab w:leader="none" w:pos="5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jc w:val="both"/>
        <w:ind w:left="500" w:hanging="492"/>
        <w:spacing w:after="0" w:line="252" w:lineRule="auto"/>
        <w:tabs>
          <w:tab w:leader="none" w:pos="5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2018, the Company excluded $352,667 of non-recurring expenses. For the year ended December 31, 2017, the Company did not incur any non-recurring expenses. Because the ratios are calculated for the Company’s common stock taken as a whole, an individual investor’s ratios may vary from these ratios.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229" w:lineRule="exact"/>
        <w:rPr>
          <w:sz w:val="20"/>
          <w:szCs w:val="20"/>
          <w:color w:val="auto"/>
        </w:rPr>
      </w:pPr>
    </w:p>
    <w:p>
      <w:pPr>
        <w:ind w:firstLine="351"/>
        <w:spacing w:after="0" w:line="282"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118" w:right="239" w:bottom="1440" w:gutter="0" w:footer="0" w:header="0"/>
        </w:sectPr>
      </w:pPr>
    </w:p>
    <w:bookmarkStart w:id="122" w:name="page123"/>
    <w:bookmarkEnd w:id="1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8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84"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8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9"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As of December 31, 2018 and December 31, 2017, the Company recorded a deferred tax liability of approximately $0.9 million and $7.6 million, respectively, of which approximately $0.0 million and $6.1 million have been recorded in the event that such gains are recognized by December 31, 2018, and approximately $0.9 million and $1.5 million relate to the difference in the book and tax basis of certain equity investments and net tax operating losses held by the GSVC Holdings.</w:t>
      </w:r>
    </w:p>
    <w:p>
      <w:pPr>
        <w:spacing w:after="0" w:line="18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0"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and the GSVC Holdings identified their major tax jurisdictions as U.S. federal and California and may be subject to the taxing authorities’ examination for the tax years 2015–2018 and 2014–2018, respectively. Further, the Company and the GSVC Holdings accrue all interest and penalties related to uncertain tax positions as incurred. As of December 31, 2018, there were no material interest or penalties incurred related to uncertain tax positions.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118" w:right="239" w:bottom="1440" w:gutter="0" w:footer="0" w:header="0"/>
        </w:sectPr>
      </w:pPr>
    </w:p>
    <w:bookmarkStart w:id="123" w:name="page124"/>
    <w:bookmarkEnd w:id="1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2018 and 2017, the Company reclassified for book purposes amounts arising from permanent book/tax differences related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(13,729,093)</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undistributed net investment loss</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7,254,108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13,729,093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net realized gains from investments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52825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jc w:val="both"/>
        <w:ind w:right="20" w:firstLine="351"/>
        <w:spacing w:after="0" w:line="261" w:lineRule="auto"/>
        <w:rPr>
          <w:sz w:val="20"/>
          <w:szCs w:val="20"/>
          <w:color w:val="auto"/>
        </w:rPr>
      </w:pPr>
      <w:r>
        <w:rPr>
          <w:rFonts w:ascii="Times New Roman" w:cs="Times New Roman" w:eastAsia="Times New Roman" w:hAnsi="Times New Roman"/>
          <w:sz w:val="18"/>
          <w:szCs w:val="18"/>
          <w:color w:val="auto"/>
        </w:rPr>
        <w:t>For income tax purposes, distributions paid to stockholders are reported as ordinary income, return of capital, long term capital gains or a combination thereof. The tax character of distributions paid for the years ended December 31, 2018, 2017, and 2016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Ordinary income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capital gain</w:t>
            </w:r>
          </w:p>
        </w:tc>
        <w:tc>
          <w:tcPr>
            <w:tcW w:w="104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820,753</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of capital</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66,487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on a tax basis</w:t>
            </w:r>
          </w:p>
        </w:tc>
        <w:tc>
          <w:tcPr>
            <w:tcW w:w="104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42710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05" w:lineRule="exact"/>
        <w:rPr>
          <w:sz w:val="20"/>
          <w:szCs w:val="20"/>
          <w:color w:val="auto"/>
        </w:rPr>
      </w:pPr>
    </w:p>
    <w:p>
      <w:pPr>
        <w:jc w:val="both"/>
        <w:ind w:firstLine="351"/>
        <w:spacing w:after="0" w:line="261" w:lineRule="auto"/>
        <w:rPr>
          <w:sz w:val="20"/>
          <w:szCs w:val="20"/>
          <w:color w:val="auto"/>
        </w:rPr>
      </w:pPr>
      <w:r>
        <w:rPr>
          <w:rFonts w:ascii="Times New Roman" w:cs="Times New Roman" w:eastAsia="Times New Roman" w:hAnsi="Times New Roman"/>
          <w:sz w:val="18"/>
          <w:szCs w:val="18"/>
          <w:color w:val="auto"/>
        </w:rPr>
        <w:t>For federal income tax purposes, the tax cost of investments owned at December 31, 2018 and 2017, was $265,015,996 and $301,600,495, respectively. The gross unrealized appreciation and gross unrealized depreciation on investments owned at December 31, 2018 was $90,435,707 and $56,641,871, respectively and on investments owned at December 31, 2017, was $81,756,208 and $62,774,210, respectively. The net unrealized appreciation/(depreciation) on investments owned at December 31, 2018 and 2017, was $33,793,836 and $18,981,998, respectively.</w:t>
      </w:r>
    </w:p>
    <w:p>
      <w:pPr>
        <w:spacing w:after="0" w:line="180"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At December 31, 2018 and 2017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83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net realized losses on investments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(819,590)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appreciation</w:t>
            </w:r>
          </w:p>
        </w:tc>
        <w:tc>
          <w:tcPr>
            <w:tcW w:w="32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32,908,270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11,379,697</w:t>
            </w: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Components of distributable earnings at year end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19,086,430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10,560,107</w:t>
            </w:r>
          </w:p>
        </w:tc>
      </w:tr>
      <w:tr>
        <w:trPr>
          <w:trHeight w:val="20"/>
        </w:trPr>
        <w:tc>
          <w:tcPr>
            <w:tcW w:w="8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52825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52825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5.25% Convertible Senior Notes due 2018</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On September 17, 2013, the Company issued $69.0 million aggregate principal amount of convertible senior notes, which bear interest at a fixed rate of 5.25% per year, payable semi-annually in arrears on March 15 and September 15 of each year. The 5.25% Convertible Senior Notes mature on September 15, 2018 (the "5.25% Convertible Senior Notes due 2018"), unless previously repurchased or converted in accordance with their terms. The Company does not have the right to redeem the 5.25% Convertible Senior Notes due 2018 prior to maturity. The indenture governing the 5.25% Convertible Senior Notes due 2018 contains customary financial reporting requirements and contains certain restrictions on mergers, consolidations, and asset sales. The indenture also contains certain events of default, the occurrence of which may lead to the 5.25% Convertible Senior Notes due 2018 being due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118" w:right="239" w:bottom="1440" w:gutter="0" w:footer="0" w:header="0"/>
        </w:sectPr>
      </w:pPr>
    </w:p>
    <w:bookmarkStart w:id="124" w:name="page125"/>
    <w:bookmarkEnd w:id="1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payable before their maturity or immediately. The 5.25% Convertible Senior Notes due 2018 are convertible into shares of the Company’s common stock based on a conversion rate of 83.3596 shares of the Company’s common stock per $1,000 of principal amount of the 5.25% Convertible Senior Notes due 2018, which is equivalent to a conversion price of approximately $12.00 per share of common stock.</w:t>
      </w:r>
    </w:p>
    <w:p>
      <w:pPr>
        <w:spacing w:after="0" w:line="176"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On December 15, 2017, the Company announced the commencement of a cash tender offer (the “Tender Offer”) to purchase any and all of its $69.0 million aggregate principal amount of outstanding 5.25% Convertible Senior Notes due 2018. As of the expiration of the Tender Offer on January 17, 2018, approximately $4.8 million aggregate principal amount of the 5.25% Convertible Senior Notes due 2018, representing approximately 7.0% of the outstanding 5.25% Convertible Senior Notes due 2018, were validly tendered and not validly withdrawn pursuant to the Tender Offer. On March 27, 2018, the Company repurchased an additional $14.2 million aggregate principal amount of the outstanding 5.25% Convertible Senior Notes due 2018.</w:t>
      </w:r>
    </w:p>
    <w:p>
      <w:pPr>
        <w:spacing w:after="0" w:line="18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5.25% Convertible Senior Notes due 2018 matured on September 15, 2018 (the “Maturity Date”). Pursuant to the terms of the 5.25% Convertible Senior Notes due 2018 and the indenture related thereto, we repaid the remaining outstanding aggregate principal amount of the 5.25% Convertible Senior Notes due 2018, including accrued but unpaid interest, on the Maturity Date and the 5.25% Convertible Senior Notes were no longer outstanding as of such date.</w:t>
      </w:r>
    </w:p>
    <w:p>
      <w:pPr>
        <w:spacing w:after="0" w:line="180"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from the aggregate principal amount of 5.25% Convertible Senior Notes due 2018 to the balance shown on the Consolidated Statements of Assets and Liabilities.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69"/>
        </w:trPr>
        <w:tc>
          <w:tcPr>
            <w:tcW w:w="832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Aggregate principal amount of 5.25% Convertible Senior Notes due 2018</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49,982,000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69,000,000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embedded derivative discount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(111,143)</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deduction of deferred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(506,308)</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repayment upon maturity (September 15, 2018)</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(49,849,273)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5.25% Convertible Senior Notes due 2018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68,382,549</w:t>
            </w:r>
          </w:p>
        </w:tc>
      </w:tr>
      <w:tr>
        <w:trPr>
          <w:trHeight w:val="211"/>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-1021080</wp:posOffset>
            </wp:positionV>
            <wp:extent cx="52825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ind w:left="660" w:right="20" w:hanging="652"/>
        <w:spacing w:after="0" w:line="259"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$49,982,000 represents the aggregate principal amount of 5.25% Convertible Senior Notes due 2018 following the Tender Offer and note repurchase as described above.</w:t>
      </w:r>
    </w:p>
    <w:p>
      <w:pPr>
        <w:spacing w:after="0" w:line="182"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As of December 31, 2017, the principal amount of the 5.25% Convertible Senior Notes due 2018 exceeded the value of the underlying shares multiplied by the per share closing price of the Company’s common stock.</w:t>
      </w:r>
    </w:p>
    <w:p>
      <w:pPr>
        <w:spacing w:after="0" w:line="162"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The 5.25% Convertible Senior Notes due 2018 were the Company’s senior, unsecured obligations and ranked senior in right of payment to any future indebtedness that was expressly subordinated in right of payment to the 5.25% Convertible Senior Notes due 2018, equal in right of payment to the 4.75% Convertible Senior Notes due 2023 (defined below) and any future unsecured indebtedness that was not so subordinated to the 5.25% Convertible Senior Notes due 2018, effectively junior to any existing and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w:t>
      </w:r>
    </w:p>
    <w:p>
      <w:pPr>
        <w:spacing w:after="0" w:line="188"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5.25% Convertible Senior Notes due 2018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5.25% Convertible Senior Notes due 2018 being converted, the cash proceeds from the sale by the escrow agent of the portion of the U.S. Treasury strips in the escrow account that were remaining with respect to any of the first six interest payments that had not been made on the 5.25% Convertible Senior Notes due 2018 being converted. Under FASB ASC 815-10-15-74(a), the interest make-whole payment was considered an embedded derivative and was separated from the host contract, the 5.25% Convertible Senior Notes due 2018, and carried at fair value. The interest make-whole payment provision expired on September 15, 2016 rendering the embedded derivative with no value; however the original value of the embedded derivative of $0.7 million continued to be amortized over the life of the 5.25% Convertible Senior Notes due 2018.</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118" w:right="239" w:bottom="1440" w:gutter="0" w:footer="0" w:header="0"/>
        </w:sectPr>
      </w:pPr>
    </w:p>
    <w:bookmarkStart w:id="125" w:name="page126"/>
    <w:bookmarkEnd w:id="1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initial conversion rate for the 4.75% Convertible Senior Notes due 2023 is 93.2836 shares of the Company’s common stock for each $1,000 principal amount of 4.75% Convertible Senior Notes due 2023, which represents an initial conversion price of approximately $10.72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89" w:lineRule="exact"/>
        <w:rPr>
          <w:sz w:val="20"/>
          <w:szCs w:val="20"/>
          <w:color w:val="auto"/>
        </w:rPr>
      </w:pPr>
    </w:p>
    <w:p>
      <w:pPr>
        <w:jc w:val="both"/>
        <w:ind w:right="20" w:firstLine="351"/>
        <w:spacing w:after="0" w:line="266" w:lineRule="auto"/>
        <w:rPr>
          <w:sz w:val="20"/>
          <w:szCs w:val="20"/>
          <w:color w:val="auto"/>
        </w:rPr>
      </w:pPr>
      <w:r>
        <w:rPr>
          <w:rFonts w:ascii="Times New Roman" w:cs="Times New Roman" w:eastAsia="Times New Roman" w:hAnsi="Times New Roman"/>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176"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from the aggregate principal amount of 4.75% Convertible Senior Notes due 2023 to the balance shown on the Consolidated Statements of Assets and Liabilities.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Aggregate principal amount of 4.75% Convertible Senior Notes due 2023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 deduction of deferred debt issuance costs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4.75% Convertible Senior Notes due 2023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38,434,511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52825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78"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As of December 31, 2018 the principal amount of the 4.75% Convertible Senior Notes due 2023 exceeded the value of the underlying shares multiplied by the per share closing price of the Company’s common stock.</w:t>
      </w:r>
    </w:p>
    <w:p>
      <w:pPr>
        <w:spacing w:after="0" w:line="162"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including, without limitation, the 5.25% Convertible Senior Notes due 2018, effectively junior to any future secured indebtedness to the extent of the value of the assets securing such indebtedness, including, without limitation, any borrowings under the Credit Facility (defined below), and structurally junior to all future indebtedness (including trade payables) incurred by the Company’s subsidiaries. For the period from the initial issuance of the 4.75% Convertible Senior Notes due 2023 to, and including, March 27, 2019, the Company has agreed not to incur any indebtedness other than certain permitted debt, including, without limitation, up to $12.0 million in borrowings under the Credit Facility.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118" w:right="239" w:bottom="1440" w:gutter="0" w:footer="0" w:header="0"/>
        </w:sectPr>
      </w:pPr>
    </w:p>
    <w:bookmarkStart w:id="126" w:name="page127"/>
    <w:bookmarkEnd w:id="1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4.75% Convertible Senior Notes due 2023, the Company is required under the terms of the Credit Facility to deposit any proceeds from the 4.75% Convertible Senior Notes due 2023 offering into an account at Western Alliance Bank and is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are repaid in full.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Western Alliance Bank Credit Facility</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Company entered into a Loan and Security Agreement, effective May 31, 2017 and as amended on March 22, 2018 (the “Loan Agreement”), with Western Alliance Bank, pursuant to which Western Alliance Bank agreed to provide the Company with a $12.0 million senior secured revolving credit facility (the “Credit Facility”).</w:t>
      </w:r>
    </w:p>
    <w:p>
      <w:pPr>
        <w:spacing w:after="0" w:line="176"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Credit Facility, among other things, matures on May 31, 2019 and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176"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Under the Loan Agreement, the Company has made certain customary representations and warranties and is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$111.0 million in the aggregate through maturity of the 5.25% Convertible Senior Notes due 2018 on September 15, 2018, and $70.0 million in the aggregate thereafter),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business development company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 As of December 31, 2018, the Company was in compliance with all covenants of the Credit Facility.</w:t>
      </w:r>
    </w:p>
    <w:p>
      <w:pPr>
        <w:spacing w:after="0" w:line="186"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Credit Facility is secured by substantially all of the Company’s property and assets. As of December 31, 2018, the Company had no borrowings outstanding under the Credit Facility.</w:t>
      </w:r>
    </w:p>
    <w:p>
      <w:pPr>
        <w:spacing w:after="0" w:line="162"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the Company had average borrowings outstanding under the Credit Facility of $0. For the year ended December 31, 2017 the Company had average borrowings outstanding of $460,274.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Activity</w:t>
      </w:r>
    </w:p>
    <w:p>
      <w:pPr>
        <w:spacing w:after="0" w:line="229"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From January 1, 2019 through April 17, 2019, the Company closed on investment purchases of $10,000,000 (not including capitalized transaction costs) as shown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Gross Payments</w:t>
            </w: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Neutron Holdings, Inc. (d/b/a Lime)</w:t>
            </w:r>
          </w:p>
        </w:tc>
        <w:tc>
          <w:tcPr>
            <w:tcW w:w="1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Preferred shares, Series D</w:t>
            </w:r>
          </w:p>
        </w:tc>
        <w:tc>
          <w:tcPr>
            <w:tcW w:w="1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1/25/2019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57"/>
        </w:trPr>
        <w:tc>
          <w:tcPr>
            <w:tcW w:w="40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2"/>
                <w:szCs w:val="22"/>
                <w:color w:val="auto"/>
              </w:rPr>
            </w:pPr>
          </w:p>
        </w:tc>
        <w:tc>
          <w:tcPr>
            <w:tcW w:w="4120" w:type="dxa"/>
            <w:vAlign w:val="bottom"/>
            <w:tcBorders>
              <w:top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vMerge w:val="restart"/>
          </w:tcPr>
          <w:p>
            <w:pPr>
              <w:jc w:val="right"/>
              <w:ind w:right="2316"/>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7" w:name="page128"/>
    <w:bookmarkEnd w:id="1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From January 1, 2019 through April 17, 2019, the Company sold investments of $16,550,240, net of transaction costs, as shown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9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Transaction Date</w:t>
            </w:r>
          </w:p>
        </w:tc>
        <w:tc>
          <w:tcPr>
            <w:tcW w:w="120" w:type="dxa"/>
            <w:vAlign w:val="bottom"/>
            <w:vMerge w:val="restart"/>
          </w:tcPr>
          <w:p>
            <w:pPr>
              <w:spacing w:after="0"/>
              <w:rPr>
                <w:sz w:val="14"/>
                <w:szCs w:val="14"/>
                <w:color w:val="auto"/>
              </w:rPr>
            </w:pPr>
          </w:p>
        </w:tc>
        <w:tc>
          <w:tcPr>
            <w:tcW w:w="160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 Sold</w:t>
            </w:r>
          </w:p>
        </w:tc>
        <w:tc>
          <w:tcPr>
            <w:tcW w:w="140" w:type="dxa"/>
            <w:vAlign w:val="bottom"/>
            <w:vMerge w:val="restart"/>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Net Share Price</w:t>
            </w:r>
          </w:p>
        </w:tc>
        <w:tc>
          <w:tcPr>
            <w:tcW w:w="240" w:type="dxa"/>
            <w:vAlign w:val="bottom"/>
          </w:tcPr>
          <w:p>
            <w:pPr>
              <w:spacing w:after="0"/>
              <w:rPr>
                <w:sz w:val="14"/>
                <w:szCs w:val="14"/>
                <w:color w:val="auto"/>
              </w:rPr>
            </w:pPr>
          </w:p>
        </w:tc>
        <w:tc>
          <w:tcPr>
            <w:tcW w:w="134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00" w:type="dxa"/>
            <w:vAlign w:val="bottom"/>
            <w:vMerge w:val="restart"/>
          </w:tcPr>
          <w:p>
            <w:pPr>
              <w:spacing w:after="0"/>
              <w:rPr>
                <w:sz w:val="14"/>
                <w:szCs w:val="14"/>
                <w:color w:val="auto"/>
              </w:rPr>
            </w:pPr>
          </w:p>
        </w:tc>
        <w:tc>
          <w:tcPr>
            <w:tcW w:w="15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Realized Gain/(Loss)</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141"/>
        </w:trPr>
        <w:tc>
          <w:tcPr>
            <w:tcW w:w="2640" w:type="dxa"/>
            <w:vAlign w:val="bottom"/>
            <w:tcBorders>
              <w:bottom w:val="single" w:sz="8" w:color="auto"/>
            </w:tcBorders>
            <w:vMerge w:val="continue"/>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9"/>
                <w:szCs w:val="9"/>
                <w:b w:val="1"/>
                <w:bCs w:val="1"/>
                <w:color w:val="auto"/>
              </w:rPr>
              <w:t>(1)</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Declara, Inc.</w:t>
            </w:r>
            <w:r>
              <w:rPr>
                <w:rFonts w:ascii="Times New Roman" w:cs="Times New Roman" w:eastAsia="Times New Roman" w:hAnsi="Times New Roman"/>
                <w:sz w:val="21"/>
                <w:szCs w:val="21"/>
                <w:color w:val="auto"/>
                <w:vertAlign w:val="superscript"/>
              </w:rPr>
              <w:t>(3)</w:t>
            </w:r>
          </w:p>
        </w:tc>
        <w:tc>
          <w:tcPr>
            <w:tcW w:w="1960" w:type="dxa"/>
            <w:vAlign w:val="bottom"/>
            <w:shd w:val="clear" w:color="auto" w:fill="CCEEFF"/>
          </w:tcPr>
          <w:p>
            <w:pPr>
              <w:jc w:val="center"/>
              <w:ind w:left="740"/>
              <w:spacing w:after="0"/>
              <w:rPr>
                <w:sz w:val="20"/>
                <w:szCs w:val="20"/>
                <w:color w:val="auto"/>
              </w:rPr>
            </w:pPr>
            <w:r>
              <w:rPr>
                <w:rFonts w:ascii="Times New Roman" w:cs="Times New Roman" w:eastAsia="Times New Roman" w:hAnsi="Times New Roman"/>
                <w:sz w:val="16"/>
                <w:szCs w:val="16"/>
                <w:color w:val="auto"/>
              </w:rPr>
              <w:t>3/11/2019</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10,716,390</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(9,999,999)</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Declara, Inc.</w:t>
            </w:r>
            <w:r>
              <w:rPr>
                <w:rFonts w:ascii="Times New Roman" w:cs="Times New Roman" w:eastAsia="Times New Roman" w:hAnsi="Times New Roman"/>
                <w:sz w:val="21"/>
                <w:szCs w:val="21"/>
                <w:color w:val="auto"/>
                <w:vertAlign w:val="superscript"/>
              </w:rPr>
              <w:t>(3)</w:t>
            </w:r>
          </w:p>
        </w:tc>
        <w:tc>
          <w:tcPr>
            <w:tcW w:w="196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rPr>
              <w:t>3/11/2019</w:t>
            </w:r>
          </w:p>
        </w:tc>
        <w:tc>
          <w:tcPr>
            <w:tcW w:w="120" w:type="dxa"/>
            <w:vAlign w:val="bottom"/>
          </w:tcPr>
          <w:p>
            <w:pPr>
              <w:spacing w:after="0"/>
              <w:rPr>
                <w:sz w:val="23"/>
                <w:szCs w:val="23"/>
                <w:color w:val="auto"/>
              </w:rPr>
            </w:pPr>
          </w:p>
        </w:tc>
        <w:tc>
          <w:tcPr>
            <w:tcW w:w="17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N/A</w:t>
            </w:r>
          </w:p>
        </w:tc>
        <w:tc>
          <w:tcPr>
            <w:tcW w:w="420" w:type="dxa"/>
            <w:vAlign w:val="bottom"/>
          </w:tcPr>
          <w:p>
            <w:pPr>
              <w:spacing w:after="0"/>
              <w:rPr>
                <w:sz w:val="23"/>
                <w:szCs w:val="23"/>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(2,334,152)</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1960" w:type="dxa"/>
            <w:vAlign w:val="bottom"/>
            <w:tcBorders>
              <w:bottom w:val="single" w:sz="8" w:color="CCEEFF"/>
            </w:tcBorders>
            <w:shd w:val="clear" w:color="auto" w:fill="CCEEFF"/>
          </w:tcPr>
          <w:p>
            <w:pPr>
              <w:jc w:val="center"/>
              <w:ind w:left="740"/>
              <w:spacing w:after="0"/>
              <w:rPr>
                <w:sz w:val="20"/>
                <w:szCs w:val="20"/>
                <w:color w:val="auto"/>
              </w:rPr>
            </w:pPr>
            <w:r>
              <w:rPr>
                <w:rFonts w:ascii="Times New Roman" w:cs="Times New Roman" w:eastAsia="Times New Roman" w:hAnsi="Times New Roman"/>
                <w:sz w:val="16"/>
                <w:szCs w:val="16"/>
                <w:color w:val="auto"/>
              </w:rPr>
              <w:t>3/21/2019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35,000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143.06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5,007,136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3,520,353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196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rPr>
              <w:t>3/25/2019</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25,000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3,505,504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2,443,004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1960" w:type="dxa"/>
            <w:vAlign w:val="bottom"/>
            <w:tcBorders>
              <w:bottom w:val="single" w:sz="8" w:color="CCEEFF"/>
            </w:tcBorders>
            <w:shd w:val="clear" w:color="auto" w:fill="CCEEFF"/>
          </w:tcPr>
          <w:p>
            <w:pPr>
              <w:jc w:val="center"/>
              <w:ind w:left="740"/>
              <w:spacing w:after="0"/>
              <w:rPr>
                <w:sz w:val="20"/>
                <w:szCs w:val="20"/>
                <w:color w:val="auto"/>
              </w:rPr>
            </w:pPr>
            <w:r>
              <w:rPr>
                <w:rFonts w:ascii="Times New Roman" w:cs="Times New Roman" w:eastAsia="Times New Roman" w:hAnsi="Times New Roman"/>
                <w:sz w:val="16"/>
                <w:szCs w:val="16"/>
                <w:color w:val="auto"/>
              </w:rPr>
              <w:t>3/27/2019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134.13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1,341,283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916,283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196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rPr>
              <w:t>3/28/2019</w:t>
            </w:r>
          </w:p>
        </w:tc>
        <w:tc>
          <w:tcPr>
            <w:tcW w:w="120" w:type="dxa"/>
            <w:vAlign w:val="bottom"/>
          </w:tcPr>
          <w:p>
            <w:pPr>
              <w:spacing w:after="0"/>
              <w:rPr>
                <w:sz w:val="20"/>
                <w:szCs w:val="20"/>
                <w:color w:val="auto"/>
              </w:rPr>
            </w:pPr>
          </w:p>
        </w:tc>
        <w:tc>
          <w:tcPr>
            <w:tcW w:w="1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15,000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134.49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2,017,423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1,379,923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Spotify Technology S.A.</w:t>
            </w:r>
          </w:p>
        </w:tc>
        <w:tc>
          <w:tcPr>
            <w:tcW w:w="1960" w:type="dxa"/>
            <w:vAlign w:val="bottom"/>
            <w:tcBorders>
              <w:bottom w:val="single" w:sz="8" w:color="CCEEFF"/>
            </w:tcBorders>
            <w:shd w:val="clear" w:color="auto" w:fill="CCEEFF"/>
          </w:tcPr>
          <w:p>
            <w:pPr>
              <w:jc w:val="center"/>
              <w:ind w:left="740"/>
              <w:spacing w:after="0"/>
              <w:rPr>
                <w:sz w:val="20"/>
                <w:szCs w:val="20"/>
                <w:color w:val="auto"/>
              </w:rPr>
            </w:pPr>
            <w:r>
              <w:rPr>
                <w:rFonts w:ascii="Times New Roman" w:cs="Times New Roman" w:eastAsia="Times New Roman" w:hAnsi="Times New Roman"/>
                <w:sz w:val="16"/>
                <w:szCs w:val="16"/>
                <w:color w:val="auto"/>
              </w:rPr>
              <w:t>4/2/2019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26,664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3,815,041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2,681,821</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Spotify Technology S.A.</w:t>
            </w:r>
            <w:r>
              <w:rPr>
                <w:rFonts w:ascii="Times New Roman" w:cs="Times New Roman" w:eastAsia="Times New Roman" w:hAnsi="Times New Roman"/>
                <w:sz w:val="21"/>
                <w:szCs w:val="21"/>
                <w:color w:val="auto"/>
                <w:vertAlign w:val="superscript"/>
              </w:rPr>
              <w:t>(4)</w:t>
            </w:r>
          </w:p>
        </w:tc>
        <w:tc>
          <w:tcPr>
            <w:tcW w:w="1960" w:type="dxa"/>
            <w:vAlign w:val="bottom"/>
            <w:tcBorders>
              <w:bottom w:val="single" w:sz="8" w:color="CCEEFF"/>
            </w:tcBorders>
          </w:tcPr>
          <w:p>
            <w:pPr>
              <w:jc w:val="center"/>
              <w:ind w:left="740"/>
              <w:spacing w:after="0"/>
              <w:rPr>
                <w:sz w:val="20"/>
                <w:szCs w:val="20"/>
                <w:color w:val="auto"/>
              </w:rPr>
            </w:pPr>
            <w:r>
              <w:rPr>
                <w:rFonts w:ascii="Times New Roman" w:cs="Times New Roman" w:eastAsia="Times New Roman" w:hAnsi="Times New Roman"/>
                <w:sz w:val="16"/>
                <w:szCs w:val="16"/>
                <w:color w:val="auto"/>
              </w:rPr>
              <w:t>4/3/2019</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6,016</w:t>
            </w:r>
          </w:p>
        </w:tc>
        <w:tc>
          <w:tcPr>
            <w:tcW w:w="14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143.59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863,853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608,173</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117,680</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16,550,240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11,549,557</w:t>
            </w: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16,550,240</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(784,594)</w:t>
            </w:r>
          </w:p>
        </w:tc>
        <w:tc>
          <w:tcPr>
            <w:tcW w:w="0" w:type="dxa"/>
            <w:vAlign w:val="bottom"/>
          </w:tcPr>
          <w:p>
            <w:pPr>
              <w:spacing w:after="0"/>
              <w:rPr>
                <w:sz w:val="1"/>
                <w:szCs w:val="1"/>
                <w:color w:val="auto"/>
              </w:rPr>
            </w:pPr>
          </w:p>
        </w:tc>
      </w:tr>
      <w:tr>
        <w:trPr>
          <w:trHeight w:val="33"/>
        </w:trPr>
        <w:tc>
          <w:tcPr>
            <w:tcW w:w="2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__________________</w:t>
            </w: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40" w:type="dxa"/>
            <w:vAlign w:val="bottom"/>
            <w:vMerge w:val="continu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640" w:type="dxa"/>
            <w:vAlign w:val="bottom"/>
            <w:vMerge w:val="continue"/>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net share price is the net share price realized after deducting all commissions and fees on the sale(s), if applicable.</w:t>
      </w:r>
    </w:p>
    <w:p>
      <w:pPr>
        <w:spacing w:after="0" w:line="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Realized gain/(loss) does not include amounts held in escrow or any realized gain/(loss) incurred on the maturity of our U.S. Treasury investments.</w:t>
      </w:r>
    </w:p>
    <w:p>
      <w:pPr>
        <w:spacing w:after="0" w:line="5" w:lineRule="exact"/>
        <w:rPr>
          <w:rFonts w:ascii="Times New Roman" w:cs="Times New Roman" w:eastAsia="Times New Roman" w:hAnsi="Times New Roman"/>
          <w:sz w:val="16"/>
          <w:szCs w:val="16"/>
          <w:color w:val="auto"/>
        </w:rPr>
      </w:pPr>
    </w:p>
    <w:p>
      <w:pPr>
        <w:ind w:left="500" w:hanging="492"/>
        <w:spacing w:after="0" w:line="246" w:lineRule="auto"/>
        <w:tabs>
          <w:tab w:leader="none" w:pos="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w:t>
      </w:r>
    </w:p>
    <w:p>
      <w:pPr>
        <w:ind w:left="500" w:hanging="492"/>
        <w:spacing w:after="0"/>
        <w:tabs>
          <w:tab w:leader="none" w:pos="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April 17, 2019, we held 117,680 remaining shares of Spotify Technology S.A..</w:t>
      </w:r>
    </w:p>
    <w:p>
      <w:pPr>
        <w:spacing w:after="0" w:line="19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On March 29, 2019, Lyft, Inc. priced its initial public offering for 32,500,000 Class A common shares at a price of $72.00 per share. The Company's 176,266 Series D preferred shares and 128,563 Series E preferred shares of Lyft, Inc. automatically converted to Class A common shares immediately prior to the close of the offering and are subject to a 180-day lock-up provision.</w:t>
      </w:r>
    </w:p>
    <w:p>
      <w:pPr>
        <w:spacing w:after="0" w:line="176"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Internalization of Company’s Operating Structure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March 12, 2019 (the “Effective Date”), our Board of Directors approved internalizing our operating structure (our “Internalization”) and we began operating as an internally managed non-diversified closed-end management investment company that has elected to be regulated as a BDC under the 1940 Act, as of the Effective Date, and the following occurred.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accounting implications and related controls associated with the Internalization are currently being analyzed and updated for fiscal year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Investment Advisory 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the Investment Advisory Agreement was terminated by mutual agreement of GSV Asset Management and us in connection with our Internalization.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118" w:right="239" w:bottom="1440" w:gutter="0" w:footer="0" w:header="0"/>
        </w:sectPr>
      </w:pPr>
    </w:p>
    <w:bookmarkStart w:id="128" w:name="page129"/>
    <w:bookmarkEnd w:id="1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in Part I, Item 1A of this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Administration Agreement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and effective March 12, 2019, the Administration Agreement was terminated by mutual agreement of GSV Capital Service Company and us in connection with our Internalization.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There were $1,702,047, $1,874,839, and $2,545,316 in such costs incurred under the Administration Agreement for the years ended December 31, 2018, 2017, and 2016, respectively. See “Administration Agreement” in Part I, Item 1A of this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Director and Reduction of Number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118" w:right="239" w:bottom="1440" w:gutter="0" w:footer="0" w:header="0"/>
        </w:sectPr>
      </w:pPr>
    </w:p>
    <w:bookmarkStart w:id="129" w:name="page130"/>
    <w:bookmarkEnd w:id="1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Trademark License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Filing of 2018 Annual Report on Form 10-K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reported, the Company was unable to file this Annual Report on Form 10-K within the prescribed time period without unreasonable effort or expense because the Company’s independent directors retained independent counsel to conduct a review of certain operational and administrative activities (the “Internal Review”). The Internal Review is now complete and no material issues were found. The results of the Internal Review did not change the Company’s financial statements or results of operations that were reported in its earnings release on March 14,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Financial Officer</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17, 2019, our Board of Directors appointed Allison Green to serve as our Chief Financial Officer, effective as of such date. Ms. Green currently serves, and will continue to serve, as our Treasurer, Controller and Secretary, and will no longer serve as our Senior Vice President of Finance as of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From January 1, 2019 through April 17, 2019, the Company did not repurchase any additional shares under the Share Repurchase Program. Please refer to "Note 5—Share Repurchase Program, Equity Offerings and Related Expenses” for additional information on the Share Repurchase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118" w:right="239" w:bottom="1440" w:gutter="0" w:footer="0" w:header="0"/>
        </w:sectPr>
      </w:pPr>
    </w:p>
    <w:bookmarkStart w:id="130" w:name="page131"/>
    <w:bookmarkEnd w:id="1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12—SELECTED QUARTERLY FINANCIAL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6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35"/>
        </w:trPr>
        <w:tc>
          <w:tcPr>
            <w:tcW w:w="40" w:type="dxa"/>
            <w:vAlign w:val="bottom"/>
          </w:tcPr>
          <w:p>
            <w:pPr>
              <w:spacing w:after="0"/>
              <w:rPr>
                <w:sz w:val="20"/>
                <w:szCs w:val="20"/>
                <w:color w:val="auto"/>
              </w:rPr>
            </w:pPr>
          </w:p>
        </w:tc>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 Income</w:t>
            </w:r>
          </w:p>
        </w:tc>
        <w:tc>
          <w:tcPr>
            <w:tcW w:w="2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530,076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246,352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592,073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249,335</w:t>
            </w:r>
          </w:p>
        </w:tc>
      </w:tr>
      <w:tr>
        <w:trPr>
          <w:trHeight w:val="237"/>
        </w:trPr>
        <w:tc>
          <w:tcPr>
            <w:tcW w:w="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(1,152,869)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4,556,625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6,344,272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5,396,806</w:t>
            </w: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Management Fee Waiver</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(402,074)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(154,944)</w:t>
            </w:r>
          </w:p>
        </w:tc>
      </w:tr>
      <w:tr>
        <w:trPr>
          <w:trHeight w:val="224"/>
        </w:trPr>
        <w:tc>
          <w:tcPr>
            <w:tcW w:w="40" w:type="dxa"/>
            <w:vAlign w:val="bottom"/>
          </w:tcPr>
          <w:p>
            <w:pPr>
              <w:spacing w:after="0"/>
              <w:rPr>
                <w:sz w:val="19"/>
                <w:szCs w:val="19"/>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Incentive Fee Waiver</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r>
      <w:tr>
        <w:trPr>
          <w:trHeight w:val="33"/>
        </w:trPr>
        <w:tc>
          <w:tcPr>
            <w:tcW w:w="4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Gain/(Loss)</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1,682,945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(3,908,199)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(5,416,796)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7,473</w:t>
            </w:r>
          </w:p>
        </w:tc>
      </w:tr>
      <w:tr>
        <w:trPr>
          <w:trHeight w:val="237"/>
        </w:trPr>
        <w:tc>
          <w:tcPr>
            <w:tcW w:w="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99,544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(10,119,771)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3,363,333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(776,725)</w:t>
            </w: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(397,846)</w:t>
            </w:r>
          </w:p>
        </w:tc>
      </w:tr>
      <w:tr>
        <w:trPr>
          <w:trHeight w:val="237"/>
        </w:trPr>
        <w:tc>
          <w:tcPr>
            <w:tcW w:w="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(22,507,314)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14,142,375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9,872,595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8,133,394</w:t>
            </w: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5,491,460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214,404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1,010,871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40" w:type="dxa"/>
            <w:vAlign w:val="bottom"/>
          </w:tcPr>
          <w:p>
            <w:pPr>
              <w:spacing w:after="0"/>
              <w:rPr>
                <w:sz w:val="24"/>
                <w:szCs w:val="24"/>
                <w:color w:val="auto"/>
              </w:rPr>
            </w:pPr>
          </w:p>
        </w:tc>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(15,233,365)</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328,809</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8,830,003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6,966,296</w:t>
            </w:r>
          </w:p>
        </w:tc>
      </w:tr>
      <w:tr>
        <w:trPr>
          <w:trHeight w:val="237"/>
        </w:trPr>
        <w:tc>
          <w:tcPr>
            <w:tcW w:w="4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Increase/(Decrease) in Net Assets from Operations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0.33</w:t>
            </w: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0.30</w:t>
            </w:r>
          </w:p>
        </w:tc>
      </w:tr>
      <w:tr>
        <w:trPr>
          <w:trHeight w:val="237"/>
        </w:trPr>
        <w:tc>
          <w:tcPr>
            <w:tcW w:w="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19,904,807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20,462,626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20,968,850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21,150,662</w:t>
            </w: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19,904,807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20,462,626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28,866,674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26,713,656</w:t>
            </w:r>
          </w:p>
        </w:tc>
      </w:tr>
      <w:tr>
        <w:trPr>
          <w:trHeight w:val="549"/>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23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Investment Income/(Reversal of Investment Income)</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174,912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370,593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338,459</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3,712,391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6,975,539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6,423,452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5,328,473</w:t>
            </w: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Management Fee Waiver</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(181,906)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(169,898)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(181,802)</w:t>
            </w:r>
          </w:p>
        </w:tc>
      </w:tr>
      <w:tr>
        <w:trPr>
          <w:trHeight w:val="217"/>
        </w:trPr>
        <w:tc>
          <w:tcPr>
            <w:tcW w:w="516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Net Investment Loss</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(3,561,681)</w:t>
            </w: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(6,625,961)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(5,882,961)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(4,808,212)</w:t>
            </w:r>
          </w:p>
        </w:tc>
      </w:tr>
      <w:tr>
        <w:trPr>
          <w:trHeight w:val="33"/>
        </w:trPr>
        <w:tc>
          <w:tcPr>
            <w:tcW w:w="5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25,241,064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1,033,577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(671,492)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(24,689,167)</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Change in Unrealized Appreciation/(Depreciation) of Investments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(26,893,780)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15,636,683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12,752,528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33,280,265</w:t>
            </w:r>
          </w:p>
        </w:tc>
      </w:tr>
      <w:tr>
        <w:trPr>
          <w:trHeight w:val="33"/>
        </w:trPr>
        <w:tc>
          <w:tcPr>
            <w:tcW w:w="5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2,730,365</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26,705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84"/>
        </w:trPr>
        <w:tc>
          <w:tcPr>
            <w:tcW w:w="5160" w:type="dxa"/>
            <w:vAlign w:val="bottom"/>
            <w:tcBorders>
              <w:top w:val="single" w:sz="8" w:color="CCEEFF"/>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Net Increase/(Decrease) in Net Assets Resulting from Operations</w:t>
            </w:r>
          </w:p>
        </w:tc>
        <w:tc>
          <w:tcPr>
            <w:tcW w:w="2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(2,484,032)</w:t>
            </w: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10,071,004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6,198,075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3,782,886</w:t>
            </w: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Increase/(Decrease) in Net Assets from Operations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0.17</w:t>
            </w:r>
          </w:p>
        </w:tc>
      </w:tr>
      <w:tr>
        <w:trPr>
          <w:trHeight w:val="33"/>
        </w:trPr>
        <w:tc>
          <w:tcPr>
            <w:tcW w:w="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0.17</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21,343,746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22,000,571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22,181,003</w:t>
            </w:r>
          </w:p>
        </w:tc>
      </w:tr>
      <w:tr>
        <w:trPr>
          <w:trHeight w:val="33"/>
        </w:trPr>
        <w:tc>
          <w:tcPr>
            <w:tcW w:w="5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21,343,746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27,752,386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27,932,818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22,181,003</w:t>
            </w:r>
          </w:p>
        </w:tc>
      </w:tr>
      <w:tr>
        <w:trPr>
          <w:trHeight w:val="33"/>
        </w:trPr>
        <w:tc>
          <w:tcPr>
            <w:tcW w:w="4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-5384800</wp:posOffset>
            </wp:positionV>
            <wp:extent cx="32499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-2254885</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00"/>
          </w:cols>
          <w:pgMar w:left="240" w:top="118" w:right="259" w:bottom="1440" w:gutter="0" w:footer="0" w:header="0"/>
        </w:sectPr>
      </w:pPr>
    </w:p>
    <w:bookmarkStart w:id="131" w:name="page132"/>
    <w:bookmarkEnd w:id="1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GSV CAPITAL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Investment Income/(Reversal of Investment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601,102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102,652</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(3,262,224)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4,308,303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1,397,922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(444,355)</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Income/(Loss)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3,863,326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(4,221,655)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(1,452,041)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547,007</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Realized Gain/(Loss) on Investments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2,658,715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1,104,361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(6,075,070)</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Unrealized Depreciation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(36,597,249)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(15,933,886)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(19,421,001)</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Benefit from Taxes on Unrealized Depreciation of Investments</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1,565,474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551,310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Net Assets Resulting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(31,490,926)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(16,281,566)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(24,949,064)</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Net Decrease in Net Assets from Operations per Common Share:</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Outstanding–Basic</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22,181,003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22,181,003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22,181,003</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Outstanding–Diluted</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22,181,003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22,181,003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22,181,003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22,181,003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-1033145</wp:posOffset>
            </wp:positionV>
            <wp:extent cx="32588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-1719580</wp:posOffset>
            </wp:positionV>
            <wp:extent cx="32588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-2070735</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13—SUPPLEMENTAL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Financial Information of Unconsolidated Subsidiaries</w:t>
      </w:r>
    </w:p>
    <w:p>
      <w:pPr>
        <w:spacing w:after="0" w:line="22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December 31, 2018,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Sheet Data as of:</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7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9,343,138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9,539,621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Noncurrent assets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6,411,138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4,152,428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21,748,571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18,898,899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Noncurrent liabilities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7,685,923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7,975,651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2"/>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Statement Data for the Year Ended:</w:t>
            </w:r>
          </w:p>
        </w:tc>
        <w:tc>
          <w:tcPr>
            <w:tcW w:w="1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21,143,859</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23,668,762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21,585,521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15,323,694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19,176,169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17,652,505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(7,958,029)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(4,258,110)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(4,727,446)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net loss including net loss attributable to non-controlling interest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(7,958,029)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(4,258,110)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(5,301,605)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attributable to non-controlling interest</w:t>
            </w:r>
          </w:p>
        </w:tc>
        <w:tc>
          <w:tcPr>
            <w:tcW w:w="14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118" w:right="239" w:bottom="1440" w:gutter="0" w:footer="0" w:header="0"/>
        </w:sectPr>
      </w:pPr>
    </w:p>
    <w:bookmarkStart w:id="132" w:name="page133"/>
    <w:bookmarkEnd w:id="132"/>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As of December 31, 2018,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229"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2018.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186"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62"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Management performed an assessment of the effectiveness of our internal control over financial reporting as of December 31, 2018 based upon criteria in Internal Control—</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this assessment, management determined that our internal control over financial reporting was effective as of December 31, 2018.</w:t>
      </w:r>
    </w:p>
    <w:p>
      <w:pPr>
        <w:spacing w:after="0" w:line="176"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2018 has been audited by Deloitte &amp; Touche LLP, an independent registered public accounting firm, as stated in their report which appears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Report of the Independent Registered Public Accounting Firm</w:t>
      </w:r>
    </w:p>
    <w:p>
      <w:pPr>
        <w:spacing w:after="0" w:line="229"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Deloitte &amp; Touche LLP, our independent registered public accounting firm, has issued a report on the effectiveness of our internal control over financial reporting, which appears on page 72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fiscal quarter ended December 31, 2018 that have materially affected, or are reasonably likely to materially affect, our internal control over financial reporting.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118" w:right="239" w:bottom="1440" w:gutter="0" w:footer="0" w:header="0"/>
        </w:sectPr>
      </w:pPr>
    </w:p>
    <w:bookmarkStart w:id="133" w:name="page134"/>
    <w:bookmarkEnd w:id="133"/>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219"/>
          </w:cols>
          <w:pgMar w:left="240" w:top="118" w:right="1440" w:bottom="1440" w:gutter="0" w:footer="0" w:header="0"/>
        </w:sectPr>
      </w:pPr>
    </w:p>
    <w:bookmarkStart w:id="134" w:name="page135"/>
    <w:bookmarkEnd w:id="134"/>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351"/>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will be contained in the 2019 Proxy Statement, to be filed with the SEC within 120 days after December 31, 2018, and is incorporated herein by reference. There have been no material changes to the procedures by which stockholders may recommend nominees to our Board of Directors.</w:t>
      </w:r>
    </w:p>
    <w:p>
      <w:pPr>
        <w:spacing w:after="0" w:line="176"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w:t>
      </w:r>
      <w:r>
        <w:rPr>
          <w:rFonts w:ascii="Times New Roman" w:cs="Times New Roman" w:eastAsia="Times New Roman" w:hAnsi="Times New Roman"/>
          <w:sz w:val="18"/>
          <w:szCs w:val="18"/>
          <w:i w:val="1"/>
          <w:iCs w:val="1"/>
          <w:color w:val="auto"/>
        </w:rPr>
        <w:t>http://investors.gsvcap.com/governance</w:t>
      </w:r>
      <w:r>
        <w:rPr>
          <w:rFonts w:ascii="Times New Roman" w:cs="Times New Roman" w:eastAsia="Times New Roman" w:hAnsi="Times New Roman"/>
          <w:sz w:val="18"/>
          <w:szCs w:val="18"/>
          <w:color w:val="auto"/>
        </w:rPr>
        <w:t>.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right="20"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be contained in the 2019 Proxy Statement, to be filed with the SEC within 120 days after December 31, 2018,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contained in the 2019 Proxy Statement, to be filed with the SEC within 120 days after December 31, 2018,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contained in the 2019 Proxy Statement, to be filed with the SEC within 120 days after December 31, 2018,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firstLine="351"/>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contained in the 2019 Proxy Statement, to be filed with the SEC within 120 days after December 31, 2018, and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118" w:right="239" w:bottom="1440" w:gutter="0" w:footer="0" w:header="0"/>
        </w:sectPr>
      </w:pPr>
    </w:p>
    <w:bookmarkStart w:id="135" w:name="page136"/>
    <w:bookmarkEnd w:id="135"/>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94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0700" w:type="dxa"/>
            <w:vAlign w:val="bottom"/>
            <w:gridSpan w:val="10"/>
          </w:tcPr>
          <w:p>
            <w:pPr>
              <w:ind w:left="300"/>
              <w:spacing w:after="0"/>
              <w:rPr>
                <w:sz w:val="20"/>
                <w:szCs w:val="20"/>
                <w:color w:val="auto"/>
              </w:rPr>
            </w:pPr>
            <w:r>
              <w:rPr>
                <w:rFonts w:ascii="Times New Roman" w:cs="Times New Roman" w:eastAsia="Times New Roman" w:hAnsi="Times New Roman"/>
                <w:sz w:val="18"/>
                <w:szCs w:val="18"/>
                <w:color w:val="auto"/>
              </w:rPr>
              <w:t>The following documents are filed or incorporated by reference as part of this annual report on Form 10-K:</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73"/>
        </w:trPr>
        <w:tc>
          <w:tcPr>
            <w:tcW w:w="40" w:type="dxa"/>
            <w:vAlign w:val="bottom"/>
          </w:tcPr>
          <w:p>
            <w:pPr>
              <w:spacing w:after="0"/>
              <w:rPr>
                <w:sz w:val="24"/>
                <w:szCs w:val="24"/>
                <w:color w:val="auto"/>
              </w:rPr>
            </w:pPr>
          </w:p>
        </w:tc>
        <w:tc>
          <w:tcPr>
            <w:tcW w:w="10700" w:type="dxa"/>
            <w:vAlign w:val="bottom"/>
            <w:gridSpan w:val="10"/>
          </w:tcPr>
          <w:p>
            <w:pPr>
              <w:ind w:left="300"/>
              <w:spacing w:after="0"/>
              <w:rPr>
                <w:sz w:val="20"/>
                <w:szCs w:val="20"/>
                <w:color w:val="auto"/>
              </w:rPr>
            </w:pPr>
            <w:r>
              <w:rPr>
                <w:rFonts w:ascii="Times New Roman" w:cs="Times New Roman" w:eastAsia="Times New Roman" w:hAnsi="Times New Roman"/>
                <w:sz w:val="18"/>
                <w:szCs w:val="18"/>
                <w:color w:val="auto"/>
              </w:rPr>
              <w:t>(1) Financial Statements—Refer to Part II, Item 8 of this Form 10-K, which are incorporated herein by reference.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3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10740" w:type="dxa"/>
            <w:vAlign w:val="bottom"/>
            <w:gridSpan w:val="11"/>
            <w:shd w:val="clear" w:color="auto" w:fill="CCEEFF"/>
          </w:tcPr>
          <w:p>
            <w:pPr>
              <w:ind w:left="40"/>
              <w:spacing w:after="0" w:line="201"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Report of Independent Registered Public Accounting Firm</w:t>
              </w:r>
            </w:hyperlink>
          </w:p>
        </w:tc>
        <w:tc>
          <w:tcPr>
            <w:tcW w:w="440" w:type="dxa"/>
            <w:vAlign w:val="bottom"/>
            <w:gridSpan w:val="2"/>
            <w:shd w:val="clear" w:color="auto" w:fill="CCEEFF"/>
          </w:tcPr>
          <w:p>
            <w:pPr>
              <w:jc w:val="center"/>
              <w:ind w:left="172"/>
              <w:spacing w:after="0" w:line="201"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71</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3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11"/>
          </w:tcPr>
          <w:p>
            <w:pPr>
              <w:ind w:left="40"/>
              <w:spacing w:after="0" w:line="202"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Report of Independent Registered Public Accounting Firm on Internal Control over Financial Reporting</w:t>
              </w:r>
            </w:hyperlink>
          </w:p>
        </w:tc>
        <w:tc>
          <w:tcPr>
            <w:tcW w:w="440" w:type="dxa"/>
            <w:vAlign w:val="bottom"/>
            <w:gridSpan w:val="2"/>
          </w:tcPr>
          <w:p>
            <w:pPr>
              <w:jc w:val="center"/>
              <w:ind w:left="172"/>
              <w:spacing w:after="0" w:line="202"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72</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3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0740" w:type="dxa"/>
            <w:vAlign w:val="bottom"/>
            <w:gridSpan w:val="11"/>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Consolidated Statements of Assets and Liabilities as of December 31, 2018 and 2017</w:t>
              </w:r>
            </w:hyperlink>
          </w:p>
        </w:tc>
        <w:tc>
          <w:tcPr>
            <w:tcW w:w="440" w:type="dxa"/>
            <w:vAlign w:val="bottom"/>
            <w:gridSpan w:val="2"/>
            <w:shd w:val="clear" w:color="auto" w:fill="CCEEFF"/>
          </w:tcPr>
          <w:p>
            <w:pPr>
              <w:jc w:val="center"/>
              <w:ind w:left="172"/>
              <w:spacing w:after="0" w:line="202"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73</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3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11"/>
          </w:tcPr>
          <w:p>
            <w:pPr>
              <w:ind w:left="40"/>
              <w:spacing w:after="0" w:line="202"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440" w:type="dxa"/>
            <w:vAlign w:val="bottom"/>
            <w:gridSpan w:val="2"/>
          </w:tcPr>
          <w:p>
            <w:pPr>
              <w:jc w:val="center"/>
              <w:ind w:left="172"/>
              <w:spacing w:after="0" w:line="202"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74</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3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0740" w:type="dxa"/>
            <w:vAlign w:val="bottom"/>
            <w:gridSpan w:val="11"/>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Consolidated Statements of Changes in Net Assets for the years ended December 31, 2018, 2017 and 2016</w:t>
              </w:r>
            </w:hyperlink>
          </w:p>
        </w:tc>
        <w:tc>
          <w:tcPr>
            <w:tcW w:w="440" w:type="dxa"/>
            <w:vAlign w:val="bottom"/>
            <w:gridSpan w:val="2"/>
            <w:shd w:val="clear" w:color="auto" w:fill="CCEEFF"/>
          </w:tcPr>
          <w:p>
            <w:pPr>
              <w:jc w:val="center"/>
              <w:ind w:left="172"/>
              <w:spacing w:after="0" w:line="202" w:lineRule="exact"/>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75</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3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11"/>
          </w:tcPr>
          <w:p>
            <w:pPr>
              <w:ind w:left="40"/>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Cash Flows for the years ended December 31, 2018, 2017 and 2016</w:t>
              </w:r>
            </w:hyperlink>
          </w:p>
        </w:tc>
        <w:tc>
          <w:tcPr>
            <w:tcW w:w="440" w:type="dxa"/>
            <w:vAlign w:val="bottom"/>
            <w:gridSpan w:val="2"/>
          </w:tcPr>
          <w:p>
            <w:pPr>
              <w:jc w:val="center"/>
              <w:ind w:left="172"/>
              <w:spacing w:after="0" w:line="202"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76</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3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0740" w:type="dxa"/>
            <w:vAlign w:val="bottom"/>
            <w:gridSpan w:val="11"/>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Consolidated Schedule of Investments as of December 31, 2018</w:t>
              </w:r>
            </w:hyperlink>
          </w:p>
        </w:tc>
        <w:tc>
          <w:tcPr>
            <w:tcW w:w="440" w:type="dxa"/>
            <w:vAlign w:val="bottom"/>
            <w:gridSpan w:val="2"/>
            <w:shd w:val="clear" w:color="auto" w:fill="CCEEFF"/>
          </w:tcPr>
          <w:p>
            <w:pPr>
              <w:jc w:val="center"/>
              <w:ind w:left="172"/>
              <w:spacing w:after="0" w:line="202"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77</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3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740" w:type="dxa"/>
            <w:vAlign w:val="bottom"/>
            <w:gridSpan w:val="11"/>
          </w:tcPr>
          <w:p>
            <w:pPr>
              <w:ind w:left="40"/>
              <w:spacing w:after="0" w:line="202"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Consolidated Schedule of Investments as of December 31, 2017</w:t>
              </w:r>
            </w:hyperlink>
          </w:p>
        </w:tc>
        <w:tc>
          <w:tcPr>
            <w:tcW w:w="440" w:type="dxa"/>
            <w:vAlign w:val="bottom"/>
            <w:gridSpan w:val="2"/>
          </w:tcPr>
          <w:p>
            <w:pPr>
              <w:jc w:val="center"/>
              <w:ind w:left="172"/>
              <w:spacing w:after="0" w:line="202"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82</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3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0740" w:type="dxa"/>
            <w:vAlign w:val="bottom"/>
            <w:gridSpan w:val="11"/>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Notes to Consolidated Financial Statements</w:t>
              </w:r>
            </w:hyperlink>
          </w:p>
        </w:tc>
        <w:tc>
          <w:tcPr>
            <w:tcW w:w="440" w:type="dxa"/>
            <w:vAlign w:val="bottom"/>
            <w:gridSpan w:val="2"/>
            <w:shd w:val="clear" w:color="auto" w:fill="CCEEFF"/>
          </w:tcPr>
          <w:p>
            <w:pPr>
              <w:jc w:val="center"/>
              <w:ind w:left="172"/>
              <w:spacing w:after="0" w:line="202" w:lineRule="exact"/>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86</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3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-1551305</wp:posOffset>
            </wp:positionV>
            <wp:extent cx="68179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205" w:lineRule="exact"/>
        <w:rPr>
          <w:sz w:val="20"/>
          <w:szCs w:val="20"/>
          <w:color w:val="auto"/>
        </w:rPr>
      </w:pPr>
    </w:p>
    <w:p>
      <w:pPr>
        <w:ind w:left="660" w:hanging="328"/>
        <w:spacing w:after="0" w:line="344"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p>
      <w:pPr>
        <w:spacing w:after="0" w:line="171" w:lineRule="exact"/>
        <w:rPr>
          <w:sz w:val="20"/>
          <w:szCs w:val="20"/>
          <w:color w:val="auto"/>
        </w:rPr>
      </w:pPr>
    </w:p>
    <w:p>
      <w:pPr>
        <w:ind w:left="24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11">
        <w:r>
          <w:rPr>
            <w:rFonts w:ascii="Times New Roman" w:cs="Times New Roman" w:eastAsia="Times New Roman" w:hAnsi="Times New Roman"/>
            <w:sz w:val="17"/>
            <w:szCs w:val="17"/>
            <w:u w:val="single" w:color="auto"/>
            <w:color w:val="0000FF"/>
          </w:rPr>
          <w:t>Articles of Amendment and Restatement</w:t>
        </w:r>
      </w:hyperlink>
      <w:r>
        <w:rPr>
          <w:rFonts w:ascii="Times New Roman" w:cs="Times New Roman" w:eastAsia="Times New Roman" w:hAnsi="Times New Roman"/>
          <w:sz w:val="24"/>
          <w:szCs w:val="24"/>
          <w:color w:val="000000"/>
          <w:vertAlign w:val="superscript"/>
        </w:rPr>
        <w:t>(1)</w:t>
      </w:r>
    </w:p>
    <w:p>
      <w:pPr>
        <w:spacing w:after="0" w:line="2" w:lineRule="exact"/>
        <w:rPr>
          <w:sz w:val="20"/>
          <w:szCs w:val="20"/>
          <w:color w:val="auto"/>
        </w:rPr>
      </w:pPr>
    </w:p>
    <w:p>
      <w:pPr>
        <w:ind w:left="24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12">
        <w:r>
          <w:rPr>
            <w:rFonts w:ascii="Times New Roman" w:cs="Times New Roman" w:eastAsia="Times New Roman" w:hAnsi="Times New Roman"/>
            <w:sz w:val="17"/>
            <w:szCs w:val="17"/>
            <w:u w:val="single" w:color="auto"/>
            <w:color w:val="0000FF"/>
          </w:rPr>
          <w:t>Articles of Amendment</w:t>
        </w:r>
      </w:hyperlink>
      <w:r>
        <w:rPr>
          <w:rFonts w:ascii="Times New Roman" w:cs="Times New Roman" w:eastAsia="Times New Roman" w:hAnsi="Times New Roman"/>
          <w:sz w:val="24"/>
          <w:szCs w:val="24"/>
          <w:color w:val="000000"/>
          <w:vertAlign w:val="superscript"/>
        </w:rPr>
        <w:t>(2)</w:t>
      </w:r>
    </w:p>
    <w:p>
      <w:pPr>
        <w:ind w:left="240"/>
        <w:spacing w:after="0" w:line="234"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13">
        <w:r>
          <w:rPr>
            <w:rFonts w:ascii="Times New Roman" w:cs="Times New Roman" w:eastAsia="Times New Roman" w:hAnsi="Times New Roman"/>
            <w:sz w:val="17"/>
            <w:szCs w:val="17"/>
            <w:u w:val="single" w:color="auto"/>
            <w:color w:val="0000FF"/>
          </w:rPr>
          <w:t>Bylaws</w:t>
        </w:r>
      </w:hyperlink>
      <w:r>
        <w:rPr>
          <w:rFonts w:ascii="Times New Roman" w:cs="Times New Roman" w:eastAsia="Times New Roman" w:hAnsi="Times New Roman"/>
          <w:sz w:val="24"/>
          <w:szCs w:val="24"/>
          <w:color w:val="000000"/>
          <w:vertAlign w:val="superscript"/>
        </w:rPr>
        <w:t>(1)</w:t>
      </w:r>
    </w:p>
    <w:p>
      <w:pPr>
        <w:spacing w:after="0" w:line="1" w:lineRule="exact"/>
        <w:rPr>
          <w:sz w:val="20"/>
          <w:szCs w:val="20"/>
          <w:color w:val="auto"/>
        </w:rPr>
      </w:pPr>
    </w:p>
    <w:p>
      <w:pPr>
        <w:ind w:left="24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14">
        <w:r>
          <w:rPr>
            <w:rFonts w:ascii="Times New Roman" w:cs="Times New Roman" w:eastAsia="Times New Roman" w:hAnsi="Times New Roman"/>
            <w:sz w:val="17"/>
            <w:szCs w:val="17"/>
            <w:u w:val="single" w:color="auto"/>
            <w:color w:val="0000FF"/>
          </w:rPr>
          <w:t>Form of Common Stock Certificate</w:t>
        </w:r>
      </w:hyperlink>
      <w:r>
        <w:rPr>
          <w:rFonts w:ascii="Times New Roman" w:cs="Times New Roman" w:eastAsia="Times New Roman" w:hAnsi="Times New Roman"/>
          <w:sz w:val="24"/>
          <w:szCs w:val="24"/>
          <w:color w:val="000000"/>
          <w:vertAlign w:val="superscript"/>
        </w:rPr>
        <w:t>(6)</w:t>
      </w:r>
    </w:p>
    <w:p>
      <w:pPr>
        <w:ind w:left="720" w:right="260" w:hanging="483"/>
        <w:spacing w:after="0" w:line="233" w:lineRule="auto"/>
        <w:tabs>
          <w:tab w:leader="none" w:pos="7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4.2</w:t>
      </w:r>
      <w:r>
        <w:rPr>
          <w:sz w:val="20"/>
          <w:szCs w:val="20"/>
          <w:color w:val="auto"/>
        </w:rPr>
        <w:tab/>
      </w:r>
      <w:hyperlink r:id="rId115">
        <w:r>
          <w:rPr>
            <w:rFonts w:ascii="Times New Roman" w:cs="Times New Roman" w:eastAsia="Times New Roman" w:hAnsi="Times New Roman"/>
            <w:sz w:val="18"/>
            <w:szCs w:val="18"/>
            <w:u w:val="single" w:color="auto"/>
            <w:color w:val="0000FF"/>
          </w:rPr>
          <w:t>Indenture, dated September 17, 2013, relating to the 5.25% Convertible Senior Notes due 2018, by and between the Company and the U.S. Bank</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National Association, as trustee</w:t>
        </w:r>
        <w:r>
          <w:rPr>
            <w:rFonts w:ascii="Times New Roman" w:cs="Times New Roman" w:eastAsia="Times New Roman" w:hAnsi="Times New Roman"/>
            <w:sz w:val="25"/>
            <w:szCs w:val="25"/>
            <w:color w:val="000000"/>
            <w:vertAlign w:val="superscript"/>
          </w:rPr>
          <w:t>(4)</w:t>
        </w:r>
      </w:hyperlink>
    </w:p>
    <w:p>
      <w:pPr>
        <w:ind w:left="24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16">
        <w:r>
          <w:rPr>
            <w:rFonts w:ascii="Times New Roman" w:cs="Times New Roman" w:eastAsia="Times New Roman" w:hAnsi="Times New Roman"/>
            <w:sz w:val="17"/>
            <w:szCs w:val="17"/>
            <w:u w:val="single" w:color="auto"/>
            <w:color w:val="0000FF"/>
          </w:rPr>
          <w:t>Form of 5.25% Convertible Senior Note due 2018 (incorporated by reference to Exhibit 4.2)</w:t>
        </w:r>
      </w:hyperlink>
      <w:r>
        <w:rPr>
          <w:rFonts w:ascii="Times New Roman" w:cs="Times New Roman" w:eastAsia="Times New Roman" w:hAnsi="Times New Roman"/>
          <w:sz w:val="24"/>
          <w:szCs w:val="24"/>
          <w:color w:val="000000"/>
          <w:vertAlign w:val="superscript"/>
        </w:rPr>
        <w:t>(4)</w:t>
      </w:r>
    </w:p>
    <w:p>
      <w:pPr>
        <w:ind w:left="720" w:right="200" w:hanging="483"/>
        <w:spacing w:after="0" w:line="233" w:lineRule="auto"/>
        <w:tabs>
          <w:tab w:leader="none" w:pos="7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4.4</w:t>
      </w:r>
      <w:r>
        <w:rPr>
          <w:sz w:val="20"/>
          <w:szCs w:val="20"/>
          <w:color w:val="auto"/>
        </w:rPr>
        <w:tab/>
      </w:r>
      <w:hyperlink r:id="rId117">
        <w:r>
          <w:rPr>
            <w:rFonts w:ascii="Times New Roman" w:cs="Times New Roman" w:eastAsia="Times New Roman" w:hAnsi="Times New Roman"/>
            <w:sz w:val="18"/>
            <w:szCs w:val="18"/>
            <w:u w:val="single" w:color="auto"/>
            <w:color w:val="0000FF"/>
          </w:rPr>
          <w:t>First Supplemental Indenture, dated March 27, 2018, relating to the 4.75% Convertible Senior Notes due 2023, by and between the Company and</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U.S. Bank National Association, as trustee</w:t>
        </w:r>
        <w:r>
          <w:rPr>
            <w:rFonts w:ascii="Times New Roman" w:cs="Times New Roman" w:eastAsia="Times New Roman" w:hAnsi="Times New Roman"/>
            <w:sz w:val="25"/>
            <w:szCs w:val="25"/>
            <w:color w:val="000000"/>
            <w:vertAlign w:val="superscript"/>
          </w:rPr>
          <w:t>(11)</w:t>
        </w:r>
      </w:hyperlink>
    </w:p>
    <w:p>
      <w:pPr>
        <w:ind w:left="24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118">
        <w:r>
          <w:rPr>
            <w:rFonts w:ascii="Times New Roman" w:cs="Times New Roman" w:eastAsia="Times New Roman" w:hAnsi="Times New Roman"/>
            <w:sz w:val="17"/>
            <w:szCs w:val="17"/>
            <w:u w:val="single" w:color="auto"/>
            <w:color w:val="0000FF"/>
          </w:rPr>
          <w:t>Form of 4.75% Convertible Senior Note due 2023 (incorporated by reference to Exhibit 4.4)</w:t>
        </w:r>
      </w:hyperlink>
      <w:r>
        <w:rPr>
          <w:rFonts w:ascii="Times New Roman" w:cs="Times New Roman" w:eastAsia="Times New Roman" w:hAnsi="Times New Roman"/>
          <w:sz w:val="24"/>
          <w:szCs w:val="24"/>
          <w:color w:val="000000"/>
          <w:vertAlign w:val="superscript"/>
        </w:rPr>
        <w:t>(11)</w:t>
      </w:r>
    </w:p>
    <w:p>
      <w:pPr>
        <w:ind w:left="20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19">
        <w:r>
          <w:rPr>
            <w:rFonts w:ascii="Times New Roman" w:cs="Times New Roman" w:eastAsia="Times New Roman" w:hAnsi="Times New Roman"/>
            <w:sz w:val="17"/>
            <w:szCs w:val="17"/>
            <w:u w:val="single" w:color="auto"/>
            <w:color w:val="0000FF"/>
          </w:rPr>
          <w:t>Dividend Reinvestment Plan</w:t>
        </w:r>
      </w:hyperlink>
      <w:r>
        <w:rPr>
          <w:rFonts w:ascii="Times New Roman" w:cs="Times New Roman" w:eastAsia="Times New Roman" w:hAnsi="Times New Roman"/>
          <w:sz w:val="24"/>
          <w:szCs w:val="24"/>
          <w:color w:val="000000"/>
          <w:vertAlign w:val="superscript"/>
        </w:rPr>
        <w:t>(1)</w:t>
      </w:r>
    </w:p>
    <w:p>
      <w:pPr>
        <w:ind w:left="200"/>
        <w:spacing w:after="0" w:line="234"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20">
        <w:r>
          <w:rPr>
            <w:rFonts w:ascii="Times New Roman" w:cs="Times New Roman" w:eastAsia="Times New Roman" w:hAnsi="Times New Roman"/>
            <w:sz w:val="17"/>
            <w:szCs w:val="17"/>
            <w:u w:val="single" w:color="auto"/>
            <w:color w:val="0000FF"/>
          </w:rPr>
          <w:t>Amended and Restated Investment Advisory Agreement by and between the Company and GSV Asset Management, LLC</w:t>
        </w:r>
      </w:hyperlink>
      <w:r>
        <w:rPr>
          <w:rFonts w:ascii="Times New Roman" w:cs="Times New Roman" w:eastAsia="Times New Roman" w:hAnsi="Times New Roman"/>
          <w:sz w:val="24"/>
          <w:szCs w:val="24"/>
          <w:color w:val="000000"/>
          <w:vertAlign w:val="superscript"/>
        </w:rPr>
        <w:t>(3)</w:t>
      </w:r>
    </w:p>
    <w:p>
      <w:pPr>
        <w:ind w:left="20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21">
        <w:r>
          <w:rPr>
            <w:rFonts w:ascii="Times New Roman" w:cs="Times New Roman" w:eastAsia="Times New Roman" w:hAnsi="Times New Roman"/>
            <w:sz w:val="17"/>
            <w:szCs w:val="17"/>
            <w:u w:val="single" w:color="auto"/>
            <w:color w:val="0000FF"/>
          </w:rPr>
          <w:t>Second Amended and Restated Administration Agreement by and between the Company and GSV Capital Service Company, LLC</w:t>
        </w:r>
      </w:hyperlink>
      <w:r>
        <w:rPr>
          <w:rFonts w:ascii="Times New Roman" w:cs="Times New Roman" w:eastAsia="Times New Roman" w:hAnsi="Times New Roman"/>
          <w:sz w:val="24"/>
          <w:szCs w:val="24"/>
          <w:color w:val="000000"/>
          <w:vertAlign w:val="superscript"/>
        </w:rPr>
        <w:t>(8)</w:t>
      </w:r>
    </w:p>
    <w:p>
      <w:pPr>
        <w:ind w:left="20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22">
        <w:r>
          <w:rPr>
            <w:rFonts w:ascii="Times New Roman" w:cs="Times New Roman" w:eastAsia="Times New Roman" w:hAnsi="Times New Roman"/>
            <w:sz w:val="17"/>
            <w:szCs w:val="17"/>
            <w:u w:val="single" w:color="auto"/>
            <w:color w:val="0000FF"/>
          </w:rPr>
          <w:t>Form of Indemnification Agreement by and between the Company and each of its directors</w:t>
        </w:r>
      </w:hyperlink>
      <w:r>
        <w:rPr>
          <w:rFonts w:ascii="Times New Roman" w:cs="Times New Roman" w:eastAsia="Times New Roman" w:hAnsi="Times New Roman"/>
          <w:sz w:val="24"/>
          <w:szCs w:val="24"/>
          <w:color w:val="000000"/>
          <w:vertAlign w:val="superscript"/>
        </w:rPr>
        <w:t>(1)</w:t>
      </w:r>
    </w:p>
    <w:p>
      <w:pPr>
        <w:ind w:left="20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23">
        <w:r>
          <w:rPr>
            <w:rFonts w:ascii="Times New Roman" w:cs="Times New Roman" w:eastAsia="Times New Roman" w:hAnsi="Times New Roman"/>
            <w:sz w:val="17"/>
            <w:szCs w:val="17"/>
            <w:u w:val="single" w:color="auto"/>
            <w:color w:val="0000FF"/>
          </w:rPr>
          <w:t>Custody Agreement by and between the Company and U.S. Bank National Association</w:t>
        </w:r>
      </w:hyperlink>
      <w:r>
        <w:rPr>
          <w:rFonts w:ascii="Times New Roman" w:cs="Times New Roman" w:eastAsia="Times New Roman" w:hAnsi="Times New Roman"/>
          <w:sz w:val="24"/>
          <w:szCs w:val="24"/>
          <w:color w:val="000000"/>
          <w:vertAlign w:val="superscript"/>
        </w:rPr>
        <w:t>(7)</w:t>
      </w:r>
    </w:p>
    <w:p>
      <w:pPr>
        <w:ind w:left="20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24">
        <w:r>
          <w:rPr>
            <w:rFonts w:ascii="Times New Roman" w:cs="Times New Roman" w:eastAsia="Times New Roman" w:hAnsi="Times New Roman"/>
            <w:sz w:val="17"/>
            <w:szCs w:val="17"/>
            <w:u w:val="single" w:color="auto"/>
            <w:color w:val="0000FF"/>
          </w:rPr>
          <w:t>Form of Trademark License Agreement by and between the Company and GSV Asset Management, LLC</w:t>
        </w:r>
      </w:hyperlink>
      <w:r>
        <w:rPr>
          <w:rFonts w:ascii="Times New Roman" w:cs="Times New Roman" w:eastAsia="Times New Roman" w:hAnsi="Times New Roman"/>
          <w:sz w:val="24"/>
          <w:szCs w:val="24"/>
          <w:color w:val="000000"/>
          <w:vertAlign w:val="superscript"/>
        </w:rPr>
        <w:t>(2)</w:t>
      </w:r>
    </w:p>
    <w:p>
      <w:pPr>
        <w:ind w:left="20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25">
        <w:r>
          <w:rPr>
            <w:rFonts w:ascii="Times New Roman" w:cs="Times New Roman" w:eastAsia="Times New Roman" w:hAnsi="Times New Roman"/>
            <w:sz w:val="17"/>
            <w:szCs w:val="17"/>
            <w:u w:val="single" w:color="auto"/>
            <w:color w:val="0000FF"/>
          </w:rPr>
          <w:t>Amended and Restated Trademark License Agreement by and between the Company and GSV Asset Management, LLC</w:t>
        </w:r>
      </w:hyperlink>
      <w:r>
        <w:rPr>
          <w:rFonts w:ascii="Times New Roman" w:cs="Times New Roman" w:eastAsia="Times New Roman" w:hAnsi="Times New Roman"/>
          <w:sz w:val="24"/>
          <w:szCs w:val="24"/>
          <w:color w:val="000000"/>
          <w:vertAlign w:val="superscript"/>
        </w:rPr>
        <w:t>(12)</w:t>
      </w:r>
    </w:p>
    <w:p>
      <w:pPr>
        <w:ind w:left="200"/>
        <w:spacing w:after="0" w:line="235"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26">
        <w:r>
          <w:rPr>
            <w:rFonts w:ascii="Times New Roman" w:cs="Times New Roman" w:eastAsia="Times New Roman" w:hAnsi="Times New Roman"/>
            <w:sz w:val="17"/>
            <w:szCs w:val="17"/>
            <w:u w:val="single" w:color="auto"/>
            <w:color w:val="0000FF"/>
          </w:rPr>
          <w:t>Loan and Security Agreement between GSV Capital Corp. and Western Alliance Bank, dated as of May 31, 2017</w:t>
        </w:r>
      </w:hyperlink>
      <w:r>
        <w:rPr>
          <w:rFonts w:ascii="Times New Roman" w:cs="Times New Roman" w:eastAsia="Times New Roman" w:hAnsi="Times New Roman"/>
          <w:sz w:val="24"/>
          <w:szCs w:val="24"/>
          <w:color w:val="000000"/>
          <w:vertAlign w:val="superscript"/>
        </w:rPr>
        <w:t>(5)</w:t>
      </w:r>
    </w:p>
    <w:p>
      <w:pPr>
        <w:ind w:left="20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27">
        <w:r>
          <w:rPr>
            <w:rFonts w:ascii="Times New Roman" w:cs="Times New Roman" w:eastAsia="Times New Roman" w:hAnsi="Times New Roman"/>
            <w:sz w:val="17"/>
            <w:szCs w:val="17"/>
            <w:u w:val="single" w:color="auto"/>
            <w:color w:val="0000FF"/>
          </w:rPr>
          <w:t>First Amendment and Consent to Loan and Security Agreement between GSV Capital Corp. and Western Alliance Bank, dated March 22, 2018</w:t>
        </w:r>
      </w:hyperlink>
      <w:r>
        <w:rPr>
          <w:rFonts w:ascii="Times New Roman" w:cs="Times New Roman" w:eastAsia="Times New Roman" w:hAnsi="Times New Roman"/>
          <w:sz w:val="24"/>
          <w:szCs w:val="24"/>
          <w:color w:val="000000"/>
          <w:vertAlign w:val="superscript"/>
        </w:rPr>
        <w:t>(11)</w:t>
      </w:r>
    </w:p>
    <w:p>
      <w:pPr>
        <w:ind w:left="140"/>
        <w:spacing w:after="0" w:line="229" w:lineRule="auto"/>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28">
        <w:r>
          <w:rPr>
            <w:rFonts w:ascii="Times New Roman" w:cs="Times New Roman" w:eastAsia="Times New Roman" w:hAnsi="Times New Roman"/>
            <w:sz w:val="17"/>
            <w:szCs w:val="17"/>
            <w:u w:val="single" w:color="auto"/>
            <w:color w:val="0000FF"/>
          </w:rPr>
          <w:t>Waiver Agreement Letter from GSV Asset Management, LLC to the Registrant, dated February 2, 2018</w:t>
        </w:r>
      </w:hyperlink>
      <w:r>
        <w:rPr>
          <w:rFonts w:ascii="Times New Roman" w:cs="Times New Roman" w:eastAsia="Times New Roman" w:hAnsi="Times New Roman"/>
          <w:sz w:val="24"/>
          <w:szCs w:val="24"/>
          <w:color w:val="000000"/>
          <w:vertAlign w:val="superscript"/>
        </w:rPr>
        <w:t>(9)</w:t>
      </w:r>
    </w:p>
    <w:p>
      <w:pPr>
        <w:spacing w:after="0" w:line="1" w:lineRule="exact"/>
        <w:rPr>
          <w:sz w:val="20"/>
          <w:szCs w:val="20"/>
          <w:color w:val="auto"/>
        </w:rPr>
      </w:pPr>
    </w:p>
    <w:p>
      <w:pPr>
        <w:ind w:left="16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29">
        <w:r>
          <w:rPr>
            <w:rFonts w:ascii="Times New Roman" w:cs="Times New Roman" w:eastAsia="Times New Roman" w:hAnsi="Times New Roman"/>
            <w:sz w:val="17"/>
            <w:szCs w:val="17"/>
            <w:u w:val="single" w:color="auto"/>
            <w:color w:val="0000FF"/>
          </w:rPr>
          <w:t>Consulting Agreement by and between the Company and Michael T. Moe</w:t>
        </w:r>
      </w:hyperlink>
      <w:r>
        <w:rPr>
          <w:rFonts w:ascii="Times New Roman" w:cs="Times New Roman" w:eastAsia="Times New Roman" w:hAnsi="Times New Roman"/>
          <w:sz w:val="24"/>
          <w:szCs w:val="24"/>
          <w:color w:val="000000"/>
          <w:vertAlign w:val="superscript"/>
        </w:rPr>
        <w:t>(12)</w:t>
      </w:r>
    </w:p>
    <w:p>
      <w:pPr>
        <w:spacing w:after="0" w:line="1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20"/>
          </w:cols>
          <w:pgMar w:left="240" w:top="118" w:right="239" w:bottom="1440" w:gutter="0" w:footer="0" w:header="0"/>
        </w:sectPr>
      </w:pPr>
    </w:p>
    <w:bookmarkStart w:id="136" w:name="page137"/>
    <w:bookmarkEnd w:id="136"/>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20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14.1</w:t>
      </w:r>
      <w:r>
        <w:rPr>
          <w:sz w:val="20"/>
          <w:szCs w:val="20"/>
          <w:color w:val="auto"/>
        </w:rPr>
        <w:tab/>
      </w:r>
      <w:hyperlink r:id="rId130">
        <w:r>
          <w:rPr>
            <w:rFonts w:ascii="Times New Roman" w:cs="Times New Roman" w:eastAsia="Times New Roman" w:hAnsi="Times New Roman"/>
            <w:sz w:val="17"/>
            <w:szCs w:val="17"/>
            <w:u w:val="single" w:color="auto"/>
            <w:color w:val="0000FF"/>
          </w:rPr>
          <w:t>Code of Ethics</w:t>
        </w:r>
      </w:hyperlink>
      <w:r>
        <w:rPr>
          <w:rFonts w:ascii="Times New Roman" w:cs="Times New Roman" w:eastAsia="Times New Roman" w:hAnsi="Times New Roman"/>
          <w:sz w:val="24"/>
          <w:szCs w:val="24"/>
          <w:color w:val="000000"/>
          <w:vertAlign w:val="superscript"/>
        </w:rPr>
        <w:t>(10)</w:t>
      </w:r>
    </w:p>
    <w:p>
      <w:pPr>
        <w:spacing w:after="0" w:line="14"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18"/>
          <w:szCs w:val="18"/>
          <w:color w:val="auto"/>
        </w:rPr>
        <w:t>21.1</w:t>
        <w:tab/>
        <w:t>List of Subsidiaries (Included in the notes to the consolidated financial statements contained in this report)*</w:t>
      </w:r>
    </w:p>
    <w:p>
      <w:pPr>
        <w:spacing w:after="0" w:line="43" w:lineRule="exact"/>
        <w:rPr>
          <w:sz w:val="20"/>
          <w:szCs w:val="20"/>
          <w:color w:val="auto"/>
        </w:rPr>
      </w:pPr>
    </w:p>
    <w:p>
      <w:pPr>
        <w:ind w:left="200"/>
        <w:spacing w:after="0"/>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139">
        <w:r>
          <w:rPr>
            <w:rFonts w:ascii="Times New Roman" w:cs="Times New Roman" w:eastAsia="Times New Roman" w:hAnsi="Times New Roman"/>
            <w:sz w:val="18"/>
            <w:szCs w:val="18"/>
            <w:u w:val="single" w:color="auto"/>
            <w:color w:val="0000FF"/>
          </w:rPr>
          <w:t>Certification of Chief Executive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140">
        <w:r>
          <w:rPr>
            <w:rFonts w:ascii="Times New Roman" w:cs="Times New Roman" w:eastAsia="Times New Roman" w:hAnsi="Times New Roman"/>
            <w:sz w:val="17"/>
            <w:szCs w:val="17"/>
            <w:u w:val="single" w:color="auto"/>
            <w:color w:val="0000FF"/>
          </w:rPr>
          <w:t>Certification of Chief Financial Officer pursuant to Rule 13a-14 of the Securities Exchange Act of 1934, as amended*</w:t>
        </w:r>
      </w:hyperlink>
    </w:p>
    <w:p>
      <w:pPr>
        <w:spacing w:after="0" w:line="63" w:lineRule="exact"/>
        <w:rPr>
          <w:sz w:val="20"/>
          <w:szCs w:val="20"/>
          <w:color w:val="auto"/>
        </w:rPr>
      </w:pPr>
    </w:p>
    <w:p>
      <w:pPr>
        <w:ind w:left="200"/>
        <w:spacing w:after="0"/>
        <w:tabs>
          <w:tab w:leader="none" w:pos="7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hyperlink w:anchor="page141">
        <w:r>
          <w:rPr>
            <w:rFonts w:ascii="Times New Roman" w:cs="Times New Roman" w:eastAsia="Times New Roman" w:hAnsi="Times New Roman"/>
            <w:sz w:val="18"/>
            <w:szCs w:val="18"/>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200"/>
        <w:spacing w:after="0"/>
        <w:tabs>
          <w:tab w:leader="none" w:pos="7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hyperlink w:anchor="page142">
        <w:r>
          <w:rPr>
            <w:rFonts w:ascii="Times New Roman" w:cs="Times New Roman" w:eastAsia="Times New Roman" w:hAnsi="Times New Roman"/>
            <w:sz w:val="17"/>
            <w:szCs w:val="17"/>
            <w:u w:val="single" w:color="auto"/>
            <w:color w:val="0000FF"/>
          </w:rPr>
          <w:t>Certification of Chief Financial Officer pursuant to Section 906 of the Sarbanes-Oxley Act of 2002*</w:t>
        </w:r>
      </w:hyperlink>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w:t>
      </w:r>
    </w:p>
    <w:p>
      <w:pPr>
        <w:spacing w:after="0" w:line="31" w:lineRule="exact"/>
        <w:rPr>
          <w:sz w:val="20"/>
          <w:szCs w:val="20"/>
          <w:color w:val="auto"/>
        </w:rPr>
      </w:pPr>
    </w:p>
    <w:p>
      <w:pPr>
        <w:ind w:left="500" w:hanging="492"/>
        <w:spacing w:after="0" w:line="276"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20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2011, and incorporated by reference herein.</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Annual Report on Form 10-K (File No. 814-00852) filed on March 14, 2013, and incorporated by reference herein.</w:t>
      </w:r>
    </w:p>
    <w:p>
      <w:pPr>
        <w:spacing w:after="0" w:line="202"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September 18, 2013, and incorporated by reference herein.</w:t>
      </w:r>
    </w:p>
    <w:p>
      <w:pPr>
        <w:spacing w:after="0" w:line="202"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June 1, 2017, and incorporated by reference herein.</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3 to the Registrant’s Registration Statement on Form N-2 (File No. 333-175655) filed on September 20, 2011, and incorporated by reference herein.</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Pre-Effective Amendment No. 3 to the Registrant’s Registration Statement on Form N-2 (File No. 333-171578) filed on April 15, 2011, and incorporated by reference herein.</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Quarterly Report on Form 10-Q (File No. 814-00852) filed on August 9, 2017, and incorporated by reference herein.</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February 5, 2018, and incorporated by reference herein.</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Pre-Effective Amendment No. 5 to the Registrant’s Registration Statement on Form N-2 (File No. 333-191307) filed on July 21, 2016, and incorporated by reference herein.</w:t>
      </w:r>
    </w:p>
    <w:p>
      <w:pPr>
        <w:spacing w:after="0" w:line="16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Post-Effective Amendment No. 3 to the Registrant’s Registration Statement on Form N-2 (File No. 333-191307) filed on March 28, 2018, and incorporated herein by reference.</w:t>
      </w:r>
    </w:p>
    <w:p>
      <w:pPr>
        <w:spacing w:after="0" w:line="16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Registrant’s Current Report on Form 8-K (File No. 814-00852) filed on March 14, 2019, and incorporated by reference herein.</w:t>
      </w:r>
    </w:p>
    <w:p>
      <w:pPr>
        <w:spacing w:after="0" w:line="162" w:lineRule="exact"/>
        <w:rPr>
          <w:sz w:val="20"/>
          <w:szCs w:val="20"/>
          <w:color w:val="auto"/>
        </w:rPr>
      </w:pPr>
    </w:p>
    <w:p>
      <w:pPr>
        <w:ind w:left="500" w:hanging="492"/>
        <w:spacing w:after="0"/>
        <w:tabs>
          <w:tab w:leader="none" w:pos="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20"/>
          </w:cols>
          <w:pgMar w:left="240" w:top="118" w:right="239" w:bottom="1440" w:gutter="0" w:footer="0" w:header="0"/>
        </w:sectPr>
      </w:pPr>
    </w:p>
    <w:bookmarkStart w:id="137" w:name="page138"/>
    <w:bookmarkEnd w:id="137"/>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780" w:firstLine="35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GSV CAPITAL CORP.</w:t>
      </w:r>
    </w:p>
    <w:p>
      <w:pPr>
        <w:spacing w:after="0" w:line="202" w:lineRule="exact"/>
        <w:rPr>
          <w:sz w:val="20"/>
          <w:szCs w:val="20"/>
          <w:color w:val="auto"/>
        </w:rPr>
      </w:pPr>
    </w:p>
    <w:p>
      <w:pPr>
        <w:ind w:left="40"/>
        <w:spacing w:after="0"/>
        <w:tabs>
          <w:tab w:leader="none" w:pos="4500" w:val="left"/>
        </w:tabs>
        <w:rPr>
          <w:sz w:val="20"/>
          <w:szCs w:val="20"/>
          <w:color w:val="auto"/>
        </w:rPr>
      </w:pPr>
      <w:r>
        <w:rPr>
          <w:rFonts w:ascii="Times New Roman" w:cs="Times New Roman" w:eastAsia="Times New Roman" w:hAnsi="Times New Roman"/>
          <w:sz w:val="18"/>
          <w:szCs w:val="18"/>
          <w:color w:val="auto"/>
        </w:rPr>
        <w:t>Date: April 18, 2019</w:t>
      </w:r>
      <w:r>
        <w:rPr>
          <w:sz w:val="20"/>
          <w:szCs w:val="20"/>
          <w:color w:val="auto"/>
        </w:rPr>
        <w:tab/>
      </w:r>
      <w:r>
        <w:rPr>
          <w:rFonts w:ascii="Times New Roman" w:cs="Times New Roman" w:eastAsia="Times New Roman" w:hAnsi="Times New Roman"/>
          <w:sz w:val="18"/>
          <w:szCs w:val="18"/>
          <w:color w:val="auto"/>
        </w:rPr>
        <w:t>By: /s/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43180</wp:posOffset>
            </wp:positionV>
            <wp:extent cx="42024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2" w:lineRule="exact"/>
        <w:rPr>
          <w:sz w:val="20"/>
          <w:szCs w:val="20"/>
          <w:color w:val="auto"/>
        </w:rPr>
      </w:pPr>
    </w:p>
    <w:p>
      <w:pPr>
        <w:ind w:left="40"/>
        <w:spacing w:after="0"/>
        <w:tabs>
          <w:tab w:leader="none" w:pos="4500" w:val="left"/>
        </w:tabs>
        <w:rPr>
          <w:sz w:val="20"/>
          <w:szCs w:val="20"/>
          <w:color w:val="auto"/>
        </w:rPr>
      </w:pPr>
      <w:r>
        <w:rPr>
          <w:rFonts w:ascii="Times New Roman" w:cs="Times New Roman" w:eastAsia="Times New Roman" w:hAnsi="Times New Roman"/>
          <w:sz w:val="18"/>
          <w:szCs w:val="18"/>
          <w:color w:val="auto"/>
        </w:rPr>
        <w:t>Date: April 18, 2019</w:t>
      </w:r>
      <w:r>
        <w:rPr>
          <w:sz w:val="20"/>
          <w:szCs w:val="20"/>
          <w:color w:val="auto"/>
        </w:rPr>
        <w:tab/>
      </w:r>
      <w:r>
        <w:rPr>
          <w:rFonts w:ascii="Times New Roman" w:cs="Times New Roman" w:eastAsia="Times New Roman" w:hAnsi="Times New Roman"/>
          <w:sz w:val="18"/>
          <w:szCs w:val="18"/>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43180</wp:posOffset>
            </wp:positionV>
            <wp:extent cx="42024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Chief Financial Officer, Controller, Treasurer and Secretary</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4" w:lineRule="exact"/>
        <w:rPr>
          <w:sz w:val="20"/>
          <w:szCs w:val="20"/>
          <w:color w:val="auto"/>
        </w:rPr>
      </w:pPr>
    </w:p>
    <w:p>
      <w:pPr>
        <w:ind w:right="620" w:firstLine="35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2019</w:t>
            </w: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By:</w:t>
            </w: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D. Klein</w:t>
            </w:r>
          </w:p>
        </w:tc>
      </w:tr>
      <w:tr>
        <w:trPr>
          <w:trHeight w:val="41"/>
        </w:trPr>
        <w:tc>
          <w:tcPr>
            <w:tcW w:w="2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r>
      <w:tr>
        <w:trPr>
          <w:trHeight w:val="218"/>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 D. Klein</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2019</w:t>
            </w: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By:</w:t>
            </w: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Allison Green</w:t>
            </w:r>
          </w:p>
        </w:tc>
      </w:tr>
      <w:tr>
        <w:trPr>
          <w:trHeight w:val="41"/>
        </w:trPr>
        <w:tc>
          <w:tcPr>
            <w:tcW w:w="2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r>
      <w:tr>
        <w:trPr>
          <w:trHeight w:val="218"/>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Allison Green</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Controller, Treasurer and Secretary</w:t>
            </w:r>
          </w:p>
        </w:tc>
      </w:tr>
      <w:tr>
        <w:trPr>
          <w:trHeight w:val="234"/>
        </w:trPr>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2019</w:t>
            </w: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By:</w:t>
            </w: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Leonard A. Potter</w:t>
            </w:r>
          </w:p>
        </w:tc>
      </w:tr>
      <w:tr>
        <w:trPr>
          <w:trHeight w:val="41"/>
        </w:trPr>
        <w:tc>
          <w:tcPr>
            <w:tcW w:w="2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r>
      <w:tr>
        <w:trPr>
          <w:trHeight w:val="218"/>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Leonard A. Potter</w:t>
            </w:r>
          </w:p>
        </w:tc>
      </w:tr>
      <w:tr>
        <w:trPr>
          <w:trHeight w:val="234"/>
        </w:trPr>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2019</w:t>
            </w: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By:</w:t>
            </w: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Ronald M. Lott</w:t>
            </w:r>
          </w:p>
        </w:tc>
      </w:tr>
      <w:tr>
        <w:trPr>
          <w:trHeight w:val="41"/>
        </w:trPr>
        <w:tc>
          <w:tcPr>
            <w:tcW w:w="2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r>
      <w:tr>
        <w:trPr>
          <w:trHeight w:val="218"/>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Ronald M. Lott</w:t>
            </w:r>
          </w:p>
        </w:tc>
      </w:tr>
      <w:tr>
        <w:trPr>
          <w:trHeight w:val="234"/>
        </w:trPr>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2019</w:t>
            </w: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By:</w:t>
            </w: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Marc Mazur</w:t>
            </w:r>
          </w:p>
        </w:tc>
      </w:tr>
      <w:tr>
        <w:trPr>
          <w:trHeight w:val="41"/>
        </w:trPr>
        <w:tc>
          <w:tcPr>
            <w:tcW w:w="2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r>
      <w:tr>
        <w:trPr>
          <w:trHeight w:val="218"/>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 Mazur</w:t>
            </w:r>
          </w:p>
        </w:tc>
      </w:tr>
      <w:tr>
        <w:trPr>
          <w:trHeight w:val="234"/>
        </w:trPr>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2019</w:t>
            </w:r>
          </w:p>
        </w:tc>
        <w:tc>
          <w:tcPr>
            <w:tcW w:w="178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By:</w:t>
            </w: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S. Pottruck</w:t>
            </w:r>
          </w:p>
        </w:tc>
      </w:tr>
      <w:tr>
        <w:trPr>
          <w:trHeight w:val="41"/>
        </w:trPr>
        <w:tc>
          <w:tcPr>
            <w:tcW w:w="29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620" w:type="dxa"/>
            <w:vAlign w:val="bottom"/>
            <w:tcBorders>
              <w:bottom w:val="single" w:sz="8" w:color="auto"/>
            </w:tcBorders>
          </w:tcPr>
          <w:p>
            <w:pPr>
              <w:spacing w:after="0"/>
              <w:rPr>
                <w:sz w:val="3"/>
                <w:szCs w:val="3"/>
                <w:color w:val="auto"/>
              </w:rPr>
            </w:pPr>
          </w:p>
        </w:tc>
      </w:tr>
      <w:tr>
        <w:trPr>
          <w:trHeight w:val="218"/>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S. Pottruck</w:t>
            </w:r>
          </w:p>
        </w:tc>
      </w:tr>
      <w:tr>
        <w:trPr>
          <w:trHeight w:val="234"/>
        </w:trPr>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918"/>
        </w:trPr>
        <w:tc>
          <w:tcPr>
            <w:tcW w:w="2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62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135</w:t>
            </w:r>
          </w:p>
        </w:tc>
      </w:tr>
    </w:tbl>
    <w:p>
      <w:pPr>
        <w:sectPr>
          <w:pgSz w:w="11900" w:h="16838" w:orient="portrait"/>
          <w:cols w:equalWidth="0" w:num="1">
            <w:col w:w="11420"/>
          </w:cols>
          <w:pgMar w:left="240" w:top="118" w:right="2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of GSV Capital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GSV Capital Corp.;</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18th day of April, 2019.</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34290</wp:posOffset>
            </wp:positionV>
            <wp:extent cx="14408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Mark D. Klein</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420"/>
          </w:cols>
          <w:pgMar w:left="240" w:top="576"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of GSV Capital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GSV Capital Corp.;</w:t>
      </w:r>
    </w:p>
    <w:p>
      <w:pPr>
        <w:spacing w:after="0" w:line="225"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18th day of April, 2019.</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34290</wp:posOffset>
            </wp:positionV>
            <wp:extent cx="17068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Allison Green</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420"/>
          </w:cols>
          <w:pgMar w:left="240" w:top="576"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2018 (the “Report”) of GSV Capital Corp. (the “Registrant”), as filed with the Securities and Exchange Commission on the date hereof, I, Mark D. Klein, the Chief Executive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7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34290</wp:posOffset>
            </wp:positionV>
            <wp:extent cx="35591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Name: Mark D. Klein</w:t>
      </w:r>
    </w:p>
    <w:p>
      <w:pPr>
        <w:spacing w:after="0" w:line="6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Date: April 18, 2019</w:t>
      </w:r>
    </w:p>
    <w:p>
      <w:pPr>
        <w:sectPr>
          <w:pgSz w:w="11900" w:h="16838" w:orient="portrait"/>
          <w:cols w:equalWidth="0" w:num="1">
            <w:col w:w="11420"/>
          </w:cols>
          <w:pgMar w:left="240" w:top="576"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2018 (the “Report”) of GSV Capital Corp. (the “Registrant”), as filed with the Securities and Exchange Commission on the date hereof, I, Allison Green, the Chief Financial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7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Name: Allison Green</w:t>
      </w:r>
    </w:p>
    <w:p>
      <w:pPr>
        <w:spacing w:after="0" w:line="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Date: April 18,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lowerRoman"/>
      <w:start w:val="1"/>
    </w:lvl>
  </w:abstractNum>
  <w:abstractNum w:abstractNumId="12">
    <w:nsid w:val="749ABB43"/>
    <w:multiLevelType w:val="hybridMultilevel"/>
    <w:lvl w:ilvl="0">
      <w:lvlJc w:val="left"/>
      <w:lvlText w:val="•"/>
      <w:numFmt w:val="bullet"/>
      <w:start w:val="1"/>
    </w:lvl>
    <w:lvl w:ilvl="1">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79A1DEAA"/>
    <w:multiLevelType w:val="hybridMultilevel"/>
    <w:lvl w:ilvl="0">
      <w:lvlJc w:val="left"/>
      <w:lvlText w:val="(%1)"/>
      <w:numFmt w:val="lowerRoman"/>
      <w:start w:val="4"/>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lvl w:ilvl="1">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1)"/>
      <w:numFmt w:val="decimal"/>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3"/>
    </w:lvl>
  </w:abstractNum>
  <w:abstractNum w:abstractNumId="30">
    <w:nsid w:val="354FE9F9"/>
    <w:multiLevelType w:val="hybridMultilevel"/>
    <w:lvl w:ilvl="0">
      <w:lvlJc w:val="left"/>
      <w:lvlText w:val="(%1)"/>
      <w:numFmt w:val="decimal"/>
      <w:start w:val="5"/>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lowerRoman"/>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4"/>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2"/>
    </w:lvl>
  </w:abstractNum>
  <w:abstractNum w:abstractNumId="54">
    <w:nsid w:val="799D0247"/>
    <w:multiLevelType w:val="hybridMultilevel"/>
    <w:lvl w:ilvl="0">
      <w:lvlJc w:val="left"/>
      <w:lvlText w:val="(%1)"/>
      <w:numFmt w:val="decimal"/>
      <w:start w:val="15"/>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
      <w:numFmt w:val="bullet"/>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lowerRoman"/>
      <w:start w:val="1"/>
    </w:lvl>
  </w:abstractNum>
  <w:abstractNum w:abstractNumId="62">
    <w:nsid w:val="7BD3EE7B"/>
    <w:multiLevelType w:val="hybridMultilevel"/>
    <w:lvl w:ilvl="0">
      <w:lvlJc w:val="left"/>
      <w:lvlText w:val="(%1)"/>
      <w:numFmt w:val="decimal"/>
      <w:start w:val="3"/>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2"/>
    </w:lvl>
  </w:abstractNum>
  <w:abstractNum w:abstractNumId="66">
    <w:nsid w:val="11447B73"/>
    <w:multiLevelType w:val="hybridMultilevel"/>
    <w:lvl w:ilvl="0">
      <w:lvlJc w:val="left"/>
      <w:lvlText w:val="(%1)"/>
      <w:numFmt w:val="decimal"/>
      <w:start w:val="2"/>
    </w:lvl>
  </w:abstractNum>
  <w:abstractNum w:abstractNumId="67">
    <w:nsid w:val="42963E5A"/>
    <w:multiLevelType w:val="hybridMultilevel"/>
    <w:lvl w:ilvl="0">
      <w:lvlJc w:val="left"/>
      <w:lvlText w:val="(%1)"/>
      <w:numFmt w:val="decimal"/>
      <w:start w:val="2"/>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1)"/>
      <w:numFmt w:val="decimal"/>
      <w:start w:val="10"/>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decimal"/>
      <w:start w:val="2"/>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11" Type="http://schemas.openxmlformats.org/officeDocument/2006/relationships/hyperlink" Target="http://www.sec.gov/Archives/edgar/data/1509470/000113379611000069/k216228_ex99-2a.htm" TargetMode="External"/><Relationship Id="rId112" Type="http://schemas.openxmlformats.org/officeDocument/2006/relationships/hyperlink" Target="http://www.sec.gov/Archives/edgar/data/1509470/000114420411033389/v224342_ex3-1.htm" TargetMode="External"/><Relationship Id="rId113" Type="http://schemas.openxmlformats.org/officeDocument/2006/relationships/hyperlink" Target="http://www.sec.gov/Archives/edgar/data/1509470/000113379611000069/k216228_ex99-2b.htm" TargetMode="External"/><Relationship Id="rId114" Type="http://schemas.openxmlformats.org/officeDocument/2006/relationships/hyperlink" Target="http://www.sec.gov/Archives/edgar/data/1509470/000114420411053817/v235130_ex99-d1.htm" TargetMode="External"/><Relationship Id="rId115" Type="http://schemas.openxmlformats.org/officeDocument/2006/relationships/hyperlink" Target="http://www.sec.gov/Archives/edgar/data/1509470/000114420413051307/v355268_ex99-1.htm" TargetMode="External"/><Relationship Id="rId116" Type="http://schemas.openxmlformats.org/officeDocument/2006/relationships/hyperlink" Target="http://www.sec.gov/Archives/edgar/data/1509470/000114420416113919/v431147_n2a.htm" TargetMode="External"/><Relationship Id="rId117" Type="http://schemas.openxmlformats.org/officeDocument/2006/relationships/hyperlink" Target="http://www.sec.gov/Archives/edgar/data/1509470/000114420418017614/tv489339_ex-d6.htm" TargetMode="External"/><Relationship Id="rId118" Type="http://schemas.openxmlformats.org/officeDocument/2006/relationships/hyperlink" Target="http://www.sec.gov/Archives/edgar/data/1509470/000114420418017614/tv489339_posex.htm" TargetMode="External"/><Relationship Id="rId119" Type="http://schemas.openxmlformats.org/officeDocument/2006/relationships/hyperlink" Target="http://www.sec.gov/Archives/edgar/data/1509470/000113379611000069/k216228_ex99-2e.htm" TargetMode="External"/><Relationship Id="rId120" Type="http://schemas.openxmlformats.org/officeDocument/2006/relationships/hyperlink" Target="http://www.sec.gov/Archives/edgar/data/1509470/000114420413014937/v337738_ex10-2.htm" TargetMode="External"/><Relationship Id="rId121" Type="http://schemas.openxmlformats.org/officeDocument/2006/relationships/hyperlink" Target="http://www.sec.gov/Archives/edgar/data/1509470/000114420417041791/v472538_ex10-1.htm" TargetMode="External"/><Relationship Id="rId122" Type="http://schemas.openxmlformats.org/officeDocument/2006/relationships/hyperlink" Target="http://www.sec.gov/Archives/edgar/data/1509470/000113379611000069/k216228_ex99-2k2.htm" TargetMode="External"/><Relationship Id="rId123" Type="http://schemas.openxmlformats.org/officeDocument/2006/relationships/hyperlink" Target="http://www.sec.gov/Archives/edgar/data/1509470/000113379611000099/v217933_ex99-2j.htm" TargetMode="External"/><Relationship Id="rId124" Type="http://schemas.openxmlformats.org/officeDocument/2006/relationships/hyperlink" Target="http://www.sec.gov/Archives/edgar/data/1509470/000114420411033389/v224342_ex1-1.htm" TargetMode="External"/><Relationship Id="rId125" Type="http://schemas.openxmlformats.org/officeDocument/2006/relationships/hyperlink" Target="http://www.sec.gov/Archives/edgar/data/1509470/000114420419014017/tv516273_ex10-1.htm" TargetMode="External"/><Relationship Id="rId126" Type="http://schemas.openxmlformats.org/officeDocument/2006/relationships/hyperlink" Target="http://www.sec.gov/Archives/edgar/data/1509470/000114420417030591/v468129_ex10-1.htm" TargetMode="External"/><Relationship Id="rId127" Type="http://schemas.openxmlformats.org/officeDocument/2006/relationships/hyperlink" Target="http://www.sec.gov/Archives/edgar/data/1509470/000114420418017614/tv489339_ex-k5.htm" TargetMode="External"/><Relationship Id="rId128" Type="http://schemas.openxmlformats.org/officeDocument/2006/relationships/hyperlink" Target="http://www.sec.gov/Archives/edgar/data/1509470/000114420418005597/tv484843_ex99-1.htm" TargetMode="External"/><Relationship Id="rId129" Type="http://schemas.openxmlformats.org/officeDocument/2006/relationships/hyperlink" Target="http://www.sec.gov/Archives/edgar/data/1509470/000114420419014017/tv516273_ex10-2.htm" TargetMode="External"/><Relationship Id="rId130" Type="http://schemas.openxmlformats.org/officeDocument/2006/relationships/hyperlink" Target="http://www.sec.gov/Archives/edgar/data/1509470/000114420416113919/v431147_ex99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2019-12-28T13:49:29Z</dcterms:created>
  <dcterms:modified xsi:type="dcterms:W3CDTF">2019-12-28T13:49:29Z</dcterms:modified>
</cp:coreProperties>
</file>