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n-2a.htm"/>
      <w:bookmarkStart w:id="1" w:name="ksformn2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Act File No. </w:t>
      </w:r>
      <w:bookmarkStart w:id="2" w:name="xdx_908_edei--EntityFileNumber_c20260923"/>
      <w:bookmarkEnd w:id="2"/>
      <w:r>
        <w:rPr>
          <w:rFonts w:ascii="Times New Roman;Times;Serif" w:hAnsi="Times New Roman;Times;Serif"/>
          <w:b/>
          <w:i w:val="false"/>
          <w:caps w:val="false"/>
          <w:smallCaps w:val="false"/>
          <w:sz w:val="20"/>
        </w:rPr>
        <w:t>333-297852</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U.S. 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3" w:name="xdx_90A_edei--EntityInvCompanyType_c2026"/>
      <w:bookmarkStart w:id="4" w:name="xdx_90D_edei--DocumentType_dxL_c20260923"/>
      <w:bookmarkEnd w:id="3"/>
      <w:bookmarkEnd w:id="4"/>
      <w:r>
        <w:rPr>
          <w:rFonts w:ascii="Times New Roman;Times;Serif" w:hAnsi="Times New Roman;Times;Serif"/>
          <w:b/>
          <w:i w:val="false"/>
          <w:caps w:val="false"/>
          <w:smallCaps w:val="false"/>
          <w:sz w:val="36"/>
        </w:rPr>
        <w:t>N-2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UNDER THE SECURITIES ACT OF 1933</w:t>
      </w:r>
      <w:r>
        <w:rPr>
          <w:rFonts w:ascii="Times New Roman;Times;Serif" w:hAnsi="Times New Roman;Times;Serif"/>
          <w:b/>
          <w:i w:val="false"/>
          <w:caps w:val="false"/>
          <w:smallCaps w:val="false"/>
          <w:sz w:val="20"/>
        </w:rPr>
        <w:t xml:space="preserve"> </w:t>
      </w:r>
      <w:bookmarkStart w:id="5" w:name="xdx_901_edei--DocumentRegistrationStatem"/>
      <w:bookmarkEnd w:id="5"/>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Pre-Effective </w:t>
      </w:r>
      <w:bookmarkStart w:id="6" w:name="xdx_908_edei--AmendmentDescription_c2026"/>
      <w:bookmarkEnd w:id="6"/>
      <w:r>
        <w:rPr>
          <w:rFonts w:ascii="Times New Roman;Times;Serif" w:hAnsi="Times New Roman;Times;Serif"/>
          <w:b w:val="false"/>
          <w:i w:val="false"/>
          <w:caps w:val="false"/>
          <w:smallCaps w:val="false"/>
          <w:sz w:val="20"/>
        </w:rPr>
        <w:t xml:space="preserve">Amendment No. </w:t>
      </w:r>
      <w:bookmarkStart w:id="7" w:name="xdx_90B_edei--PreEffectiveAmendmentNumbe"/>
      <w:bookmarkEnd w:id="7"/>
      <w:r>
        <w:rPr>
          <w:rFonts w:ascii="Times New Roman;Times;Serif" w:hAnsi="Times New Roman;Times;Serif"/>
          <w:b w:val="false"/>
          <w:i w:val="false"/>
          <w:caps w:val="false"/>
          <w:smallCaps w:val="false"/>
          <w:sz w:val="20"/>
        </w:rPr>
        <w:t xml:space="preserve">1 </w:t>
      </w:r>
      <w:bookmarkStart w:id="8" w:name="xdx_90A_edei--PreEffectiveAmendment_c202"/>
      <w:bookmarkEnd w:id="8"/>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Post-Effective Amendment No. </w:t>
      </w:r>
      <w:bookmarkStart w:id="9" w:name="xdx_903_edei--PostEffectiveAmendment_c20"/>
      <w:bookmarkEnd w:id="9"/>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10" w:name="xdx_90A_edei--EntityRegistrantName_c2026"/>
      <w:bookmarkEnd w:id="10"/>
      <w:r>
        <w:rPr>
          <w:rFonts w:ascii="Times New Roman;Times;Serif" w:hAnsi="Times New Roman;Times;Serif"/>
          <w:b/>
          <w:i w:val="false"/>
          <w:caps w:val="false"/>
          <w:smallCaps w:val="false"/>
          <w:sz w:val="36"/>
        </w:rPr>
        <w:t>NEOSTELLAR CAPITAL CORP.</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(f/k/a SuRo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0_edei--EntityAddressAddressLine1_"/>
      <w:bookmarkEnd w:id="11"/>
      <w:r>
        <w:rPr>
          <w:rFonts w:ascii="Times New Roman;Times;Serif" w:hAnsi="Times New Roman;Times;Serif"/>
          <w:b/>
          <w:i w:val="false"/>
          <w:caps w:val="false"/>
          <w:smallCaps w:val="false"/>
          <w:sz w:val="20"/>
        </w:rPr>
        <w:t xml:space="preserve">640 Fifth Avenue, </w:t>
      </w:r>
      <w:bookmarkStart w:id="12" w:name="xdx_904_edei--EntityAddressAddressLine2_"/>
      <w:bookmarkEnd w:id="12"/>
      <w:r>
        <w:rPr>
          <w:rFonts w:ascii="Times New Roman;Times;Serif" w:hAnsi="Times New Roman;Times;Serif"/>
          <w:b/>
          <w:i w:val="false"/>
          <w:caps w:val="false"/>
          <w:smallCaps w:val="false"/>
          <w:sz w:val="20"/>
        </w:rPr>
        <w:t>12th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C_edei--EntityAddressCityOrTown_c2"/>
      <w:bookmarkEnd w:id="13"/>
      <w:r>
        <w:rPr>
          <w:rFonts w:ascii="Times New Roman;Times;Serif" w:hAnsi="Times New Roman;Times;Serif"/>
          <w:b/>
          <w:i w:val="false"/>
          <w:caps w:val="false"/>
          <w:smallCaps w:val="false"/>
          <w:sz w:val="20"/>
        </w:rPr>
        <w:t xml:space="preserve">New York, </w:t>
      </w:r>
      <w:bookmarkStart w:id="14" w:name="xdx_909_edei--EntityAddressStateOrProvin"/>
      <w:bookmarkEnd w:id="14"/>
      <w:r>
        <w:rPr>
          <w:rFonts w:ascii="Times New Roman;Times;Serif" w:hAnsi="Times New Roman;Times;Serif"/>
          <w:b/>
          <w:i w:val="false"/>
          <w:caps w:val="false"/>
          <w:smallCaps w:val="false"/>
          <w:sz w:val="20"/>
        </w:rPr>
        <w:t xml:space="preserve">NY </w:t>
      </w:r>
      <w:bookmarkStart w:id="15" w:name="xdx_90B_edei--EntityAddressPostalZipCode"/>
      <w:bookmarkEnd w:id="15"/>
      <w:r>
        <w:rPr>
          <w:rFonts w:ascii="Times New Roman;Times;Serif" w:hAnsi="Times New Roman;Times;Serif"/>
          <w:b/>
          <w:i w:val="false"/>
          <w:caps w:val="false"/>
          <w:smallCaps w:val="false"/>
          <w:sz w:val="20"/>
        </w:rPr>
        <w:t>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9_edei--CityAreaCode_c20260923__20"/>
      <w:bookmarkEnd w:id="16"/>
      <w:r>
        <w:rPr>
          <w:rFonts w:ascii="Times New Roman;Times;Serif" w:hAnsi="Times New Roman;Times;Serif"/>
          <w:b/>
          <w:i w:val="false"/>
          <w:caps w:val="false"/>
          <w:smallCaps w:val="false"/>
          <w:sz w:val="20"/>
        </w:rPr>
        <w:t xml:space="preserve">(212) </w:t>
      </w:r>
      <w:bookmarkStart w:id="17" w:name="xdx_903_edei--LocalPhoneNumber_c20260923"/>
      <w:bookmarkEnd w:id="17"/>
      <w:r>
        <w:rPr>
          <w:rFonts w:ascii="Times New Roman;Times;Serif" w:hAnsi="Times New Roman;Times;Serif"/>
          <w:b/>
          <w:i w:val="false"/>
          <w:caps w:val="false"/>
          <w:smallCaps w:val="false"/>
          <w:sz w:val="20"/>
        </w:rPr>
        <w:t>931-6331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xdx_90A_edei--ContactPersonnelName_c2026"/>
      <w:bookmarkEnd w:id="18"/>
      <w:r>
        <w:rPr>
          <w:rFonts w:ascii="Times New Roman;Times;Serif" w:hAnsi="Times New Roman;Times;Serif"/>
          <w:b/>
          <w:i w:val="false"/>
          <w:caps w:val="false"/>
          <w:smallCaps w:val="false"/>
          <w:sz w:val="20"/>
        </w:rPr>
        <w:t>Mark D. Klein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and President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xdx_908_edei--EntityAddressAddressLine1_"/>
      <w:bookmarkEnd w:id="19"/>
      <w:r>
        <w:rPr>
          <w:rFonts w:ascii="Times New Roman;Times;Serif" w:hAnsi="Times New Roman;Times;Serif"/>
          <w:b/>
          <w:i w:val="false"/>
          <w:caps w:val="false"/>
          <w:smallCaps w:val="false"/>
          <w:sz w:val="20"/>
        </w:rPr>
        <w:t>Neostellar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xdx_90F_edei--EntityAddressAddressLine2_"/>
      <w:bookmarkEnd w:id="20"/>
      <w:r>
        <w:rPr>
          <w:rFonts w:ascii="Times New Roman;Times;Serif" w:hAnsi="Times New Roman;Times;Serif"/>
          <w:b/>
          <w:i w:val="false"/>
          <w:caps w:val="false"/>
          <w:smallCaps w:val="false"/>
          <w:sz w:val="20"/>
        </w:rPr>
        <w:t xml:space="preserve">640 Fifth Avenue, </w:t>
      </w:r>
      <w:bookmarkStart w:id="21" w:name="xdx_906_edei--EntityAddressAddressLine3_"/>
      <w:bookmarkEnd w:id="21"/>
      <w:r>
        <w:rPr>
          <w:rFonts w:ascii="Times New Roman;Times;Serif" w:hAnsi="Times New Roman;Times;Serif"/>
          <w:b/>
          <w:i w:val="false"/>
          <w:caps w:val="false"/>
          <w:smallCaps w:val="false"/>
          <w:sz w:val="20"/>
        </w:rPr>
        <w:t>12th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xdx_90E_edei--EntityAddressCityOrTown_c2"/>
      <w:bookmarkEnd w:id="22"/>
      <w:r>
        <w:rPr>
          <w:rFonts w:ascii="Times New Roman;Times;Serif" w:hAnsi="Times New Roman;Times;Serif"/>
          <w:b/>
          <w:i w:val="false"/>
          <w:caps w:val="false"/>
          <w:smallCaps w:val="false"/>
          <w:sz w:val="20"/>
        </w:rPr>
        <w:t xml:space="preserve">New York, </w:t>
      </w:r>
      <w:bookmarkStart w:id="23" w:name="xdx_90D_edei--EntityAddressStateOrProvin"/>
      <w:bookmarkEnd w:id="23"/>
      <w:r>
        <w:rPr>
          <w:rFonts w:ascii="Times New Roman;Times;Serif" w:hAnsi="Times New Roman;Times;Serif"/>
          <w:b/>
          <w:i w:val="false"/>
          <w:caps w:val="false"/>
          <w:smallCaps w:val="false"/>
          <w:sz w:val="20"/>
        </w:rPr>
        <w:t xml:space="preserve">NY </w:t>
      </w:r>
      <w:bookmarkStart w:id="24" w:name="xdx_905_edei--EntityAddressPostalZipCode"/>
      <w:bookmarkEnd w:id="24"/>
      <w:r>
        <w:rPr>
          <w:rFonts w:ascii="Times New Roman;Times;Serif" w:hAnsi="Times New Roman;Times;Serif"/>
          <w:b/>
          <w:i w:val="false"/>
          <w:caps w:val="false"/>
          <w:smallCaps w:val="false"/>
          <w:sz w:val="20"/>
        </w:rPr>
        <w:t>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Payam Siadatpour,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Eversheds Sutherland (US)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 Sixth Street, NW, Suite 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 383-0100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proposed public offering:</w:t>
      </w:r>
      <w:r>
        <w:rPr>
          <w:rFonts w:ascii="Times New Roman;Times;Serif" w:hAnsi="Times New Roman;Times;Serif"/>
          <w:b w:val="false"/>
          <w:i w:val="false"/>
          <w:caps w:val="false"/>
          <w:smallCaps w:val="false"/>
          <w:sz w:val="20"/>
        </w:rPr>
        <w:t xml:space="preserve"> </w:t>
      </w:r>
      <w:bookmarkStart w:id="25" w:name="xdx_90D_edei--ApproximateDateOfCommencem"/>
      <w:bookmarkEnd w:id="25"/>
      <w:r>
        <w:rPr>
          <w:rFonts w:ascii="Times New Roman;Times;Serif" w:hAnsi="Times New Roman;Times;Serif"/>
          <w:b w:val="false"/>
          <w:i w:val="false"/>
          <w:caps w:val="false"/>
          <w:smallCaps w:val="false"/>
          <w:sz w:val="20"/>
        </w:rPr>
        <w:t>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caps w:val="false"/>
                <w:smallCaps w:val="false"/>
              </w:rPr>
            </w:pPr>
            <w:bookmarkStart w:id="26" w:name="xdx_90B_edei--DividendOrInterestReinvest"/>
            <w:bookmarkEnd w:id="26"/>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only securities being registered on this Form are being offered pursuant to dividend or interest reinvestment plans.</w:t>
            </w:r>
          </w:p>
        </w:tc>
      </w:tr>
      <w:tr>
        <w:trPr/>
        <w:tc>
          <w:tcPr>
            <w:tcW w:w="245" w:type="dxa"/>
            <w:tcBorders/>
            <w:vAlign w:val="center"/>
          </w:tcPr>
          <w:p>
            <w:pPr>
              <w:pStyle w:val="TableContents"/>
              <w:bidi w:val="0"/>
              <w:spacing w:before="0" w:after="283"/>
              <w:jc w:val="both"/>
              <w:rPr>
                <w:caps w:val="false"/>
                <w:smallCaps w:val="false"/>
              </w:rPr>
            </w:pPr>
            <w:bookmarkStart w:id="27" w:name="xdx_902_edei--DelayedOrContinuousOfferin"/>
            <w:bookmarkEnd w:id="27"/>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any securities being registered on this Form will be offered on a delayed or continuous basis in reliance on Rule 415 under the Securities Act of 1933 (“Securities Act”), other than securities offered in connection with a dividend reinvestment plan.</w:t>
            </w:r>
          </w:p>
        </w:tc>
      </w:tr>
      <w:tr>
        <w:trPr/>
        <w:tc>
          <w:tcPr>
            <w:tcW w:w="245" w:type="dxa"/>
            <w:tcBorders/>
            <w:vAlign w:val="center"/>
          </w:tcPr>
          <w:p>
            <w:pPr>
              <w:pStyle w:val="TableContents"/>
              <w:bidi w:val="0"/>
              <w:spacing w:before="0" w:after="283"/>
              <w:jc w:val="both"/>
              <w:rPr>
                <w:caps w:val="false"/>
                <w:smallCaps w:val="false"/>
              </w:rPr>
            </w:pPr>
            <w:bookmarkStart w:id="28" w:name="xdx_901_ecef--PrimaryShelfFlag_c20260923"/>
            <w:bookmarkEnd w:id="28"/>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this Form is a registration statement pursuant to General Instruction A.2 or a post-effective amendment thereto.</w:t>
            </w:r>
          </w:p>
        </w:tc>
      </w:tr>
      <w:tr>
        <w:trPr/>
        <w:tc>
          <w:tcPr>
            <w:tcW w:w="245" w:type="dxa"/>
            <w:tcBorders/>
            <w:vAlign w:val="center"/>
          </w:tcPr>
          <w:p>
            <w:pPr>
              <w:pStyle w:val="TableContents"/>
              <w:bidi w:val="0"/>
              <w:spacing w:before="0" w:after="283"/>
              <w:jc w:val="both"/>
              <w:rPr>
                <w:caps w:val="false"/>
                <w:smallCaps w:val="false"/>
              </w:rPr>
            </w:pPr>
            <w:bookmarkStart w:id="29" w:name="xdx_90F_edei--EffectiveUponFiling462e_c2"/>
            <w:bookmarkEnd w:id="29"/>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this Form is a registration statement pursuant to General Instruction B or a post-effective amendment thereto that will become effective upon filing with the Commission pursuant to Rule 462(e) under the Securities Act.</w:t>
            </w:r>
          </w:p>
        </w:tc>
      </w:tr>
      <w:tr>
        <w:trPr/>
        <w:tc>
          <w:tcPr>
            <w:tcW w:w="245" w:type="dxa"/>
            <w:tcBorders/>
            <w:vAlign w:val="center"/>
          </w:tcPr>
          <w:p>
            <w:pPr>
              <w:pStyle w:val="TableContents"/>
              <w:bidi w:val="0"/>
              <w:spacing w:before="0" w:after="283"/>
              <w:jc w:val="both"/>
              <w:rPr>
                <w:caps w:val="false"/>
                <w:smallCaps w:val="false"/>
              </w:rPr>
            </w:pPr>
            <w:bookmarkStart w:id="30" w:name="xdx_90A_edei--AdditionalSecuritiesEffect"/>
            <w:bookmarkEnd w:id="30"/>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this Form is a post-effective amendment to a registration statement filed pursuant to General Instruction B to register additional securities or additional classes of securities pursuant to Rule 413(b) under the Securities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proposed that this filing will become effective (check appropriate box):</w:t>
      </w:r>
    </w:p>
    <w:p>
      <w:pPr>
        <w:pStyle w:val="TextBody"/>
        <w:bidi w:val="0"/>
        <w:spacing w:before="0" w:after="0"/>
        <w:ind w:left="0" w:right="0" w:firstLine="48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245"/>
        <w:gridCol w:w="5660"/>
      </w:tblGrid>
      <w:tr>
        <w:trPr/>
        <w:tc>
          <w:tcPr>
            <w:tcW w:w="245" w:type="dxa"/>
            <w:tcBorders/>
            <w:vAlign w:val="center"/>
          </w:tcPr>
          <w:p>
            <w:pPr>
              <w:pStyle w:val="TableContents"/>
              <w:bidi w:val="0"/>
              <w:spacing w:before="0" w:after="283"/>
              <w:jc w:val="both"/>
              <w:rPr>
                <w:caps w:val="false"/>
                <w:smallCaps w:val="false"/>
              </w:rPr>
            </w:pPr>
            <w:bookmarkStart w:id="31" w:name="xdx_901_edei--EffectiveWhenDeclaredSecti"/>
            <w:bookmarkEnd w:id="31"/>
            <w:r>
              <w:rPr>
                <w:caps w:val="false"/>
                <w:smallCaps w:val="false"/>
              </w:rPr>
              <w:t>☐</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declared effective pursuant to Section 8(c) of the Securities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appropriate, check the following box: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caps w:val="false"/>
                <w:smallCaps w:val="false"/>
              </w:rPr>
            </w:pPr>
            <w:bookmarkStart w:id="32" w:name="xdx_908_edei--NewEffectiveDateForPreviou"/>
            <w:bookmarkEnd w:id="32"/>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designates a new effective date for a previously filed [post-effective amendment] [registration statement].</w:t>
            </w:r>
          </w:p>
        </w:tc>
      </w:tr>
      <w:tr>
        <w:trPr/>
        <w:tc>
          <w:tcPr>
            <w:tcW w:w="245" w:type="dxa"/>
            <w:tcBorders/>
            <w:vAlign w:val="center"/>
          </w:tcPr>
          <w:p>
            <w:pPr>
              <w:pStyle w:val="TableContents"/>
              <w:bidi w:val="0"/>
              <w:spacing w:before="0" w:after="283"/>
              <w:jc w:val="both"/>
              <w:rPr>
                <w:caps w:val="false"/>
                <w:smallCaps w:val="false"/>
              </w:rPr>
            </w:pPr>
            <w:bookmarkStart w:id="33" w:name="xdx_90E_edei--AdditionalSecurities462b_c"/>
            <w:bookmarkEnd w:id="33"/>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is filed to register additional securities for an offering pursuant to Rule 462(b) under the Securities Act, and the Securities Act registration statement number of the earlier effective registration statement for the same offering is: _______.</w:t>
            </w:r>
          </w:p>
        </w:tc>
      </w:tr>
      <w:tr>
        <w:trPr/>
        <w:tc>
          <w:tcPr>
            <w:tcW w:w="245" w:type="dxa"/>
            <w:tcBorders/>
            <w:vAlign w:val="center"/>
          </w:tcPr>
          <w:p>
            <w:pPr>
              <w:pStyle w:val="TableContents"/>
              <w:bidi w:val="0"/>
              <w:spacing w:before="0" w:after="283"/>
              <w:jc w:val="both"/>
              <w:rPr>
                <w:caps w:val="false"/>
                <w:smallCaps w:val="false"/>
              </w:rPr>
            </w:pPr>
            <w:bookmarkStart w:id="34" w:name="xdx_909_edei--NoSubstantiveChanges462c_c"/>
            <w:bookmarkEnd w:id="34"/>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is a post-effective amendment filed pursuant to Rule 462(c) under the Securities Act, and the Securities Act registration statement number of the earlier effective registration statement for the same offering is:_______.</w:t>
            </w:r>
          </w:p>
        </w:tc>
      </w:tr>
      <w:tr>
        <w:trPr/>
        <w:tc>
          <w:tcPr>
            <w:tcW w:w="245" w:type="dxa"/>
            <w:tcBorders/>
            <w:vAlign w:val="center"/>
          </w:tcPr>
          <w:p>
            <w:pPr>
              <w:pStyle w:val="TableContents"/>
              <w:bidi w:val="0"/>
              <w:spacing w:before="0" w:after="283"/>
              <w:jc w:val="both"/>
              <w:rPr>
                <w:caps w:val="false"/>
                <w:smallCaps w:val="false"/>
              </w:rPr>
            </w:pPr>
            <w:bookmarkStart w:id="35" w:name="xdx_90C_edei--ExhibitsOnly462d_c20260923"/>
            <w:bookmarkEnd w:id="35"/>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is a post-effective amendment filed pursuant to Rule 462(d) under the Securities Act, and the Securities Act registration statement number of the earlier effective registration statement for the same offering is:_______.</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each box that appropriately characterizes the Registrant: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caps w:val="false"/>
                <w:smallCaps w:val="false"/>
              </w:rPr>
            </w:pPr>
            <w:bookmarkStart w:id="36" w:name="xdx_906_ecef--RegisteredClosedEndFundFla"/>
            <w:bookmarkEnd w:id="36"/>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Closed-End Fund (closed-end company that is registered under the Investment Company Act of 1940 (“Investment Company Act”)).</w:t>
            </w:r>
          </w:p>
        </w:tc>
      </w:tr>
      <w:tr>
        <w:trPr/>
        <w:tc>
          <w:tcPr>
            <w:tcW w:w="245" w:type="dxa"/>
            <w:tcBorders/>
            <w:vAlign w:val="center"/>
          </w:tcPr>
          <w:p>
            <w:pPr>
              <w:pStyle w:val="TableContents"/>
              <w:bidi w:val="0"/>
              <w:spacing w:before="0" w:after="283"/>
              <w:jc w:val="both"/>
              <w:rPr>
                <w:caps w:val="false"/>
                <w:smallCaps w:val="false"/>
              </w:rPr>
            </w:pPr>
            <w:bookmarkStart w:id="37" w:name="xdx_900_ecef--BusinessDevelopmentCompany"/>
            <w:bookmarkEnd w:id="37"/>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Development Company (closed-end company that intends or has elected to be regulated as a business development company under the Investment Company Act).</w:t>
            </w:r>
          </w:p>
        </w:tc>
      </w:tr>
      <w:tr>
        <w:trPr/>
        <w:tc>
          <w:tcPr>
            <w:tcW w:w="245" w:type="dxa"/>
            <w:tcBorders/>
            <w:vAlign w:val="center"/>
          </w:tcPr>
          <w:p>
            <w:pPr>
              <w:pStyle w:val="TableContents"/>
              <w:bidi w:val="0"/>
              <w:spacing w:before="0" w:after="283"/>
              <w:jc w:val="both"/>
              <w:rPr>
                <w:caps w:val="false"/>
                <w:smallCaps w:val="false"/>
              </w:rPr>
            </w:pPr>
            <w:bookmarkStart w:id="38" w:name="xdx_903_ecef--IntervalFundFlag_c20260923"/>
            <w:bookmarkEnd w:id="38"/>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Interval Fund (Registered Closed-End Fund or a Business Development Company that makes periodic repurchase offers under Rule 23c-3 under the Investment Company Act).</w:t>
            </w:r>
          </w:p>
        </w:tc>
      </w:tr>
      <w:tr>
        <w:trPr/>
        <w:tc>
          <w:tcPr>
            <w:tcW w:w="245" w:type="dxa"/>
            <w:tcBorders/>
            <w:vAlign w:val="center"/>
          </w:tcPr>
          <w:p>
            <w:pPr>
              <w:pStyle w:val="TableContents"/>
              <w:bidi w:val="0"/>
              <w:spacing w:before="0" w:after="283"/>
              <w:jc w:val="both"/>
              <w:rPr>
                <w:caps w:val="false"/>
                <w:smallCaps w:val="false"/>
              </w:rPr>
            </w:pPr>
            <w:bookmarkStart w:id="39" w:name="xdx_902_ecef--PrimaryShelfQualifiedFlag_"/>
            <w:bookmarkEnd w:id="39"/>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 Qualified (qualified to register securities pursuant to General Instruction A.2 of this Form).</w:t>
            </w:r>
          </w:p>
        </w:tc>
      </w:tr>
      <w:tr>
        <w:trPr/>
        <w:tc>
          <w:tcPr>
            <w:tcW w:w="245" w:type="dxa"/>
            <w:tcBorders/>
            <w:vAlign w:val="center"/>
          </w:tcPr>
          <w:p>
            <w:pPr>
              <w:pStyle w:val="TableContents"/>
              <w:bidi w:val="0"/>
              <w:spacing w:before="0" w:after="283"/>
              <w:jc w:val="both"/>
              <w:rPr>
                <w:caps w:val="false"/>
                <w:smallCaps w:val="false"/>
              </w:rPr>
            </w:pPr>
            <w:bookmarkStart w:id="40" w:name="xdx_907_edei--EntityWellKnownSeasonedIss"/>
            <w:bookmarkEnd w:id="40"/>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Well-Known Seasoned Issuer (as defined by Rule 405 under the Securities Act).</w:t>
            </w:r>
          </w:p>
        </w:tc>
      </w:tr>
      <w:tr>
        <w:trPr/>
        <w:tc>
          <w:tcPr>
            <w:tcW w:w="245" w:type="dxa"/>
            <w:tcBorders/>
            <w:vAlign w:val="center"/>
          </w:tcPr>
          <w:p>
            <w:pPr>
              <w:pStyle w:val="TableContents"/>
              <w:bidi w:val="0"/>
              <w:spacing w:before="0" w:after="283"/>
              <w:jc w:val="both"/>
              <w:rPr>
                <w:caps w:val="false"/>
                <w:smallCaps w:val="false"/>
              </w:rPr>
            </w:pPr>
            <w:bookmarkStart w:id="41" w:name="xdx_90D_edei--EntityEmergingGrowthCompan"/>
            <w:bookmarkEnd w:id="41"/>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(as defined by Rule 12b-2 under the Securities Exchange Act of 1934 (“Exchange Act”)).</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w:t>
            </w:r>
          </w:p>
        </w:tc>
      </w:tr>
      <w:tr>
        <w:trPr/>
        <w:tc>
          <w:tcPr>
            <w:tcW w:w="245" w:type="dxa"/>
            <w:tcBorders/>
            <w:vAlign w:val="center"/>
          </w:tcPr>
          <w:p>
            <w:pPr>
              <w:pStyle w:val="TableContents"/>
              <w:bidi w:val="0"/>
              <w:spacing w:before="0" w:after="283"/>
              <w:jc w:val="both"/>
              <w:rPr>
                <w:caps w:val="false"/>
                <w:smallCaps w:val="false"/>
              </w:rPr>
            </w:pPr>
            <w:bookmarkStart w:id="42" w:name="xdx_901_ecef--NewCefOrBdcRegistrantFlag_"/>
            <w:bookmarkEnd w:id="42"/>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Registrant (registered or regulated under the Investment Company Act for less than 12 calendar months preceding this filing).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SEPTEMBER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$500,000,000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Neostellar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externally managed, non-diversified, closed-end management investment company that has elected to be regulated as a business development company (“BDC”) under the Investment Company Act of 1940, as amended (the “1940 Act”). We have also elected to be treated as a regulated investment company (“RIC”) under subchapter M of the Internal Revenue Code of 1986, as amended (the “Code”), and expect to continue to operate in a manner so as to qualify for the tax treatment applicable to RICs. We commenced operations upon completion of our initial public offering (“IPO”) in May 2011. Effective July 15, 2026, we are externally managed by Neostellar Advisors LLC (the “Adviser”), an investment adviser registered under the Investment Advisers Act of 1940, as amended, that is jointly owned by certain of the Adviser’s investment professionals and by Magnetar Holdings LLC. See “Prospectus Summary — The Externalization.”</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 capital-backed emerging companies. We acquire our investments through direct investments in prospective portfolio companies, secondary marketplaces for private companies, and negotiations with selling stockholders. In addition, we may invest in private credit and in founders equity, founders warrants, forward purchase agreements, and private investment in public equity transactions of special purpose acquisition companies. We may also invest on an opportunistic basis in select publicly traded equity securities or certain non-U.S. companies that otherwise meet our investment criteria, subject to applicable requirements of the 1940 Act.</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focused on equity positions, our investments generally do not produce current income, and therefore, we may be dependent on future capital raising to meet our operating needs if no other source of liquidity is available. We seek to create a low-turnover portfolio that includes investments in companies representing a broad range of investment themes.</w:t>
      </w:r>
    </w:p>
    <w:p>
      <w:pPr>
        <w:pStyle w:val="TextBody"/>
        <w:bidi w:val="0"/>
        <w:spacing w:before="0" w:after="0"/>
        <w:ind w:left="0" w:right="0" w:firstLine="5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from time to time, in one or more offerings, up to $500,000,000 of our common stock, preferred stock, subscription rights to purchase shares of our common stock, debt securities, and warrants representing rights to purchase shares of our common stock, preferred stock or debt securities, which we refer to, collectively, as our “securities.” The preferred stock, subscription rights, warrants and debt securities offered hereby may be convertible or exchangeable into shares of our common stock. The securities may be offered at prices and on terms to be described in one or more supplements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share of our common stock, less any underwriting commissions or discounts, will generally not be less than the net asset value per share of our common stock at the time we make the offering. However, we may in the future seek to issue shares of our common stock pursuant to this prospectus at a price per share that is less than our net asset value per share (i) with the prior approval of the majority of our common stockholders or (ii) under such other circumstances as the U.S. Securities and Exchange Commission (the “SEC”) may permit. In addition, even if we seek and obtain stockholder approval to sell our common stock at a price below our net asset value per share, we cannot do so unless our board of directors (the “Board of Directors”) determines that it would be in our and our stockholders’ best interests to do so.</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may be offered directly to one or more purchasers, or through agents designated from time to time by us, or to or through underwriters or dealers. The prospectus supplement relating to an offering will identify any agents or underwriters involved in the sale of our securities, and will disclose any applicable purchase price, fee, commission or discount arrangement between us and our agents or underwriters or among our underwriters or the basis upon which such amount may be calculated. See “Plan of Distribution” in this prospectus. We may not sell any of our securities through agents, underwriters or dealers or otherwise without delivery of this prospectus and a prospectus supplement describing the method and terms of the offering of securities.</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under the symbol “NSLR.” As of September 22, 2026, the last reported sales price on the Nasdaq Global Select Market for our common stock was $8.30 per share.</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and the documents incorporated by reference, before buying any of the securities being offered under this prospectus and the aforementioned documents. We file annual, quarterly and current reports, proxy statements, and other information with the SEC (http://www.sec.gov), which are available free of charge by contacting us by mail at 640 Fifth Avenue, 12th Floor, New York, NY 10019, on our website at neostellar.vc, by telephone at (212) 931-6331, or by email at IR@neostellaradvisors.vc. This prospectus should be retained for future reference. Information contained on our website is not incorporated by reference into this prospectus or any supplements to this prospectus, and you should not consider that information to be part of this prospectus or any supplements to this prospectus. The contact information provided above may be used by you to make investor inquiries.</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i/>
          <w:caps w:val="false"/>
          <w:smallCaps w:val="false"/>
          <w:sz w:val="20"/>
        </w:rPr>
        <w:t xml:space="preserve">An investment in our securities is very risky and highly speculative. Shares of closed-end investment companies, including BDCs, frequently trade at a discount to their net asset value. In addition, the companies in which we invest are subject to special risks. See “Risk Factors” beginning on page 15 of this prospectus, in Part I, Item 1A of our most recent Annual Report on </w:t>
      </w:r>
      <w:hyperlink r:id="rId2">
        <w:r>
          <w:rPr>
            <w:rStyle w:val="InternetLink"/>
            <w:rFonts w:ascii="Times New Roman;Times;Serif" w:hAnsi="Times New Roman;Times;Serif"/>
            <w:b/>
            <w:i/>
            <w:caps w:val="false"/>
            <w:smallCaps w:val="false"/>
            <w:sz w:val="20"/>
          </w:rPr>
          <w:t>Form 10-K</w:t>
        </w:r>
      </w:hyperlink>
      <w:r>
        <w:rPr>
          <w:rFonts w:ascii="Times New Roman;Times;Serif" w:hAnsi="Times New Roman;Times;Serif"/>
          <w:b/>
          <w:i/>
          <w:caps w:val="false"/>
          <w:smallCaps w:val="false"/>
          <w:sz w:val="20"/>
        </w:rPr>
        <w:t xml:space="preserve">, in Part II, Item 1A of our most recent Quarterly Report on </w:t>
      </w:r>
      <w:hyperlink r:id="rId3">
        <w:r>
          <w:rPr>
            <w:rStyle w:val="InternetLink"/>
            <w:rFonts w:ascii="Times New Roman;Times;Serif" w:hAnsi="Times New Roman;Times;Serif"/>
            <w:b/>
            <w:i/>
            <w:caps w:val="false"/>
            <w:smallCaps w:val="false"/>
            <w:sz w:val="20"/>
          </w:rPr>
          <w:t>Form 10-Q</w:t>
        </w:r>
      </w:hyperlink>
      <w:r>
        <w:rPr>
          <w:rFonts w:ascii="Times New Roman;Times;Serif" w:hAnsi="Times New Roman;Times;Serif"/>
          <w:b/>
          <w:i/>
          <w:caps w:val="false"/>
          <w:smallCaps w:val="false"/>
          <w:sz w:val="20"/>
        </w:rPr>
        <w:t xml:space="preserve"> and in, or incorporated by reference into, the applicable prospectus supplement and in any free writing prospectuses we may authorize for use in connection with a specific offering, and under similar headings in the other documents that are incorporated by reference into this prospectus, to read about factors you should consider, including the risk of leverage, before investing in our securities.</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consummate sales of securities unless accompanied by a prospectus supplement.</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5705"/>
        <w:gridCol w:w="455"/>
      </w:tblGrid>
      <w:tr>
        <w:trPr/>
        <w:tc>
          <w:tcPr>
            <w:tcW w:w="57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705" w:type="dxa"/>
            <w:tcBorders/>
            <w:shd w:fill="CCEEFF" w:val="clear"/>
            <w:vAlign w:val="center"/>
          </w:tcPr>
          <w:p>
            <w:pPr>
              <w:pStyle w:val="TableContents"/>
              <w:bidi w:val="0"/>
              <w:spacing w:before="0" w:after="283"/>
              <w:jc w:val="both"/>
              <w:rPr/>
            </w:pPr>
            <w:hyperlink w:anchor="Aa_001">
              <w:r>
                <w:rPr>
                  <w:rStyle w:val="InternetLink"/>
                  <w:rFonts w:ascii="Times New Roman;Times;Serif" w:hAnsi="Times New Roman;Times;Serif"/>
                  <w:b/>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r>
      <w:tr>
        <w:trPr/>
        <w:tc>
          <w:tcPr>
            <w:tcW w:w="5705" w:type="dxa"/>
            <w:tcBorders/>
            <w:shd w:fill="FFFFFF" w:val="clear"/>
            <w:vAlign w:val="center"/>
          </w:tcPr>
          <w:p>
            <w:pPr>
              <w:pStyle w:val="TableContents"/>
              <w:bidi w:val="0"/>
              <w:spacing w:before="0" w:after="283"/>
              <w:jc w:val="both"/>
              <w:rPr/>
            </w:pPr>
            <w:hyperlink w:anchor="Aa_002">
              <w:r>
                <w:rPr>
                  <w:rStyle w:val="InternetLink"/>
                  <w:rFonts w:ascii="Times New Roman;Times;Serif" w:hAnsi="Times New Roman;Times;Serif"/>
                  <w:b/>
                  <w:i w:val="false"/>
                  <w:caps w:val="false"/>
                  <w:smallCaps w:val="false"/>
                  <w:sz w:val="20"/>
                </w:rPr>
                <w:t>Prospectus Summary</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r>
      <w:tr>
        <w:trPr/>
        <w:tc>
          <w:tcPr>
            <w:tcW w:w="5705" w:type="dxa"/>
            <w:tcBorders/>
            <w:shd w:fill="CCEEFF" w:val="clear"/>
            <w:vAlign w:val="center"/>
          </w:tcPr>
          <w:p>
            <w:pPr>
              <w:pStyle w:val="TableContents"/>
              <w:bidi w:val="0"/>
              <w:spacing w:before="0" w:after="283"/>
              <w:jc w:val="both"/>
              <w:rPr/>
            </w:pPr>
            <w:hyperlink w:anchor="Aa_003">
              <w:r>
                <w:rPr>
                  <w:rStyle w:val="InternetLink"/>
                  <w:rFonts w:ascii="Times New Roman;Times;Serif" w:hAnsi="Times New Roman;Times;Serif"/>
                  <w:b/>
                  <w:i w:val="false"/>
                  <w:caps w:val="false"/>
                  <w:smallCaps w:val="false"/>
                  <w:sz w:val="20"/>
                </w:rPr>
                <w:t>The Offering</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r>
      <w:tr>
        <w:trPr/>
        <w:tc>
          <w:tcPr>
            <w:tcW w:w="5705" w:type="dxa"/>
            <w:tcBorders/>
            <w:shd w:fill="FFFFFF" w:val="clear"/>
            <w:vAlign w:val="center"/>
          </w:tcPr>
          <w:p>
            <w:pPr>
              <w:pStyle w:val="TableContents"/>
              <w:bidi w:val="0"/>
              <w:spacing w:before="0" w:after="283"/>
              <w:jc w:val="both"/>
              <w:rPr/>
            </w:pPr>
            <w:hyperlink w:anchor="Aa_004">
              <w:r>
                <w:rPr>
                  <w:rStyle w:val="InternetLink"/>
                  <w:rFonts w:ascii="Times New Roman;Times;Serif" w:hAnsi="Times New Roman;Times;Serif"/>
                  <w:b/>
                  <w:i w:val="false"/>
                  <w:caps w:val="false"/>
                  <w:smallCaps w:val="false"/>
                  <w:sz w:val="20"/>
                </w:rPr>
                <w:t>Fees and Expenses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r>
      <w:tr>
        <w:trPr/>
        <w:tc>
          <w:tcPr>
            <w:tcW w:w="5705" w:type="dxa"/>
            <w:tcBorders/>
            <w:shd w:fill="CCEEFF" w:val="clear"/>
            <w:vAlign w:val="center"/>
          </w:tcPr>
          <w:p>
            <w:pPr>
              <w:pStyle w:val="TableContents"/>
              <w:bidi w:val="0"/>
              <w:spacing w:before="0" w:after="283"/>
              <w:jc w:val="both"/>
              <w:rPr/>
            </w:pPr>
            <w:hyperlink w:anchor="Aa_005">
              <w:r>
                <w:rPr>
                  <w:rStyle w:val="InternetLink"/>
                  <w:rFonts w:ascii="Times New Roman;Times;Serif" w:hAnsi="Times New Roman;Times;Serif"/>
                  <w:b/>
                  <w:i w:val="false"/>
                  <w:caps w:val="false"/>
                  <w:smallCaps w:val="false"/>
                  <w:sz w:val="20"/>
                </w:rPr>
                <w:t>Financial Highlights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r>
      <w:tr>
        <w:trPr/>
        <w:tc>
          <w:tcPr>
            <w:tcW w:w="5705" w:type="dxa"/>
            <w:tcBorders/>
            <w:shd w:fill="FFFFFF" w:val="clear"/>
            <w:vAlign w:val="center"/>
          </w:tcPr>
          <w:p>
            <w:pPr>
              <w:pStyle w:val="TableContents"/>
              <w:bidi w:val="0"/>
              <w:spacing w:before="0" w:after="283"/>
              <w:jc w:val="both"/>
              <w:rPr/>
            </w:pPr>
            <w:hyperlink w:anchor="Aa_006">
              <w:r>
                <w:rPr>
                  <w:rStyle w:val="InternetLink"/>
                  <w:rFonts w:ascii="Times New Roman;Times;Serif" w:hAnsi="Times New Roman;Times;Serif"/>
                  <w:b/>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r>
      <w:tr>
        <w:trPr/>
        <w:tc>
          <w:tcPr>
            <w:tcW w:w="5705" w:type="dxa"/>
            <w:tcBorders/>
            <w:shd w:fill="CCEEFF" w:val="clear"/>
            <w:vAlign w:val="center"/>
          </w:tcPr>
          <w:p>
            <w:pPr>
              <w:pStyle w:val="TableContents"/>
              <w:bidi w:val="0"/>
              <w:spacing w:before="0" w:after="283"/>
              <w:jc w:val="both"/>
              <w:rPr/>
            </w:pPr>
            <w:hyperlink w:anchor="Aa_007">
              <w:r>
                <w:rPr>
                  <w:rStyle w:val="InternetLink"/>
                  <w:rFonts w:ascii="Times New Roman;Times;Serif" w:hAnsi="Times New Roman;Times;Serif"/>
                  <w:b/>
                  <w:i w:val="false"/>
                  <w:caps w:val="false"/>
                  <w:smallCaps w:val="false"/>
                  <w:sz w:val="20"/>
                </w:rPr>
                <w:t>Cautionary Statement Regarding Forward-Looking Statements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r>
      <w:tr>
        <w:trPr/>
        <w:tc>
          <w:tcPr>
            <w:tcW w:w="5705" w:type="dxa"/>
            <w:tcBorders/>
            <w:shd w:fill="FFFFFF" w:val="clear"/>
            <w:vAlign w:val="center"/>
          </w:tcPr>
          <w:p>
            <w:pPr>
              <w:pStyle w:val="TableContents"/>
              <w:bidi w:val="0"/>
              <w:spacing w:before="0" w:after="283"/>
              <w:jc w:val="both"/>
              <w:rPr/>
            </w:pPr>
            <w:hyperlink w:anchor="Aa_008">
              <w:r>
                <w:rPr>
                  <w:rStyle w:val="InternetLink"/>
                  <w:rFonts w:ascii="Times New Roman;Times;Serif" w:hAnsi="Times New Roman;Times;Serif"/>
                  <w:b/>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r>
      <w:tr>
        <w:trPr/>
        <w:tc>
          <w:tcPr>
            <w:tcW w:w="5705" w:type="dxa"/>
            <w:tcBorders/>
            <w:shd w:fill="CCEEFF" w:val="clear"/>
            <w:vAlign w:val="center"/>
          </w:tcPr>
          <w:p>
            <w:pPr>
              <w:pStyle w:val="TableContents"/>
              <w:bidi w:val="0"/>
              <w:spacing w:before="0" w:after="283"/>
              <w:jc w:val="both"/>
              <w:rPr/>
            </w:pPr>
            <w:hyperlink w:anchor="Aa_009">
              <w:r>
                <w:rPr>
                  <w:rStyle w:val="InternetLink"/>
                  <w:rFonts w:ascii="Times New Roman;Times;Serif" w:hAnsi="Times New Roman;Times;Serif"/>
                  <w:b/>
                  <w:i w:val="false"/>
                  <w:caps w:val="false"/>
                  <w:smallCaps w:val="false"/>
                  <w:sz w:val="20"/>
                </w:rPr>
                <w:t>Price Range of Common Stock and Distributions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r>
      <w:tr>
        <w:trPr/>
        <w:tc>
          <w:tcPr>
            <w:tcW w:w="5705" w:type="dxa"/>
            <w:tcBorders/>
            <w:shd w:fill="FFFFFF" w:val="clear"/>
            <w:vAlign w:val="center"/>
          </w:tcPr>
          <w:p>
            <w:pPr>
              <w:pStyle w:val="TableContents"/>
              <w:bidi w:val="0"/>
              <w:spacing w:before="0" w:after="283"/>
              <w:jc w:val="both"/>
              <w:rPr/>
            </w:pPr>
            <w:hyperlink w:anchor="Aa_010">
              <w:r>
                <w:rPr>
                  <w:rStyle w:val="InternetLink"/>
                  <w:rFonts w:ascii="Times New Roman;Times;Serif" w:hAnsi="Times New Roman;Times;Serif"/>
                  <w:b/>
                  <w:i w:val="false"/>
                  <w:caps w:val="false"/>
                  <w:smallCaps w:val="false"/>
                  <w:sz w:val="20"/>
                </w:rPr>
                <w:t>Senior Securities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r>
      <w:tr>
        <w:trPr/>
        <w:tc>
          <w:tcPr>
            <w:tcW w:w="5705" w:type="dxa"/>
            <w:tcBorders/>
            <w:shd w:fill="CCEEFF" w:val="clear"/>
            <w:vAlign w:val="center"/>
          </w:tcPr>
          <w:p>
            <w:pPr>
              <w:pStyle w:val="TableContents"/>
              <w:bidi w:val="0"/>
              <w:spacing w:before="0" w:after="283"/>
              <w:jc w:val="both"/>
              <w:rPr/>
            </w:pPr>
            <w:hyperlink w:anchor="Aa_011">
              <w:r>
                <w:rPr>
                  <w:rStyle w:val="InternetLink"/>
                  <w:rFonts w:ascii="Times New Roman;Times;Serif" w:hAnsi="Times New Roman;Times;Serif"/>
                  <w:b/>
                  <w:i w:val="false"/>
                  <w:caps w:val="false"/>
                  <w:smallCaps w:val="false"/>
                  <w:sz w:val="20"/>
                </w:rPr>
                <w:t>Business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r>
      <w:tr>
        <w:trPr/>
        <w:tc>
          <w:tcPr>
            <w:tcW w:w="5705" w:type="dxa"/>
            <w:tcBorders/>
            <w:shd w:fill="FFFFFF" w:val="clear"/>
            <w:vAlign w:val="center"/>
          </w:tcPr>
          <w:p>
            <w:pPr>
              <w:pStyle w:val="TableContents"/>
              <w:bidi w:val="0"/>
              <w:spacing w:before="0" w:after="283"/>
              <w:jc w:val="both"/>
              <w:rPr/>
            </w:pPr>
            <w:hyperlink w:anchor="Aa_012">
              <w:r>
                <w:rPr>
                  <w:rStyle w:val="InternetLink"/>
                  <w:rFonts w:ascii="Times New Roman;Times;Serif" w:hAnsi="Times New Roman;Times;Serif"/>
                  <w:b/>
                  <w:i w:val="false"/>
                  <w:caps w:val="false"/>
                  <w:smallCaps w:val="false"/>
                  <w:sz w:val="20"/>
                </w:rPr>
                <w:t>Portfolio Companies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r>
      <w:tr>
        <w:trPr/>
        <w:tc>
          <w:tcPr>
            <w:tcW w:w="5705" w:type="dxa"/>
            <w:tcBorders/>
            <w:shd w:fill="CCEEFF" w:val="clear"/>
            <w:vAlign w:val="center"/>
          </w:tcPr>
          <w:p>
            <w:pPr>
              <w:pStyle w:val="TableContents"/>
              <w:bidi w:val="0"/>
              <w:spacing w:before="0" w:after="283"/>
              <w:jc w:val="both"/>
              <w:rPr/>
            </w:pPr>
            <w:hyperlink w:anchor="Aa_013">
              <w:r>
                <w:rPr>
                  <w:rStyle w:val="InternetLink"/>
                  <w:rFonts w:ascii="Times New Roman;Times;Serif" w:hAnsi="Times New Roman;Times;Serif"/>
                  <w:b/>
                  <w:i w:val="false"/>
                  <w:caps w:val="false"/>
                  <w:smallCaps w:val="false"/>
                  <w:sz w:val="20"/>
                </w:rPr>
                <w:t>Portfolio Management</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r>
      <w:tr>
        <w:trPr/>
        <w:tc>
          <w:tcPr>
            <w:tcW w:w="5705" w:type="dxa"/>
            <w:tcBorders/>
            <w:shd w:fill="FFFFFF" w:val="clear"/>
            <w:vAlign w:val="center"/>
          </w:tcPr>
          <w:p>
            <w:pPr>
              <w:pStyle w:val="TableContents"/>
              <w:bidi w:val="0"/>
              <w:spacing w:before="0" w:after="283"/>
              <w:jc w:val="both"/>
              <w:rPr/>
            </w:pPr>
            <w:hyperlink w:anchor="Aa_014">
              <w:r>
                <w:rPr>
                  <w:rStyle w:val="InternetLink"/>
                  <w:rFonts w:ascii="Times New Roman;Times;Serif" w:hAnsi="Times New Roman;Times;Serif"/>
                  <w:b/>
                  <w:i w:val="false"/>
                  <w:caps w:val="false"/>
                  <w:smallCaps w:val="false"/>
                  <w:sz w:val="20"/>
                </w:rPr>
                <w:t>Management and Other Agreements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r>
      <w:tr>
        <w:trPr/>
        <w:tc>
          <w:tcPr>
            <w:tcW w:w="5705" w:type="dxa"/>
            <w:tcBorders/>
            <w:shd w:fill="CCEEFF" w:val="clear"/>
            <w:vAlign w:val="center"/>
          </w:tcPr>
          <w:p>
            <w:pPr>
              <w:pStyle w:val="TableContents"/>
              <w:bidi w:val="0"/>
              <w:spacing w:before="0" w:after="283"/>
              <w:jc w:val="both"/>
              <w:rPr/>
            </w:pPr>
            <w:hyperlink w:anchor="Aa_015">
              <w:r>
                <w:rPr>
                  <w:rStyle w:val="InternetLink"/>
                  <w:rFonts w:ascii="Times New Roman;Times;Serif" w:hAnsi="Times New Roman;Times;Serif"/>
                  <w:b/>
                  <w:i w:val="false"/>
                  <w:caps w:val="false"/>
                  <w:smallCaps w:val="false"/>
                  <w:sz w:val="20"/>
                </w:rPr>
                <w:t>Corporate Governance</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5705" w:type="dxa"/>
            <w:tcBorders/>
            <w:shd w:fill="FFFFFF" w:val="clear"/>
            <w:vAlign w:val="center"/>
          </w:tcPr>
          <w:p>
            <w:pPr>
              <w:pStyle w:val="TableContents"/>
              <w:bidi w:val="0"/>
              <w:spacing w:before="0" w:after="283"/>
              <w:jc w:val="both"/>
              <w:rPr/>
            </w:pPr>
            <w:hyperlink w:anchor="Aa_016">
              <w:r>
                <w:rPr>
                  <w:rStyle w:val="InternetLink"/>
                  <w:rFonts w:ascii="Times New Roman;Times;Serif" w:hAnsi="Times New Roman;Times;Serif"/>
                  <w:b/>
                  <w:i w:val="false"/>
                  <w:caps w:val="false"/>
                  <w:smallCaps w:val="false"/>
                  <w:sz w:val="20"/>
                </w:rPr>
                <w:t>Executive Compensation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r>
      <w:tr>
        <w:trPr/>
        <w:tc>
          <w:tcPr>
            <w:tcW w:w="5705" w:type="dxa"/>
            <w:tcBorders/>
            <w:shd w:fill="CCEEFF" w:val="clear"/>
            <w:vAlign w:val="center"/>
          </w:tcPr>
          <w:p>
            <w:pPr>
              <w:pStyle w:val="TableContents"/>
              <w:bidi w:val="0"/>
              <w:spacing w:before="0" w:after="283"/>
              <w:jc w:val="both"/>
              <w:rPr/>
            </w:pPr>
            <w:hyperlink w:anchor="Aa_017">
              <w:r>
                <w:rPr>
                  <w:rStyle w:val="InternetLink"/>
                  <w:rFonts w:ascii="Times New Roman;Times;Serif" w:hAnsi="Times New Roman;Times;Serif"/>
                  <w:b/>
                  <w:i w:val="false"/>
                  <w:caps w:val="false"/>
                  <w:smallCaps w:val="false"/>
                  <w:sz w:val="20"/>
                </w:rPr>
                <w:t>Related Party Transactions and Certain Relationships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r>
      <w:tr>
        <w:trPr/>
        <w:tc>
          <w:tcPr>
            <w:tcW w:w="5705" w:type="dxa"/>
            <w:tcBorders/>
            <w:shd w:fill="FFFFFF" w:val="clear"/>
            <w:vAlign w:val="center"/>
          </w:tcPr>
          <w:p>
            <w:pPr>
              <w:pStyle w:val="TableContents"/>
              <w:bidi w:val="0"/>
              <w:spacing w:before="0" w:after="283"/>
              <w:jc w:val="both"/>
              <w:rPr/>
            </w:pPr>
            <w:hyperlink w:anchor="Aa_018">
              <w:r>
                <w:rPr>
                  <w:rStyle w:val="InternetLink"/>
                  <w:rFonts w:ascii="Times New Roman;Times;Serif" w:hAnsi="Times New Roman;Times;Serif"/>
                  <w:b/>
                  <w:i w:val="false"/>
                  <w:caps w:val="false"/>
                  <w:smallCaps w:val="false"/>
                  <w:sz w:val="20"/>
                </w:rPr>
                <w:t>Security Ownership of Certain Beneficial Owners and Management</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w:t>
            </w:r>
          </w:p>
        </w:tc>
      </w:tr>
      <w:tr>
        <w:trPr/>
        <w:tc>
          <w:tcPr>
            <w:tcW w:w="5705" w:type="dxa"/>
            <w:tcBorders/>
            <w:shd w:fill="CCEEFF" w:val="clear"/>
            <w:vAlign w:val="center"/>
          </w:tcPr>
          <w:p>
            <w:pPr>
              <w:pStyle w:val="TableContents"/>
              <w:bidi w:val="0"/>
              <w:spacing w:before="0" w:after="283"/>
              <w:jc w:val="both"/>
              <w:rPr/>
            </w:pPr>
            <w:hyperlink w:anchor="Aa_019">
              <w:r>
                <w:rPr>
                  <w:rStyle w:val="InternetLink"/>
                  <w:rFonts w:ascii="Times New Roman;Times;Serif" w:hAnsi="Times New Roman;Times;Serif"/>
                  <w:b/>
                  <w:i w:val="false"/>
                  <w:caps w:val="false"/>
                  <w:smallCaps w:val="false"/>
                  <w:sz w:val="20"/>
                </w:rPr>
                <w:t>Regulation as a Business Development Company</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r>
      <w:tr>
        <w:trPr/>
        <w:tc>
          <w:tcPr>
            <w:tcW w:w="5705" w:type="dxa"/>
            <w:tcBorders/>
            <w:shd w:fill="FFFFFF" w:val="clear"/>
            <w:vAlign w:val="center"/>
          </w:tcPr>
          <w:p>
            <w:pPr>
              <w:pStyle w:val="TableContents"/>
              <w:bidi w:val="0"/>
              <w:spacing w:before="0" w:after="283"/>
              <w:jc w:val="both"/>
              <w:rPr/>
            </w:pPr>
            <w:hyperlink w:anchor="Aa_020">
              <w:r>
                <w:rPr>
                  <w:rStyle w:val="InternetLink"/>
                  <w:rFonts w:ascii="Times New Roman;Times;Serif" w:hAnsi="Times New Roman;Times;Serif"/>
                  <w:b/>
                  <w:i w:val="false"/>
                  <w:caps w:val="false"/>
                  <w:smallCaps w:val="false"/>
                  <w:sz w:val="20"/>
                </w:rPr>
                <w:t>Determination of Net Asset Value</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r>
      <w:tr>
        <w:trPr/>
        <w:tc>
          <w:tcPr>
            <w:tcW w:w="5705" w:type="dxa"/>
            <w:tcBorders/>
            <w:shd w:fill="CCEEFF" w:val="clear"/>
            <w:vAlign w:val="center"/>
          </w:tcPr>
          <w:p>
            <w:pPr>
              <w:pStyle w:val="TableContents"/>
              <w:bidi w:val="0"/>
              <w:spacing w:before="0" w:after="283"/>
              <w:jc w:val="both"/>
              <w:rPr/>
            </w:pPr>
            <w:hyperlink w:anchor="Aa_021">
              <w:r>
                <w:rPr>
                  <w:rStyle w:val="InternetLink"/>
                  <w:rFonts w:ascii="Times New Roman;Times;Serif" w:hAnsi="Times New Roman;Times;Serif"/>
                  <w:b/>
                  <w:i w:val="false"/>
                  <w:caps w:val="false"/>
                  <w:smallCaps w:val="false"/>
                  <w:sz w:val="20"/>
                </w:rPr>
                <w:t>Sales of Common Stock Below Net Asset Value</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w:t>
            </w:r>
          </w:p>
        </w:tc>
      </w:tr>
      <w:tr>
        <w:trPr/>
        <w:tc>
          <w:tcPr>
            <w:tcW w:w="5705" w:type="dxa"/>
            <w:tcBorders/>
            <w:shd w:fill="FFFFFF" w:val="clear"/>
            <w:vAlign w:val="center"/>
          </w:tcPr>
          <w:p>
            <w:pPr>
              <w:pStyle w:val="TableContents"/>
              <w:bidi w:val="0"/>
              <w:spacing w:before="0" w:after="283"/>
              <w:jc w:val="both"/>
              <w:rPr/>
            </w:pPr>
            <w:hyperlink w:anchor="BP_001">
              <w:r>
                <w:rPr>
                  <w:rStyle w:val="InternetLink"/>
                  <w:rFonts w:ascii="Times New Roman;Times;Serif" w:hAnsi="Times New Roman;Times;Serif"/>
                  <w:b/>
                  <w:i w:val="false"/>
                  <w:caps w:val="false"/>
                  <w:smallCaps w:val="false"/>
                  <w:sz w:val="20"/>
                </w:rPr>
                <w:t>Dividend Reinvestment Plan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r>
      <w:tr>
        <w:trPr/>
        <w:tc>
          <w:tcPr>
            <w:tcW w:w="5705" w:type="dxa"/>
            <w:tcBorders/>
            <w:shd w:fill="CCEEFF" w:val="clear"/>
            <w:vAlign w:val="center"/>
          </w:tcPr>
          <w:p>
            <w:pPr>
              <w:pStyle w:val="TableContents"/>
              <w:bidi w:val="0"/>
              <w:spacing w:before="0" w:after="283"/>
              <w:jc w:val="both"/>
              <w:rPr/>
            </w:pPr>
            <w:hyperlink w:anchor="BP_002">
              <w:r>
                <w:rPr>
                  <w:rStyle w:val="InternetLink"/>
                  <w:rFonts w:ascii="Times New Roman;Times;Serif" w:hAnsi="Times New Roman;Times;Serif"/>
                  <w:b/>
                  <w:i w:val="false"/>
                  <w:caps w:val="false"/>
                  <w:smallCaps w:val="false"/>
                  <w:sz w:val="20"/>
                </w:rPr>
                <w:t>Certain U.S. Federal Income Tax Considerations</w:t>
              </w:r>
            </w:hyperlink>
            <w:r>
              <w:rPr>
                <w:rFonts w:ascii="Times New Roman;Times;Serif" w:hAnsi="Times New Roman;Times;Serif"/>
                <w:b/>
                <w:i w:val="false"/>
                <w:caps w:val="false"/>
                <w:smallCaps w:val="false"/>
                <w:sz w:val="20"/>
              </w:rPr>
              <w:t xml:space="preserve"> </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r>
      <w:tr>
        <w:trPr/>
        <w:tc>
          <w:tcPr>
            <w:tcW w:w="5705" w:type="dxa"/>
            <w:tcBorders/>
            <w:shd w:fill="FFFFFF" w:val="clear"/>
            <w:vAlign w:val="center"/>
          </w:tcPr>
          <w:p>
            <w:pPr>
              <w:pStyle w:val="TableContents"/>
              <w:bidi w:val="0"/>
              <w:spacing w:before="0" w:after="283"/>
              <w:jc w:val="both"/>
              <w:rPr/>
            </w:pPr>
            <w:hyperlink w:anchor="BP_003">
              <w:r>
                <w:rPr>
                  <w:rStyle w:val="InternetLink"/>
                  <w:rFonts w:ascii="Times New Roman;Times;Serif" w:hAnsi="Times New Roman;Times;Serif"/>
                  <w:b/>
                  <w:i w:val="false"/>
                  <w:caps w:val="false"/>
                  <w:smallCaps w:val="false"/>
                  <w:sz w:val="20"/>
                </w:rPr>
                <w:t>Description of Our Securities</w:t>
              </w:r>
            </w:hyperlink>
            <w:r>
              <w:rPr>
                <w:rFonts w:ascii="Times New Roman;Times;Serif" w:hAnsi="Times New Roman;Times;Serif"/>
                <w:b/>
                <w:i w:val="false"/>
                <w:caps w:val="false"/>
                <w:smallCaps w:val="false"/>
                <w:sz w:val="20"/>
              </w:rPr>
              <w:t xml:space="preserve"> </w:t>
            </w:r>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r>
      <w:tr>
        <w:trPr/>
        <w:tc>
          <w:tcPr>
            <w:tcW w:w="5705" w:type="dxa"/>
            <w:tcBorders/>
            <w:shd w:fill="CCEEFF" w:val="clear"/>
            <w:vAlign w:val="center"/>
          </w:tcPr>
          <w:p>
            <w:pPr>
              <w:pStyle w:val="TableContents"/>
              <w:bidi w:val="0"/>
              <w:spacing w:before="0" w:after="283"/>
              <w:jc w:val="both"/>
              <w:rPr/>
            </w:pPr>
            <w:hyperlink w:anchor="BP_004">
              <w:r>
                <w:rPr>
                  <w:rStyle w:val="InternetLink"/>
                  <w:rFonts w:ascii="Times New Roman;Times;Serif" w:hAnsi="Times New Roman;Times;Serif"/>
                  <w:b/>
                  <w:i w:val="false"/>
                  <w:caps w:val="false"/>
                  <w:smallCaps w:val="false"/>
                  <w:sz w:val="20"/>
                </w:rPr>
                <w:t>Description of Our Capital Stock</w:t>
              </w:r>
            </w:hyperlink>
            <w:r>
              <w:rPr>
                <w:rFonts w:ascii="Times New Roman;Times;Serif" w:hAnsi="Times New Roman;Times;Serif"/>
                <w:b/>
                <w:i w:val="false"/>
                <w:caps w:val="false"/>
                <w:smallCaps w:val="false"/>
                <w:sz w:val="20"/>
              </w:rPr>
              <w:t xml:space="preserve"> </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r>
      <w:tr>
        <w:trPr/>
        <w:tc>
          <w:tcPr>
            <w:tcW w:w="5705" w:type="dxa"/>
            <w:tcBorders/>
            <w:shd w:fill="FFFFFF" w:val="clear"/>
            <w:vAlign w:val="center"/>
          </w:tcPr>
          <w:p>
            <w:pPr>
              <w:pStyle w:val="TableContents"/>
              <w:bidi w:val="0"/>
              <w:spacing w:before="0" w:after="283"/>
              <w:jc w:val="both"/>
              <w:rPr/>
            </w:pPr>
            <w:hyperlink w:anchor="BP_005">
              <w:r>
                <w:rPr>
                  <w:rStyle w:val="InternetLink"/>
                  <w:rFonts w:ascii="Times New Roman;Times;Serif" w:hAnsi="Times New Roman;Times;Serif"/>
                  <w:b/>
                  <w:i w:val="false"/>
                  <w:caps w:val="false"/>
                  <w:smallCaps w:val="false"/>
                  <w:sz w:val="20"/>
                </w:rPr>
                <w:t>Description of Our Preferred Stock</w:t>
              </w:r>
            </w:hyperlink>
            <w:r>
              <w:rPr>
                <w:rFonts w:ascii="Times New Roman;Times;Serif" w:hAnsi="Times New Roman;Times;Serif"/>
                <w:b/>
                <w:i w:val="false"/>
                <w:caps w:val="false"/>
                <w:smallCaps w:val="false"/>
                <w:sz w:val="20"/>
              </w:rPr>
              <w:t xml:space="preserve"> </w:t>
            </w:r>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w:t>
            </w:r>
          </w:p>
        </w:tc>
      </w:tr>
      <w:tr>
        <w:trPr/>
        <w:tc>
          <w:tcPr>
            <w:tcW w:w="5705" w:type="dxa"/>
            <w:tcBorders/>
            <w:shd w:fill="CCEEFF" w:val="clear"/>
            <w:vAlign w:val="center"/>
          </w:tcPr>
          <w:p>
            <w:pPr>
              <w:pStyle w:val="TableContents"/>
              <w:bidi w:val="0"/>
              <w:spacing w:before="0" w:after="283"/>
              <w:jc w:val="both"/>
              <w:rPr/>
            </w:pPr>
            <w:hyperlink w:anchor="BP_006">
              <w:r>
                <w:rPr>
                  <w:rStyle w:val="InternetLink"/>
                  <w:rFonts w:ascii="Times New Roman;Times;Serif" w:hAnsi="Times New Roman;Times;Serif"/>
                  <w:b/>
                  <w:i w:val="false"/>
                  <w:caps w:val="false"/>
                  <w:smallCaps w:val="false"/>
                  <w:sz w:val="20"/>
                </w:rPr>
                <w:t>Description of Our Subscription Rights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w:t>
            </w:r>
          </w:p>
        </w:tc>
      </w:tr>
      <w:tr>
        <w:trPr/>
        <w:tc>
          <w:tcPr>
            <w:tcW w:w="5705" w:type="dxa"/>
            <w:tcBorders/>
            <w:shd w:fill="FFFFFF" w:val="clear"/>
            <w:vAlign w:val="center"/>
          </w:tcPr>
          <w:p>
            <w:pPr>
              <w:pStyle w:val="TableContents"/>
              <w:bidi w:val="0"/>
              <w:spacing w:before="0" w:after="283"/>
              <w:jc w:val="both"/>
              <w:rPr/>
            </w:pPr>
            <w:hyperlink w:anchor="BP_007">
              <w:r>
                <w:rPr>
                  <w:rStyle w:val="InternetLink"/>
                  <w:rFonts w:ascii="Times New Roman;Times;Serif" w:hAnsi="Times New Roman;Times;Serif"/>
                  <w:b/>
                  <w:i w:val="false"/>
                  <w:caps w:val="false"/>
                  <w:smallCaps w:val="false"/>
                  <w:sz w:val="20"/>
                </w:rPr>
                <w:t>Description of Our Debt Securities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w:t>
            </w:r>
          </w:p>
        </w:tc>
      </w:tr>
      <w:tr>
        <w:trPr/>
        <w:tc>
          <w:tcPr>
            <w:tcW w:w="5705" w:type="dxa"/>
            <w:tcBorders/>
            <w:shd w:fill="CCEEFF" w:val="clear"/>
            <w:vAlign w:val="center"/>
          </w:tcPr>
          <w:p>
            <w:pPr>
              <w:pStyle w:val="TableContents"/>
              <w:bidi w:val="0"/>
              <w:spacing w:before="0" w:after="283"/>
              <w:jc w:val="both"/>
              <w:rPr/>
            </w:pPr>
            <w:hyperlink w:anchor="BP_008">
              <w:r>
                <w:rPr>
                  <w:rStyle w:val="InternetLink"/>
                  <w:rFonts w:ascii="Times New Roman;Times;Serif" w:hAnsi="Times New Roman;Times;Serif"/>
                  <w:b/>
                  <w:i w:val="false"/>
                  <w:caps w:val="false"/>
                  <w:smallCaps w:val="false"/>
                  <w:sz w:val="20"/>
                </w:rPr>
                <w:t>Description of Our Warrants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w:t>
            </w:r>
          </w:p>
        </w:tc>
      </w:tr>
      <w:tr>
        <w:trPr/>
        <w:tc>
          <w:tcPr>
            <w:tcW w:w="5705" w:type="dxa"/>
            <w:tcBorders/>
            <w:shd w:fill="FFFFFF" w:val="clear"/>
            <w:vAlign w:val="center"/>
          </w:tcPr>
          <w:p>
            <w:pPr>
              <w:pStyle w:val="TableContents"/>
              <w:bidi w:val="0"/>
              <w:spacing w:before="0" w:after="283"/>
              <w:jc w:val="both"/>
              <w:rPr/>
            </w:pPr>
            <w:hyperlink w:anchor="BP_009">
              <w:r>
                <w:rPr>
                  <w:rStyle w:val="InternetLink"/>
                  <w:rFonts w:ascii="Times New Roman;Times;Serif" w:hAnsi="Times New Roman;Times;Serif"/>
                  <w:b/>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w:t>
            </w:r>
          </w:p>
        </w:tc>
      </w:tr>
      <w:tr>
        <w:trPr/>
        <w:tc>
          <w:tcPr>
            <w:tcW w:w="5705" w:type="dxa"/>
            <w:tcBorders/>
            <w:shd w:fill="CCEEFF" w:val="clear"/>
            <w:vAlign w:val="center"/>
          </w:tcPr>
          <w:p>
            <w:pPr>
              <w:pStyle w:val="TableContents"/>
              <w:bidi w:val="0"/>
              <w:spacing w:before="0" w:after="283"/>
              <w:jc w:val="both"/>
              <w:rPr/>
            </w:pPr>
            <w:hyperlink w:anchor="BP_010">
              <w:r>
                <w:rPr>
                  <w:rStyle w:val="InternetLink"/>
                  <w:rFonts w:ascii="Times New Roman;Times;Serif" w:hAnsi="Times New Roman;Times;Serif"/>
                  <w:b/>
                  <w:i w:val="false"/>
                  <w:caps w:val="false"/>
                  <w:smallCaps w:val="false"/>
                  <w:sz w:val="20"/>
                </w:rPr>
                <w:t>Custodian, Transfer and Distribution Paying Agent and Registrar</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w:t>
            </w:r>
          </w:p>
        </w:tc>
      </w:tr>
      <w:tr>
        <w:trPr/>
        <w:tc>
          <w:tcPr>
            <w:tcW w:w="5705" w:type="dxa"/>
            <w:tcBorders/>
            <w:shd w:fill="FFFFFF" w:val="clear"/>
            <w:vAlign w:val="center"/>
          </w:tcPr>
          <w:p>
            <w:pPr>
              <w:pStyle w:val="TableContents"/>
              <w:bidi w:val="0"/>
              <w:spacing w:before="0" w:after="283"/>
              <w:jc w:val="both"/>
              <w:rPr/>
            </w:pPr>
            <w:hyperlink w:anchor="BP_011">
              <w:r>
                <w:rPr>
                  <w:rStyle w:val="InternetLink"/>
                  <w:rFonts w:ascii="Times New Roman;Times;Serif" w:hAnsi="Times New Roman;Times;Serif"/>
                  <w:b/>
                  <w:i w:val="false"/>
                  <w:caps w:val="false"/>
                  <w:smallCaps w:val="false"/>
                  <w:sz w:val="20"/>
                </w:rPr>
                <w:t>Brokerage Allocation and Other Practices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w:t>
            </w:r>
          </w:p>
        </w:tc>
      </w:tr>
      <w:tr>
        <w:trPr/>
        <w:tc>
          <w:tcPr>
            <w:tcW w:w="5705" w:type="dxa"/>
            <w:tcBorders/>
            <w:shd w:fill="CCEEFF" w:val="clear"/>
            <w:vAlign w:val="center"/>
          </w:tcPr>
          <w:p>
            <w:pPr>
              <w:pStyle w:val="TableContents"/>
              <w:bidi w:val="0"/>
              <w:spacing w:before="0" w:after="283"/>
              <w:jc w:val="both"/>
              <w:rPr/>
            </w:pPr>
            <w:hyperlink w:anchor="BP_012">
              <w:r>
                <w:rPr>
                  <w:rStyle w:val="InternetLink"/>
                  <w:rFonts w:ascii="Times New Roman;Times;Serif" w:hAnsi="Times New Roman;Times;Serif"/>
                  <w:b/>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w:t>
            </w:r>
          </w:p>
        </w:tc>
      </w:tr>
      <w:tr>
        <w:trPr/>
        <w:tc>
          <w:tcPr>
            <w:tcW w:w="5705" w:type="dxa"/>
            <w:tcBorders/>
            <w:shd w:fill="FFFFFF" w:val="clear"/>
            <w:vAlign w:val="center"/>
          </w:tcPr>
          <w:p>
            <w:pPr>
              <w:pStyle w:val="TableContents"/>
              <w:bidi w:val="0"/>
              <w:spacing w:before="0" w:after="283"/>
              <w:jc w:val="both"/>
              <w:rPr/>
            </w:pPr>
            <w:hyperlink w:anchor="BP_013">
              <w:r>
                <w:rPr>
                  <w:rStyle w:val="InternetLink"/>
                  <w:rFonts w:ascii="Times New Roman;Times;Serif" w:hAnsi="Times New Roman;Times;Serif"/>
                  <w:b/>
                  <w:i w:val="false"/>
                  <w:caps w:val="false"/>
                  <w:smallCaps w:val="false"/>
                  <w:sz w:val="20"/>
                </w:rPr>
                <w:t>Independent Registered Public Accounting Firm</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w:t>
            </w:r>
          </w:p>
        </w:tc>
      </w:tr>
      <w:tr>
        <w:trPr/>
        <w:tc>
          <w:tcPr>
            <w:tcW w:w="5705" w:type="dxa"/>
            <w:tcBorders/>
            <w:shd w:fill="CCEEFF" w:val="clear"/>
            <w:vAlign w:val="center"/>
          </w:tcPr>
          <w:p>
            <w:pPr>
              <w:pStyle w:val="TableContents"/>
              <w:bidi w:val="0"/>
              <w:spacing w:before="0" w:after="283"/>
              <w:jc w:val="both"/>
              <w:rPr/>
            </w:pPr>
            <w:hyperlink w:anchor="BP_014">
              <w:r>
                <w:rPr>
                  <w:rStyle w:val="InternetLink"/>
                  <w:rFonts w:ascii="Times New Roman;Times;Serif" w:hAnsi="Times New Roman;Times;Serif"/>
                  <w:b/>
                  <w:i w:val="false"/>
                  <w:caps w:val="false"/>
                  <w:smallCaps w:val="false"/>
                  <w:sz w:val="20"/>
                </w:rPr>
                <w:t>Incorporation of Certain Information by Reference</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r>
      <w:tr>
        <w:trPr/>
        <w:tc>
          <w:tcPr>
            <w:tcW w:w="5705" w:type="dxa"/>
            <w:tcBorders/>
            <w:shd w:fill="FFFFFF" w:val="clear"/>
            <w:vAlign w:val="center"/>
          </w:tcPr>
          <w:p>
            <w:pPr>
              <w:pStyle w:val="TableContents"/>
              <w:bidi w:val="0"/>
              <w:spacing w:before="0" w:after="283"/>
              <w:jc w:val="both"/>
              <w:rPr/>
            </w:pPr>
            <w:hyperlink w:anchor="BP_015">
              <w:r>
                <w:rPr>
                  <w:rStyle w:val="InternetLink"/>
                  <w:rFonts w:ascii="Times New Roman;Times;Serif" w:hAnsi="Times New Roman;Times;Serif"/>
                  <w:b/>
                  <w:i w:val="false"/>
                  <w:caps w:val="false"/>
                  <w:smallCaps w:val="false"/>
                  <w:sz w:val="20"/>
                </w:rPr>
                <w:t>Available Information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Aa_001"/>
      <w:bookmarkEnd w:id="43"/>
      <w:r>
        <w:rPr>
          <w:rFonts w:ascii="Times New Roman;Times;Serif" w:hAnsi="Times New Roman;Times;Serif"/>
          <w:b/>
          <w:i w:val="false"/>
          <w:caps w:val="false"/>
          <w:smallCaps w:val="false"/>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have filed with the SEC using the “shelf” registration process. Under this shelf registration statement, we may offer, from time to time, in one or more offerings, up to $500,000,000 of our common stock, preferred stock, subscription rights to purchase shares of our common stock, debt securities or warrants representing rights to purchase shares of our common stock, preferred stock or debt securities, on terms to be determined at the time of the offering. Our securities may be offered at prices and on terms described in one or more supplements to this prospectus. This prospectus provides you with a general description of our securities and the offerings thereof that we may make pursuant to this prospectus. Each time we use this prospectus to offer our securities, we will provide a prospectus supplement that will contain specific information about the terms of that offering. We may also authorize one or more free writing prospectuses to be provided to you that may contain material information relating to such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you should carefully read both this prospectus and the applicable prospectus supplement and any related free writing prospectus, together with any exhibits and the additional information described in the sections titled “Available Information,” “Incorporation of Certain Information by Reference,” “Prospectus Summary” and “Risk Factors”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This prospectus may contain estimates and information concerning our industry, including market size and growth rates of the markets in which we participate, that are based on industry publications and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in this prospectus, in Part I, Item 1A of our most recent Annual Report on </w:t>
      </w:r>
      <w:hyperlink r:id="rId4">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and in Part II, Item 1A of our most recent Quarterly Report on </w:t>
      </w:r>
      <w:hyperlink r:id="rId5">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that could cause results to differ materially from those expressed in these publications and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the section titled “Available Information”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included or incorporated by reference in this prospectus, any prospectus supplement, or in any free writing prospectus prepared by or on behalf of us or to which we have referred you. We have not authorized any dealer, salesperson or other person to provide you with different information or to make representations as to matters not stated in this prospectus or in any free writing prospectus prepared by or on behalf of us or to which we have referred you. We take no responsibility for, and can provide no assurance as to the reliability of, any other information that others may give you. If anyone provides you with different or inconsistent information, you should not rely on it. This prospectus, any applicable prospectus supplement and any free writing prospectus prepared by or on behalf of us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or any prospectus supplement or in any such free writing prospectus is accurate as of any date other than their respective dates.</w:t>
      </w:r>
    </w:p>
    <w:p>
      <w:pPr>
        <w:pStyle w:val="TextBody"/>
        <w:bidi w:val="0"/>
        <w:spacing w:before="0" w:after="0"/>
        <w:ind w:left="0" w:right="0" w:firstLine="72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44" w:name="Aa_002"/>
      <w:bookmarkEnd w:id="44"/>
      <w:r>
        <w:rPr>
          <w:rFonts w:ascii="Times New Roman;Times;Serif" w:hAnsi="Times New Roman;Times;Serif"/>
          <w:b/>
          <w:i w:val="false"/>
          <w:caps w:val="false"/>
          <w:smallCaps w:val="false"/>
          <w:sz w:val="20"/>
          <w:bdr w:val="single" w:sz="8" w:space="1" w:color="000000"/>
        </w:rPr>
        <w:t>PROSPECTUS SUMMARY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pPr>
      <w:r>
        <w:rPr>
          <w:rFonts w:ascii="Times New Roman;Times;Serif" w:hAnsi="Times New Roman;Times;Serif"/>
          <w:b w:val="false"/>
          <w:i/>
          <w:caps w:val="false"/>
          <w:smallCaps w:val="false"/>
          <w:sz w:val="20"/>
          <w:bdr w:val="single" w:sz="8" w:space="1" w:color="000000"/>
        </w:rPr>
        <w:t xml:space="preserve">The following summary contains basic information about offerings pursuant to this prospectus. It may not contain all the information that is important to you. For a more complete understanding of offerings pursuant to this prospectus, we encourage you to read this entire prospectus and the documents to which we have referred in this prospectus, together with any accompanying prospectus supplements or free writing prospectuses, including the risks set forth under the caption “Risk Factors” in Part I, Item 1A of our most recent Annual Report on </w:t>
      </w:r>
      <w:hyperlink r:id="rId6">
        <w:r>
          <w:rPr>
            <w:rStyle w:val="InternetLink"/>
            <w:rFonts w:ascii="Times New Roman;Times;Serif" w:hAnsi="Times New Roman;Times;Serif"/>
            <w:b w:val="false"/>
            <w:i/>
            <w:caps w:val="false"/>
            <w:smallCaps w:val="false"/>
            <w:sz w:val="20"/>
            <w:bdr w:val="single" w:sz="8" w:space="1" w:color="000000"/>
          </w:rPr>
          <w:t>Form 10-K</w:t>
        </w:r>
      </w:hyperlink>
      <w:r>
        <w:rPr>
          <w:rFonts w:ascii="Times New Roman;Times;Serif" w:hAnsi="Times New Roman;Times;Serif"/>
          <w:b w:val="false"/>
          <w:i/>
          <w:caps w:val="false"/>
          <w:smallCaps w:val="false"/>
          <w:sz w:val="20"/>
          <w:bdr w:val="single" w:sz="8" w:space="1" w:color="000000"/>
        </w:rPr>
        <w:t xml:space="preserve">, in Part II, Item 1A of our most recent Quarterly Report on </w:t>
      </w:r>
      <w:hyperlink r:id="rId7">
        <w:r>
          <w:rPr>
            <w:rStyle w:val="InternetLink"/>
            <w:rFonts w:ascii="Times New Roman;Times;Serif" w:hAnsi="Times New Roman;Times;Serif"/>
            <w:b w:val="false"/>
            <w:i/>
            <w:caps w:val="false"/>
            <w:smallCaps w:val="false"/>
            <w:sz w:val="20"/>
            <w:bdr w:val="single" w:sz="8" w:space="1" w:color="000000"/>
          </w:rPr>
          <w:t>Form 10-Q</w:t>
        </w:r>
      </w:hyperlink>
      <w:r>
        <w:rPr>
          <w:rFonts w:ascii="Times New Roman;Times;Serif" w:hAnsi="Times New Roman;Times;Serif"/>
          <w:b w:val="false"/>
          <w:i/>
          <w:caps w:val="false"/>
          <w:smallCaps w:val="false"/>
          <w:sz w:val="20"/>
          <w:bdr w:val="single" w:sz="8" w:space="1" w:color="000000"/>
        </w:rPr>
        <w:t>, in this prospectus, the applicable prospectus supplement and any related free writing prospectus, and under similar headings in any other documents that are incorporated by reference into this prospectus and the applicable prospectus supplement, and the information set forth under the caption “Available Information” in this prospectus.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Except where the context suggests otherwise, the terms “we,” “us,” “our,” the “Company” and “Neostellar” refer to Neostellar Capital Corp. (formerly known as SuRo Capital Corp.); the “Adviser” and “Neostellar Advisors” refer to Neostellar Advisors LLC; the “Administrator” refers to Neostellar Administrative Services LLC; the “Magnetar JV Entity” refers to Magnetar Holdings LLC; and “Magnetar” refers, collectively, to the broader alternative investment management business of which the Magnetar JV Entity is a part. References to the “Externalization” refer to our transition, effective July 15, 2026, from an internally managed BDC to an externally managed BDC managed by the Adviser, and the related change of our name from “SuRo Capital Corp.” to “Neostellar Capital Corp.”</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Neostellar Capital</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an externally managed, non-diversified, closed-end management investment company that was incorporated in Maryland on January 6, 2011. We have elected to be regulated as a BDC under the 1940 Act, and have elected to be treated, and intend to qualify annually, as a RIC under Subchapter M of the Code. Effective July 15, 2026, we are externally managed by the Adviser.</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date of inception was January 6, 2011, which is the date we commenced development stage activities, and we commenced operations as a BDC upon completion of our IPO in May 2011. Our common stock is listed on the Nasdaq Global Select Market under the symbol “NSLR” (formerly “SSSS,” and prior to that “GSVC”). We began our investment operations during the second quarter of 2011. On and effective June 22, 2020, we changed our name to “SuRo Capital Corp.” from “Sutter Rock Capital Corp.” On July 15, 2026, in connection with the Externalization, we changed our name to “Neostellar Capital Corp.” from “SuRo Capital Corp.”</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investment objective is to maximize our portfolio’s total return, principally by seeking capital gains on our equity and equity-related investments, and to a lesser extent, income from debt investments. In addition, we may invest in private credit and in founders equity, founders warrants, forward purchase agreements, and private investment in public equity transactions of special purpose acquisition companies. We invest principally in the equity securities of what we believe to be rapidly growing venture capital-backed emerging companies. We acquire our investments through direct investments in prospective portfolio companies, secondary marketplaces for private companies, and negotiations with selling stockholders. We may also invest on an opportunistic basis in select publicly traded equity securities or certain non-U.S. companies that otherwise meet our investment criteria. We may invest in private equity funds and hedge funds that are excluded from the definition of “investment company” under the 1940 Act by Section 3(c)(1) or 3(c)(7) of the 1940 Act in the future, although we do not expect investments in private equity funds to represent a principal component of our investment strategy. Before making any such investment in a private equity fund or hedge fund, the Adviser will analyze the business of the underlying portfolio companies of the fund, evaluate the manager of such funds, including their investment processes, investment performance, operational history, and any legal and tax considerations that could impact the Company. Private equity funds and hedge funds are not limited in how they invest their assets, and the underlying investments held by private equity funds may impact our strategies, risks, and costs. Stockholders may have limited information about the underlying investments of the private equity funds in which we invest, including with respect to such funds’ holdings, liquidity, and valuation. See “Risk Factors — Risks Relating to Our Investments — We may invest in private equity funds and through special purpose vehicles, joint ventures or similar private funds, and our investments through these vehicles may entail greater risks, or risks that we otherwise would not incur, than if we made such investments directly.”</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investment philosophy is based on a disciplined approach of identifying promising investments in high-growth, venture-backed companies across several key industry themes, which may include, among others, Artificial Intelligence Infrastructure &amp; Applications, Consumer Goods &amp; Services, Software-as-a-Service, Financial Technology &amp; Services, and Logistics &amp; Supply Chain.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seek to create a low-turnover portfolio that includes investments in companies representing a broad range of investment themes.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Operating and Regulatory Structure</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an externally managed, non-diversified, closed-end management investment company incorporated in Maryland. Following the Externalization, which became effective on July 15, 2026, we are externally managed by the Adviser. As an externally managed BDC, our investment activities are managed by the Adviser and supervised by our Board of Directors, a majority of whom are not “interested persons” (as defined in the 1940 Act) of the Company or the Adviser. The Adviser is responsible for sourcing potential investments, conducting due diligence on prospective investments, analyzing investment opportunities, structuring our investments, and monitoring our portfolio on an ongoing basis. We have also engaged the Administrator to provide the administrative services necessary for us to operate. See “Management and Other Agreements.”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bdr w:val="single" w:sz="8" w:space="1" w:color="000000"/>
        </w:rPr>
        <w:t xml:space="preserve">As a BDC, we are subject to certain regulatory requirements. See “Part I, Item 1 — Business — Regulation as a Business Development Company” in our most recent Annual Report on </w:t>
      </w:r>
      <w:hyperlink r:id="rId8">
        <w:r>
          <w:rPr>
            <w:rStyle w:val="InternetLink"/>
            <w:rFonts w:ascii="Times New Roman;Times;Serif" w:hAnsi="Times New Roman;Times;Serif"/>
            <w:b w:val="false"/>
            <w:i w:val="false"/>
            <w:caps w:val="false"/>
            <w:smallCaps w:val="false"/>
            <w:sz w:val="20"/>
            <w:bdr w:val="single" w:sz="8" w:space="1" w:color="000000"/>
          </w:rPr>
          <w:t>Form 10-K</w:t>
        </w:r>
      </w:hyperlink>
      <w:r>
        <w:rPr>
          <w:rFonts w:ascii="Times New Roman;Times;Serif" w:hAnsi="Times New Roman;Times;Serif"/>
          <w:b w:val="false"/>
          <w:i w:val="false"/>
          <w:caps w:val="false"/>
          <w:smallCaps w:val="false"/>
          <w:sz w:val="20"/>
          <w:bdr w:val="single" w:sz="8" w:space="1" w:color="000000"/>
        </w:rPr>
        <w:t xml:space="preserve">. Further, while we are permitted to finance investments using debt, our ability to use debt is limited in certain significant aspects. With certain limited exceptions, we may issue “senior securities,” including borrowing money from banks or other financial institutions only in amounts such that the ratio of our total assets (less total liabilities other than indebtedness represented by senior securities) to our total indebtedness represented by senior securities plus preferred stock, if any, is at least 200% (or 150% if certain conditions are met) after such incurrence or issuance. This means that generally, we can borrow up to $1 for every $1 of investor equity (or, if certain conditions are met, we can borrow up to $2 for every $1 of investor equity). In March 2018, the Small Business Credit Availability Act modified the 1940 Act by allowing a BDC to increase the maximum amount of leverage it may incur by decreasing the asset coverage percentage from 200% to 150%, if certain requirements under the 1940 Act are met. Under the 1940 Act,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1940 Act allows the majority of our independent directors to approve an increase in our leverage capacity, and such approval would become effective after the one-year anniversary of such approval. In either case, we would be required to make certain disclosures on our website and in SEC filings regarding, among other things, the receipt of approval to increase our leverage, our leverage capacity and usage, and risks related to leverage. We currently do not intend to seek stockholder approval or approval from our Board of Directors to increase our leverage capacity as set forth above. See “Risk Factors” in Part I, Item 1A in our most recent Annual Report on </w:t>
      </w:r>
      <w:hyperlink r:id="rId9">
        <w:r>
          <w:rPr>
            <w:rStyle w:val="InternetLink"/>
            <w:rFonts w:ascii="Times New Roman;Times;Serif" w:hAnsi="Times New Roman;Times;Serif"/>
            <w:b w:val="false"/>
            <w:i w:val="false"/>
            <w:caps w:val="false"/>
            <w:smallCaps w:val="false"/>
            <w:sz w:val="20"/>
            <w:bdr w:val="single" w:sz="8" w:space="1" w:color="000000"/>
          </w:rPr>
          <w:t>Form 10-K</w:t>
        </w:r>
      </w:hyperlink>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bdr w:val="single" w:sz="8" w:space="1" w:color="000000"/>
        </w:rPr>
        <w:t xml:space="preserve">We have elected to be treated as a RIC under Subchapter M of the Code and expect to continue to operate in a manner so as to qualify for the tax treatment applicable to RICs. See “Certain U.S. Federal Income Tax Considerations” in this prospectus and “Part II, Item 8 — Financial Statements and Supplementary Data — Note 2 — Significant Accounting Policies — U.S. Federal and State Income Taxes” and “Part II, Item 8 — Financial Statements and Supplementary Data — Note 9 — Income Taxes” in our most recent Annual Report on </w:t>
      </w:r>
      <w:hyperlink r:id="rId10">
        <w:r>
          <w:rPr>
            <w:rStyle w:val="InternetLink"/>
            <w:rFonts w:ascii="Times New Roman;Times;Serif" w:hAnsi="Times New Roman;Times;Serif"/>
            <w:b w:val="false"/>
            <w:i w:val="false"/>
            <w:caps w:val="false"/>
            <w:smallCaps w:val="false"/>
            <w:sz w:val="20"/>
            <w:bdr w:val="single" w:sz="8" w:space="1" w:color="000000"/>
          </w:rPr>
          <w:t>Form 10-K</w:t>
        </w:r>
      </w:hyperlink>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Externalization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Prior to the Externalization and since March 2019, we operated as an internally managed, non-diversified closed-end management investment company. In light of the competitive market environment and other factors considered by our management and the Board of Directors, we commenced a comprehensive review of the benefits of continuing to operate as an internally managed BDC, versus pursuing externalizing the Company’s management functions through a partnership with a larger asset management platform. At a meeting of the Board of Directors held on April 2, 2026, the Board of Directors, including all of the directors who are not “interested persons” of the Company (as defined in Section 2(a)(19) of the 1940 Act), unanimously voted to approve a new investment advisory agreement (the “Investment Advisory Agreement”) between us and Neostellar Advisors LLC, a Delaware limited liability company, contingent upon obtaining stockholder approval of the Investment Advisory Agreement. At a special meeting of stockholders held on June 10, 2026, our stockholders approved the Investment Advisory Agreement and as a result, effective July 15, 2026 (the “Effective Date”), we transitioned from an internally managed BDC to an externally managed BDC managed by the Adviser, and we changed our name from “SuRo Capital Corp.” to “Neostellar Capital Corp.” We refer to this transition, together with the related transactions, as the “Externalization.” In connection with the Externalization, we also entered into an administration agreement (the “Administration Agreement”) with Neostellar Administrative Services LLC, an affiliate of the Adviser.</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a result of the Externalization, we do not currently have any employees. Our investment and portfolio management functions are performed by the Adviser, and our administrative functions are performed by the Administrator, in each case pursuant to the Investment Advisory Agreement and the Administration Agreement, respectively. Most of the services necessary for the origination and management of our investment portfolio are provided by investment professionals employed by the Adviser or its affiliates. Our principal executive offices are located at 640 Fifth Avenue, 12th Floor, New York, NY 10019, and our telephone number is (212) 931-6331. We maintain a website at neostellar.vc. Information contained on our website is not incorporated by reference into this prospectus, and you should not consider information contained on our website to be part of this prospectus.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Adviser</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Adviser is a newly formed investment adviser registered under the Investment Advisers Act of 1940, as amended (the “Advisers Act”), that is jointly owned by certain of the Adviser’s investment professionals and by the Magnetar JV Entity. Subject to the overall supervision of our Board of Directors, the Adviser is responsible for managing our business and activities, including sourcing investment opportunities, conducting research and due diligence on prospective investments, structuring our investments, providing (or arranging for) managerial assistance to our portfolio companies, and monitoring our portfolio on an ongoing basis through a team of investment professionals. Our investment team, including Mark D. Klein and Allison Green, continue to manage our day-to-day operations, but as a result of the Externalization, are employed by the Adviser rather than us. Certain investment professionals of Magnetar’s dedicated ventures investment team (the “Magnetar Ventures Team”) have been added to our Investment Committee. However, Mr. Klein remains primarily responsible for the day-to-day management of our portfolio, subject to the Investment Committee’s review and oversight, consistent with our operations prior to the Externalization.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Magnetar</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Magnetar JV Entity is part of Magnetar, a multi-strategy, multi-product alternative investment platform headquartered in Evanston, Illinois. As of December 31, 2025, Magnetar managed approximately $17.8 billion in assets under management across various strategies, including alternative credit and fixed income, quantitative investing, and ventures strategies. We believe the Externalization provides continuity of investment philosophy while providing access to Magnetar’s larger platform and resources.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Management Fee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Investment Advisory Agreement, we pay the Adviser a base management fee (the “Base Management Fee”) and an incentive fee (the “Incentive Fee”). The Base Management Fee is calculated at an annual rate of 1.75% of our gross assets, payable monthly in arrears, calculated based on the average value of our gross assets at the end of the two most recently completed calendar quarters, and appropriately adjusted for any equity or debt capital raises, repurchases or redemptions during the current calendar quarter. See “Management and Other Agreements — Management Fee.”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Incentive Fee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Incentive Fee consists of two components: an income-based fee (the “Income-Based Fee”) and a capital gains fee (the “Capital Gains Fee”). No Incentive Fee is payable with respect to our portfolio of investments held prior to the Effective Date (“Pre-Existing Investments”); the Incentive Fee applies only to investments made on or after the Effective Date (“Eligible Investments”). See “Management and Other Agreements — Incentive Fee.”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Administration Agreement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Under the Administration Agreement, the Administrator provides, or oversees the performance of, administrative services necessary for our operation, and we reimburse the Administrator for our allocable portion of the Administrator’s costs and expenses, including the compensation of our Chief Compliance Officer and Chief Financial Officer and their respective staffs. See “Management and Other Agreements — Administration Agreement.”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Co-Investment Opportunities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connection with the Externalization, we, the Adviser and certain affiliated funds and accounts of the Adviser and Magnetar filed an application with the SEC on August 3, 2026 for co-investment exemptive relief under the 1940 Act (the “Exemptive Relief”) and, if the Exemptive Relief is obtained, we intend to rely on it to permit us to co-invest in suitable negotiated investments alongside present and future funds and accounts advised by the Adviser, Magnetar or their affiliates, subject to the conditions of the Exemptive Relief. Until the Exemptive Relief is obtained, our ability to co-invest alongside the Adviser, Magnetar and their affiliates in privately negotiated transactions will be limited by the 1940 Act and the rules thereunder. There can be no assurance that we will obtain the Exemptive Relief.</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Magnetar Investment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connection with the Externalization, on July 16, 2026, MCP Investing LLC, an affiliate of the Magnetar JV Entity (the “Purchaser”), purchased from the Company, for $20,000,000, a redeemable promissory note (the “Magnetar Investment”) pursuant to a Securities Purchase Agreement, dated as of June 26, 2026. The note bears interest at a rate of 6.50% per annum, payable semi-annually in cash, and matures in 2029. Following the Externalization, if we complete a transaction or series of transactions with the principal purpose of raising capital in which we issue and sell only shares of our Common Stock to investors other than the Purchaser for aggregate gross proceeds of at least $230.0 million at a price per share no less than our then-current net asset value (a “Qualified Fundraising”), the note will be redeemed automatically and repaid through the issuance of newly issued shares of our Common Stock at the price per share of Common Stock sold in the Qualified Fundraising or, if the Qualified Fundraising consists of a series of transactions, generally the price per share in the latest transaction in which we raised at least $5.0 million in aggregate net proceeds from purchasers that were not affiliates of the Company. If a Qualified Fundraising does not occur before maturity, we will be obligated to repay all outstanding principal and accrued interest under the note in cash at maturity. If we consummate a change of control while the note remains outstanding, we will be required to repay the Purchaser in cash in an amount equal to 105% of the outstanding principal and accrued interest. We have agreed to provide the Purchaser with certain resale registration rights with respect to any shares of our Common Stock issued upon redemption of the note. The issuance or resale of shares of our Common Stock in connection with the Magnetar Investment could be dilutive to existing stockholders. See “Management and Other Agreements — Magnetar Investment” and “Related Party Transactions and Certain Relationships.”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Conflicts of Interest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Externalization and our externally managed structure give rise to certain conflicts of interest, including that certain of the Adviser’s investment professionals negotiated the Investment Advisory Agreement and have ownership interests in, and are employed by, the Adviser, that certain transaction-related compensation and restricted-share vesting arrangements were tied to the consummation of the Externalization, and that the Adviser and Magnetar manage, and in the future may manage, other funds and accounts that may compete with us for investment opportunities. See “Risk Factors” and “Related Party Transactions and Certain Relationships.”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Investment Opportunity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believe that society is experiencing a convergence of numerous disruptive trends, producing new high-growth markets.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 the same time, we believe that the IPO markets have experienced substantial structural changes which have made it significantly more challenging for private companies to go public. Volatile equity markets, a lack of investment research coverage for private and smaller companies, and investor demand for a longer history of revenue and earnings growth have resulted in companies staying private significantly longer than in the past. In addition, increased public company compliance obligations, such as those imposed by the Sarbanes-Oxley Act of 2002, as amended, and the Dodd-Frank Wall Street Reform and Consumer Protection Act, have made it more costly and less attractive to become a public company. As a result, there are significantly fewer IPOs today than there were during the 1990s, with prospective public companies taking longer to come to market.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Investment Strategy</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seek to maintain our portfolio of potentially high-growth emerging private companies via a repeatable and disciplined investment approach, as well as to provide investors with access to such companies through our publicly traded common stock.</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investment objective is to maximize our portfolio’s total return, principally by seeking capital gains on our equity and equity-related investments, and to a lesser extent, income from debt investments. In addition, we may invest in private credit and in the founders equity, founders warrants, forward purchase agreements, and private investment in public equity (“PIPE”) transactions of special purpose acquisition companies (“SPACs”). We have adopted the following business strategies to achieve our investment objective:</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Identify high quality growth companies.</w:t>
            </w:r>
            <w:r>
              <w:rPr>
                <w:rFonts w:ascii="Times New Roman;Times;Serif" w:hAnsi="Times New Roman;Times;Serif"/>
                <w:b w:val="false"/>
                <w:i w:val="false"/>
                <w:caps w:val="false"/>
                <w:smallCaps w:val="false"/>
                <w:sz w:val="20"/>
              </w:rPr>
              <w:t xml:space="preserve"> Based on our extensive experience in analyzing technology trends and markets, we have identified several technology sub-sectors, including Artificial Intelligence Infrastructure &amp; Applications, Consumer Goods &amp; Services, Software-as-a-Service, Financial Technology &amp; Services, and Logistics &amp; Supply Chain, as opportunities where we believe companies are capable of producing substantial growth. We rely on our collective industry knowledge as well as an understanding of where leading venture capitalists and other institutional investors are investing.</w:t>
            </w:r>
          </w:p>
        </w:tc>
      </w:tr>
    </w:tbl>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leverage a combination of our relationships throughout Silicon Valley and our independent research to identify leaders in our targeted sub-sectors that we believe are differentiated and best positioned for sustained growth. Our team continues to expand our sourcing network in order to evaluate a wide range of investment opportunities in companies that demonstrate strong operating fundamentals. We are targeting businesses that have been shown to provide scaled valuation growth before a potential IPO or strategic exit.</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Acquire positions in targeted investments.</w:t>
            </w:r>
            <w:r>
              <w:rPr>
                <w:rFonts w:ascii="Times New Roman;Times;Serif" w:hAnsi="Times New Roman;Times;Serif"/>
                <w:b w:val="false"/>
                <w:i w:val="false"/>
                <w:caps w:val="false"/>
                <w:smallCaps w:val="false"/>
                <w:sz w:val="20"/>
              </w:rPr>
              <w:t xml:space="preserve"> We seek to selectively add to our portfolio by sourcing investments at an acceptable price through our disciplined investing strategy. To this end, we utilize multiple methods to acquire equity stakes in private companies that are not available to many individual investors.</w:t>
            </w:r>
          </w:p>
        </w:tc>
      </w:tr>
    </w:tbl>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Direct equity investments.</w:t>
      </w:r>
      <w:r>
        <w:rPr>
          <w:rFonts w:ascii="Times New Roman;Times;Serif" w:hAnsi="Times New Roman;Times;Serif"/>
          <w:b w:val="false"/>
          <w:i w:val="false"/>
          <w:caps w:val="false"/>
          <w:smallCaps w:val="false"/>
          <w:sz w:val="20"/>
          <w:bdr w:val="single" w:sz="8" w:space="1" w:color="000000"/>
        </w:rPr>
        <w:t xml:space="preserve"> We seek direct investments in private companies. There is a large market among emerging private companies for equity capital investments. Many of these companies, particularly within the technology sector, lack the necessary cash flows to sustain substantial amounts of debt, and therefore have viewed equity capital as a more attractive long-term financing tool. We seek to be a source of such equity capital as a means of investing in these companies and look for opportunities to invest alongside other venture capital and private equity investors with whom we have established relationships.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Private secondary marketplaces and direct share purchases. </w:t>
      </w:r>
      <w:r>
        <w:rPr>
          <w:rFonts w:ascii="Times New Roman;Times;Serif" w:hAnsi="Times New Roman;Times;Serif"/>
          <w:b w:val="false"/>
          <w:i w:val="false"/>
          <w:caps w:val="false"/>
          <w:smallCaps w:val="false"/>
          <w:sz w:val="20"/>
          <w:bdr w:val="single" w:sz="8" w:space="1" w:color="000000"/>
        </w:rPr>
        <w:t>We also utilize private secondary marketplaces as a means to acquire equity and equity-related interests in privately held companies that meet our investment criteria and that we believe are attractive candidates for investment. We believe that such markets offer new channels for access to equity investments in private companies and provide a potential source of liquidity should we decide to exit an investment. In addition, we also purchase shares directly from stockholders, including current or former employees. As certain companies grow and experience significant increased value while remaining private, employees and other stockholders may seek liquidity by selling shares directly to a third party or to a third party via a secondary marketplace. Sales of shares in private companies are typically restricted by contractual transfer restrictions and may be further restricted by provisions in company charter documents, investor rights of first refusal and co-sale and company employment and trading policies, which may impose strict limits on transfer. We believe that the reputation of our investment professionals within the industry and established history of investing affords us a favorable position when seeking approval for a purchase of shares subject to such limitations.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Create access to a varied investment portfolio.</w:t>
            </w:r>
            <w:r>
              <w:rPr>
                <w:rFonts w:ascii="Times New Roman;Times;Serif" w:hAnsi="Times New Roman;Times;Serif"/>
                <w:b w:val="false"/>
                <w:i w:val="false"/>
                <w:caps w:val="false"/>
                <w:smallCaps w:val="false"/>
                <w:sz w:val="20"/>
              </w:rPr>
              <w:t xml:space="preserve"> We seek to hold a varied portfolio of non-controlling equity investments, which we believe will minimize the impact on our portfolio of a negative downturn at any one specific company. We believe that our relatively varied portfolio will provide a convenient means for accredited and non-accredited individual investors to obtain access to an asset class that has generally been limited to venture capital, private equity and similar large institutional investors.</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our investment professionals to focus our investments in companies and industries that are more likely to result in beneficial returns to our stockholders.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Competitive Advantages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believe that we benefit from the following competitive advantages in executing our investment strategy:</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Capable team of investment professionals.</w:t>
            </w:r>
            <w:r>
              <w:rPr>
                <w:rFonts w:ascii="Times New Roman;Times;Serif" w:hAnsi="Times New Roman;Times;Serif"/>
                <w:b w:val="false"/>
                <w:i w:val="false"/>
                <w:caps w:val="false"/>
                <w:smallCaps w:val="false"/>
                <w:sz w:val="20"/>
              </w:rPr>
              <w:t xml:space="preserve"> The Adviser’s investment professionals and our Board of Directors have significant experience researching and investing in the types of high-growth venture-capital-backed companies we are targeting for investment. Through our proprietary company evaluation process, including our identification of technology trends and themes and company research, we believe we have developed important insight into identifying and valuing emerging private companies.</w:t>
            </w:r>
          </w:p>
        </w:tc>
      </w:tr>
    </w:tbl>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Disciplined and repeatable investment process.</w:t>
            </w:r>
            <w:r>
              <w:rPr>
                <w:rFonts w:ascii="Times New Roman;Times;Serif" w:hAnsi="Times New Roman;Times;Serif"/>
                <w:b w:val="false"/>
                <w:i w:val="false"/>
                <w:caps w:val="false"/>
                <w:smallCaps w:val="false"/>
                <w:sz w:val="20"/>
              </w:rPr>
              <w:t xml:space="preserve"> We have established a disciplined and repeatable process to locate and acquire available shares at attractive valuations by utilizing multiple sources. In contrast to industry “aggregators” that accumulate stock at market prices, we conduct valuation analysis and make acquisitions only when we can invest at valuations that we believe are attractive to our investors.</w:t>
            </w:r>
          </w:p>
        </w:tc>
      </w:tr>
    </w:tbl>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Deep relationships with significant credibility to source and complete transactions. </w:t>
            </w:r>
            <w:r>
              <w:rPr>
                <w:rFonts w:ascii="Times New Roman;Times;Serif" w:hAnsi="Times New Roman;Times;Serif"/>
                <w:b w:val="false"/>
                <w:i w:val="false"/>
                <w:caps w:val="false"/>
                <w:smallCaps w:val="false"/>
                <w:sz w:val="20"/>
              </w:rPr>
              <w:t>The Adviser’s investment professionals are strategically located in New York, New York and the San Francisco Bay Area, and, through the Adviser’s relationship with Magnetar, have access to Magnetar’s technology-focused investment team based in Menlo Park, California, allowing us to fully engage in the technology and innovation ecosystem. Our wide network of venture capital and technology professionals supports our sourcing efforts and helps provide access to promising investment opportunities. The Adviser’s investment professionals have also developed strong relationships in the financial, investing and technology-related sectors.</w:t>
            </w:r>
          </w:p>
        </w:tc>
      </w:tr>
    </w:tbl>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Source of permanent investing capital.</w:t>
            </w:r>
            <w:r>
              <w:rPr>
                <w:rFonts w:ascii="Times New Roman;Times;Serif" w:hAnsi="Times New Roman;Times;Serif"/>
                <w:b w:val="false"/>
                <w:i w:val="false"/>
                <w:caps w:val="false"/>
                <w:smallCaps w:val="false"/>
                <w:sz w:val="20"/>
              </w:rPr>
              <w:t xml:space="preserve"> As a publicly traded corporation, we have access to a source of permanent equity capital that we can use to invest in portfolio companies. This permanent equity capital is a significant differentiator from other potential investors that may be required to return capital to stockholders on a defined schedule. We believe that our ability to invest on a long-term time horizon makes us attractive to companies looking for strong, stable owners of their equity.</w:t>
            </w:r>
          </w:p>
        </w:tc>
      </w:tr>
    </w:tbl>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Early mover advantage.</w:t>
            </w:r>
            <w:r>
              <w:rPr>
                <w:rFonts w:ascii="Times New Roman;Times;Serif" w:hAnsi="Times New Roman;Times;Serif"/>
                <w:b w:val="false"/>
                <w:i w:val="false"/>
                <w:caps w:val="false"/>
                <w:smallCaps w:val="false"/>
                <w:sz w:val="20"/>
              </w:rPr>
              <w:t xml:space="preserve"> We believe we are one of the few publicly traded BDCs with a specific focus on investing in high-growth venture-backed companies. The transactions that we have executed to date since our IPO have helped to establish our reputation with the types of secondary sellers and emerging companies that we target for investment. We have leveraged a number of relationships and channels to acquire the equity of private companies. As we continue to grow our portfolio with attractive investments, we believe that our reputation as a committed partner will be further enhanced, allowing us to source and close investments that would otherwise be unavailable. We believe that these factors collectively differentiate us from other potential investors in private company securities and will serve our goal to complete equity transactions in compelling private companies at attractive valuations.</w:t>
            </w:r>
          </w:p>
        </w:tc>
      </w:tr>
    </w:tbl>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bdr w:val="single" w:sz="8" w:space="1" w:color="000000"/>
        </w:rPr>
        <w:t xml:space="preserve">Our primary competitors include specialty finance companies including late-stage venture capital funds, private equity funds, other crossover funds, public funds investing in private companies and public and private BDCs. Many of these entities have greater financial and managerial resources than we will have. In addition, some of our competitors may have higher risk tolerances or different risk assessments, which could allow them to consider more investments and establish more relationships than we do. Furthermore, many of our competitors are not subject to the regulatory restrictions the 1940 Act imposes on us as a BDC. For additional information concerning the competitive risks we face, see “Part I, Item 1A — Risk Factors — Risks Related to Our Business and Structure” in our most recent Annual Report on </w:t>
      </w:r>
      <w:hyperlink r:id="rId11">
        <w:r>
          <w:rPr>
            <w:rStyle w:val="InternetLink"/>
            <w:rFonts w:ascii="Times New Roman;Times;Serif" w:hAnsi="Times New Roman;Times;Serif"/>
            <w:b w:val="false"/>
            <w:i w:val="false"/>
            <w:caps w:val="false"/>
            <w:smallCaps w:val="false"/>
            <w:sz w:val="20"/>
            <w:bdr w:val="single" w:sz="8" w:space="1" w:color="000000"/>
          </w:rPr>
          <w:t>Form 10-K</w:t>
        </w:r>
      </w:hyperlink>
      <w:r>
        <w:rPr>
          <w:rFonts w:ascii="Times New Roman;Times;Serif" w:hAnsi="Times New Roman;Times;Serif"/>
          <w:b w:val="false"/>
          <w:i w:val="false"/>
          <w:caps w:val="false"/>
          <w:smallCaps w:val="false"/>
          <w:sz w:val="20"/>
          <w:bdr w:val="single" w:sz="8" w:space="1" w:color="000000"/>
        </w:rPr>
        <w:t xml:space="preserve"> and “Part II, Item 1A—Risk Factors” in our most recent Quarterly Report on </w:t>
      </w:r>
      <w:hyperlink r:id="rId12">
        <w:r>
          <w:rPr>
            <w:rStyle w:val="InternetLink"/>
            <w:rFonts w:ascii="Times New Roman;Times;Serif" w:hAnsi="Times New Roman;Times;Serif"/>
            <w:b w:val="false"/>
            <w:i w:val="false"/>
            <w:caps w:val="false"/>
            <w:smallCaps w:val="false"/>
            <w:sz w:val="20"/>
            <w:bdr w:val="single" w:sz="8" w:space="1" w:color="000000"/>
          </w:rPr>
          <w:t>Form 10-Q</w:t>
        </w:r>
      </w:hyperlink>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Investment Process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Concentrated Technology-Related Focus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Adviser’s investment professionals have identified five key investment themes from which we have seen significant numbers of high-growth companies emerge: Artificial Intelligence Infrastructure &amp; Applications, Consumer Goods &amp; Services, Software-as-a-Service, Financial Technology &amp; Services, and Logistics &amp; Supply Chain. However, the opportunity set of high-growth venture-backed technology companies extends beyond these key investment themes into much broader markets. These broad markets have the potential to produce disruptive technologies, reach a large addressable market, and provide significant commercial opportunities. Within these areas, we have identified trends that could create significant positive effects on growth such as globalization, consolidation, branding, convergence and network effects. Thus, while we remain focused on selecting market leaders within the key investment themes identified, the Adviser’s investment professionals actively seek out promising investments across a diverse selection of new technology subsectors.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Investment Targeting and Screening</w:t>
      </w:r>
    </w:p>
    <w:p>
      <w:pPr>
        <w:pStyle w:val="TextBody"/>
        <w:bidi w:val="0"/>
        <w:spacing w:before="0" w:after="0"/>
        <w:ind w:left="0" w:right="0" w:firstLine="3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identify prospective portfolio companies through an extensive network of relationships developed by the Adviser’s investment professionals, supplemented by the knowledge and relationships of our Board of Directors. Investment opportunities that fall within our identified themes are validated against the observed behavior of leading venture capitalists and institutional investors, as well as through our own internal and external research. We evaluate potential portfolio companies across a spectrum of criteria, including industry positioning and leadership, stage of growth, path to profitability, the uniqueness and defensibility of the portfolio company’s strategy, investor sponsorship, and the portfolio company’s potential access to capital to continue to fund its growth that collectively characterize our proprietary investment process. We typically seek to invest our assets under management in the equity of well-established and growth stage companies, and debt investments of emerging companies that fit within our targeted areas. Based on our initial screening, we identify a select set of companies that we evaluate in greater depth.</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Research and Due Diligence Process</w:t>
      </w:r>
    </w:p>
    <w:p>
      <w:pPr>
        <w:pStyle w:val="TextBody"/>
        <w:bidi w:val="0"/>
        <w:spacing w:before="0" w:after="0"/>
        <w:ind w:left="0" w:right="0" w:firstLine="3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Once we identify those companies that we believe warrant more in-depth analysis, we focus on their total addressable market, revenue growth and sustainability, and earnings growth, as well as other metrics that may be strongly correlated with higher valuations. We also focus on the company’s management team and any significant financial sponsor, their current business model, competitive positioning, regulatory and legal issues, the quality of any intellectual property and other investment-specific due diligence. Each prospective portfolio company that passes our initial due diligence review is given a qualitative ranking to allow us to evaluate it against others in our pipeline, and we review and update these companies on a regular basis.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due diligence process will vary depending on whether we are investing through a private secondary transaction on a marketplace or with a selling stockholder or by direct equity investment. We access information on our potential investments through a variety of sources, including information made available on secondary marketplaces, publications by private company research firms, industry publications, commissioned analysis by third-party research firms, and, to a limited extent, directly from the company or financial sponsor. We utilize a combination of each of these sources to help us set a target value for the companies we ultimately select for investment.</w:t>
      </w:r>
    </w:p>
    <w:p>
      <w:pPr>
        <w:pStyle w:val="TextBody"/>
        <w:bidi w:val="0"/>
        <w:spacing w:before="0" w:after="0"/>
        <w:ind w:left="0" w:right="0" w:firstLine="3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Portfolio Construction and Sourcing</w:t>
      </w:r>
    </w:p>
    <w:p>
      <w:pPr>
        <w:pStyle w:val="TextBody"/>
        <w:bidi w:val="0"/>
        <w:spacing w:before="0" w:after="0"/>
        <w:ind w:left="0" w:right="0" w:firstLine="3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Upon completion of our research and due diligence process, we select investments for inclusion in our portfolio based on their value proposition, addressable market, fundamentals and valuation. We seek to create a relatively varied portfolio that we expect will include investments in companies representing a broad range of investment themes. We generally choose to pursue specific investments based on the availability of shares and valuation expectations. We utilize a combination of secondary marketplaces, direct purchases from stockholders and direct equity investments in order to make investments in our portfolio companies. Once we have established an initial position in a portfolio company, we may choose to increase our stake through subsequent purchases. Maintaining a balanced portfolio is a key to our success, and as a result we constantly evaluate the composition of our investments and our pipeline to ensure we are exposed to a diverse set of companies within our target segments.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Transaction Execution</w:t>
      </w:r>
    </w:p>
    <w:p>
      <w:pPr>
        <w:pStyle w:val="TextBody"/>
        <w:bidi w:val="0"/>
        <w:spacing w:before="0" w:after="0"/>
        <w:ind w:left="0" w:right="0" w:firstLine="3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enter into purchase agreements for substantially all of our private company portfolio investments. Private company securities are typically subject to contractual transfer limitations, which may, among other things, give the issuer, its assignees and/or its stockholders a particular period of time, often 30 days or more, in which to exercise a veto right, or a right of first refusal over, the sale of such securities. Accordingly, the purchase agreements we enter into for secondary transactions typically require the lapse or satisfaction of these rights as a condition to closing. Under these circumstances, we may be required to deposit the purchase price into escrow upon signing, with the funds released to the seller at closing or returned to us if the closing conditions are not met.</w:t>
      </w:r>
    </w:p>
    <w:p>
      <w:pPr>
        <w:pStyle w:val="TextBody"/>
        <w:bidi w:val="0"/>
        <w:spacing w:before="0" w:after="0"/>
        <w:ind w:left="0" w:right="0" w:firstLine="3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Risk Management and Monitoring</w:t>
      </w:r>
    </w:p>
    <w:p>
      <w:pPr>
        <w:pStyle w:val="TextBody"/>
        <w:bidi w:val="0"/>
        <w:spacing w:before="0" w:after="0"/>
        <w:ind w:left="0" w:right="0" w:firstLine="3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monitor the financial trends of each portfolio company to assess our exposure to individual companies as well as to evaluate overall portfolio quality. We establish valuation targets at the portfolio level and for gross and net exposures with respect to specific companies and industries within our overall portfolio. In cases where we make a direct investment in a portfolio company, we may also obtain board positions, board observation rights and/or information rights from that portfolio company in connection with our equity investment. We regularly monitor our portfolio for compliance with the diversification requirements for purposes of maintaining our status as a BDC and a RIC for tax purposes.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Legal Proceedings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Neither we nor our wholly owned subsidiaries or the Adviser are currently subject to any material legal proceedings other than ordinary routine litigation incidental to the business. From time to time, we, our consolidated subsidiaries and/or the Adviser may be a party to certain legal proceedings in the ordinary course of business, including proceedings relating to the enforcement of our rights under contracts with our portfolio companies. Our business also is subject to extensive regulation, which may result in regulatory proceedings against 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w:t>
      </w:r>
      <w:r>
        <w:rPr>
          <w:rFonts w:ascii="Times New Roman;Times;Serif" w:hAnsi="Times New Roman;Times;Serif"/>
          <w:b w:val="false"/>
          <w:i w:val="false"/>
          <w:caps w:val="false"/>
          <w:smallCaps w:val="false"/>
          <w:sz w:val="20"/>
          <w:bdr w:val="single" w:sz="8" w:space="1" w:color="000000"/>
        </w:rPr>
        <w:t xml:space="preserve"> </w:t>
      </w:r>
      <w:r>
        <w:rPr>
          <w:rFonts w:ascii="Times New Roman;Times;Serif" w:hAnsi="Times New Roman;Times;Serif"/>
          <w:b/>
          <w:i w:val="false"/>
          <w:caps w:val="false"/>
          <w:smallCaps w:val="false"/>
          <w:sz w:val="20"/>
          <w:bdr w:val="single" w:sz="8" w:space="1" w:color="000000"/>
        </w:rPr>
        <w:t>Associated with Our Business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bdr w:val="single" w:sz="8" w:space="1" w:color="000000"/>
        </w:rPr>
        <w:t xml:space="preserve">Our business is subject to numerous risks, as described in the section titled “Risk Factors” in this prospectus, in the applicable prospectus supplement and in any free writing prospectuses we have authorized for use in connection with a specific offering, and under similar headings in the documents that are incorporated by reference into this prospectus, including the section titled “Risk Factors” included in our most recent Annual Report on </w:t>
      </w:r>
      <w:hyperlink r:id="rId13">
        <w:r>
          <w:rPr>
            <w:rStyle w:val="InternetLink"/>
            <w:rFonts w:ascii="Times New Roman;Times;Serif" w:hAnsi="Times New Roman;Times;Serif"/>
            <w:b w:val="false"/>
            <w:i w:val="false"/>
            <w:caps w:val="false"/>
            <w:smallCaps w:val="false"/>
            <w:sz w:val="20"/>
            <w:bdr w:val="single" w:sz="8" w:space="1" w:color="000000"/>
          </w:rPr>
          <w:t>Form 10-K</w:t>
        </w:r>
      </w:hyperlink>
      <w:r>
        <w:rPr>
          <w:rFonts w:ascii="Times New Roman;Times;Serif" w:hAnsi="Times New Roman;Times;Serif"/>
          <w:b w:val="false"/>
          <w:i w:val="false"/>
          <w:caps w:val="false"/>
          <w:smallCaps w:val="false"/>
          <w:sz w:val="20"/>
          <w:bdr w:val="single" w:sz="8" w:space="1" w:color="000000"/>
        </w:rPr>
        <w:t xml:space="preserve">, in our most recent Quarterly Report on </w:t>
      </w:r>
      <w:hyperlink r:id="rId14">
        <w:r>
          <w:rPr>
            <w:rStyle w:val="InternetLink"/>
            <w:rFonts w:ascii="Times New Roman;Times;Serif" w:hAnsi="Times New Roman;Times;Serif"/>
            <w:b w:val="false"/>
            <w:i w:val="false"/>
            <w:caps w:val="false"/>
            <w:smallCaps w:val="false"/>
            <w:sz w:val="20"/>
            <w:bdr w:val="single" w:sz="8" w:space="1" w:color="000000"/>
          </w:rPr>
          <w:t>Form 10-Q</w:t>
        </w:r>
      </w:hyperlink>
      <w:r>
        <w:rPr>
          <w:rFonts w:ascii="Times New Roman;Times;Serif" w:hAnsi="Times New Roman;Times;Serif"/>
          <w:b w:val="false"/>
          <w:i w:val="false"/>
          <w:caps w:val="false"/>
          <w:smallCaps w:val="false"/>
          <w:sz w:val="20"/>
          <w:bdr w:val="single" w:sz="8" w:space="1" w:color="000000"/>
        </w:rPr>
        <w:t>, as well as in any of our subsequent SEC filings.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45" w:name="Aa_003"/>
      <w:bookmarkEnd w:id="45"/>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may offer, from time to time, up to $500,000,000 of our common stock, preferred stock, subscription rights to purchase shares of our common stock, debt securities, or warrants representing rights to purchase shares of our common stock, preferred stock, or debt securities on terms to be determined at the time of each offering and set forth in one or more supplements to this prospectus. We will offer our securities at prices and on terms to be set forth in one or more supplements to this prospectus and any related free writing prospectus.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securities may be offered directly to one or more purchasers, including to existing stockholders in a rights offering, by us or through agents designated from time to time by us, or to or through underwriters or dealers. The prospectus supplement relating to an offering and any related free writing prospectus will disclose the terms of such offering, including the name or names of any agents or underwriters involved in the sale of our securities, the purchase price, and any fee, commission or discount arrangement between us and our agents or underwriters or among our underwriters, or the basis upon which such amount may be calculated. See “Plan of Distribution” in this prospectus for further information. We may not sell any of our securities through agents, underwriters or dealers without delivery of this prospectus and a prospectus supplement describing the method and terms of the offering of our securities.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Set forth below is additional information regarding offerings of our securities pursuant to this prospectus: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60"/>
        <w:gridCol w:w="60"/>
        <w:gridCol w:w="8885"/>
      </w:tblGrid>
      <w:tr>
        <w:trPr/>
        <w:tc>
          <w:tcPr>
            <w:tcW w:w="1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prospectus supplement, we intend to use the net proceeds from the sale of our securities pursuant to this prospectus for general corporate purposes, which may include investing in securities consistent with our investment objective, repayment of outstanding indebtedness, and other general corporate purposes. We will also use a portion of any such net proceeds to pay operating expenses and other expenses, such as due diligence expenses relating to potential new investments. We anticipate that substantially all of the net proceeds of any such offering will be used for the above purposes within six to twelve months, depending on the availability of investment opportunities that are consistent with our investment objectives and market conditions, except for such amounts as may be retained for purposes of funding our ongoing operations subsequent to the completion of such offering. Each supplement to this prospectus or free writing prospectus relating to an offering will more fully identify the use of the proceeds from such offering. See “Use of Proceeds” in this prospectus for further information.</w:t>
            </w:r>
          </w:p>
        </w:tc>
      </w:tr>
      <w:tr>
        <w:trPr/>
        <w:tc>
          <w:tcPr>
            <w:tcW w:w="1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Select Market symbol</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under the symbol “NSLR.”</w:t>
            </w:r>
          </w:p>
        </w:tc>
      </w:tr>
      <w:tr>
        <w:trPr/>
        <w:tc>
          <w:tcPr>
            <w:tcW w:w="1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 of our dividends, if any, will be determined by our Board of Directors. Any dividends to our stockholders will be declared out of assets legally available for distribution. As we focus on making primarily capital gains-based investments in equity securities, we do not anticipate that we will pay dividends on a quarterly basis or become a predictable distributor of dividends, and we expect that our dividends, if any, will be less consistent than the dividends of other BDCs that primarily make debt investments.</w:t>
            </w:r>
          </w:p>
        </w:tc>
      </w:tr>
      <w:tr>
        <w:trPr/>
        <w:tc>
          <w:tcPr>
            <w:tcW w:w="1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Taxation</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be treated as a RIC under Subchapter M of the Code and intend to comply with the requirements to continue to qualify annually as a RIC. As a RIC, we generally will not be subject to U.S. federal income tax on any ordinary income or capital gains that we timely distribute to our stockholders as dividends. To continue to maintain our RIC tax treatment, we must meet specified source-of-income and asset diversification requirements and distribute annually at least 90% of our ordinary income and realized net short-term capital gains in excess of realized net long-term capital losses, if any. See “Certain U.S. Federal Income Tax Considerations” in this prospectus for further information.</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341"/>
        <w:gridCol w:w="60"/>
        <w:gridCol w:w="8804"/>
      </w:tblGrid>
      <w:tr>
        <w:trPr/>
        <w:tc>
          <w:tcPr>
            <w:tcW w:w="1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04"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We may use leverage to make investments. As a result, to the extent we use leverage to make investments, we may be exposed to the risks of leverage. Leverage may be considered a speculative investment technique. The use of leverage magnifies the potential for gain and loss on amounts we invest, and therefore, indirectly increases the risks associated with investing in shares of our common stock. With certain limited exceptions, we may issue “senior securities,” including borrowing money from banks or other financial institutions, only in amounts such that the ratio of our total assets (less total liabilities other than indebtedness represented by senior securities) to our total indebtedness represented by senior securities plus preferred stock, if any, is at least 200% (or 150% if certain conditions are met) after such incurrence or issuance. This means that generally, we can borrow up to $1 for every $1 of investor equity (or, if certain conditions are met, we can borrow up to $2 for every $1 of investor equity). The costs associated with our borrowings are borne by our stockholders. In connection with this offering, neither our Board of Directors nor our stockholders are being asked to approve a reduced asset coverage ratio. See “Risk Factors” in this prospectus, in Part I, Item 1A of our most recent Annual Report on </w:t>
            </w:r>
            <w:hyperlink r:id="rId15">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and in Part II, Item 1A of our most recent Quarterly Report on </w:t>
            </w:r>
            <w:hyperlink r:id="rId16">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more information.</w:t>
            </w:r>
          </w:p>
        </w:tc>
      </w:tr>
      <w:tr>
        <w:trPr/>
        <w:tc>
          <w:tcPr>
            <w:tcW w:w="134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at a Discount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closed-end investment companies frequently trade at a discount to their net asset value. The possibility that our common stock may trade at a discount to our net asset value per share is separate and distinct from the risk that our net asset value per share may decline. We cannot predict whether our common stock will trade above, at or below net asset value.</w:t>
            </w:r>
          </w:p>
        </w:tc>
      </w:tr>
      <w:tr>
        <w:trPr/>
        <w:tc>
          <w:tcPr>
            <w:tcW w:w="134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Common Stock Below Net Asset Value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share of our common stock, less any underwriting commissions or discounts, will not be less than the net asset value per share of our common stock at the time of the offering, except (i) with the requisite approval of our common stockholders or (ii) under such other circumstances as the SEC may permit. In addition, we cannot issue shares of our common stock below net asset value unless our Board of Directors determines that it would be in our and our stockholders’ best interests to do so. We did not seek stockholder authorization to issue common stock at a price below net asset value per share at our 2026 annual meeting of stockholders.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us of our common stock at a discount from our net asset value pose potential risks for our existing stockholders whether or not they participate in the offering, as well as for new investors who participate in the offering. See “Sales of Common Stock Below Net Asset Value” in this prospectus for further information.</w:t>
            </w:r>
          </w:p>
        </w:tc>
      </w:tr>
      <w:tr>
        <w:trPr/>
        <w:tc>
          <w:tcPr>
            <w:tcW w:w="134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Reinvestment Plan</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“opt out” dividend reinvestment plan (the “DRIP”). If your shares of common stock are registered in your own name, your distributions will automatically be reinvested under our DRIP in additional shares of common stock, unless you “opt out” of our DRIP so as to receive cash dividends by delivering a written notice to our dividend paying agent. If your shares are held in the name of a broker or other nominee, you should contact the broker or nominee for details regarding opting out of our DRIP. Stockholders who receive distributions in the form of stock will be subject to the same U.S. federal, state and local tax consequences as stockholders who elect to receive their distributions in cash. See “Dividend Reinvestment Plan” in this prospectus for further information.</w:t>
            </w:r>
          </w:p>
        </w:tc>
      </w:tr>
    </w:tbl>
    <w:p>
      <w:pPr>
        <w:pStyle w:val="TextBody"/>
        <w:bidi w:val="0"/>
        <w:jc w:val="center"/>
        <w:rPr>
          <w:bdr w:val="single" w:sz="8" w:space="1" w:color="000000"/>
        </w:rPr>
      </w:pPr>
      <w:r>
        <w:rPr>
          <w:bdr w:val="single" w:sz="8" w:space="1" w:color="000000"/>
        </w:rPr>
        <w:t> </w:t>
      </w:r>
    </w:p>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10"/>
        <w:gridCol w:w="60"/>
        <w:gridCol w:w="8635"/>
      </w:tblGrid>
      <w:tr>
        <w:trPr/>
        <w:tc>
          <w:tcPr>
            <w:tcW w:w="1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Anti-Takeover Measures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bylaws, as well as certain statutory and regulatory requirements, contain certain provisions that may have the effect of discouraging a third party from making an acquisition proposal for us. These anti-takeover provisions may inhibit a change in control in circumstances that could give the holders of our securities the opportunity to realize a premium over the market price for our securities. See “Description of Our Capital Stock” in this prospectus for further information.</w:t>
            </w:r>
          </w:p>
        </w:tc>
      </w:tr>
      <w:tr>
        <w:trPr/>
        <w:tc>
          <w:tcPr>
            <w:tcW w:w="1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Information</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N-2 together with all amendments and related exhibits under the Securities Act. The registration statement contains additional information about us and the securities being offered by this prospectus.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annual, quarterly and current reports, proxy statements, and other information with the SEC under the Securities Exchange Act of 1934, as amended (the “Exchange Act”). The SEC maintains an Internet site that contains reports, proxy and information statements, and other information regarding registrants that are filed electronically, which are available free of charge on the SEC’s website at http://www.sec.gov. This information is also available free of charge by contacting us at Neostellar Capital Corp., 640 Fifth Avenue, 12th Floor, New York, NY 10019, by telephone at (212) 931-6331, or on our website at neostellar.vc.</w:t>
            </w:r>
          </w:p>
        </w:tc>
      </w:tr>
      <w:tr>
        <w:trPr/>
        <w:tc>
          <w:tcPr>
            <w:tcW w:w="1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of Certain Information by Reference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have filed with the SEC. In accordance with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information. Any reports filed by us with the SEC subsequent to the date of this prospectus until we have sold all of the securities offered by this prospectus or the offering is otherwise terminated will automatically update and, where applicable, supersede any information contained in this prospectus or incorporated by reference in this prospectus. See “Incorporation of Certain Information by Reference” in this prospectus for further information.</w:t>
            </w:r>
          </w:p>
        </w:tc>
      </w:tr>
      <w:tr>
        <w:trPr/>
        <w:tc>
          <w:tcPr>
            <w:tcW w:w="1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Adviser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Advisors LLC serves as our investment adviser. The Adviser is registered as an investment adviser under the Advisers Act and is jointly owned by certain of the Adviser’s investment professionals and by the Magnetar JV Entity. The Adviser manages our investments subject to the supervision of our Board of Directors. See “Management and Other Agreements.”</w:t>
            </w:r>
          </w:p>
        </w:tc>
      </w:tr>
      <w:tr>
        <w:trPr/>
        <w:tc>
          <w:tcPr>
            <w:tcW w:w="1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Administrative Services LLC, an affiliate of the Adviser, serves as our administrator and provides us with office facilities and administrative services pursuant to the Administration Agreement. See “Management and Other Agreements — Administration Agreement.”</w:t>
            </w:r>
          </w:p>
        </w:tc>
      </w:tr>
      <w:tr>
        <w:trPr/>
        <w:tc>
          <w:tcPr>
            <w:tcW w:w="1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 and Incentive Fee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pay the Adviser a Base Management Fee at an annual rate of 1.75% of our gross assets and a two-part Incentive Fee, consisting of an Income-Based Fee and a Capital Gains Fee. No Incentive Fee is payable on our Pre-Existing Investments. See “Fees and Expenses” and “Management and Other Agreements.”</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6" w:name="Aa_004"/>
      <w:bookmarkEnd w:id="46"/>
      <w:r>
        <w:rPr>
          <w:rFonts w:ascii="Times New Roman;Times;Serif" w:hAnsi="Times New Roman;Times;Serif"/>
          <w:b/>
          <w:i w:val="false"/>
          <w:caps w:val="false"/>
          <w:smallCaps w:val="false"/>
          <w:sz w:val="20"/>
        </w:rPr>
        <w:t>FEES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7" w:name="xdx_89C_ecef--PurposeOfFeeTableNoteTextB"/>
      <w:bookmarkEnd w:id="47"/>
      <w:r>
        <w:rPr>
          <w:rFonts w:ascii="Times New Roman;Times;Serif" w:hAnsi="Times New Roman;Times;Serif"/>
          <w:b w:val="false"/>
          <w:i w:val="false"/>
          <w:caps w:val="false"/>
          <w:smallCaps w:val="false"/>
          <w:sz w:val="20"/>
        </w:rPr>
        <w:t>The following table is intended to assist you in understanding the costs and expenses that an investor in an offering will bear directly or indirectly.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“us” or “Neostellar Capital,” or that “we” will pay fees or expenses, you will indirectly bear such fees or expenses as an investor in Neostellar Capital Corp., however, your responsibility for such fees or expenses is limited to your investment in Neostellar Capital Corp. The fee table and example below include all fees and expenses of our consolidated subsidiaries.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8" w:name="xdx_8B5_zcdnEYvJIRM2"/>
      <w:bookmarkEnd w:id="48"/>
      <w:r>
        <w:rPr>
          <w:rFonts w:ascii="Times New Roman;Times;Serif" w:hAnsi="Times New Roman;Times;Serif"/>
          <w:b w:val="false"/>
          <w:i w:val="false"/>
          <w:caps w:val="false"/>
          <w:smallCaps w:val="false"/>
          <w:sz w:val="20"/>
        </w:rPr>
        <w:t>Purpose of Fee Table , Note [Text Block] </w:t>
      </w:r>
    </w:p>
    <w:p>
      <w:pPr>
        <w:pStyle w:val="TextBody"/>
        <w:bidi w:val="0"/>
        <w:spacing w:before="0" w:after="0"/>
        <w:ind w:left="0" w:right="0" w:firstLine="720"/>
        <w:jc w:val="both"/>
        <w:rPr>
          <w:caps w:val="false"/>
          <w:smallCaps w:val="false"/>
        </w:rPr>
      </w:pPr>
      <w:bookmarkStart w:id="49" w:name="xdx_8A9_zV0aJd7QrXya"/>
      <w:bookmarkEnd w:id="49"/>
      <w:r>
        <w:rPr>
          <w:caps w:val="false"/>
          <w:smallCaps w:val="false"/>
        </w:rPr>
        <w:t> </w:t>
      </w:r>
    </w:p>
    <w:p>
      <w:pPr>
        <w:pStyle w:val="Normal"/>
        <w:bidi w:val="0"/>
        <w:spacing w:before="0" w:after="0"/>
        <w:jc w:val="left"/>
        <w:rPr>
          <w:sz w:val="4"/>
          <w:szCs w:val="4"/>
        </w:rPr>
      </w:pPr>
      <w:r>
        <w:rPr>
          <w:sz w:val="4"/>
          <w:szCs w:val="4"/>
        </w:rPr>
      </w:r>
      <w:bookmarkStart w:id="50" w:name="xdx_88E_ecef--ShareholderTransactionExpe"/>
      <w:bookmarkStart w:id="51" w:name="xdx_88E_ecef--ShareholderTransactionExpe"/>
      <w:bookmarkEnd w:id="51"/>
    </w:p>
    <w:tbl>
      <w:tblPr>
        <w:tblW w:w="8295" w:type="dxa"/>
        <w:jc w:val="left"/>
        <w:tblInd w:w="0" w:type="dxa"/>
        <w:tblLayout w:type="fixed"/>
        <w:tblCellMar>
          <w:top w:w="0" w:type="dxa"/>
          <w:left w:w="0" w:type="dxa"/>
          <w:bottom w:w="0" w:type="dxa"/>
          <w:right w:w="0" w:type="dxa"/>
        </w:tblCellMar>
      </w:tblPr>
      <w:tblGrid>
        <w:gridCol w:w="7415"/>
        <w:gridCol w:w="60"/>
        <w:gridCol w:w="60"/>
        <w:gridCol w:w="260"/>
        <w:gridCol w:w="500"/>
      </w:tblGrid>
      <w:tr>
        <w:trPr/>
        <w:tc>
          <w:tcPr>
            <w:tcW w:w="741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Stockholder transaction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2" w:name="xdx_491_20260923__20260923_z93yt62rwsSl"/>
            <w:bookmarkEnd w:id="52"/>
          </w:p>
        </w:tc>
        <w:tc>
          <w:tcPr>
            <w:tcW w:w="260" w:type="dxa"/>
            <w:tcBorders/>
            <w:shd w:fill="CCEEFF" w:val="clear"/>
            <w:vAlign w:val="center"/>
          </w:tcPr>
          <w:p>
            <w:pPr>
              <w:pStyle w:val="TableContents"/>
              <w:bidi w:val="0"/>
              <w:spacing w:before="0" w:after="283"/>
              <w:jc w:val="right"/>
              <w:rPr/>
            </w:pPr>
            <w:r>
              <w:rPr/>
              <w:t> </w:t>
            </w:r>
          </w:p>
        </w:tc>
        <w:tc>
          <w:tcPr>
            <w:tcW w:w="500" w:type="dxa"/>
            <w:tcBorders/>
            <w:shd w:fill="CCEEFF" w:val="clear"/>
            <w:vAlign w:val="center"/>
          </w:tcPr>
          <w:p>
            <w:pPr>
              <w:pStyle w:val="TableContents"/>
              <w:bidi w:val="0"/>
              <w:spacing w:before="0" w:after="283"/>
              <w:jc w:val="left"/>
              <w:rPr/>
            </w:pPr>
            <w:r>
              <w:rPr/>
              <w:t> </w:t>
            </w:r>
            <w:bookmarkStart w:id="53" w:name="xdx_405_ecef--SalesLoadPercent_pid_dp0_u"/>
            <w:bookmarkEnd w:id="53"/>
          </w:p>
        </w:tc>
      </w:tr>
      <w:tr>
        <w:trPr/>
        <w:tc>
          <w:tcPr>
            <w:tcW w:w="741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load (</w:t>
            </w:r>
            <w:bookmarkStart w:id="54" w:name="xdx_906_ecef--BasisOfTransactionFeesNote"/>
            <w:bookmarkEnd w:id="54"/>
            <w:r>
              <w:rPr>
                <w:rFonts w:ascii="Times New Roman;Times;Serif" w:hAnsi="Times New Roman;Times;Serif"/>
              </w:rPr>
              <w:t>as a percentage of offering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w:t>
            </w:r>
          </w:p>
        </w:tc>
        <w:tc>
          <w:tcPr>
            <w:tcW w:w="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5" w:name="xdx_F47_zXHXzIY6QJO7"/>
            <w:bookmarkEnd w:id="55"/>
            <w:r>
              <w:rPr>
                <w:rFonts w:ascii="Times New Roman;Times;Serif" w:hAnsi="Times New Roman;Times;Serif"/>
              </w:rPr>
              <w:t>(1)</w:t>
            </w:r>
            <w:bookmarkStart w:id="56" w:name="xdx_40D_ecef--OtherTransactionExpensesPe"/>
            <w:bookmarkEnd w:id="56"/>
          </w:p>
        </w:tc>
      </w:tr>
      <w:tr>
        <w:trPr/>
        <w:tc>
          <w:tcPr>
            <w:tcW w:w="741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Offering expenses (</w:t>
            </w:r>
            <w:bookmarkStart w:id="57" w:name="xdx_908_ecef--BasisOfTransactionFeesNote"/>
            <w:bookmarkEnd w:id="57"/>
            <w:r>
              <w:rPr>
                <w:rFonts w:ascii="Times New Roman;Times;Serif" w:hAnsi="Times New Roman;Times;Serif"/>
              </w:rPr>
              <w:t>as a percentage of offering price)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w:t>
            </w:r>
          </w:p>
        </w:tc>
        <w:tc>
          <w:tcPr>
            <w:tcW w:w="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8" w:name="xdx_F47_zYWTKn4qmtk4"/>
            <w:bookmarkEnd w:id="58"/>
            <w:r>
              <w:rPr>
                <w:rFonts w:ascii="Times New Roman;Times;Serif" w:hAnsi="Times New Roman;Times;Serif"/>
              </w:rPr>
              <w:t>(2)</w:t>
            </w:r>
            <w:bookmarkStart w:id="59" w:name="xdx_402_ecef--DividendReinvestmentAndCas"/>
            <w:bookmarkEnd w:id="59"/>
          </w:p>
        </w:tc>
      </w:tr>
      <w:tr>
        <w:trPr/>
        <w:tc>
          <w:tcPr>
            <w:tcW w:w="741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Dividend reinvestment plan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0" w:name="xdx_F40_z5XfAwEkZR5e"/>
            <w:bookmarkEnd w:id="60"/>
            <w:r>
              <w:rPr>
                <w:rFonts w:ascii="Times New Roman;Times;Serif" w:hAnsi="Times New Roman;Times;Serif"/>
              </w:rPr>
              <w:t>(3)</w:t>
            </w:r>
          </w:p>
        </w:tc>
      </w:tr>
      <w:tr>
        <w:trPr/>
        <w:tc>
          <w:tcPr>
            <w:tcW w:w="7415" w:type="dxa"/>
            <w:tcBorders/>
            <w:shd w:fill="CCEEFF" w:val="clear"/>
            <w:vAlign w:val="center"/>
          </w:tcPr>
          <w:p>
            <w:pPr>
              <w:pStyle w:val="TableContents"/>
              <w:bidi w:val="0"/>
              <w:spacing w:before="0" w:after="283"/>
              <w:jc w:val="both"/>
              <w:rPr/>
            </w:pPr>
            <w:r>
              <w:rPr>
                <w:rFonts w:ascii="Times New Roman;Times;Serif" w:hAnsi="Times New Roman;Times;Serif"/>
                <w:b/>
              </w:rPr>
              <w:t>Total stockholder transaction expenses (</w:t>
            </w:r>
            <w:bookmarkStart w:id="61" w:name="xdx_90D_ecef--BasisOfTransactionFeesNote"/>
            <w:bookmarkEnd w:id="61"/>
            <w:r>
              <w:rPr>
                <w:rFonts w:ascii="Times New Roman;Times;Serif" w:hAnsi="Times New Roman;Times;Serif"/>
                <w:b/>
              </w:rPr>
              <w:t>as a percentage of offering price)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w:t>
            </w:r>
          </w:p>
        </w:tc>
        <w:tc>
          <w:tcPr>
            <w:tcW w:w="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(4)</w:t>
            </w:r>
          </w:p>
        </w:tc>
      </w:tr>
    </w:tbl>
    <w:p>
      <w:pPr>
        <w:pStyle w:val="TextBody"/>
        <w:bidi w:val="0"/>
        <w:spacing w:before="0" w:after="0"/>
        <w:ind w:left="0" w:right="0" w:hanging="0"/>
        <w:jc w:val="both"/>
        <w:rPr>
          <w:caps w:val="false"/>
          <w:smallCaps w:val="false"/>
        </w:rPr>
      </w:pPr>
      <w:bookmarkStart w:id="62" w:name="xdx_8AE_zoqG0V86ZU72"/>
      <w:bookmarkEnd w:id="62"/>
      <w:r>
        <w:rPr>
          <w:caps w:val="false"/>
          <w:smallCaps w:val="false"/>
        </w:rPr>
        <w:t> </w:t>
      </w:r>
    </w:p>
    <w:p>
      <w:pPr>
        <w:pStyle w:val="Normal"/>
        <w:bidi w:val="0"/>
        <w:spacing w:before="0" w:after="0"/>
        <w:jc w:val="left"/>
        <w:rPr>
          <w:sz w:val="4"/>
          <w:szCs w:val="4"/>
        </w:rPr>
      </w:pPr>
      <w:r>
        <w:rPr>
          <w:sz w:val="4"/>
          <w:szCs w:val="4"/>
        </w:rPr>
      </w:r>
      <w:bookmarkStart w:id="63" w:name="xdx_88B_ecef--AnnualExpensesTableTextBlo"/>
      <w:bookmarkStart w:id="64" w:name="xdx_88B_ecef--AnnualExpensesTableTextBlo"/>
      <w:bookmarkEnd w:id="64"/>
    </w:p>
    <w:tbl>
      <w:tblPr>
        <w:tblW w:w="7845" w:type="dxa"/>
        <w:jc w:val="left"/>
        <w:tblInd w:w="0" w:type="dxa"/>
        <w:tblLayout w:type="fixed"/>
        <w:tblCellMar>
          <w:top w:w="0" w:type="dxa"/>
          <w:left w:w="0" w:type="dxa"/>
          <w:bottom w:w="0" w:type="dxa"/>
          <w:right w:w="0" w:type="dxa"/>
        </w:tblCellMar>
      </w:tblPr>
      <w:tblGrid>
        <w:gridCol w:w="6725"/>
        <w:gridCol w:w="60"/>
        <w:gridCol w:w="60"/>
        <w:gridCol w:w="440"/>
        <w:gridCol w:w="560"/>
      </w:tblGrid>
      <w:tr>
        <w:trPr/>
        <w:tc>
          <w:tcPr>
            <w:tcW w:w="6725"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Annual expenses (</w:t>
            </w:r>
            <w:bookmarkStart w:id="65" w:name="xdx_909_ecef--BasisOfTransactionFeesNote"/>
            <w:bookmarkEnd w:id="65"/>
            <w:r>
              <w:rPr>
                <w:rFonts w:ascii="Times New Roman;Times;Serif" w:hAnsi="Times New Roman;Times;Serif"/>
                <w:b/>
                <w:sz w:val="20"/>
              </w:rPr>
              <w:t>as a percentage of net assets attributable to common stock):</w:t>
            </w:r>
            <w:r>
              <w:rPr>
                <w:rFonts w:ascii="Times New Roman;Times;Serif" w:hAnsi="Times New Roman;Times;Serif"/>
                <w:b/>
                <w:position w:val="7"/>
                <w:sz w:val="16"/>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6" w:name="xdx_491_20260923__20260923_zeUijw5c8Zsa"/>
            <w:bookmarkEnd w:id="66"/>
          </w:p>
        </w:tc>
        <w:tc>
          <w:tcPr>
            <w:tcW w:w="440"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left"/>
              <w:rPr/>
            </w:pPr>
            <w:r>
              <w:rPr/>
              <w:t> </w:t>
            </w:r>
            <w:bookmarkStart w:id="67" w:name="xdx_404_ecef--ManagementFeesPercent_pid_"/>
            <w:bookmarkEnd w:id="67"/>
          </w:p>
        </w:tc>
      </w:tr>
      <w:tr>
        <w:trPr/>
        <w:tc>
          <w:tcPr>
            <w:tcW w:w="672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Base management fee </w:t>
            </w:r>
            <w:bookmarkStart w:id="68" w:name="xdx_F43_zT8H5gVDIJMj"/>
            <w:bookmarkEnd w:id="68"/>
            <w:r>
              <w:rPr>
                <w:rFonts w:ascii="Times New Roman;Times;Serif" w:hAnsi="Times New Roman;Times;Serif"/>
              </w:rPr>
              <w:t>(9)(5)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w:t>
            </w:r>
          </w:p>
        </w:tc>
        <w:tc>
          <w:tcPr>
            <w:tcW w:w="5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(5)</w:t>
            </w:r>
            <w:bookmarkStart w:id="69" w:name="xdx_40C_ecef--IncentiveFeesPercent_pid_d"/>
            <w:bookmarkEnd w:id="69"/>
          </w:p>
        </w:tc>
      </w:tr>
      <w:tr>
        <w:trPr/>
        <w:tc>
          <w:tcPr>
            <w:tcW w:w="6725" w:type="dxa"/>
            <w:tcBorders/>
            <w:shd w:fill="CCEEFF" w:val="clear"/>
            <w:vAlign w:val="center"/>
          </w:tcPr>
          <w:p>
            <w:pPr>
              <w:pStyle w:val="TableContents"/>
              <w:bidi w:val="0"/>
              <w:spacing w:before="0" w:after="283"/>
              <w:jc w:val="both"/>
              <w:rPr/>
            </w:pPr>
            <w:r>
              <w:rPr>
                <w:rFonts w:ascii="Times New Roman;Times;Serif" w:hAnsi="Times New Roman;Times;Serif"/>
              </w:rPr>
              <w:t>Incentive fees</w:t>
            </w:r>
            <w:bookmarkStart w:id="70" w:name="xdx_F4A_z9NkMheeZHq6"/>
            <w:bookmarkEnd w:id="70"/>
            <w:r>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(6)</w:t>
            </w:r>
            <w:bookmarkStart w:id="71" w:name="xdx_405_ecef--InterestExpensesOnBorrowin"/>
            <w:bookmarkEnd w:id="71"/>
          </w:p>
        </w:tc>
      </w:tr>
      <w:tr>
        <w:trPr/>
        <w:tc>
          <w:tcPr>
            <w:tcW w:w="6725" w:type="dxa"/>
            <w:tcBorders/>
            <w:shd w:fill="FFFFFF" w:val="clear"/>
            <w:vAlign w:val="center"/>
          </w:tcPr>
          <w:p>
            <w:pPr>
              <w:pStyle w:val="TableContents"/>
              <w:bidi w:val="0"/>
              <w:spacing w:before="0" w:after="283"/>
              <w:jc w:val="both"/>
              <w:rPr/>
            </w:pPr>
            <w:r>
              <w:rPr>
                <w:rFonts w:ascii="Times New Roman;Times;Serif" w:hAnsi="Times New Roman;Times;Serif"/>
              </w:rPr>
              <w:t>Interest payments on borrowed funds</w:t>
            </w:r>
            <w:bookmarkStart w:id="72" w:name="xdx_F48_zN6dpPL6vj3l"/>
            <w:bookmarkEnd w:id="72"/>
            <w:r>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w:t>
            </w:r>
          </w:p>
        </w:tc>
        <w:tc>
          <w:tcPr>
            <w:tcW w:w="5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(7)</w:t>
            </w:r>
            <w:bookmarkStart w:id="73" w:name="xdx_40D_ecef--OtherAnnualExpensesPercent"/>
            <w:bookmarkEnd w:id="73"/>
          </w:p>
        </w:tc>
      </w:tr>
      <w:tr>
        <w:trPr/>
        <w:tc>
          <w:tcPr>
            <w:tcW w:w="6725" w:type="dxa"/>
            <w:tcBorders/>
            <w:shd w:fill="CCEEFF" w:val="clear"/>
            <w:vAlign w:val="center"/>
          </w:tcPr>
          <w:p>
            <w:pPr>
              <w:pStyle w:val="TableContents"/>
              <w:bidi w:val="0"/>
              <w:spacing w:before="0" w:after="283"/>
              <w:jc w:val="both"/>
              <w:rPr/>
            </w:pPr>
            <w:r>
              <w:rPr>
                <w:rFonts w:ascii="Times New Roman;Times;Serif" w:hAnsi="Times New Roman;Times;Serif"/>
              </w:rPr>
              <w:t>Other expenses</w:t>
            </w:r>
            <w:bookmarkStart w:id="74" w:name="xdx_F44_zkPLUyIzO125"/>
            <w:bookmarkEnd w:id="74"/>
            <w:r>
              <w:rPr/>
              <w:t>(9)(8)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w:t>
            </w:r>
          </w:p>
        </w:tc>
        <w:tc>
          <w:tcPr>
            <w:tcW w:w="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(8)</w:t>
            </w:r>
            <w:bookmarkStart w:id="75" w:name="xdx_40E_ecef--AcquiredFundFeesAndExpense"/>
            <w:bookmarkEnd w:id="75"/>
          </w:p>
        </w:tc>
      </w:tr>
      <w:tr>
        <w:trPr/>
        <w:tc>
          <w:tcPr>
            <w:tcW w:w="6725" w:type="dxa"/>
            <w:tcBorders/>
            <w:shd w:fill="FFFFFF" w:val="clear"/>
            <w:vAlign w:val="center"/>
          </w:tcPr>
          <w:p>
            <w:pPr>
              <w:pStyle w:val="TableContents"/>
              <w:bidi w:val="0"/>
              <w:spacing w:before="0" w:after="283"/>
              <w:jc w:val="both"/>
              <w:rPr/>
            </w:pPr>
            <w:r>
              <w:rPr>
                <w:rFonts w:ascii="Times New Roman;Times;Serif" w:hAnsi="Times New Roman;Times;Serif"/>
              </w:rPr>
              <w:t>Acquired fund fees and expenses</w:t>
            </w:r>
            <w:bookmarkStart w:id="76" w:name="xdx_F41_z889H0bN2761"/>
            <w:bookmarkEnd w:id="76"/>
            <w:r>
              <w:rPr/>
              <w:t>(9)(10)</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0.06</w:t>
            </w:r>
          </w:p>
        </w:tc>
        <w:tc>
          <w:tcPr>
            <w:tcW w:w="5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(10)</w:t>
            </w:r>
            <w:bookmarkStart w:id="77" w:name="xdx_405_ecef--TotalAnnualExpensesPercent"/>
            <w:bookmarkEnd w:id="77"/>
          </w:p>
        </w:tc>
      </w:tr>
      <w:tr>
        <w:trPr/>
        <w:tc>
          <w:tcPr>
            <w:tcW w:w="672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annual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6.37</w:t>
            </w:r>
          </w:p>
        </w:tc>
        <w:tc>
          <w:tcPr>
            <w:tcW w:w="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8" w:name="xdx_F07_zZPasAU6GNki"/>
            <w:bookmarkEnd w:id="78"/>
            <w:r>
              <w:rPr>
                <w:rFonts w:ascii="Times New Roman;Times;Serif" w:hAnsi="Times New Roman;Times;Serif"/>
                <w:b w:val="false"/>
                <w:i w:val="false"/>
                <w:caps w:val="false"/>
                <w:smallCaps w:val="false"/>
                <w:sz w:val="20"/>
              </w:rPr>
              <w:t>(1)</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9" w:name="xdx_F12_z5wpaPKddbh8"/>
            <w:bookmarkEnd w:id="79"/>
            <w:r>
              <w:rPr>
                <w:rFonts w:ascii="Times New Roman;Times;Serif" w:hAnsi="Times New Roman;Times;Serif"/>
                <w:b w:val="false"/>
                <w:i w:val="false"/>
                <w:caps w:val="false"/>
                <w:smallCaps w:val="false"/>
                <w:sz w:val="20"/>
              </w:rPr>
              <w:t xml:space="preserve">In the event that our securities are sold to or through underwriters, a corresponding prospectus supplement will disclose the applicable sales load. </w:t>
            </w:r>
          </w:p>
        </w:tc>
      </w:tr>
      <w:tr>
        <w:trPr/>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0" w:name="xdx_F0D_z8CJVHqQ4aEf"/>
            <w:bookmarkEnd w:id="80"/>
            <w:r>
              <w:rPr>
                <w:rFonts w:ascii="Times New Roman;Times;Serif" w:hAnsi="Times New Roman;Times;Serif"/>
                <w:b w:val="false"/>
                <w:i w:val="false"/>
                <w:caps w:val="false"/>
                <w:smallCaps w:val="false"/>
                <w:sz w:val="20"/>
              </w:rPr>
              <w:t>(2)</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1" w:name="xdx_F1C_zmTKDAq9IB9d"/>
            <w:bookmarkEnd w:id="81"/>
            <w:r>
              <w:rPr>
                <w:rFonts w:ascii="Times New Roman;Times;Serif" w:hAnsi="Times New Roman;Times;Serif"/>
                <w:b w:val="false"/>
                <w:i w:val="false"/>
                <w:caps w:val="false"/>
                <w:smallCaps w:val="false"/>
                <w:sz w:val="20"/>
              </w:rPr>
              <w:t xml:space="preserve">In the event that we conduct an offering of our securities, a corresponding prospectus supplement will disclose the estimated offering expenses. Our common stockholders will bear, directly or indirectly, the expenses of any offering of our securities, including debt securities. </w:t>
            </w:r>
          </w:p>
        </w:tc>
      </w:tr>
      <w:tr>
        <w:trPr/>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2" w:name="xdx_F0E_zn7VHnNHmT87"/>
            <w:bookmarkEnd w:id="82"/>
            <w:r>
              <w:rPr>
                <w:rFonts w:ascii="Times New Roman;Times;Serif" w:hAnsi="Times New Roman;Times;Serif"/>
                <w:b w:val="false"/>
                <w:i w:val="false"/>
                <w:caps w:val="false"/>
                <w:smallCaps w:val="false"/>
                <w:sz w:val="20"/>
              </w:rPr>
              <w:t>(3)</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3" w:name="xdx_F1F_zfVUc6tzUvG2"/>
            <w:bookmarkEnd w:id="83"/>
            <w:r>
              <w:rPr>
                <w:rFonts w:ascii="Times New Roman;Times;Serif" w:hAnsi="Times New Roman;Times;Serif"/>
                <w:b w:val="false"/>
                <w:i w:val="false"/>
                <w:caps w:val="false"/>
                <w:smallCaps w:val="false"/>
                <w:sz w:val="20"/>
              </w:rPr>
              <w:t>Under the DRIP, we will pay the plan administrator’s fees. There will be no brokerage charges or other charges to stockholders who participate in the DRIP, except that if a participant elects, by his or its written or telephonic notice to the plan administrator in advance of termination, to have the plan administrator sell part or all of his, her, or its shares and remit the proceeds to the participant, the plan administrator is authorized to deduct a $</w:t>
            </w:r>
            <w:bookmarkStart w:id="84" w:name="xdx_90C_ecef--OtherTransactionFeesBasisM"/>
            <w:bookmarkEnd w:id="84"/>
            <w:r>
              <w:rPr>
                <w:rFonts w:ascii="Times New Roman;Times;Serif" w:hAnsi="Times New Roman;Times;Serif"/>
                <w:b w:val="false"/>
                <w:i w:val="false"/>
                <w:caps w:val="false"/>
                <w:smallCaps w:val="false"/>
                <w:sz w:val="20"/>
              </w:rPr>
              <w:t>15 transaction fee plus brokerage commission from the proceeds. For additional information, see “Dividend Reinvestment Plan” in this prospectus. The expenses of our DRIP are included in “Other Expenses.”</w:t>
            </w:r>
          </w:p>
        </w:tc>
      </w:tr>
      <w:tr>
        <w:trPr/>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stockholder transaction expenses may include sales load and will be disclosed in a future prospectus supplement, if any. </w:t>
            </w:r>
          </w:p>
        </w:tc>
      </w:tr>
      <w:tr>
        <w:trPr/>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5" w:name="xdx_F0B_zuWsywg5Q1Jd"/>
            <w:bookmarkEnd w:id="85"/>
            <w:r>
              <w:rPr>
                <w:rFonts w:ascii="Times New Roman;Times;Serif" w:hAnsi="Times New Roman;Times;Serif"/>
                <w:b w:val="false"/>
                <w:i w:val="false"/>
                <w:caps w:val="false"/>
                <w:smallCaps w:val="false"/>
                <w:sz w:val="20"/>
              </w:rPr>
              <w:t>(5)</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6" w:name="xdx_F12_zjXhY6mReXJc"/>
            <w:bookmarkEnd w:id="86"/>
            <w:r>
              <w:rPr>
                <w:rFonts w:ascii="Times New Roman;Times;Serif" w:hAnsi="Times New Roman;Times;Serif"/>
                <w:b w:val="false"/>
                <w:i w:val="false"/>
                <w:caps w:val="false"/>
                <w:smallCaps w:val="false"/>
                <w:sz w:val="20"/>
              </w:rPr>
              <w:t>The Base Management Fee is calculated at an annual rate of 1.75% of the Company’s gross assets, payable monthly in arrears. The percentage shown in the table is presented as a percentage of net assets attributable to common stock, estimated based on the Company’s gross assets of approximately $420.1 million and net assets of approximately $355.9 million, in each case as of June 30, 2026. Because the Base Management Fee is payable on gross assets rather than net assets, the percentage shown in the table exceeds the 1.75% annual contractual rate and would increase to the extent the Company incurs additional leverage. See “Management and Other Agreements — Management Fee.”</w:t>
            </w:r>
          </w:p>
        </w:tc>
      </w:tr>
      <w:tr>
        <w:trPr/>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7" w:name="xdx_F06_zBCXw9R7EQVl"/>
            <w:bookmarkEnd w:id="87"/>
            <w:r>
              <w:rPr>
                <w:rFonts w:ascii="Times New Roman;Times;Serif" w:hAnsi="Times New Roman;Times;Serif"/>
                <w:b w:val="false"/>
                <w:i w:val="false"/>
                <w:caps w:val="false"/>
                <w:smallCaps w:val="false"/>
                <w:sz w:val="20"/>
              </w:rPr>
              <w:t>(6)</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8" w:name="xdx_F18_zknuHCeI0SH"/>
            <w:bookmarkEnd w:id="88"/>
            <w:r>
              <w:rPr>
                <w:rFonts w:ascii="Times New Roman;Times;Serif" w:hAnsi="Times New Roman;Times;Serif"/>
                <w:b w:val="false"/>
                <w:i w:val="false"/>
                <w:caps w:val="false"/>
                <w:smallCaps w:val="false"/>
                <w:sz w:val="20"/>
              </w:rPr>
              <w:t>The Incentive Fee consists of an Income-Based Fee and a Capital Gains Fee. No Incentive Fee is payable with respect to the Company’s Pre-Existing Investments. The Company has not made any Eligible Investments as of the date of this prospectus, and accordingly the Incentive Fee is estimated to be 0.00% for purposes of this table; this figure is a function of the composition of the Company’s portfolio as of June 30, 2026 and is not expected to remain at this level over the longer term. See “Management and Other Agreements — Incentive Fee.”</w:t>
            </w:r>
          </w:p>
        </w:tc>
      </w:tr>
      <w:tr>
        <w:trPr/>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9" w:name="xdx_F0F_zMPVE0iJT9u7"/>
            <w:bookmarkEnd w:id="89"/>
            <w:r>
              <w:rPr>
                <w:rFonts w:ascii="Times New Roman;Times;Serif" w:hAnsi="Times New Roman;Times;Serif"/>
                <w:b w:val="false"/>
                <w:i w:val="false"/>
                <w:caps w:val="false"/>
                <w:smallCaps w:val="false"/>
                <w:sz w:val="20"/>
              </w:rPr>
              <w:t>(7)</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0" w:name="xdx_F11_zJzjYo7DOws5"/>
            <w:bookmarkEnd w:id="90"/>
            <w:r>
              <w:rPr>
                <w:rFonts w:ascii="Times New Roman;Times;Serif" w:hAnsi="Times New Roman;Times;Serif"/>
                <w:b w:val="false"/>
                <w:i w:val="false"/>
                <w:caps w:val="false"/>
                <w:smallCaps w:val="false"/>
                <w:sz w:val="20"/>
              </w:rPr>
              <w:t>Interest payments on borrowed funds represents the Company’s estimated annual interest payments based on actual interest rate terms under its outstanding indebtedness. The amount shown reflects total interest of $1,470,534, consisting of interest expense recognized for the quarter ended June 30, 2026 on the 6.00% Notes due 2026 and the 6.50% Convertible Notes due 2029, together with amortization of deferred debt issuance costs, and a full quarter of coupon interest on the 6.50% redeemable promissory note issued in connection with the Magnetar Investment, annualized. The 6.50% redeemable promissory note was issued on July 16, 2026 and was therefore not outstanding as of June 30, 2026. This figure has not been adjusted to reflect the scheduled maturity of the 6.00% Notes due 2026 on December 30, 2026 or the scheduled maturity of the 6.50% redeemable promissory note issued in connection with the Magnetar Investment on July 16, 2029 and the resulting cessation of interest thereon, or reduced future interest payments on the 6.50% Convertible Notes due 2029 resulting from conversions.</w:t>
            </w:r>
          </w:p>
        </w:tc>
      </w:tr>
      <w:tr>
        <w:trPr/>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1" w:name="xdx_F01_zwpieZ4AMTw7"/>
            <w:bookmarkEnd w:id="91"/>
            <w:r>
              <w:rPr>
                <w:rFonts w:ascii="Times New Roman;Times;Serif" w:hAnsi="Times New Roman;Times;Serif"/>
                <w:b w:val="false"/>
                <w:i w:val="false"/>
                <w:caps w:val="false"/>
                <w:smallCaps w:val="false"/>
                <w:sz w:val="20"/>
              </w:rPr>
              <w:t>(8)</w:t>
            </w:r>
          </w:p>
        </w:tc>
        <w:tc>
          <w:tcPr>
            <w:tcW w:w="10000" w:type="dxa"/>
            <w:tcBorders/>
            <w:vAlign w:val="center"/>
          </w:tcPr>
          <w:p>
            <w:pPr>
              <w:pStyle w:val="TableContents"/>
              <w:bidi w:val="0"/>
              <w:spacing w:before="0" w:after="283"/>
              <w:jc w:val="both"/>
              <w:rPr>
                <w:caps w:val="false"/>
                <w:smallCaps w:val="false"/>
              </w:rPr>
            </w:pPr>
            <w:bookmarkStart w:id="92" w:name="xdx_901_ecef--OtherExpensesNoteTextBlock"/>
            <w:bookmarkStart w:id="93" w:name="xdx_F15_zmVNAZywjdbl"/>
            <w:bookmarkEnd w:id="92"/>
            <w:bookmarkEnd w:id="93"/>
            <w:r>
              <w:rPr>
                <w:caps w:val="false"/>
                <w:smallCaps w:val="false"/>
              </w:rPr>
              <w:t>“</w:t>
            </w:r>
            <w:r>
              <w:rPr>
                <w:rFonts w:ascii="Times New Roman;Times;Serif" w:hAnsi="Times New Roman;Times;Serif"/>
                <w:b w:val="false"/>
                <w:i w:val="false"/>
                <w:caps w:val="false"/>
                <w:smallCaps w:val="false"/>
                <w:sz w:val="20"/>
              </w:rPr>
              <w:t>Other expenses” are based upon estimated amounts for the current fiscal year, including expenses payable under the Administration Agreement. See “Management and Other Agreements — Administration Agreement.”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4" w:name="xdx_F0B_zzAsm1p1mzGi"/>
            <w:bookmarkEnd w:id="94"/>
            <w:r>
              <w:rPr>
                <w:rFonts w:ascii="Times New Roman;Times;Serif" w:hAnsi="Times New Roman;Times;Serif"/>
                <w:b w:val="false"/>
                <w:i w:val="false"/>
                <w:caps w:val="false"/>
                <w:smallCaps w:val="false"/>
                <w:sz w:val="20"/>
              </w:rPr>
              <w:t>(9)</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5" w:name="xdx_F15_zTtaVrr0BMPd"/>
            <w:bookmarkEnd w:id="95"/>
            <w:r>
              <w:rPr>
                <w:rFonts w:ascii="Times New Roman;Times;Serif" w:hAnsi="Times New Roman;Times;Serif"/>
                <w:b w:val="false"/>
                <w:i w:val="false"/>
                <w:caps w:val="false"/>
                <w:smallCaps w:val="false"/>
                <w:sz w:val="20"/>
              </w:rPr>
              <w:t>Net assets attributable to common stock reflects the Company’s net asset value. Our net assets totaled approximately $355.9 million, or $13.44 per share, as of June 30, 2026. The annual expense percentages shown in the table are presented as a percentage of the Company’s estimated average net assets attributable to common stock of approximately $376.1 million for the four quarters following June 30, 2026, other than the Base Management Fee, which is presented as a percentage of net assets as of June 30, 2026, as described in footnote (5).</w:t>
            </w:r>
          </w:p>
        </w:tc>
      </w:tr>
      <w:tr>
        <w:trPr/>
        <w:tc>
          <w:tcPr>
            <w:tcW w:w="3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6" w:name="xdx_F0B_zrf8kvLSYyl6"/>
            <w:bookmarkEnd w:id="96"/>
            <w:r>
              <w:rPr>
                <w:rFonts w:ascii="Times New Roman;Times;Serif" w:hAnsi="Times New Roman;Times;Serif"/>
                <w:b w:val="false"/>
                <w:i w:val="false"/>
                <w:caps w:val="false"/>
                <w:smallCaps w:val="false"/>
                <w:sz w:val="20"/>
              </w:rPr>
              <w:t>(10)</w:t>
            </w:r>
          </w:p>
        </w:tc>
        <w:tc>
          <w:tcPr>
            <w:tcW w:w="9896" w:type="dxa"/>
            <w:tcBorders/>
            <w:vAlign w:val="center"/>
          </w:tcPr>
          <w:p>
            <w:pPr>
              <w:pStyle w:val="TableContents"/>
              <w:bidi w:val="0"/>
              <w:spacing w:before="0" w:after="283"/>
              <w:jc w:val="both"/>
              <w:rPr>
                <w:caps w:val="false"/>
                <w:smallCaps w:val="false"/>
              </w:rPr>
            </w:pPr>
            <w:bookmarkStart w:id="97" w:name="xdx_F14_z9FowKaUuhY9"/>
            <w:bookmarkEnd w:id="97"/>
            <w:r>
              <w:rPr>
                <w:caps w:val="false"/>
                <w:smallCaps w:val="false"/>
              </w:rPr>
              <w:t>“</w:t>
            </w:r>
            <w:bookmarkStart w:id="98" w:name="xdx_90E_ecef--AcquiredFundFeesAndExpense"/>
            <w:bookmarkEnd w:id="98"/>
            <w:r>
              <w:rPr>
                <w:rFonts w:ascii="Times New Roman;Times;Serif" w:hAnsi="Times New Roman;Times;Serif"/>
                <w:b w:val="false"/>
                <w:i w:val="false"/>
                <w:caps w:val="false"/>
                <w:smallCaps w:val="false"/>
                <w:sz w:val="20"/>
              </w:rPr>
              <w:t>Acquired fund fees and expenses” represent the estimated indirect fees and expenses attributable to our investments in other investment companies and private funds (including special purpose vehicles), presented in accordance with Item 3 of Form N-2. The amount shown is based on the total annual operating expenses of such investment companies, private funds and special purpose vehicles, consisting principally of the management fees charged by such vehicles at their stated annual rates, applied to our investments in such vehicles, based on historical amounts for the most recently completed fiscal periods of such vehicles or, where historical information was not available, on estimated amounts for the current fiscal year. No performance-based fees or incentive fees are included in the amount shown, because no recurring annual amount in respect of such fees was determinable as of June 30, 2026. The investment companies, private funds and special purpose vehicles in which we invest currently charge management fees of 1.0% to 1.8% per annum, where applicable, and performance-based fees of 10.0% to 22.5% of net profits or capital appreciation. Actual acquired fund fees and expenses may be substantially higher or lower than the amount shown, including because performance-based fees and incentive allocations, which are not included in the amount shown, are based on the performance of the applicable vehicle, which may fluctuate over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w:t>
      </w:r>
    </w:p>
    <w:p>
      <w:pPr>
        <w:pStyle w:val="TextBody"/>
        <w:bidi w:val="0"/>
        <w:spacing w:before="0" w:after="0"/>
        <w:ind w:left="200" w:right="0" w:hanging="0"/>
        <w:jc w:val="both"/>
        <w:rPr>
          <w:caps w:val="false"/>
          <w:smallCaps w:val="false"/>
        </w:rPr>
      </w:pPr>
      <w:bookmarkStart w:id="99" w:name="xdx_89E_ecef--ExpenseExampleTableTextBlo"/>
      <w:bookmarkEnd w:id="99"/>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 except that, unlike the interest payments on borrowed funds figure shown in the table (see footnote 7 above), the interest component in this example has been adjusted to reflect the scheduled maturities of the 6.00% Notes due 2026 on December 30, 2026, the 6.50% Convertible Notes due 2029 on August 14, 2029 and the 6.50% redeemable promissory note issued in connection with the Magnetar Investment on July 16, 2029. For purposes of this example, the applicable periods are assumed to begin on July 1, 2026.</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16"/>
        <w:gridCol w:w="60"/>
        <w:gridCol w:w="229"/>
        <w:gridCol w:w="429"/>
        <w:gridCol w:w="60"/>
        <w:gridCol w:w="60"/>
        <w:gridCol w:w="200"/>
        <w:gridCol w:w="548"/>
        <w:gridCol w:w="60"/>
        <w:gridCol w:w="60"/>
        <w:gridCol w:w="200"/>
        <w:gridCol w:w="548"/>
        <w:gridCol w:w="60"/>
        <w:gridCol w:w="60"/>
        <w:gridCol w:w="223"/>
        <w:gridCol w:w="612"/>
        <w:gridCol w:w="80"/>
      </w:tblGrid>
      <w:tr>
        <w:trPr/>
        <w:tc>
          <w:tcPr>
            <w:tcW w:w="671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5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 Years</w:t>
            </w:r>
          </w:p>
        </w:tc>
        <w:tc>
          <w:tcPr>
            <w:tcW w:w="80" w:type="dxa"/>
            <w:tcBorders/>
            <w:vAlign w:val="center"/>
          </w:tcPr>
          <w:p>
            <w:pPr>
              <w:pStyle w:val="TableContents"/>
              <w:bidi w:val="0"/>
              <w:spacing w:before="0" w:after="283"/>
              <w:jc w:val="left"/>
              <w:rPr/>
            </w:pPr>
            <w:r>
              <w:rPr/>
              <w:t> </w:t>
            </w:r>
          </w:p>
        </w:tc>
      </w:tr>
      <w:tr>
        <w:trPr/>
        <w:tc>
          <w:tcPr>
            <w:tcW w:w="67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You would pay the following expenses on a $1,000 investment, assuming a 5% annual return</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0" w:name="xdx_980_ecef--ExpenseExampleYear01_c2026"/>
            <w:bookmarkEnd w:id="100"/>
          </w:p>
        </w:tc>
        <w:tc>
          <w:tcPr>
            <w:tcW w:w="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1" w:name="xdx_986_ecef--ExpenseExampleYears1to3_c2"/>
            <w:bookmarkEnd w:id="101"/>
          </w:p>
        </w:tc>
        <w:tc>
          <w:tcPr>
            <w:tcW w:w="5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2" w:name="xdx_986_ecef--ExpenseExampleYears1to5_c2"/>
            <w:bookmarkEnd w:id="102"/>
          </w:p>
        </w:tc>
        <w:tc>
          <w:tcPr>
            <w:tcW w:w="5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3" w:name="xdx_987_ecef--ExpenseExampleYears1to10_c"/>
            <w:bookmarkEnd w:id="103"/>
          </w:p>
        </w:tc>
        <w:tc>
          <w:tcPr>
            <w:tcW w:w="6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example and the expenses in the tables above should not be considered a representation of our future expenses, and actual expenses may be greater or less than those shown. While the example assumes, as required by the SEC, a 5.0% annual return, our performance will vary and may result in a return greater or less than 5.0%. In addition, while the example assumes reinvestment of all dividends at net asset value, participants in our DRIP will receive a number of shares of our common stock, determined by dividing the total dollar amount of the dividend payable to a participant by the market price per share of our common stock at the close of trading on the dividend payment date, which may be at, above or below net asset value. See “Dividend Reinvestment Plan” in this prospectus for additional information regarding our DRIP.</w:t>
      </w:r>
    </w:p>
    <w:p>
      <w:pPr>
        <w:pStyle w:val="TextBody"/>
        <w:bidi w:val="0"/>
        <w:spacing w:before="0" w:after="0"/>
        <w:ind w:left="0" w:right="0" w:firstLine="720"/>
        <w:jc w:val="both"/>
        <w:rPr>
          <w:caps w:val="false"/>
          <w:smallCaps w:val="false"/>
        </w:rPr>
      </w:pPr>
      <w:bookmarkStart w:id="104" w:name="xdx_8A8_zOJTt3faUjNc"/>
      <w:bookmarkEnd w:id="10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5" w:name="Aa_005"/>
      <w:bookmarkEnd w:id="105"/>
      <w:r>
        <w:rPr>
          <w:rFonts w:ascii="Times New Roman;Times;Serif" w:hAnsi="Times New Roman;Times;Serif"/>
          <w:b/>
          <w:i w:val="false"/>
          <w:caps w:val="false"/>
          <w:smallCaps w:val="false"/>
          <w:sz w:val="20"/>
        </w:rPr>
        <w:t>FINANCIAL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financial highlights as of and for each of the fiscal years ended December 31, 2025, 2024, 2023, 2022 and 2021 presented in Note 8 to our consolidated financial statements appearing in our most recent Annual Report on </w:t>
      </w:r>
      <w:hyperlink r:id="rId17">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are incorporated by reference herein. The financial highlights as of and for each of the fiscal years ended December 31, 2020, 2019, 2018, 2017 and 2016 presented in Note 8 to our consolidated financial statements appearing in our Annual Report on Form 10-K for the year ended December 31, 2020, filed with the SEC on March 12, 2021, are incorporated by reference herein. The financial highlights as of and for the three and six months ended June 30, 2026 (unaudited) are set forth in Note 8 to our condensed consolidated financial statements appearing in our most recent Quarterly Report on </w:t>
      </w:r>
      <w:hyperlink r:id="rId18">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and are incorporated by reference herein. The financial data for the fiscal years ended December 31, 2025, 2024, 2023, 2022 and 2021 have been audited by CBIZ CPAs P.C. and/or Marcum LLP, as applicable, each an independent registered public accounting firm whose reports thereon are incorporated by reference in this prospectus. A copy of our Annual Report on Form 10-K filed with the SEC may be obtained from www.sec.gov or upon request. You should read these financial highlights in conjunction with our consolidated financial statements and notes thereto and “Management’s Discussion and Analysis of Financial Condition and Results of Operations” incorporated by reference into this prospectus, any documents incorporated by reference in this prospectus or the accompanying prospectus supplement, and our Annual Reports on Form 10-K filed with the SEC.</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6" w:name="xdx_828_z3IHQbepsmH6"/>
      <w:bookmarkStart w:id="107" w:name="Aa_006"/>
      <w:bookmarkStart w:id="108" w:name="xdx_802_ecef--RiskFactorsTableTextBlock_"/>
      <w:bookmarkEnd w:id="106"/>
      <w:bookmarkEnd w:id="107"/>
      <w:bookmarkEnd w:id="108"/>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Investing in our securities involves a high degree of risk. Before deciding whether to invest in our securities, you should carefully consider the risks and uncertainties described in the section titled “Risk Factors” in the applicable prospectus supplement and any related free writing prospectus, and discussed in the section titled “Risk Factors” in Part I, Item 1A of our most recent Annual Report on </w:t>
      </w:r>
      <w:hyperlink r:id="rId19">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the section titled “Risk Factors” in Part II, Item 1A of our most recent Quarterly Report on </w:t>
      </w:r>
      <w:hyperlink r:id="rId20">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and any subsequent filings we have made with the SEC that are incorporated by reference into this prospectus or any prospectus supplement, together with other information in this prospectus, the documents incorporated by reference in this prospectus or any prospectus supplement, and any free writing prospectus that we may authorize for use in connection with this offering. The externalization-related risk factors in this prospectus update and, to the extent inconsistent with the risk factors incorporated by reference from our Annual Report on </w:t>
      </w:r>
      <w:hyperlink r:id="rId21">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and Quarterly Report on </w:t>
      </w:r>
      <w:hyperlink r:id="rId22">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supersede those incorporated risk factors, which were prepared while the Company was internally managed. The risk factors set forth below under “— Risks Relating to Our Investments” supplement the risk factors incorporated by reference into this prospectus. The risks described in these documents are not the only ones we face. Additional risks and uncertainties that we are unaware of, or that we currently believe are not material, may also become important factors that adversely affect our business. Past financial performance may not be a reliable indicator of future performance, and historical trends should not be used to anticipate results or trends in future periods. If any of these risks actually occurs, our business, reputation, financial condition, results of operations, revenue, and future prospects could be seriously harmed. This could cause our net asset value and the trading price of our securities to decline, resulting in a loss of all or part of your investment. Please also read carefully the section titled “Cautionary Statement Regarding Forward-Looking Statements”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Externalization and Our Externally Managed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risk factors supplement, update and, to the extent inconsistent, supersede the risk factors incorporated by reference into this prospectus and relate to the Externalization and our operation as an externally managed BDC. You should carefully consider these risks, together with the other information in this prospectus and the documents incorporated by reference herein, before investing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depend upon the Adviser and its key personnel, and we have no employees.</w:t>
      </w:r>
      <w:r>
        <w:rPr>
          <w:rFonts w:ascii="Times New Roman;Times;Serif" w:hAnsi="Times New Roman;Times;Serif"/>
          <w:b w:val="false"/>
          <w:i w:val="false"/>
          <w:caps w:val="false"/>
          <w:smallCaps w:val="false"/>
          <w:sz w:val="20"/>
        </w:rPr>
        <w:t xml:space="preserve"> Following the Externalization, we have no employees and depend on the Adviser to manage our investment activities and the Administrator to provide administrative services. We depend on the diligence, skill and network of business contacts of the investment professionals of the Adviser and its affiliates, including Magnetar. The investment professionals who manage our portfolio are employees of the Adviser and are not obligated to dedicate any specific portion of their time to managing our business, and the departure of any of these key personnel could have a material adverse effect on our ability to achieve our investment objective.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Investment Advisory Agreement and the Administration Agreement were not negotiated on an arm’s-length basis.</w:t>
      </w:r>
      <w:r>
        <w:rPr>
          <w:rFonts w:ascii="Times New Roman;Times;Serif" w:hAnsi="Times New Roman;Times;Serif"/>
          <w:b w:val="false"/>
          <w:i w:val="false"/>
          <w:caps w:val="false"/>
          <w:smallCaps w:val="false"/>
          <w:sz w:val="20"/>
        </w:rPr>
        <w:t xml:space="preserve"> The Investment Advisory Agreement and the Administration Agreement were negotiated between related parties, and certain of the Adviser’s investment professionals who negotiated these agreements on our behalf have economic interests in the Adviser. As a result, their terms, including the fees payable to the Adviser, may be less favorable to us than they would have been had they been negotiated with an unaffiliated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pay the Adviser a Base Management Fee based on our gross assets, which may create an incentive to incur leverage.</w:t>
      </w:r>
      <w:r>
        <w:rPr>
          <w:rFonts w:ascii="Times New Roman;Times;Serif" w:hAnsi="Times New Roman;Times;Serif"/>
          <w:b w:val="false"/>
          <w:i w:val="false"/>
          <w:caps w:val="false"/>
          <w:smallCaps w:val="false"/>
          <w:sz w:val="20"/>
        </w:rPr>
        <w:t xml:space="preserve"> Because the Base Management Fee is calculated as a percentage of our gross assets, including assets acquired with borrowed funds, the Adviser may have an incentive to increase our leverage in order to increase the Base Management Fee. The use of leverage increases the risk of investing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Incentive Fee may create incentives for the Adviser to make speculative investments or to use leverage.</w:t>
      </w:r>
      <w:r>
        <w:rPr>
          <w:rFonts w:ascii="Times New Roman;Times;Serif" w:hAnsi="Times New Roman;Times;Serif"/>
          <w:b w:val="false"/>
          <w:i w:val="false"/>
          <w:caps w:val="false"/>
          <w:smallCaps w:val="false"/>
          <w:sz w:val="20"/>
        </w:rPr>
        <w:t xml:space="preserve"> The Income-Based Fee is computed and paid on income that may include interest that is accrued but not yet received in cash, and the structure of the Incentive Fee may create an incentive for the Adviser to make investments that are riskier or more speculative than would otherwise be the case, or to use leverage to increase the return on our investments. In addition, because the Capital Gains Fee is based on realized capital gains on Eligible Investments, the Adviser may have an incentive to dispose of Pre-Existing Investments and redeploy the proceeds into Eligible Investments, which would increase the Incentive Fee payable to the Adviser.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pay the Income-Based Fee even if we incur a net loss.</w:t>
      </w:r>
      <w:r>
        <w:rPr>
          <w:rFonts w:ascii="Times New Roman;Times;Serif" w:hAnsi="Times New Roman;Times;Serif"/>
          <w:b w:val="false"/>
          <w:i w:val="false"/>
          <w:caps w:val="false"/>
          <w:smallCaps w:val="false"/>
          <w:sz w:val="20"/>
        </w:rPr>
        <w:t xml:space="preserve"> We may be required to pay the Income-Based Fee in a quarter in which we incur a net loss, because the Income-Based Fee is calculated on our Pre-Incentive Fee Net Investment Income and does not take into account realized or unrealized capital losses. As a result, the Income-Based Fee may be payable to the Adviser even if our net asset value decreases in a given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Adviser and Magnetar may face conflicts of interest in allocating investment opportunities.</w:t>
      </w:r>
      <w:r>
        <w:rPr>
          <w:rFonts w:ascii="Times New Roman;Times;Serif" w:hAnsi="Times New Roman;Times;Serif"/>
          <w:b w:val="false"/>
          <w:i w:val="false"/>
          <w:caps w:val="false"/>
          <w:smallCaps w:val="false"/>
          <w:sz w:val="20"/>
        </w:rPr>
        <w:t xml:space="preserve"> The Adviser, Magnetar and their affiliates manage, and in the future may manage, other funds and accounts, including funds and accounts that have investment objectives or strategies that overlap with ours. As a result, the Adviser and its affiliates may face conflicts of interest in allocating investment opportunities among us and such other funds and accounts. Although the Adviser and Magnetar intend to adopt allocation policies designed to allocate opportunities on a fair and equitable basis, there can be no assurance that a particular opportunity that is suitable for us will be allocated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ability to co-invest with affiliates is subject to exemptive relief that we have not yet obtained.</w:t>
      </w:r>
      <w:r>
        <w:rPr>
          <w:rFonts w:ascii="Times New Roman;Times;Serif" w:hAnsi="Times New Roman;Times;Serif"/>
          <w:b w:val="false"/>
          <w:i w:val="false"/>
          <w:caps w:val="false"/>
          <w:smallCaps w:val="false"/>
          <w:sz w:val="20"/>
        </w:rPr>
        <w:t xml:space="preserve"> We have applied for co-investment exemptive relief under the 1940 Act and, if the relief is obtained, intend to rely on it to co-invest alongside the Adviser, Magnetar and their affiliates in suitable negotiated investments. Until we obtain the Exemptive Relief, our ability to co-invest alongside the Adviser, Magnetar and their affiliates in privately negotiated transactions will be limited by the 1940 Act and the rules thereunder. There can be no assurance that we will obtain the Exemptive Relief, or that the conditions of any Exemptive Relief we obtain will not limit our ability to participate in attractive investment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Adviser’s services may not be exclusive.</w:t>
      </w:r>
      <w:r>
        <w:rPr>
          <w:rFonts w:ascii="Times New Roman;Times;Serif" w:hAnsi="Times New Roman;Times;Serif"/>
          <w:b w:val="false"/>
          <w:i w:val="false"/>
          <w:caps w:val="false"/>
          <w:smallCaps w:val="false"/>
          <w:sz w:val="20"/>
        </w:rPr>
        <w:t xml:space="preserve"> The Investment Advisory Agreement does not require the Adviser to provide investment management services to us on an exclusive basis, and the Adviser may in the future sponsor or advise other investment vehicles, including other BDCs, private funds, separately managed accounts and registered investment companies. As a result, the time and resources that the Adviser’s investment professionals devote to us may be diverted, and we may face additional conflicts of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Magnetar Investment may give rise to conflicts of interest, require cash payments and result in dilution or resales of our Common Stock.</w:t>
      </w:r>
      <w:r>
        <w:rPr>
          <w:rFonts w:ascii="Times New Roman;Times;Serif" w:hAnsi="Times New Roman;Times;Serif"/>
          <w:b w:val="false"/>
          <w:i w:val="false"/>
          <w:caps w:val="false"/>
          <w:smallCaps w:val="false"/>
          <w:sz w:val="20"/>
        </w:rPr>
        <w:t xml:space="preserve"> In connection with the Externalization, on July 16, 2026, MCP Investing LLC, an affiliate of the Magnetar JV Entity, purchased a $20,000,000 redeemable promissory note from us pursuant to the Securities Purchase Agreement. The note bears interest and, unless redeemed in connection with a Qualified Fundraising or repaid in connection with a change of control, must be repaid in cash at maturity, which could reduce cash available for investments and operations. Upon a Qualified Fundraising, the note will be redeemed and repaid through the issuance of shares of our Common Stock, and the issuance or resale of those shares under the registration rights granted to the Purchaser could be dilutive to existing stockholders or adversely affect the market price of our Common Stock. Upon a change of control, we must repay 105% of the outstanding principal and accrued interest in cash. In addition, Erik Falk, a Partner and Head of Strategy of Magnetar, serves on our Board of Directors as an interested director, which may give rise to additional conflicts of interest in matters relating to Magnetar and the Magnetar Investment.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Adviser’s investment professionals have interests in the Externalization that may differ from the interests of our stockholders.</w:t>
      </w:r>
      <w:r>
        <w:rPr>
          <w:rFonts w:ascii="Times New Roman;Times;Serif" w:hAnsi="Times New Roman;Times;Serif"/>
          <w:b w:val="false"/>
          <w:i w:val="false"/>
          <w:caps w:val="false"/>
          <w:smallCaps w:val="false"/>
          <w:sz w:val="20"/>
        </w:rPr>
        <w:t xml:space="preserve"> In connection with the Externalization, certain of the Adviser’s investment professionals own interests in, and are employed by, the Adviser or the Administrator, and certain transaction-related cash bonuses, restricted-share grants, vesting accelerations and lock-up arrangements were tied to the consummation of the Externalization. These arrangements may create conflicts between their personal economic interests and the interests of our stockholders, including in connection with the negotiation and implementation of the Investment Advisory Agreement, the Administration Agreement and related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fail to realize the anticipated benefits of the Externalization.</w:t>
      </w:r>
      <w:r>
        <w:rPr>
          <w:rFonts w:ascii="Times New Roman;Times;Serif" w:hAnsi="Times New Roman;Times;Serif"/>
          <w:b w:val="false"/>
          <w:i w:val="false"/>
          <w:caps w:val="false"/>
          <w:smallCaps w:val="false"/>
          <w:sz w:val="20"/>
        </w:rPr>
        <w:t xml:space="preserve"> The Externalization may not produce the benefits that we anticipate, and the aggregate fees payable to the Adviser under the Investment Advisory Agreement could, in periods of declining asset values or poor investment performance, exceed the compensation we would have paid to our investment personnel under our former internally managed structure. In addition, following the Externalization, we directly bear investment advisory fees, expenses payable under the Administration Agreement, our allocable portion of overhead, and other operating, administration and transaction expenses, which could be higher than the costs we incurred under our former internally managed structure and reduce net investment income available for distributions.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Sales or restructurings of Pre-Existing Investments could change our fee profile and portfolio composition.</w:t>
      </w:r>
      <w:r>
        <w:rPr>
          <w:rFonts w:ascii="Times New Roman;Times;Serif" w:hAnsi="Times New Roman;Times;Serif"/>
          <w:b w:val="false"/>
          <w:i w:val="false"/>
          <w:caps w:val="false"/>
          <w:smallCaps w:val="false"/>
          <w:sz w:val="20"/>
        </w:rPr>
        <w:t xml:space="preserve"> Because the Incentive Fee applies only to Eligible Investments and not to Pre-Existing Investments, decisions by the Adviser to dispose of Pre-Existing Investments and redeploy proceeds into Eligible Investments could, over time, increase the Incentive Fee payable to the Adviser and alter the composition and risk profile of our portfolio. We cannot predict the timing or extent of any such dispositions or redeployments, which will depend on market conditions, portfolio company developments and the Adviser’s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Investments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risk factors relate to our investments and supplement the risk factors incorporated by reference into this prospectus from our most recent Annual Report on Form 10-K and our most recent Quarterly Report on Form 10-Q.</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invest in private equity funds and through special purpose vehicles, joint ventures or similar private funds, and our investments through these vehicles may entail greater risks, or risks that we otherwise would not incur, than if we made such investments directly.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in private equity funds in the future on an opportunistic basis, and we hold, and may acquire, interests in special purpose vehicles and similar private funds formed principally to invest in a single portfolio company. In general, the risks associated with indirect investments in portfolio companies through a private fund, joint venture or special purpose vehicle are similar to those associated with a direct investment in a portfolio company, but also include some additional risks. While the Adviser expects to analyze the business of the underlying portfolio companies, and to conduct due diligence on the fund or vehicle and its manager, including investment, operational, legal and, as applicable, tax considerations, before making such an investment, we will nonetheless be exposed to the costs, strategies and risks of the fund or vehicle itself, over which neither we nor the Adviser has control, and we may be required to rely on the manager of, or our partners in, the fund or vehicle when decisions are made regarding its investments. In addition, investments through private funds and special purpose vehicles can have a different risk profile than direct investments made by us due to the fact that we may have less information available to us and fewer rights compared to companies in which we invest directly. For example, there may be less information available to us and our stockholders about the underlying investments held by such funds and vehicles, including with respect to their holdings, liquidity and valuation, and we will typically have fewer rights relating to the oversight of the underlying portfolio companies. Our stockholders indirectly bear the expenses of the private funds and special purpose vehicles in which we invest. As an investor in a private equity fund, we would bear our ratable share of the fund’s fees and expenses, including management fees and performance-based compensation or carried interest payable to the fund’s manager, which are separate from and in addition to the Base Management Fee, the Incentive Fee and the other expenses that we bear directly, and these multiple layers of fees could reduce the returns on any such investment below those we would achieve investing directly. Performance-based compensation payable to the manager of an underlying private equity fund is generally calculated separately for each fund, without netting across funds, so we could bear performance-based compensation with respect to an underlying private equity fund that has appreciated even if other underlying private equity funds in which we invest, or our portfolio as a whole, decline in value (commonly referred to as “netting risk”). Future fees and expenses of such funds and vehicles may be substantially higher or lower because certain fees are based on performance, which may fluctuate over time. The types of underlying private equity funds in which we may invest are not limited and could include, among others, buyout, growth equity, venture capital, credit and secondary funds, each of which presents its own strategies, risks and considerations, including investments that may be more volatile or speculative than our direct investments, conflicts of interest and limited liquidity of the fund’s underlying investments. Interests in private equity funds and special purpose vehicles are generally illiquid, are typically subject to restrictions on transfer and, where applicable, withdrawal, and are difficult to value, and the accounting and tax implications of such investments can be complicated. In addition, interests in private equity funds and other private funds generally are not “qualifying assets” for purposes of the 70% test applicable to BDCs under the 1940 Act, and we may be precluded from making investments in private funds that we believe are attractive if such investments would cause us to fail to satisfy that test. Such investments may also present tax considerations for us, including with respect to the source-of-income and asset diversification requirements applicable to RICs.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number of our portfolio companies are, or may be, in the Financial Technology &amp; Services industry and such companies are subject to additional risks that are unique to that industry, and the financial results of our portfolio companies in the Financial Technology &amp; Services industry could materially adversely affect our financial results.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Technology &amp; Services is one of our key investment themes, and we may in the future invest, and have previously invested, in portfolio companies that provide technology-enabled financial products and services, including payments, lending, digital banking, brokerage and investing. Our portfolio companies in the financial technology sector are subject to many risks, including the negative impact of regulation, changing technology, a competitive marketplace and difficulty in obtaining financing. The laws and rules governing the business of financial technology companies, including those relating to money transmission, lending, securities, consumer protection, anti-money laundering and data privacy, and interpretations of those laws and rules, are subject to frequent change, and broad latitude is given to the agencies administering those regulations. Existing or future laws and rules could force our portfolio companies engaged in financial technology to change how they do business, restrict revenue, increase costs and change business practices, and if any of these portfolio companies fail to comply with applicable regulations or to obtain or maintain required licenses, they could lose licenses that they then hold for the conduct of business and could be subject to significant penalties and claims that could materially and adversely affect their operations. Many financial technology companies also rely on relationships with banks, payment networks or other regulated financial institutions, and the loss of those relationships could disrupt their operations. The business of our portfolio companies in this sector relies upon secure information technology systems for data processing, storage and reporting, and cyber-attacks, fraud and data breaches could result in disrupted operations, liability for stolen information, misappropriation of assets, regulatory fines or penalties and damage to their business relationships. Financial technology companies may also bear credit, liquidity and interest rate risks associated with the financial products and services they offer, and certain of our portfolio companies may have direct or indirect exposure to cryptocurrencies and other digital assets, which have experienced extreme price volatility and remain subject to evolving regulatory treatment. Adverse economic, business or regulatory developments affecting the financial technology sector could have a negative impact on the value of our investments in portfolio companies operating in this industry, and therefore could negatively impact our business and results of operations.</w:t>
      </w:r>
    </w:p>
    <w:p>
      <w:pPr>
        <w:pStyle w:val="TextBody"/>
        <w:bidi w:val="0"/>
        <w:spacing w:before="0" w:after="0"/>
        <w:ind w:left="0" w:right="0" w:firstLine="720"/>
        <w:jc w:val="both"/>
        <w:rPr>
          <w:caps w:val="false"/>
          <w:smallCaps w:val="false"/>
        </w:rPr>
      </w:pPr>
      <w:bookmarkStart w:id="109" w:name="xdx_811_zoUMSghMITMc"/>
      <w:bookmarkEnd w:id="10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0" w:name="Aa_007"/>
      <w:bookmarkEnd w:id="110"/>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involve risks and uncertainties, including, without limitation, statements as to:</w:t>
      </w:r>
    </w:p>
    <w:p>
      <w:pPr>
        <w:pStyle w:val="TextBody"/>
        <w:bidi w:val="0"/>
        <w:spacing w:before="0" w:after="0"/>
        <w:ind w:left="0" w:right="0" w:firstLine="405"/>
        <w:jc w:val="both"/>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75"/>
        <w:gridCol w:w="170"/>
        <w:gridCol w:w="92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operating results;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prospects and the prospects of our portfolio companies;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investments that we expect to make;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contractual arrangements and relationships with third parties;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dependence of our future success on the general economy and its impact on the industries in which we invest;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portfolio companies to achieve their objectives;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financings and investments;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adequacy of our cash resources and working capital;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cash flows, if any, from the operations of our portfolio companies.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economic downturn could impair our portfolio companies’ ability to continue to operate, which could lead to the loss of some or all of our investments in such portfolio companies;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economic downturn could disproportionately impact the market sectors in which a significant portion of our portfolio is concentrated, causing us to suffer losses in our portfolio;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contraction of available credit and/or an inability to access the equity markets could impair our investment activities;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inflation or an inflationary economic environment could adversely affect our portfolio companies’ operating results, causing us to suffer losses in our portfolio;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volatility could adversely affect our results, particularly because we use leverage as part of our investment strategy;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risks, uncertainties and other factors we identify in the sections entitled “Risk Factors” in our quarterly reports on Form 10-Q, our annual report on </w:t>
            </w:r>
            <w:hyperlink r:id="rId2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and in our other filings with the SEC.</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“Risk Factors” in Part I, Item 1A of our most recent Annual Report on </w:t>
      </w:r>
      <w:hyperlink r:id="rId24">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in Part II, Item 1A of our most recent Quarterly Report on </w:t>
      </w:r>
      <w:hyperlink r:id="rId25">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and elsewhere in this prospectus, any applicable prospectus supplement or free writing prospectus, including the documents we incorporate by reference. You should not place undue reliance on these forward-looking statements, which are based on information available to us as of the applicable date of this prospectus, any applicable prospectus supplement or free writing prospectus, including any documents incorporated by reference,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The forward-looking statements in this prospectus are excluded from the safe harbor protection provided by Section 27A of the Securities Act and Section 21E of the Exchange Act.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1" w:name="Aa_008"/>
      <w:bookmarkEnd w:id="111"/>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our securities pursuant to this prospectus for general corporate purposes, which may include investing in securities consistent with our investment objective, repayment of outstanding indebtedness, and other general corporate purposes. We are continuously identifying, reviewing and, to the extent consistent with our investment objective, funding new investments. As a result, we typically raise capital as we deem appropriate to fund such new investments. The applicable prospectus supplement or a free writing prospectus that we have authorized for use relating to an offering will more fully identify the use of the proceeds from such offering. We will also use a portion of any such proceeds to pay operating expenses, and other expenses such as due diligence expenses relating to potential new investments. We anticipate that substantially all of the net proceeds of any such offering will be used for the above purposes within six to twelve months, depending on the availability of investment opportunities that are consistent with our investment objectives and market conditions, except for such amounts as may be retained for purposes of funding our ongoing operations subsequent to the completion of any such offering. We cannot assure you we will achieve our targeted investment pace. If proceeds are not immediately used for investments, then we will invest the net proceeds of any such offering primarily in cash, cash equivalents, U.S. government securities and other high-quality debt investments that mature in one year or less from the date of investment.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2" w:name="Aa_009"/>
      <w:bookmarkEnd w:id="112"/>
      <w:r>
        <w:rPr>
          <w:rFonts w:ascii="Times New Roman;Times;Serif" w:hAnsi="Times New Roman;Times;Serif"/>
          <w:b/>
          <w:i w:val="false"/>
          <w:caps w:val="false"/>
          <w:smallCaps w:val="false"/>
          <w:sz w:val="20"/>
        </w:rPr>
        <w:t>PRICE RANGE OF COMMON STOCK AND DISTRIBUTIONS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Global Select Market under the symbol “NSLR.” The following table sets forth the high and low closing sale price for our common stock, and the closing sale price as a percentage of NAV for each fiscal quarter during the three most recently completed fiscal years and any subsequent interim periods.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3" w:name="xdx_88B_ecef--SharePriceTableTextBlock_d"/>
      <w:bookmarkStart w:id="114" w:name="xdx_88B_ecef--SharePriceTableTextBlock_d"/>
      <w:bookmarkEnd w:id="114"/>
    </w:p>
    <w:tbl>
      <w:tblPr>
        <w:tblW w:w="10205" w:type="dxa"/>
        <w:jc w:val="left"/>
        <w:tblInd w:w="0" w:type="dxa"/>
        <w:tblLayout w:type="fixed"/>
        <w:tblCellMar>
          <w:top w:w="0" w:type="dxa"/>
          <w:left w:w="0" w:type="dxa"/>
          <w:bottom w:w="0" w:type="dxa"/>
          <w:right w:w="0" w:type="dxa"/>
        </w:tblCellMar>
      </w:tblPr>
      <w:tblGrid>
        <w:gridCol w:w="3462"/>
        <w:gridCol w:w="60"/>
        <w:gridCol w:w="140"/>
        <w:gridCol w:w="560"/>
        <w:gridCol w:w="60"/>
        <w:gridCol w:w="60"/>
        <w:gridCol w:w="140"/>
        <w:gridCol w:w="560"/>
        <w:gridCol w:w="60"/>
        <w:gridCol w:w="60"/>
        <w:gridCol w:w="140"/>
        <w:gridCol w:w="560"/>
        <w:gridCol w:w="60"/>
        <w:gridCol w:w="60"/>
        <w:gridCol w:w="186"/>
        <w:gridCol w:w="1615"/>
        <w:gridCol w:w="271"/>
        <w:gridCol w:w="60"/>
        <w:gridCol w:w="186"/>
        <w:gridCol w:w="1615"/>
        <w:gridCol w:w="290"/>
      </w:tblGrid>
      <w:tr>
        <w:trPr/>
        <w:tc>
          <w:tcPr>
            <w:tcW w:w="34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NAV</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 w:name="xdx_48B_ecef--HighestPriceOrBid_zxPuIOy7"/>
            <w:bookmarkEnd w:id="115"/>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 w:name="xdx_48C_ecef--LowestPriceOrBid_zDiHHGCD9"/>
            <w:bookmarkEnd w:id="116"/>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 w:name="xdx_48A_ecef--HighestPriceOrBidPremiumDi"/>
            <w:bookmarkEnd w:id="117"/>
          </w:p>
        </w:tc>
        <w:tc>
          <w:tcPr>
            <w:tcW w:w="18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 NAV</w:t>
            </w:r>
            <w:bookmarkStart w:id="118" w:name="xdx_F53_zsGGYJlkvOu9"/>
            <w:bookmarkEnd w:id="118"/>
            <w:r>
              <w:rPr>
                <w:rFonts w:ascii="Times New Roman;Times;Serif" w:hAnsi="Times New Roman;Times;Serif"/>
                <w:b/>
                <w:sz w:val="20"/>
              </w:rPr>
              <w:t>(2)</w:t>
            </w:r>
          </w:p>
        </w:tc>
        <w:tc>
          <w:tcPr>
            <w:tcW w:w="2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 w:name="xdx_485_ecef--LowestPriceOrBidPremiumDis"/>
            <w:bookmarkEnd w:id="119"/>
          </w:p>
        </w:tc>
        <w:tc>
          <w:tcPr>
            <w:tcW w:w="18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 NAV</w:t>
            </w:r>
            <w:bookmarkStart w:id="120" w:name="xdx_F52_zQWhGwE9qaj4"/>
            <w:bookmarkEnd w:id="120"/>
            <w:r>
              <w:rPr>
                <w:rFonts w:ascii="Times New Roman;Times;Serif" w:hAnsi="Times New Roman;Times;Serif"/>
                <w:b/>
                <w:sz w:val="20"/>
              </w:rPr>
              <w:t>(2)</w:t>
            </w:r>
          </w:p>
        </w:tc>
        <w:tc>
          <w:tcPr>
            <w:tcW w:w="290" w:type="dxa"/>
            <w:tcBorders/>
            <w:vAlign w:val="center"/>
          </w:tcPr>
          <w:p>
            <w:pPr>
              <w:pStyle w:val="TableContents"/>
              <w:bidi w:val="0"/>
              <w:spacing w:before="0" w:after="283"/>
              <w:jc w:val="left"/>
              <w:rPr/>
            </w:pPr>
            <w:r>
              <w:rPr/>
              <w:t> </w:t>
            </w:r>
          </w:p>
        </w:tc>
      </w:tr>
      <w:tr>
        <w:trPr/>
        <w:tc>
          <w:tcPr>
            <w:tcW w:w="34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Price Range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1"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 Close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Premium/(Discount)</w:t>
            </w:r>
          </w:p>
        </w:tc>
        <w:tc>
          <w:tcPr>
            <w:tcW w:w="2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1"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 Close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Premium/(Discount)</w:t>
            </w:r>
          </w:p>
        </w:tc>
        <w:tc>
          <w:tcPr>
            <w:tcW w:w="290" w:type="dxa"/>
            <w:tcBorders/>
            <w:vAlign w:val="center"/>
          </w:tcPr>
          <w:p>
            <w:pPr>
              <w:pStyle w:val="TableContents"/>
              <w:bidi w:val="0"/>
              <w:spacing w:before="0" w:after="283"/>
              <w:jc w:val="left"/>
              <w:rPr/>
            </w:pPr>
            <w:r>
              <w:rPr/>
              <w:t> </w:t>
            </w:r>
          </w:p>
        </w:tc>
      </w:tr>
      <w:tr>
        <w:trPr/>
        <w:tc>
          <w:tcPr>
            <w:tcW w:w="34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NAV</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 NAV</w:t>
            </w:r>
            <w:r>
              <w:rPr>
                <w:rFonts w:ascii="Times New Roman;Times;Serif" w:hAnsi="Times New Roman;Times;Serif"/>
                <w:b/>
                <w:position w:val="7"/>
                <w:sz w:val="16"/>
                <w:sz w:val="20"/>
              </w:rPr>
              <w:t>(2)</w:t>
            </w:r>
          </w:p>
        </w:tc>
        <w:tc>
          <w:tcPr>
            <w:tcW w:w="2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 NAV</w:t>
            </w:r>
            <w:r>
              <w:rPr>
                <w:rFonts w:ascii="Times New Roman;Times;Serif" w:hAnsi="Times New Roman;Times;Serif"/>
                <w:b/>
                <w:position w:val="7"/>
                <w:sz w:val="16"/>
                <w:sz w:val="20"/>
              </w:rPr>
              <w:t>(2)</w:t>
            </w:r>
          </w:p>
        </w:tc>
        <w:tc>
          <w:tcPr>
            <w:tcW w:w="290" w:type="dxa"/>
            <w:tcBorders/>
            <w:vAlign w:val="center"/>
          </w:tcPr>
          <w:p>
            <w:pPr>
              <w:pStyle w:val="TableContents"/>
              <w:bidi w:val="0"/>
              <w:spacing w:before="0" w:after="283"/>
              <w:jc w:val="left"/>
              <w:rPr/>
            </w:pPr>
            <w:r>
              <w:rPr/>
              <w:t> </w:t>
            </w:r>
          </w:p>
        </w:tc>
      </w:tr>
      <w:tr>
        <w:trPr/>
        <w:tc>
          <w:tcPr>
            <w:tcW w:w="3462"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 </w:t>
            </w:r>
          </w:p>
        </w:tc>
        <w:tc>
          <w:tcPr>
            <w:tcW w:w="2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346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Third Quarter (through September 22,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1" w:name="xdx_989_eus-gaap--NetAssetValuePerShare_"/>
            <w:bookmarkEnd w:id="121"/>
          </w:p>
        </w:tc>
        <w:tc>
          <w:tcPr>
            <w:tcW w:w="560"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22" w:name="xdx_980_ecef--HighestPriceOrBid_c2026070"/>
            <w:bookmarkEnd w:id="122"/>
            <w:r>
              <w:rPr>
                <w:rFonts w:ascii="Times New Roman;Times;Serif" w:hAnsi="Times New Roman;Times;Serif"/>
                <w:b w:val="false"/>
                <w:i w:val="false"/>
                <w:caps w:val="false"/>
                <w:smallCaps w:val="false"/>
                <w:sz w:val="20"/>
              </w:rPr>
              <w:t>12.16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23" w:name="xdx_983_ecef--LowestPriceOrBid_c20260701"/>
            <w:bookmarkEnd w:id="123"/>
            <w:r>
              <w:rPr>
                <w:rFonts w:ascii="Times New Roman;Times;Serif" w:hAnsi="Times New Roman;Times;Serif"/>
                <w:b w:val="false"/>
                <w:i w:val="false"/>
                <w:caps w:val="false"/>
                <w:smallCaps w:val="false"/>
                <w:sz w:val="20"/>
              </w:rPr>
              <w:t>7.86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bookmarkStart w:id="124" w:name="xdx_980_ecef--HighestPriceOrBidPremiumDi"/>
            <w:bookmarkEnd w:id="124"/>
          </w:p>
        </w:tc>
        <w:tc>
          <w:tcPr>
            <w:tcW w:w="1615"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w:t>
            </w:r>
          </w:p>
        </w:tc>
        <w:tc>
          <w:tcPr>
            <w:tcW w:w="2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bookmarkStart w:id="125" w:name="xdx_98A_ecef--LowestPriceOrBidPremiumDis"/>
            <w:bookmarkEnd w:id="125"/>
          </w:p>
        </w:tc>
        <w:tc>
          <w:tcPr>
            <w:tcW w:w="1615"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6" w:name="xdx_413_20260401__20260630_zYo31Em2LISb"/>
            <w:bookmarkEnd w:id="126"/>
          </w:p>
        </w:tc>
      </w:tr>
      <w:tr>
        <w:trPr/>
        <w:tc>
          <w:tcPr>
            <w:tcW w:w="346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Second Quarter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27" w:name="xdx_988_eus-gaap--NetAssetValuePerShare_"/>
            <w:bookmarkEnd w:id="127"/>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c>
          <w:tcPr>
            <w:tcW w:w="2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w:t>
            </w:r>
          </w:p>
        </w:tc>
        <w:tc>
          <w:tcPr>
            <w:tcW w:w="290" w:type="dxa"/>
            <w:tcBorders/>
            <w:shd w:fill="CCEEFF" w:val="clear"/>
            <w:vAlign w:val="center"/>
          </w:tcPr>
          <w:p>
            <w:pPr>
              <w:pStyle w:val="TableContents"/>
              <w:bidi w:val="0"/>
              <w:spacing w:before="0" w:after="283"/>
              <w:jc w:val="left"/>
              <w:rPr/>
            </w:pPr>
            <w:r>
              <w:rPr/>
              <w:t>) </w:t>
            </w:r>
            <w:bookmarkStart w:id="128" w:name="xdx_419_20260101__20260331_zHoIlTtU1r7i"/>
            <w:bookmarkEnd w:id="128"/>
          </w:p>
        </w:tc>
      </w:tr>
      <w:tr>
        <w:trPr/>
        <w:tc>
          <w:tcPr>
            <w:tcW w:w="346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First Quarter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29" w:name="xdx_98A_eus-gaap--NetAssetValuePerShare_"/>
            <w:bookmarkEnd w:id="129"/>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w:t>
            </w:r>
          </w:p>
        </w:tc>
        <w:tc>
          <w:tcPr>
            <w:tcW w:w="2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62"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 </w:t>
            </w:r>
          </w:p>
        </w:tc>
        <w:tc>
          <w:tcPr>
            <w:tcW w:w="2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bookmarkStart w:id="130" w:name="xdx_419_20251001__20251231_zKvLHPERQ3df"/>
            <w:bookmarkEnd w:id="130"/>
          </w:p>
        </w:tc>
      </w:tr>
      <w:tr>
        <w:trPr/>
        <w:tc>
          <w:tcPr>
            <w:tcW w:w="346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Fourth Quarter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1" w:name="xdx_985_eus-gaap--NetAssetValuePerShare_"/>
            <w:bookmarkEnd w:id="131"/>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w:t>
            </w:r>
          </w:p>
        </w:tc>
        <w:tc>
          <w:tcPr>
            <w:tcW w:w="2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2" w:name="xdx_414_20250701__20250930_zWCmQyHxqJik"/>
            <w:bookmarkEnd w:id="132"/>
          </w:p>
        </w:tc>
      </w:tr>
      <w:tr>
        <w:trPr/>
        <w:tc>
          <w:tcPr>
            <w:tcW w:w="346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Third Quarter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33" w:name="xdx_98A_eus-gaap--NetAssetValuePerShare_"/>
            <w:bookmarkEnd w:id="133"/>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2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4" w:name="xdx_412_20250401__20250630_zO2oL0lIwvac"/>
            <w:bookmarkEnd w:id="134"/>
          </w:p>
        </w:tc>
      </w:tr>
      <w:tr>
        <w:trPr/>
        <w:tc>
          <w:tcPr>
            <w:tcW w:w="346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Second Quarter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5" w:name="xdx_982_eus-gaap--NetAssetValuePerShare_"/>
            <w:bookmarkEnd w:id="135"/>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2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6" w:name="xdx_410_20250101__20250331_zTJQoldfKbvi"/>
            <w:bookmarkEnd w:id="136"/>
          </w:p>
        </w:tc>
      </w:tr>
      <w:tr>
        <w:trPr/>
        <w:tc>
          <w:tcPr>
            <w:tcW w:w="346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First Quarter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37" w:name="xdx_988_eus-gaap--NetAssetValuePerShare_"/>
            <w:bookmarkEnd w:id="137"/>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w:t>
            </w:r>
          </w:p>
        </w:tc>
        <w:tc>
          <w:tcPr>
            <w:tcW w:w="2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62"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bookmarkStart w:id="138" w:name="xdx_41E_20241001__20241231_zFjrCZGJb1ve"/>
            <w:bookmarkEnd w:id="138"/>
          </w:p>
        </w:tc>
      </w:tr>
      <w:tr>
        <w:trPr/>
        <w:tc>
          <w:tcPr>
            <w:tcW w:w="346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Fourth Quarter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9" w:name="xdx_98D_eus-gaap--NetAssetValuePerShare_"/>
            <w:bookmarkEnd w:id="139"/>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2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0" w:name="xdx_412_20240701__20240930_z4ZgwJzxTK8a"/>
            <w:bookmarkEnd w:id="140"/>
          </w:p>
        </w:tc>
      </w:tr>
      <w:tr>
        <w:trPr/>
        <w:tc>
          <w:tcPr>
            <w:tcW w:w="346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Third Quarter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41" w:name="xdx_980_eus-gaap--NetAssetValuePerShare_"/>
            <w:bookmarkEnd w:id="141"/>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2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2" w:name="xdx_41D_20240401__20240630_zl1Lihooo4p9"/>
            <w:bookmarkEnd w:id="142"/>
          </w:p>
        </w:tc>
      </w:tr>
      <w:tr>
        <w:trPr/>
        <w:tc>
          <w:tcPr>
            <w:tcW w:w="346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Second Quarter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43" w:name="xdx_98F_eus-gaap--NetAssetValuePerShare_"/>
            <w:bookmarkEnd w:id="143"/>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w:t>
            </w:r>
          </w:p>
        </w:tc>
        <w:tc>
          <w:tcPr>
            <w:tcW w:w="2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 w:name="xdx_417_20240101__20240331_zOCHSBNVnEnf"/>
            <w:bookmarkEnd w:id="144"/>
          </w:p>
        </w:tc>
      </w:tr>
      <w:tr>
        <w:trPr/>
        <w:tc>
          <w:tcPr>
            <w:tcW w:w="346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First Quarter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45" w:name="xdx_989_eus-gaap--NetAssetValuePerShare_"/>
            <w:bookmarkEnd w:id="145"/>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w:t>
            </w:r>
          </w:p>
        </w:tc>
        <w:tc>
          <w:tcPr>
            <w:tcW w:w="2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62"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 </w:t>
            </w:r>
          </w:p>
        </w:tc>
        <w:tc>
          <w:tcPr>
            <w:tcW w:w="2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bookmarkStart w:id="146" w:name="xdx_41D_20231001__20231231_zy1jfklwf42h"/>
            <w:bookmarkEnd w:id="146"/>
          </w:p>
        </w:tc>
      </w:tr>
      <w:tr>
        <w:trPr/>
        <w:tc>
          <w:tcPr>
            <w:tcW w:w="346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Fourth Quarter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7" w:name="xdx_982_eus-gaap--NetAssetValuePerShare_"/>
            <w:bookmarkEnd w:id="147"/>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w:t>
            </w:r>
          </w:p>
        </w:tc>
        <w:tc>
          <w:tcPr>
            <w:tcW w:w="2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8" w:name="xdx_41E_20230701__20230930_zvYEvBpPczOc"/>
            <w:bookmarkEnd w:id="148"/>
          </w:p>
        </w:tc>
      </w:tr>
      <w:tr>
        <w:trPr/>
        <w:tc>
          <w:tcPr>
            <w:tcW w:w="346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Third Quarter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49" w:name="xdx_987_eus-gaap--NetAssetValuePerShare_"/>
            <w:bookmarkEnd w:id="149"/>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w:t>
            </w:r>
          </w:p>
        </w:tc>
        <w:tc>
          <w:tcPr>
            <w:tcW w:w="2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(62.1</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0" w:name="xdx_410_20230401__20230630_zjtHS6ij6Cai"/>
            <w:bookmarkEnd w:id="150"/>
          </w:p>
        </w:tc>
      </w:tr>
      <w:tr>
        <w:trPr/>
        <w:tc>
          <w:tcPr>
            <w:tcW w:w="346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Second Quarter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51" w:name="xdx_98F_eus-gaap--NetAssetValuePerShare_"/>
            <w:bookmarkEnd w:id="151"/>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w:t>
            </w:r>
          </w:p>
        </w:tc>
        <w:tc>
          <w:tcPr>
            <w:tcW w:w="2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2" w:name="xdx_414_20230101__20230331_zEsZlFrssPC5"/>
            <w:bookmarkEnd w:id="152"/>
          </w:p>
        </w:tc>
      </w:tr>
      <w:tr>
        <w:trPr/>
        <w:tc>
          <w:tcPr>
            <w:tcW w:w="346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First Quarter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53" w:name="xdx_982_eus-gaap--NetAssetValuePerShare_"/>
            <w:bookmarkEnd w:id="153"/>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w:t>
            </w:r>
          </w:p>
        </w:tc>
        <w:tc>
          <w:tcPr>
            <w:tcW w:w="2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(61.4</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4" w:name="xdx_F00_z1hIyo3GFja2"/>
            <w:bookmarkEnd w:id="154"/>
            <w:r>
              <w:rPr>
                <w:rFonts w:ascii="Times New Roman;Times;Serif" w:hAnsi="Times New Roman;Times;Serif"/>
                <w:b w:val="false"/>
                <w:i w:val="false"/>
                <w:caps w:val="false"/>
                <w:smallCaps w:val="false"/>
                <w:sz w:val="20"/>
              </w:rPr>
              <w:t>(1)</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5" w:name="xdx_F1E_zogdfDzMSrzi"/>
            <w:bookmarkEnd w:id="155"/>
            <w:r>
              <w:rPr>
                <w:rFonts w:ascii="Times New Roman;Times;Serif" w:hAnsi="Times New Roman;Times;Serif"/>
                <w:b w:val="false"/>
                <w:i w:val="false"/>
                <w:caps w:val="false"/>
                <w:smallCaps w:val="false"/>
                <w:sz w:val="20"/>
              </w:rPr>
              <w:t>NAV per share is determined as of the last day in the relevant quarter and therefore may not reflect the NAV per share on the date of the high and low close prices. The NAV per share figures shown are based on outstanding shares at the end of each period. Our most recently determined net asset value was approximately $355.9 million, or $13.44 per share, as of June 30, 2026.</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6" w:name="xdx_F0A_zt2U2gKziVb5"/>
            <w:bookmarkEnd w:id="156"/>
            <w:r>
              <w:rPr>
                <w:rFonts w:ascii="Times New Roman;Times;Serif" w:hAnsi="Times New Roman;Times;Serif"/>
                <w:b w:val="false"/>
                <w:i w:val="false"/>
                <w:caps w:val="false"/>
                <w:smallCaps w:val="false"/>
                <w:sz w:val="20"/>
              </w:rPr>
              <w:t>(2)</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7" w:name="xdx_F12_zBMNoAxOg1H5"/>
            <w:bookmarkEnd w:id="157"/>
            <w:r>
              <w:rPr>
                <w:rFonts w:ascii="Times New Roman;Times;Serif" w:hAnsi="Times New Roman;Times;Serif"/>
                <w:b w:val="false"/>
                <w:i w:val="false"/>
                <w:caps w:val="false"/>
                <w:smallCaps w:val="false"/>
                <w:sz w:val="20"/>
              </w:rPr>
              <w:t>Calculated as the respective high or low close sales price divided by net asset value and subtracting 1.</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8" w:name="xdx_F0C_zJdun2DRUUtg"/>
            <w:bookmarkEnd w:id="158"/>
            <w:r>
              <w:rPr>
                <w:rFonts w:ascii="Times New Roman;Times;Serif" w:hAnsi="Times New Roman;Times;Serif"/>
                <w:b w:val="false"/>
                <w:i w:val="false"/>
                <w:caps w:val="false"/>
                <w:smallCaps w:val="false"/>
                <w:sz w:val="20"/>
              </w:rPr>
              <w:t>*</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9" w:name="xdx_F14_zjU1fTaue9M5"/>
            <w:bookmarkEnd w:id="159"/>
            <w:r>
              <w:rPr>
                <w:rFonts w:ascii="Times New Roman;Times;Serif" w:hAnsi="Times New Roman;Times;Serif"/>
                <w:b w:val="false"/>
                <w:i w:val="false"/>
                <w:caps w:val="false"/>
                <w:smallCaps w:val="false"/>
                <w:sz w:val="20"/>
              </w:rPr>
              <w:t xml:space="preserve">NAV for the third fiscal quarter of 2026 has not yet been determined. </w:t>
            </w:r>
          </w:p>
        </w:tc>
      </w:tr>
    </w:tbl>
    <w:p>
      <w:pPr>
        <w:pStyle w:val="TextBody"/>
        <w:bidi w:val="0"/>
        <w:spacing w:before="0" w:after="0"/>
        <w:ind w:left="0" w:right="0" w:firstLine="720"/>
        <w:jc w:val="both"/>
        <w:rPr>
          <w:caps w:val="false"/>
          <w:smallCaps w:val="false"/>
        </w:rPr>
      </w:pPr>
      <w:bookmarkStart w:id="160" w:name="xdx_8A8_zqPR2zflVk05"/>
      <w:bookmarkEnd w:id="160"/>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the last reported sales price of our common stock was $8.30 per share. Our net assets totaled approximately $355.9 million, or $13.44 per share, as of June 30, 2026, which is our most recently determined net asset value. For the first quarter of 2026, our NAV per share was $14.24 and the period-end closing sales price of our common stock was $10.71. For the second quarter of 2026, our NAV per share was $13.44 and the period-end closing sales price of our common stock was $12.54. As of September 22, 2026, we had approximately 17 holders of record of our common stock (including Cede &amp; Co.).</w:t>
      </w:r>
    </w:p>
    <w:p>
      <w:pPr>
        <w:pStyle w:val="TextBody"/>
        <w:bidi w:val="0"/>
        <w:spacing w:before="0" w:after="0"/>
        <w:ind w:left="0" w:right="0" w:firstLine="3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of BDCs may trade at a market price that is less than the value of the net assets attributable to those shares. The possibility that our shares of common stock will trade at premiums that are unsustainable over the long-term or at a discount from net asset value are separate and distinct from the risk that our net asset value will decrease. Since the completion of our IPO in May 2011, our shares of common stock have traded at both a discount and a premium to the net assets attributable to those shares. Based upon the $12.54 closing sales price of our common stock on June 30, 2026, our shares of common stock traded at a discount equal to approximately 6.7% of the net assets attributable to those shares as of that date. As of September 22, 2026, based upon the last reported sales price of our common stock of $8.30 per share, our shares of common stock traded at a discount equal to approximately </w:t>
      </w:r>
      <w:bookmarkStart w:id="161" w:name="xdx_904_ecef--LatestPremiumDiscountToNav"/>
      <w:bookmarkEnd w:id="161"/>
      <w:r>
        <w:rPr>
          <w:rFonts w:ascii="Times New Roman;Times;Serif" w:hAnsi="Times New Roman;Times;Serif"/>
          <w:b w:val="false"/>
          <w:i w:val="false"/>
          <w:caps w:val="false"/>
          <w:smallCaps w:val="false"/>
          <w:sz w:val="20"/>
        </w:rPr>
        <w:t>38.2% of the net assets attributable to those shares, calculated using our $13.44 net asset value per share as of June 30, 2026. Because we determine our net asset value only as of the end of each fiscal quarter, our net asset value per share as of June 30, 2026 may not reflect our current net asset value per share, and any premium or discount calculated on that basis may differ materially from the premium or discount to our current net asset value per share. It is not possible to predict whether the shares offered hereby will trade at, above, or below net asset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taken certain actions intended to address the discount at which our shares of common stock have traded relative to our net asset value per share. In particular, our Board of Directors has approved a share repurchase program (the “Share Repurchase Program”), which it has expanded and extended from time to time, most recently on October 29, 2025, and pursuant to which we may repurchase shares of our common stock in the open market, until the earlier of (i) October 31, 2026 and (ii) the repurchase of $64.3 million in aggregate amount of our common stock. From the inception of the Share Repurchase Program in August 2017 through June 30, 2026, we have repurchased approximately 6.0 million shares of our common stock for an aggregate purchase price of approximately $39.3 million, and, as of June 30, 2026, approximately $25.0 million remained available for additional repurchases under the Share Repurchase Program. We did not repurchase any shares of our common stock under the Share Repurchase Program during the six months ended June 30, 2026. We have also previously repurchased shares of our common stock through modified Dutch auction tender offers, completed in November 2019, September 2022, April 2023 and April 2024, resulting in the repurchase of an aggregate of 8,449,275 shares of our common stock for an aggregate purchase price of approximately $46.1 million, in each case at a price below our then-current net asset value per share. Repurchases under the Share Repurchase Program have been made at prices below our then-current net asset value per share and, accordingly, have been accretive to our net asset value per share. However, our shares of common stock have continued to trade at a discount to the net assets attributable to those shares, and there can be no assurance that any such actions will reduce any such discount in the future.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lists the distributions, including dividends and returns of capital, if any, per share that we have declared since our formation through December 31, 2025. The table is divided by fiscal year according to record date:</w:t>
      </w:r>
    </w:p>
    <w:p>
      <w:pPr>
        <w:pStyle w:val="TextBody"/>
        <w:bidi w:val="0"/>
        <w:spacing w:before="0" w:after="0"/>
        <w:ind w:left="0" w:right="0" w:firstLine="360"/>
        <w:jc w:val="both"/>
        <w:rPr>
          <w:caps w:val="false"/>
          <w:smallCaps w:val="false"/>
        </w:rPr>
      </w:pPr>
      <w:r>
        <w:rPr>
          <w:caps w:val="false"/>
          <w:smallCaps w:val="false"/>
        </w:rPr>
        <w:t> </w:t>
      </w:r>
    </w:p>
    <w:tbl>
      <w:tblPr>
        <w:tblW w:w="7940" w:type="dxa"/>
        <w:jc w:val="left"/>
        <w:tblInd w:w="0" w:type="dxa"/>
        <w:tblLayout w:type="fixed"/>
        <w:tblCellMar>
          <w:top w:w="0" w:type="dxa"/>
          <w:left w:w="0" w:type="dxa"/>
          <w:bottom w:w="28" w:type="dxa"/>
          <w:right w:w="0" w:type="dxa"/>
        </w:tblCellMar>
      </w:tblPr>
      <w:tblGrid>
        <w:gridCol w:w="1910"/>
        <w:gridCol w:w="60"/>
        <w:gridCol w:w="1925"/>
        <w:gridCol w:w="60"/>
        <w:gridCol w:w="1925"/>
        <w:gridCol w:w="60"/>
        <w:gridCol w:w="385"/>
        <w:gridCol w:w="1540"/>
        <w:gridCol w:w="75"/>
      </w:tblGrid>
      <w:tr>
        <w:trPr/>
        <w:tc>
          <w:tcPr>
            <w:tcW w:w="1910" w:type="dxa"/>
            <w:tcBorders>
              <w:bottom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Date Declared</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Record Date</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Payment Date</w:t>
            </w:r>
          </w:p>
        </w:tc>
        <w:tc>
          <w:tcPr>
            <w:tcW w:w="60" w:type="dxa"/>
            <w:tcBorders/>
            <w:tcMar>
              <w:bottom w:w="0" w:type="dxa"/>
            </w:tcMar>
            <w:vAlign w:val="center"/>
          </w:tcPr>
          <w:p>
            <w:pPr>
              <w:pStyle w:val="TableContents"/>
              <w:bidi w:val="0"/>
              <w:spacing w:before="0" w:after="283"/>
              <w:jc w:val="left"/>
              <w:rPr/>
            </w:pPr>
            <w:r>
              <w:rPr/>
              <w:t> </w:t>
            </w:r>
          </w:p>
        </w:tc>
        <w:tc>
          <w:tcPr>
            <w:tcW w:w="19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 per Share</w:t>
            </w:r>
          </w:p>
        </w:tc>
        <w:tc>
          <w:tcPr>
            <w:tcW w:w="75" w:type="dxa"/>
            <w:tcBorders/>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November 4, 2015</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16,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August 3, 2016</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16, 2016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24, 2016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November 5, 2019</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2,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12,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December 20, 2019</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15,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29, 2020</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11,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25,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28, 2020</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October 5,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October 20,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October 28, 2020</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10,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30,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December 16, 2020</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30,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15,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January 26, 2021</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February 5,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February 19,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March 8, 2021</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March 30,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15,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4, 2021</w:t>
            </w:r>
            <w:r>
              <w:rPr>
                <w:rFonts w:ascii="Times New Roman;Times;Serif" w:hAnsi="Times New Roman;Times;Serif"/>
                <w:position w:val="7"/>
                <w:sz w:val="16"/>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May 18,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August 3, 2021</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18,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September 30,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November 2, 2021</w:t>
            </w:r>
            <w:r>
              <w:rPr>
                <w:rFonts w:ascii="Times New Roman;Times;Serif" w:hAnsi="Times New Roman;Times;Serif"/>
                <w:position w:val="7"/>
                <w:sz w:val="16"/>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17,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30,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December 20, 2021</w:t>
            </w:r>
            <w:r>
              <w:rPr>
                <w:rFonts w:ascii="Times New Roman;Times;Serif" w:hAnsi="Times New Roman;Times;Serif"/>
                <w:position w:val="7"/>
                <w:sz w:val="16"/>
                <w:sz w:val="20"/>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14,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March 8, 2022</w:t>
            </w:r>
            <w:r>
              <w:rPr>
                <w:rFonts w:ascii="Times New Roman;Times;Serif" w:hAnsi="Times New Roman;Times;Serif"/>
                <w:position w:val="7"/>
                <w:sz w:val="16"/>
                <w:sz w:val="20"/>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March 25,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15,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3, 2025</w:t>
            </w:r>
            <w:r>
              <w:rPr>
                <w:rFonts w:ascii="Times New Roman;Times;Serif" w:hAnsi="Times New Roman;Times;Serif"/>
                <w:position w:val="7"/>
                <w:sz w:val="16"/>
                <w:sz w:val="20"/>
              </w:rPr>
              <w:t>(16)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July 21,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July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November 3, 2025</w:t>
            </w:r>
            <w:r>
              <w:rPr>
                <w:rFonts w:ascii="Times New Roman;Times;Serif" w:hAnsi="Times New Roman;Times;Serif"/>
                <w:position w:val="7"/>
                <w:sz w:val="16"/>
                <w:sz w:val="20"/>
              </w:rPr>
              <w:t>(17)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21,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5,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bottom w:val="single" w:sz="8" w:space="0" w:color="000000"/>
            </w:tcBorders>
            <w:shd w:fill="FFFFFF" w:val="clear"/>
            <w:vAlign w:val="center"/>
          </w:tcPr>
          <w:p>
            <w:pPr>
              <w:pStyle w:val="TableContents"/>
              <w:bidi w:val="0"/>
              <w:spacing w:before="0" w:after="283"/>
              <w:jc w:val="left"/>
              <w:rPr/>
            </w:pPr>
            <w:r>
              <w:rPr/>
              <w:t> </w:t>
            </w:r>
          </w:p>
        </w:tc>
        <w:tc>
          <w:tcPr>
            <w:tcW w:w="154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54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12.60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total distribution of $887,240 on August 24, 2016, $820,753 represented a distribution from realized gains, and $66,487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$3,512,849 distribution paid on December 12, 2019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$2,107,709 distribution paid on January 15, 2020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$2,516,452 distribution paid on August 25, 2020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$5,071,326 distribution paid on October 20, 2020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$4,978,504 distribution paid on November 30, 2020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$4,381,084 distribution paid on January 15, 2021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$4,981,131 distribution paid on February 19, 2021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$6,051,304 distribution paid on April 15, 2021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$23,338,915 distribution paid on January 14, 2022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$3,441,824 distribution paid on April 15, 2022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$5,972,027 distribution paid on July 31, 2025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$6,281,422 distribution paid on December 5, 2025 represented a distribution from realized gains. None of the distribution represented a return of capital.</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pStyle w:val="TextBody"/>
        <w:bidi w:val="0"/>
        <w:spacing w:before="0" w:after="0"/>
        <w:ind w:left="0" w:right="0" w:firstLine="3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intention is to make any future distributions out of assets legally available therefrom in the form of additional shares of our common stock under our DRIP, except in the case of stockholders who elect to receive dividends and/or long-term capital gains distributions in cash. Under the DRIP, if a stockholder owns shares of common stock registered in its own name, the stockholder will have all cash distributions (net of any applicable withholding) automatically reinvested in additional shares of common stock unless the stockholder opts out of our DRIP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DRIP, it will be required to pay applicable U.S.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pStyle w:val="TextBody"/>
        <w:bidi w:val="0"/>
        <w:spacing w:before="0" w:after="0"/>
        <w:ind w:left="0" w:right="0" w:firstLine="39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So long as we qualify and maintain our tax treatment as a RIC, we generally will not be subject to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Policies—U.S. Federal and State Income Taxes” of our most recent Annual Report on </w:t>
      </w:r>
      <w:hyperlink r:id="rId26">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and “Note 9—Income Taxes” to our condensed consolidated financial statements as of June 30, 2026 of our most recent Quarterly Report on </w:t>
      </w:r>
      <w:hyperlink r:id="rId27">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more information. Certain of our subsidiaries (“taxable subsidiaries”) are treated as corporations for U.S. federal income tax purposes. These subsidiaries are subject to U.S. federal income tax at corporate rates, regardless of whether we are taxed as a RIC. These taxable subsidiaries are not consolidated for U.S. federal income tax purposes and may generate income tax expenses as a result of their ownership of the portfolio companies. Such income tax expenses and deferred taxes, if any, will be reflected in our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2" w:name="xdx_822_z1apc0XZT06d"/>
      <w:bookmarkStart w:id="163" w:name="Aa_010"/>
      <w:bookmarkStart w:id="164" w:name="xdx_800_ecef--SeniorSecuritiesNoteTextBl"/>
      <w:bookmarkEnd w:id="162"/>
      <w:bookmarkEnd w:id="163"/>
      <w:bookmarkEnd w:id="164"/>
      <w:r>
        <w:rPr>
          <w:rFonts w:ascii="Times New Roman;Times;Serif" w:hAnsi="Times New Roman;Times;Serif"/>
          <w:b/>
          <w:i w:val="false"/>
          <w:caps w:val="false"/>
          <w:smallCaps w:val="false"/>
          <w:sz w:val="20"/>
        </w:rPr>
        <w:t>SENIOR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Information about our senior securities as of the end of the last ten fiscal years is presented in Part II, Item 5 in our most recent Annual Report on </w:t>
      </w:r>
      <w:hyperlink r:id="rId28">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and is incorporated by reference into the registration statement of which this prospectus is a part. The report of CBIZ CPAs P.C., our independent registered public accounting firm, on the senior securities table as of December 31, 2025, and the report of Marcum LLP, our former independent registered public accounting firm, on the senior securities table as of December 31, 2024, 2023, 2022 and 2021, are attached as exhibits to our most recent Annual Report on </w:t>
      </w:r>
      <w:hyperlink r:id="rId29">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and are incorporated by reference into the registration statement of which this prospectus is a part. CBIZ CPAs P.C. acquired the attest business of Marcum LLP effective November 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165" w:name="xdx_89D_ecef--SeniorSecuritiesTableTextB"/>
      <w:bookmarkEnd w:id="165"/>
      <w:r>
        <w:rPr>
          <w:rFonts w:ascii="Times New Roman;Times;Serif" w:hAnsi="Times New Roman;Times;Serif"/>
          <w:b w:val="false"/>
          <w:i w:val="false"/>
          <w:caps w:val="false"/>
          <w:smallCaps w:val="false"/>
          <w:sz w:val="20"/>
        </w:rPr>
        <w:t>The following is a summary of our senior securities as of June 30, 2026 (unaudited):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25"/>
        <w:gridCol w:w="60"/>
        <w:gridCol w:w="254"/>
        <w:gridCol w:w="2001"/>
        <w:gridCol w:w="60"/>
        <w:gridCol w:w="60"/>
        <w:gridCol w:w="258"/>
        <w:gridCol w:w="1034"/>
        <w:gridCol w:w="60"/>
        <w:gridCol w:w="60"/>
        <w:gridCol w:w="237"/>
        <w:gridCol w:w="1027"/>
        <w:gridCol w:w="60"/>
        <w:gridCol w:w="60"/>
        <w:gridCol w:w="274"/>
        <w:gridCol w:w="1096"/>
        <w:gridCol w:w="79"/>
      </w:tblGrid>
      <w:tr>
        <w:trPr/>
        <w:tc>
          <w:tcPr>
            <w:tcW w:w="3525" w:type="dxa"/>
            <w:tcBorders>
              <w:bottom w:val="single" w:sz="8" w:space="0" w:color="000000"/>
            </w:tcBorders>
            <w:vAlign w:val="center"/>
          </w:tcPr>
          <w:p>
            <w:pPr>
              <w:pStyle w:val="TableContents"/>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and</w:t>
            </w:r>
          </w:p>
          <w:p>
            <w:pPr>
              <w:pStyle w:val="TableContents"/>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Year/Period</w:t>
            </w:r>
          </w:p>
        </w:tc>
        <w:tc>
          <w:tcPr>
            <w:tcW w:w="60" w:type="dxa"/>
            <w:tcBorders/>
            <w:tcMar>
              <w:bottom w:w="0" w:type="dxa"/>
            </w:tcMar>
            <w:vAlign w:val="center"/>
          </w:tcPr>
          <w:p>
            <w:pPr>
              <w:pStyle w:val="TableContents"/>
              <w:bidi w:val="0"/>
              <w:spacing w:before="0" w:after="283"/>
              <w:jc w:val="left"/>
              <w:rPr/>
            </w:pPr>
            <w:r>
              <w:rPr/>
              <w:t> </w:t>
            </w:r>
            <w:bookmarkStart w:id="166" w:name="xdx_48C_ecef--SeniorSecuritiesAmt_iI_zJF"/>
            <w:bookmarkEnd w:id="166"/>
          </w:p>
        </w:tc>
        <w:tc>
          <w:tcPr>
            <w:tcW w:w="225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Amount Outstanding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bookmarkStart w:id="167" w:name="xdx_F51_z088RsyzOn9b"/>
            <w:bookmarkEnd w:id="167"/>
            <w:r>
              <w:rPr>
                <w:rFonts w:ascii="Times New Roman;Times;Serif" w:hAnsi="Times New Roman;Times;Serif"/>
                <w:b/>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68" w:name="xdx_48A_ecef--SeniorSecuritiesCvgPerUnit"/>
            <w:bookmarkEnd w:id="168"/>
          </w:p>
        </w:tc>
        <w:tc>
          <w:tcPr>
            <w:tcW w:w="1292"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Coverage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Unit</w:t>
            </w:r>
            <w:bookmarkStart w:id="169" w:name="xdx_F5B_zRaC9JpAiaAc"/>
            <w:bookmarkEnd w:id="169"/>
            <w:r>
              <w:rPr>
                <w:rFonts w:ascii="Times New Roman;Times;Serif" w:hAnsi="Times New Roman;Times;Serif"/>
                <w:b/>
                <w:i w:val="false"/>
                <w:caps w:val="false"/>
                <w:smallCaps w:val="false"/>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70" w:name="xdx_48D_eus-gaap--PreferredStockLiquidat"/>
            <w:bookmarkEnd w:id="170"/>
          </w:p>
        </w:tc>
        <w:tc>
          <w:tcPr>
            <w:tcW w:w="12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Involuntary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Per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w:t>
            </w:r>
            <w:bookmarkStart w:id="171" w:name="xdx_F5C_zmdZIIimGnZk"/>
            <w:bookmarkEnd w:id="171"/>
            <w:r>
              <w:rPr>
                <w:rFonts w:ascii="Times New Roman;Times;Serif" w:hAnsi="Times New Roman;Times;Serif"/>
                <w:b/>
                <w:i w:val="false"/>
                <w:caps w:val="false"/>
                <w:smallCaps w:val="false"/>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Market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Unit</w:t>
            </w:r>
            <w:bookmarkStart w:id="172" w:name="xdx_F5B_zrM6KPPLrya1"/>
            <w:bookmarkEnd w:id="172"/>
            <w:r>
              <w:rPr>
                <w:rFonts w:ascii="Times New Roman;Times;Serif" w:hAnsi="Times New Roman;Times;Serif"/>
                <w:b/>
                <w:i w:val="false"/>
                <w:caps w:val="false"/>
                <w:smallCaps w:val="false"/>
                <w:sz w:val="20"/>
              </w:rPr>
              <w:t>(4)</w:t>
            </w:r>
          </w:p>
        </w:tc>
        <w:tc>
          <w:tcPr>
            <w:tcW w:w="79" w:type="dxa"/>
            <w:tcBorders/>
            <w:tcMar>
              <w:bottom w:w="0" w:type="dxa"/>
            </w:tcMar>
            <w:vAlign w:val="center"/>
          </w:tcPr>
          <w:p>
            <w:pPr>
              <w:pStyle w:val="TableContents"/>
              <w:bidi w:val="0"/>
              <w:spacing w:before="0" w:after="283"/>
              <w:jc w:val="left"/>
              <w:rPr/>
            </w:pPr>
            <w:r>
              <w:rPr/>
              <w:t> </w:t>
            </w:r>
          </w:p>
        </w:tc>
      </w:tr>
      <w:tr>
        <w:trPr/>
        <w:tc>
          <w:tcPr>
            <w:tcW w:w="352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June 30, 2026 (unaudited)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200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 </w:t>
            </w:r>
          </w:p>
        </w:tc>
        <w:tc>
          <w:tcPr>
            <w:tcW w:w="102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1096"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bookmarkStart w:id="173" w:name="xdx_418_20260630__us-gaap--DebtInstrumen"/>
            <w:bookmarkEnd w:id="173"/>
          </w:p>
        </w:tc>
      </w:tr>
      <w:tr>
        <w:trPr/>
        <w:tc>
          <w:tcPr>
            <w:tcW w:w="35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6.50% Convertible Notes due 2029</w:t>
            </w:r>
            <w:bookmarkStart w:id="174" w:name="xdx_F43_zhlw71cOeJXa"/>
            <w:bookmarkEnd w:id="174"/>
            <w:r>
              <w:rPr>
                <w:rFonts w:ascii="Times New Roman;Times;Serif" w:hAnsi="Times New Roman;Times;Serif"/>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0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 </w:t>
            </w:r>
          </w:p>
        </w:tc>
        <w:tc>
          <w:tcPr>
            <w:tcW w:w="102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109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9" w:type="dxa"/>
            <w:tcBorders/>
            <w:shd w:fill="FFFFFF" w:val="clear"/>
            <w:tcMar>
              <w:bottom w:w="0" w:type="dxa"/>
            </w:tcMar>
            <w:vAlign w:val="center"/>
          </w:tcPr>
          <w:p>
            <w:pPr>
              <w:pStyle w:val="TableContents"/>
              <w:bidi w:val="0"/>
              <w:spacing w:before="0" w:after="283"/>
              <w:jc w:val="left"/>
              <w:rPr/>
            </w:pPr>
            <w:r>
              <w:rPr/>
              <w:t> </w:t>
            </w:r>
            <w:bookmarkStart w:id="175" w:name="xdx_41A_20260630__us-gaap--DebtInstrumen"/>
            <w:bookmarkEnd w:id="175"/>
          </w:p>
        </w:tc>
      </w:tr>
      <w:tr>
        <w:trPr/>
        <w:tc>
          <w:tcPr>
            <w:tcW w:w="35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6.00% Notes due 2026</w:t>
            </w:r>
            <w:bookmarkStart w:id="176" w:name="xdx_F4A_zkGgRJIaA3O"/>
            <w:bookmarkEnd w:id="176"/>
            <w:r>
              <w:rPr>
                <w:rFonts w:ascii="Times New Roman;Times;Serif" w:hAnsi="Times New Roman;Times;Serif"/>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35,829,825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 </w:t>
            </w:r>
          </w:p>
        </w:tc>
        <w:tc>
          <w:tcPr>
            <w:tcW w:w="102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177" w:name="xdx_904_ecef--SeniorSecuritiesAverageMar"/>
            <w:bookmarkEnd w:id="177"/>
            <w:r>
              <w:rPr>
                <w:rFonts w:ascii="Times New Roman;Times;Serif" w:hAnsi="Times New Roman;Times;Serif"/>
              </w:rPr>
              <w:t>25.07</w:t>
            </w:r>
          </w:p>
        </w:tc>
        <w:tc>
          <w:tcPr>
            <w:tcW w:w="79" w:type="dxa"/>
            <w:tcBorders/>
            <w:shd w:fill="CCEEFF" w:val="clear"/>
            <w:tcMar>
              <w:bottom w:w="0" w:type="dxa"/>
            </w:tcMar>
            <w:vAlign w:val="center"/>
          </w:tcPr>
          <w:p>
            <w:pPr>
              <w:pStyle w:val="TableContents"/>
              <w:bidi w:val="0"/>
              <w:spacing w:before="0" w:after="283"/>
              <w:jc w:val="left"/>
              <w:rPr/>
            </w:pPr>
            <w:r>
              <w:rPr/>
              <w:t> </w:t>
            </w:r>
            <w:bookmarkStart w:id="178" w:name="xdx_41D_20260630__us-gaap--DebtInstrumen"/>
            <w:bookmarkEnd w:id="178"/>
          </w:p>
        </w:tc>
      </w:tr>
      <w:tr>
        <w:trPr/>
        <w:tc>
          <w:tcPr>
            <w:tcW w:w="35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4.75% Convertible Senior Notes due 2023</w:t>
            </w:r>
            <w:bookmarkStart w:id="179" w:name="xdx_F41_z02vbKbbcond"/>
            <w:bookmarkEnd w:id="179"/>
            <w:r>
              <w:rPr>
                <w:rFonts w:ascii="Times New Roman;Times;Serif" w:hAnsi="Times New Roman;Times;Serif"/>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0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 </w:t>
            </w:r>
          </w:p>
        </w:tc>
        <w:tc>
          <w:tcPr>
            <w:tcW w:w="102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109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9" w:type="dxa"/>
            <w:tcBorders/>
            <w:shd w:fill="FFFFFF" w:val="clear"/>
            <w:tcMar>
              <w:bottom w:w="0" w:type="dxa"/>
            </w:tcMar>
            <w:vAlign w:val="center"/>
          </w:tcPr>
          <w:p>
            <w:pPr>
              <w:pStyle w:val="TableContents"/>
              <w:bidi w:val="0"/>
              <w:spacing w:before="0" w:after="283"/>
              <w:jc w:val="left"/>
              <w:rPr/>
            </w:pPr>
            <w:r>
              <w:rPr/>
              <w:t> </w:t>
            </w:r>
            <w:bookmarkStart w:id="180" w:name="xdx_41D_20260630__us-gaap--DebtInstrumen"/>
            <w:bookmarkEnd w:id="180"/>
          </w:p>
        </w:tc>
      </w:tr>
      <w:tr>
        <w:trPr/>
        <w:tc>
          <w:tcPr>
            <w:tcW w:w="35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5.25% Convertible Senior Notes due 2018</w:t>
            </w:r>
            <w:bookmarkStart w:id="181" w:name="xdx_F4C_zvgB23CLRAR5"/>
            <w:bookmarkEnd w:id="181"/>
            <w:r>
              <w:rPr>
                <w:rFonts w:ascii="Times New Roman;Times;Serif" w:hAnsi="Times New Roman;Times;Serif"/>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 </w:t>
            </w:r>
          </w:p>
        </w:tc>
        <w:tc>
          <w:tcPr>
            <w:tcW w:w="102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109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9" w:type="dxa"/>
            <w:tcBorders/>
            <w:shd w:fill="CCEEFF" w:val="clear"/>
            <w:tcMar>
              <w:bottom w:w="0" w:type="dxa"/>
            </w:tcMar>
            <w:vAlign w:val="center"/>
          </w:tcPr>
          <w:p>
            <w:pPr>
              <w:pStyle w:val="TableContents"/>
              <w:bidi w:val="0"/>
              <w:spacing w:before="0" w:after="283"/>
              <w:jc w:val="left"/>
              <w:rPr/>
            </w:pPr>
            <w:r>
              <w:rPr/>
              <w:t> </w:t>
            </w:r>
            <w:bookmarkStart w:id="182" w:name="xdx_41F_20260630__us-gaap--DebtInstrumen"/>
            <w:bookmarkEnd w:id="182"/>
          </w:p>
        </w:tc>
      </w:tr>
      <w:tr>
        <w:trPr/>
        <w:tc>
          <w:tcPr>
            <w:tcW w:w="35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Credit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0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 </w:t>
            </w:r>
          </w:p>
        </w:tc>
        <w:tc>
          <w:tcPr>
            <w:tcW w:w="102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109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83" w:name="xdx_F07_zos0ZY8sKDtb"/>
            <w:bookmarkEnd w:id="183"/>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84" w:name="xdx_F17_zsSarOeG2Lk"/>
            <w:bookmarkEnd w:id="184"/>
            <w:r>
              <w:rPr>
                <w:rFonts w:ascii="Times New Roman;Times;Serif" w:hAnsi="Times New Roman;Times;Serif"/>
                <w:b w:val="false"/>
                <w:i w:val="false"/>
                <w:caps w:val="false"/>
                <w:smallCaps w:val="false"/>
                <w:sz w:val="20"/>
              </w:rPr>
              <w:t>Total gross amount of each class of senior securities outstanding at the end of the period presented, before deduction of discount and debt issuance costs.</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85" w:name="xdx_F01_zfjwJvce0oM6"/>
            <w:bookmarkEnd w:id="185"/>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86" w:name="xdx_F1D_zfAEoA5mTdkl"/>
            <w:bookmarkEnd w:id="186"/>
            <w:r>
              <w:rPr>
                <w:rFonts w:ascii="Times New Roman;Times;Serif" w:hAnsi="Times New Roman;Times;Serif"/>
                <w:b w:val="false"/>
                <w:i w:val="false"/>
                <w:caps w:val="false"/>
                <w:smallCaps w:val="false"/>
                <w:sz w:val="20"/>
              </w:rPr>
              <w:t>Asset coverage per unit for a class of senior securities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bookmarkStart w:id="187" w:name="xdx_F0E_zPN8KDQ5Vqtc"/>
            <w:bookmarkEnd w:id="187"/>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88" w:name="xdx_F1C_z5bW13eCB0Qb"/>
            <w:bookmarkEnd w:id="188"/>
            <w:r>
              <w:rPr>
                <w:rFonts w:ascii="Times New Roman;Times;Serif" w:hAnsi="Times New Roman;Times;Serif"/>
                <w:b w:val="false"/>
                <w:i w:val="false"/>
                <w:caps w:val="false"/>
                <w:smallCaps w:val="false"/>
                <w:sz w:val="20"/>
              </w:rPr>
              <w:t>The amount to which such class of senior security would be entitled upon the involuntary liquidation of the issuer in preference to any security junior to it. The “—” in this column indicates that the SEC expressly does not require this information to be disclosed for the types of senior securities representing indebtedness issued by the Company as of the stated time periods.</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89" w:name="xdx_F06_zCSkmhhQgP9h"/>
            <w:bookmarkEnd w:id="189"/>
            <w:r>
              <w:rPr>
                <w:rFonts w:ascii="Times New Roman;Times;Serif" w:hAnsi="Times New Roman;Times;Serif"/>
                <w:b w:val="false"/>
                <w:i w:val="false"/>
                <w:caps w:val="false"/>
                <w:smallCaps w:val="false"/>
                <w:sz w:val="20"/>
              </w:rPr>
              <w:t>(4)</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0" w:name="xdx_F1F_zlXPDnP777r9"/>
            <w:bookmarkEnd w:id="190"/>
            <w:r>
              <w:rPr>
                <w:rFonts w:ascii="Times New Roman;Times;Serif" w:hAnsi="Times New Roman;Times;Serif"/>
                <w:b w:val="false"/>
                <w:i w:val="false"/>
                <w:caps w:val="false"/>
                <w:smallCaps w:val="false"/>
                <w:sz w:val="20"/>
              </w:rPr>
              <w:t>Average market value per unit for the 6.00% Notes due 2026 is based on the average of the daily closing prices of the 6.00% Notes due 2026 on the Nasdaq Global Select Market during the six months ended June 30, 2026, and is expressed per $25 principal amount unit. “N/A” indicates that the applicable class of senior securities was not listed on a national securities exchange during the period presented.</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1" w:name="xdx_F00_zsGyKNfYML99"/>
            <w:bookmarkEnd w:id="191"/>
            <w:r>
              <w:rPr>
                <w:rFonts w:ascii="Times New Roman;Times;Serif" w:hAnsi="Times New Roman;Times;Serif"/>
                <w:b w:val="false"/>
                <w:i w:val="false"/>
                <w:caps w:val="false"/>
                <w:smallCaps w:val="false"/>
                <w:sz w:val="20"/>
              </w:rPr>
              <w:t>(5)</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2" w:name="xdx_F17_zvy6omhUJQH"/>
            <w:bookmarkEnd w:id="192"/>
            <w:r>
              <w:rPr>
                <w:rFonts w:ascii="Times New Roman;Times;Serif" w:hAnsi="Times New Roman;Times;Serif"/>
                <w:b w:val="false"/>
                <w:i w:val="false"/>
                <w:caps w:val="false"/>
                <w:smallCaps w:val="false"/>
                <w:sz w:val="20"/>
              </w:rPr>
              <w:t>The 6.50% Convertible Notes due 2029 were issued on August 14, 2024 in the amount of $25.0 million, on October 9, 2024 in the amount of $5.0 million, and on January 16, 2025 in the amount of an additional $5.0 million. During the three months ended June 30, 2026, the Company issued 1,092,504 shares of its common stock and paid cash in lieu of fractional shares upon the conversion of $8,000,000 in aggregate principal amount of the 6.50% Convertible Notes due 2029.</w:t>
            </w:r>
            <w:bookmarkStart w:id="193" w:name="xdx_F07_zESlrwrUzTXa"/>
            <w:bookmarkEnd w:id="193"/>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4" w:name="xdx_F10_zVsA4oeMihh9"/>
            <w:bookmarkEnd w:id="194"/>
            <w:r>
              <w:rPr>
                <w:rFonts w:ascii="Times New Roman;Times;Serif" w:hAnsi="Times New Roman;Times;Serif"/>
                <w:b w:val="false"/>
                <w:i w:val="false"/>
                <w:caps w:val="false"/>
                <w:smallCaps w:val="false"/>
                <w:sz w:val="20"/>
              </w:rPr>
              <w:t>The 6.00% Notes due 2026 were issued on December 17, 2021. During the year ended December 31, 2024, 1,213,304 units of the 6.00% Notes due 2026 representing $30,332,600 in principal were repurchased. During the year ended December 31, 2025, 353,503 units of the 6.00% Notes due 2026 representing $8,837,575 in principal were repurchased.</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5" w:name="xdx_F0B_zAnwPRVCad15"/>
            <w:bookmarkEnd w:id="195"/>
            <w:r>
              <w:rPr>
                <w:rFonts w:ascii="Times New Roman;Times;Serif" w:hAnsi="Times New Roman;Times;Serif"/>
                <w:b w:val="false"/>
                <w:i w:val="false"/>
                <w:caps w:val="false"/>
                <w:smallCaps w:val="false"/>
                <w:sz w:val="20"/>
              </w:rPr>
              <w:t>(7)</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6" w:name="xdx_F1E_zaBwLSe4V3h3"/>
            <w:bookmarkEnd w:id="196"/>
            <w:r>
              <w:rPr>
                <w:rFonts w:ascii="Times New Roman;Times;Serif" w:hAnsi="Times New Roman;Times;Serif"/>
                <w:b w:val="false"/>
                <w:i w:val="false"/>
                <w:caps w:val="false"/>
                <w:smallCaps w:val="false"/>
                <w:sz w:val="20"/>
              </w:rPr>
              <w:t>For the year ended December 31, 2020, we issued 174,888 shares of our common stock and cash for fractional shares upon the conversion of $1,785,000 in aggregate principal amount of the 4.75% Convertible Senior Notes due 2023. The 4.75% Convertible Senior Notes due 2023 were repaid in full with interest on March 29, 2021.</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7" w:name="xdx_F0C_zpDjEbpxRFh1"/>
            <w:bookmarkEnd w:id="197"/>
            <w:r>
              <w:rPr>
                <w:rFonts w:ascii="Times New Roman;Times;Serif" w:hAnsi="Times New Roman;Times;Serif"/>
                <w:b w:val="false"/>
                <w:i w:val="false"/>
                <w:caps w:val="false"/>
                <w:smallCaps w:val="false"/>
                <w:sz w:val="20"/>
              </w:rPr>
              <w:t>(8)</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8" w:name="xdx_F1E_zYLQHHZSsgU5"/>
            <w:bookmarkEnd w:id="198"/>
            <w:r>
              <w:rPr>
                <w:rFonts w:ascii="Times New Roman;Times;Serif" w:hAnsi="Times New Roman;Times;Serif"/>
                <w:b w:val="false"/>
                <w:i w:val="false"/>
                <w:caps w:val="false"/>
                <w:smallCaps w:val="false"/>
                <w:sz w:val="20"/>
              </w:rPr>
              <w:t>The 5.25% Convertible Senior Notes due 2018 were repaid in full with interest on September 15, 2018.</w:t>
            </w:r>
          </w:p>
        </w:tc>
      </w:tr>
    </w:tbl>
    <w:p>
      <w:pPr>
        <w:pStyle w:val="TextBody"/>
        <w:bidi w:val="0"/>
        <w:spacing w:before="0" w:after="283"/>
        <w:jc w:val="left"/>
        <w:rPr/>
      </w:pPr>
      <w:bookmarkStart w:id="199" w:name="xdx_8A4_zICIVQyqangl"/>
      <w:bookmarkEnd w:id="199"/>
      <w:r>
        <w:rPr/>
        <w:t> </w:t>
      </w:r>
    </w:p>
    <w:p>
      <w:pPr>
        <w:pStyle w:val="TextBody"/>
        <w:bidi w:val="0"/>
        <w:spacing w:before="0" w:after="0"/>
        <w:jc w:val="left"/>
        <w:rPr/>
      </w:pPr>
      <w:bookmarkStart w:id="200" w:name="xdx_813_zBfO3ARzvNii"/>
      <w:bookmarkEnd w:id="200"/>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1" w:name="Aa_011"/>
      <w:bookmarkEnd w:id="201"/>
      <w:r>
        <w:rPr>
          <w:rFonts w:ascii="Times New Roman;Times;Serif" w:hAnsi="Times New Roman;Times;Serif"/>
          <w:b/>
          <w:i w:val="false"/>
          <w:caps w:val="false"/>
          <w:smallCaps w:val="false"/>
          <w:sz w:val="20"/>
        </w:rPr>
        <w:t>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Our business is described in “Part I — Item 1 — Business” of our most recent Annual Report on </w:t>
      </w:r>
      <w:hyperlink r:id="rId30">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which is incorporated by reference herein.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2" w:name="Aa_012"/>
      <w:bookmarkEnd w:id="202"/>
      <w:r>
        <w:rPr>
          <w:rFonts w:ascii="Times New Roman;Times;Serif" w:hAnsi="Times New Roman;Times;Serif"/>
          <w:b/>
          <w:i w:val="false"/>
          <w:caps w:val="false"/>
          <w:smallCaps w:val="false"/>
          <w:sz w:val="20"/>
        </w:rPr>
        <w:t>PORTFOLIO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tables which set forth certain information as of June 30, 2026 and December 31, 2025 regarding each portfolio company in which we had a debt or equity investment are in our most recent Quarterly Report on </w:t>
      </w:r>
      <w:hyperlink r:id="rId31">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and our most recent Annual Report on </w:t>
      </w:r>
      <w:hyperlink r:id="rId3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respectively, which are incorporated by reference herein. The general terms of our expected investments are described in “Part I, Item 1 — Business — Investment Strategy” in our most recent Annual Report on </w:t>
      </w:r>
      <w:hyperlink r:id="rId3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Other than these investments, our only formal relationships with our portfolio companies will be the managerial assistance we, the Adviser or the Administrator, may provide upon request and the board observer or participation rights we may receive in connection with our investment.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3" w:name="Aa_013"/>
      <w:bookmarkEnd w:id="203"/>
      <w:r>
        <w:rPr>
          <w:rFonts w:ascii="Times New Roman;Times;Serif" w:hAnsi="Times New Roman;Times;Serif"/>
          <w:b/>
          <w:i w:val="false"/>
          <w:caps w:val="false"/>
          <w:smallCaps w:val="false"/>
          <w:sz w:val="20"/>
        </w:rPr>
        <w:t>PORTFOLIO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of our investment portfolio is the responsibility of the Adviser, subject to the oversight of our Board of Directors. The Investment Committee of the Adviser provides oversight of the Adviser’s investment process, and Mark D. Klein is primarily responsible for the day-to-day management of our portfolio, subject to the Investment Committee’s review and oversight. For more information regarding Mr. Klein’s business experience and the business experience of the Adviser’s investment professionals, see “Management and Other Agreements — The Adviser.”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Klein, our Chairman, Chief Executive Officer and President, serves as our portfolio manager. No other member of the Investment Committee is jointly and primarily responsible for the day-to-day management of our portfolio.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dollar range of shares of our common stock beneficially owned by our portfolio manager as of September 22, 2026.</w:t>
      </w:r>
    </w:p>
    <w:p>
      <w:pPr>
        <w:pStyle w:val="TextBody"/>
        <w:bidi w:val="0"/>
        <w:spacing w:before="0" w:after="0"/>
        <w:ind w:left="0" w:right="0" w:firstLine="720"/>
        <w:jc w:val="both"/>
        <w:rPr>
          <w:caps w:val="false"/>
          <w:smallCaps w:val="false"/>
        </w:rPr>
      </w:pPr>
      <w:r>
        <w:rPr>
          <w:caps w:val="false"/>
          <w:smallCaps w:val="false"/>
        </w:rPr>
        <w:t> </w:t>
      </w:r>
    </w:p>
    <w:tbl>
      <w:tblPr>
        <w:tblW w:w="5515" w:type="dxa"/>
        <w:jc w:val="left"/>
        <w:tblInd w:w="0" w:type="dxa"/>
        <w:tblLayout w:type="fixed"/>
        <w:tblCellMar>
          <w:top w:w="0" w:type="dxa"/>
          <w:left w:w="0" w:type="dxa"/>
          <w:bottom w:w="28" w:type="dxa"/>
          <w:right w:w="0" w:type="dxa"/>
        </w:tblCellMar>
      </w:tblPr>
      <w:tblGrid>
        <w:gridCol w:w="2375"/>
        <w:gridCol w:w="60"/>
        <w:gridCol w:w="3080"/>
      </w:tblGrid>
      <w:tr>
        <w:trPr/>
        <w:tc>
          <w:tcPr>
            <w:tcW w:w="237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Portfolio Manager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08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Range of 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in Neostellar Capital</w:t>
            </w:r>
            <w:r>
              <w:rPr>
                <w:rFonts w:ascii="Times New Roman;Times;Serif" w:hAnsi="Times New Roman;Times;Serif"/>
                <w:b/>
                <w:i w:val="false"/>
                <w:caps w:val="false"/>
                <w:smallCaps w:val="false"/>
                <w:position w:val="7"/>
                <w:sz w:val="16"/>
                <w:sz w:val="20"/>
              </w:rPr>
              <w:t>(1)(2)</w:t>
            </w:r>
          </w:p>
        </w:tc>
      </w:tr>
      <w:tr>
        <w:trPr/>
        <w:tc>
          <w:tcPr>
            <w:tcW w:w="23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Klein</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0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$1,000,000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range of equity securities beneficially owned in us is based on a price per share of our common stock of $8.30, which is the closing price of our common stock on the Nasdaq Global Select Market on September 22, 2026.</w:t>
            </w:r>
          </w:p>
        </w:tc>
      </w:tr>
      <w:tr>
        <w:trPr/>
        <w:tc>
          <w:tcPr>
            <w:tcW w:w="2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dollar ranges are: None, $1 – $10,000, $10,001 – $50,000, $50,001 – $100,000, $100,001 – $500,000, $500,001 – $1,000,000, or Over $1,000,000.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Accounts Managed by Portfolio Manager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disclosure is provided as of September 22, 2026. As of that date, Mr. Klein was not primarily responsible for the day-to-day portfolio management of any registered investment company other than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Conflicts of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conflicts of interest may arise because Mr. Klein and other investment professionals of the Adviser and its affiliates may participate in the management of other funds and accounts with investment objectives or strategies that overlap with ours. These conflicts may include the allocation of investment opportunities, allocation of investment professionals’ time, allocation of expenses, sequencing of transactions and differences in fee arrangements, including performance-based compensation, where applicable. The Adviser has adopted allocation and compliance policies and procedures designed to allocate investment opportunities on a fair and equitable basis over time, but there can be no assurance that we will be allocated each investment opportunity that is suitable for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Manager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Klein receives compensation from the Adviser and/or its affiliates, and the Company does not pay him any direct compensation for serving as portfolio manager. His compensation consists of fixed annual base compensation, which is not based on the performance of the Company or of any other account; discretionary bonus compensation determined by the Adviser; and equity or profit interests in the Adviser and its affiliates, together with distributions attributable to those interests. Because the fees payable to the Adviser under the Investment Advisory Agreement consist of the Base Management Fee, which is calculated on the value of our gross assets, and the Incentive Fee, which consists of the Income-Based Fee and the Capital Gains Fee and is calculated solely with respect to Eligible Investments, distributions attributable to Mr. Klein’s equity or profit interests in the Adviser are indirectly related to the value of the assets held in our portfolio and to our investment income and realized and unrealized gains and losses on Eligible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certain conflicts of interest associated with operating as an externally managed BDC, see “Risk Factors” and “Related Party Transactions and Certain Relationships” in this prospectus.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4" w:name="Aa_014"/>
      <w:bookmarkEnd w:id="204"/>
      <w:r>
        <w:rPr>
          <w:rFonts w:ascii="Times New Roman;Times;Serif" w:hAnsi="Times New Roman;Times;Serif"/>
          <w:b/>
          <w:i w:val="false"/>
          <w:caps w:val="false"/>
          <w:smallCaps w:val="false"/>
          <w:sz w:val="20"/>
        </w:rPr>
        <w:t>MANAGEMENT AND OTHER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Adviser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Advisors LLC serves as our investment adviser and is registered as an investment adviser under the Advisers Act. The Adviser is a newly formed entity jointly owned by certain of the Adviser’s investment professionals, including Mark D. Klein and Allison Green, and by the Magnetar JV Entity. Subject to the overall supervision of our Board of Directors, the Adviser manages our day-to-day operations and provides us with investment advisory and management services. Under the Investment Advisory Agreement, the Adviser is responsible for, among other things: (i) determining the composition and allocation of our portfolio; (ii) identifying, evaluating, negotiating and structuring our investments; (iii) executing, monitoring and servicing our investments; (iv) performing due diligence on prospective portfolio companies; (v) assisting the Board with its valuation obligations; (vi) directing investment professionals of the Adviser to provide managerial assistance to portfolio companies as reasonably requested by the Company from time to time; and (vii) providing us with such other investment advisory, research and related services as we may from time to time reasonably require. The Adviser’s services under the Investment Advisory Agreement are not exclusive, and the Adviser may furnish similar services to other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Magnetar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Magnetar JV Entity is part of Magnetar, a multi-strategy, multi-product alternative investment platform headquartered in Evanston, Illinois. As of December 31, 2025, Magnetar managed approximately $17.8 billion in assets under management across various strategies, including alternative credit and fixed income, quantitative investing, and ventures strategies. Through the Adviser’s relationship with Magnetar, we expect to benefit from Magnetar’s platform, resources and industry relationships, including deal origination, evaluation of investment opportunities, and ongoing support for portfolio companies provided by the Magnetar Ventures Team. We have previously invested indirectly in portfolio companies such as CoreWeave and TensorWave through co-investment vehicles sponsored and managed by Magnetar.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Advisory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Investment Advisory Agreement with the Adviser, which was approved by our stockholders at a special meeting held on June 10, 2026 and became effective on July 15, 2026. Under the Investment Advisory Agreement, we pay the Adviser a fee for its investment advisory and management services consisting of two components: a Base Management Fee and an Incentive Fee. The cost of both the Base Management Fee and the Incentive Fee is ultimately borne by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Management Fee is calculated at an annual rate of 1.75% of our gross assets, payable monthly in arrears. The Base Management Fee is calculated based on the average value of our gross assets at the end of the two most recently completed calendar quarters, and is appropriately adjusted for any equity or debt capital raises, repurchases or redemptions during the current calendar quarter. The Base Management Fee for any partial month or quarter will be appropriately pro-rated.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Fee consists of two parts: the Income-Based Fee and the Capital Gains Fee. Importantly, no Incentive Fee is payable with respect to our Pre-Existing Investments, which means investments held by us prior to the Effective Date. The Incentive Fee is calculated solely with respect to Eligible Investments, which means any investment made by us on or after the Effective Date. Pre-Existing Investments are excluded entirely from any Incentive Fee calculation, including any cumulative, “high-water mark,” or similar netting calculation.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Income-Based Fee.</w:t>
      </w:r>
      <w:r>
        <w:rPr>
          <w:rFonts w:ascii="Times New Roman;Times;Serif" w:hAnsi="Times New Roman;Times;Serif"/>
          <w:b w:val="false"/>
          <w:i w:val="false"/>
          <w:caps w:val="false"/>
          <w:smallCaps w:val="false"/>
          <w:sz w:val="20"/>
        </w:rPr>
        <w:t xml:space="preserve"> The Income-Based Fee is calculated and payable quarterly in arrears based on our Pre-Incentive Fee Net Investment Income for the immediately preceding calendar quarter.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any Eligible Investment) accrued during the calendar quarter, minus our operating expenses for the quarter (including the Base Management Fee, expenses payable under the Administration Agreement, and any interest expense and dividends paid on any issued and outstanding indebtedness, but excluding the Incentive Fee). Pre-Incentive Fee Net Investment Income includes, in the case of investments with a deferred interest feature (such as market discount, debt instruments with payment-in-kind interest, preferred stock with payment-in-kind dividends and zero-coupon securities), accrued income that we have not yet received in cash. Pre-Incentive Fee Net Investment Income does not include any realized capital gains, realized or unrealized capital losses, or unrealized capital appreciation or depreciation. Pre-Incentive Fee Net Investment Income, expressed as a rate of return on the value of our net assets at the end of the immediately preceding calendar quarter, is compared to a “hurdle rate” of 1.75% per quarter (7.00% annualized). We pay the Adviser an Income-Based Fee with respect to our Pre-Incentive Fee Net Investment Income in each calendar quarter as follows: (i) no Income-Based Fee in any calendar quarter in which our Pre-Incentive Fee Net Investment Income does not exceed the hurdle rate of 1.75%; (ii) 100% of our Pre-Incentive Fee Net Investment Income, if any, that exceeds the hurdle rate but is less than 2.1875% in any calendar quarter (the “catch-up”); and (iii) 20.0% of the amount of our Pre-Incentive Fee Net Investment Income, if any, that exceeds 2.1875% in any calendar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graphical representation of the calculation of the Income-Based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Income-Based Fee</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Pre-Incentive Fee Net Investment Income</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(expressed as a percentage of the value of net assets at the end of the immediately preceding calendar quarter)</w:t>
      </w:r>
    </w:p>
    <w:p>
      <w:pPr>
        <w:pStyle w:val="TextBody"/>
        <w:bidi w:val="0"/>
        <w:spacing w:before="0" w:after="0"/>
        <w:ind w:left="0" w:right="0" w:firstLine="720"/>
        <w:jc w:val="both"/>
        <w:rPr>
          <w:caps w:val="false"/>
          <w:smallCaps w:val="false"/>
        </w:rPr>
      </w:pPr>
      <w:r>
        <w:rPr>
          <w:caps w:val="false"/>
          <w:smallCaps w:val="false"/>
        </w:rPr>
        <w:t> </w:t>
      </w:r>
    </w:p>
    <w:tbl>
      <w:tblPr>
        <w:tblW w:w="4140" w:type="dxa"/>
        <w:jc w:val="left"/>
        <w:tblInd w:w="0" w:type="dxa"/>
        <w:tblLayout w:type="fixed"/>
        <w:tblCellMar>
          <w:top w:w="0" w:type="dxa"/>
          <w:left w:w="0" w:type="dxa"/>
          <w:bottom w:w="28" w:type="dxa"/>
          <w:right w:w="0" w:type="dxa"/>
        </w:tblCellMar>
      </w:tblPr>
      <w:tblGrid>
        <w:gridCol w:w="1205"/>
        <w:gridCol w:w="60"/>
        <w:gridCol w:w="1730"/>
        <w:gridCol w:w="60"/>
        <w:gridCol w:w="1085"/>
      </w:tblGrid>
      <w:tr>
        <w:trPr/>
        <w:tc>
          <w:tcPr>
            <w:tcW w:w="1205" w:type="dxa"/>
            <w:tcBorders>
              <w:bottom w:val="single" w:sz="8" w:space="0" w:color="000000"/>
            </w:tcBorders>
            <w:vAlign w:val="center"/>
          </w:tcPr>
          <w:p>
            <w:pPr>
              <w:pStyle w:val="TableContents"/>
              <w:bidi w:val="0"/>
              <w:spacing w:before="0" w:after="283"/>
              <w:jc w:val="center"/>
              <w:rPr/>
            </w:pPr>
            <w:r>
              <w:rPr/>
              <w:t>0% – 1.75%</w:t>
            </w:r>
          </w:p>
        </w:tc>
        <w:tc>
          <w:tcPr>
            <w:tcW w:w="60" w:type="dxa"/>
            <w:tcBorders/>
            <w:tcMar>
              <w:bottom w:w="0" w:type="dxa"/>
            </w:tcMar>
            <w:vAlign w:val="center"/>
          </w:tcPr>
          <w:p>
            <w:pPr>
              <w:pStyle w:val="TableContents"/>
              <w:bidi w:val="0"/>
              <w:spacing w:before="0" w:after="283"/>
              <w:jc w:val="left"/>
              <w:rPr/>
            </w:pPr>
            <w:r>
              <w:rPr/>
              <w:t> </w:t>
            </w:r>
          </w:p>
        </w:tc>
        <w:tc>
          <w:tcPr>
            <w:tcW w:w="1730" w:type="dxa"/>
            <w:tcBorders>
              <w:bottom w:val="single" w:sz="8" w:space="0" w:color="000000"/>
            </w:tcBorders>
            <w:vAlign w:val="center"/>
          </w:tcPr>
          <w:p>
            <w:pPr>
              <w:pStyle w:val="TableContents"/>
              <w:bidi w:val="0"/>
              <w:spacing w:before="0" w:after="283"/>
              <w:jc w:val="center"/>
              <w:rPr/>
            </w:pPr>
            <w:r>
              <w:rPr/>
              <w:t>1.75% – 2.1875%</w:t>
            </w:r>
          </w:p>
        </w:tc>
        <w:tc>
          <w:tcPr>
            <w:tcW w:w="60" w:type="dxa"/>
            <w:tcBorders/>
            <w:tcMar>
              <w:bottom w:w="0" w:type="dxa"/>
            </w:tcMar>
            <w:vAlign w:val="center"/>
          </w:tcPr>
          <w:p>
            <w:pPr>
              <w:pStyle w:val="TableContents"/>
              <w:bidi w:val="0"/>
              <w:spacing w:before="0" w:after="283"/>
              <w:jc w:val="left"/>
              <w:rPr/>
            </w:pPr>
            <w:r>
              <w:rPr/>
              <w:t> </w:t>
            </w:r>
          </w:p>
        </w:tc>
        <w:tc>
          <w:tcPr>
            <w:tcW w:w="1085" w:type="dxa"/>
            <w:tcBorders>
              <w:bottom w:val="single" w:sz="8" w:space="0" w:color="000000"/>
            </w:tcBorders>
            <w:vAlign w:val="center"/>
          </w:tcPr>
          <w:p>
            <w:pPr>
              <w:pStyle w:val="TableContents"/>
              <w:bidi w:val="0"/>
              <w:spacing w:before="0" w:after="283"/>
              <w:jc w:val="center"/>
              <w:rPr/>
            </w:pPr>
            <w:r>
              <w:rPr/>
              <w:t>&gt; 2.1875%</w:t>
            </w:r>
          </w:p>
        </w:tc>
      </w:tr>
      <w:tr>
        <w:trPr/>
        <w:tc>
          <w:tcPr>
            <w:tcW w:w="1205" w:type="dxa"/>
            <w:tcBorders/>
            <w:tcMar>
              <w:bottom w:w="0" w:type="dxa"/>
            </w:tcMar>
            <w:vAlign w:val="center"/>
          </w:tcPr>
          <w:p>
            <w:pPr>
              <w:pStyle w:val="TableContents"/>
              <w:bidi w:val="0"/>
              <w:spacing w:before="0" w:after="283"/>
              <w:jc w:val="center"/>
              <w:rPr/>
            </w:pPr>
            <w:r>
              <w:rPr/>
              <w:t>0%</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center"/>
              <w:rPr/>
            </w:pPr>
            <w:r>
              <w:rPr/>
              <w:t>100%</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pPr>
            <w:r>
              <w:rPr/>
              <w:t>20%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Percentage of Pre-Incentive Fee Net Investment Income allocated to the Income-Based Fee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Examples of Income-Based Fee.</w:t>
      </w:r>
      <w:r>
        <w:rPr>
          <w:rFonts w:ascii="Times New Roman;Times;Serif" w:hAnsi="Times New Roman;Times;Serif"/>
          <w:b w:val="false"/>
          <w:i w:val="false"/>
          <w:caps w:val="false"/>
          <w:smallCaps w:val="false"/>
          <w:sz w:val="20"/>
        </w:rPr>
        <w:t xml:space="preserve"> The following examples illustrate the calculation of the Income-Based Fee using the following assumptions: hurdle rate of 1.75% per quarter (7.00% annualized), catch-up rate of 2.1875% per quarter (8.75% annualized), Base Management Fee of 0.4375% per quarter (1.75% annualized), and other expenses of 0.20% per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Scenario 1: If investment income is 1.25% for the quarter, Pre-Incentive Fee Net Investment Income equals 0.6125% (1.25% minus 0.4375% and 0.20%). Because 0.6125% does not exceed the 1.75% hurdle rate, no Income-Based Fee is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Scenario 2: If investment income is 2.50% for the quarter, Pre-Incentive Fee Net Investment Income equals 1.8625% (2.50% minus 0.4375% and 0.20%). Because 1.8625% exceeds the 1.75% hurdle rate but is less than the 2.1875% catch-up rate, the Income-Based Fee equals 0.1125%.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Scenario 3: If investment income is 3.25% for the quarter, Pre-Incentive Fee Net Investment Income equals 2.6125% (3.25% minus 0.4375% and 0.20%). Because 2.6125% exceeds the 2.1875% catch-up rate, the Income-Based Fee equals 0.5225%, consisting of 0.4375% in the catch-up and 0.0850% above the catch-up.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Capital Gains Fee.</w:t>
      </w:r>
      <w:r>
        <w:rPr>
          <w:rFonts w:ascii="Times New Roman;Times;Serif" w:hAnsi="Times New Roman;Times;Serif"/>
          <w:b w:val="false"/>
          <w:i w:val="false"/>
          <w:caps w:val="false"/>
          <w:smallCaps w:val="false"/>
          <w:sz w:val="20"/>
        </w:rPr>
        <w:t xml:space="preserve"> The Capital Gains Fee is determined and payable in arrears as of the end of each calendar year (or upon termination of the Investment Advisory Agreement), commencing on December 31, 2026. The Capital Gains Fee equals the lesser of (i) 20.0% of our realized capital gains during such calendar year, if any, calculated on an investment-by-investment basis for each Eligible Investment, subject to a non-compounded preferred return, or “hurdle,” and a “catch-up” feature, and (ii) 20.0% of our realized capital gains, if any, on a cumulative basis from the date of our investment in an Eligible Investment through the end of each calendar year, computed net of all realized capital losses and unrealized capital depreciation with respect to Eligible Investments on a cumulative basis, less the aggregate amount of any previously paid Capital Gains Fees. For purposes of clause (i), our realized capital gains from each Eligible Investment, expressed as a non-compounded annual rate of return on the cost of such investment since we initially acquired it, are compared to a hurdle rate of 7.00% per year. No Capital Gains Fee is payable under clause (i) with respect to an Eligible Investment whose rate of return does not exceed 7.00% per year; the Capital Gains Fee includes 100% of the realized capital gains from an Eligible Investment that exceed the hurdle rate but are less than 8.75% per year, and 20.0% of the realized capital gains from such Eligible Investment in excess of 8.75% per year, so that the Adviser receives 20.0% of all realized capital gains from an Eligible Investment once its rate of return exceeds 8.75% per year. Realized capital gains, realized capital losses, and unrealized capital depreciation attributable to Pre-Existing Investments are excluded entirely from the calculation of the Capital Gains Fee. We will accrue, but will not pay, a Capital Gains Fee with respect to unrealized appreciation.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Examples of Capital Gains Fee. </w:t>
      </w:r>
      <w:r>
        <w:rPr>
          <w:rFonts w:ascii="Times New Roman;Times;Serif" w:hAnsi="Times New Roman;Times;Serif"/>
          <w:b w:val="false"/>
          <w:i w:val="false"/>
          <w:caps w:val="false"/>
          <w:smallCaps w:val="false"/>
          <w:sz w:val="20"/>
        </w:rPr>
        <w:t>Scenario 1 assumes a $20,000,000 investment in Company A on March 15 and a $30,000,000 investment in Company B on February 1. If Company A is sold in Year 2 for $25,000,000 and Company B is valued at $28,000,000, the Capital Gains Fee for Year 2 would be $600,000, because the investment-by-investment fee on Company A is limited by the cumulative net calculation after taking into account unrealized depreciation on Company B. If Company B is later sold in Year 4 for $38,000,000, the Capital Gains Fee for Year 4 would be $1,533,151 (assuming a sale on March 1 of Year 4, the $8,000,000 realized gain on Company B, less a 7.00% non-compounded hurdle on the $30,000,000 investment for the holding period (approximately $6,466,849), produces a fee of $1,533,151, which is less than both 20.0% of such realized gain ($1,600,000) and the amount under the cumulative net calculation in clause (ii) ($2,000,000)).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Scenario 2 assumes investments in Companies A, B and C, with realized gains on Companies A and C and unrealized depreciation and later loss on Company B. Under the example, the Capital Gains Fee would be $5,000,000 in Year 2, $1,000,000 in Year 3, and none in Years 4 and 5, illustrating the effect of the cumulative net limitation and previously paid Capital Gains Fees.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Our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investment professionals and staff of the Adviser, when and to the extent engaged in providing investment advisory and management services to us, and the base compensation, bonus and benefits, and the routine overhead expenses, of such personnel allocable to such services, are provided and paid for by the Adviser. We bear an allocable portion of the compensation paid by the Adviser, the Administrator or their affiliates to our Chief Compliance Officer and Chief Financial Officer and their respective staffs (based on a percentage of time such individuals devote, on an estimated basis, to our business affairs). We bear all other costs and expenses of our operations, administration and transactions, including investment advisory fees, our allocable portion of overhead under the Investment Advisory Agreement and the Administration Agreement, and the other expenses described in the Investment Advisory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Advisory Agreement provides that, absent criminal conduct, willful misfeasance, bad faith or gross negligence in the performance of its duties, or by reason of the reckless disregard of its duties and obligations, the Adviser and its officers, managers, partners, agents, employees, controlling persons, members and other affiliated persons are entitled to indemnification from us for any damages, liabilities, costs and expenses (including reasonable attorneys’ fees and amounts reasonably paid in settlement) arising out of or otherwise based upon the performance of any of the Adviser’s duties or obligations under the Investment Advisory Agreement or otherwise as our investment adviser.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Duration and Termination of the Investment Advisory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Advisory Agreement became effective on July 15, 2026 and will remain in effect for two years, and thereafter will continue automatically for successive annual periods so long as such continuance is specifically approved at least annually by (i) the vote of our Board of Directors, or by the vote of the holders of a majority of our outstanding voting securities, and (ii) the vote of a majority of our Independent Directors, in accordance with the requirements of the 1940 Act. The Investment Advisory Agreement may be terminated at any time, without the payment of any penalty, upon 60 days’ written notice, by a vote of a majority of our Board of Directors or by a vote of a majority of our outstanding voting securities, or by the Adviser. The Investment Advisory Agreement will automatically terminate in the event of its assignment, as defined in the 1940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Approval of the Investment Advisory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Our Board of Directors, including all of our Independent Directors, approved the Investment Advisory Agreement at an in-person meeting held on April 2, 2026, and our stockholders approved the Investment Advisory Agreement at a special meeting held on June 10, 2026. In approving the Investment Advisory Agreement, our Board of Directors, including all of our Independent Directors, considered, among other things, the nature, extent and quality of the services to be provided by the Adviser, investment performance, the proposed fee structure and expense ratios, economies of scale, anticipated profitability to the Adviser, potential additional benefits to the Adviser, and the potential benefits and drawbacks of the Externalization. A discussion of the basis for our Board of Directors’ approval of the Investment Advisory Agreement is incorporated by reference from our definitive proxy statement on </w:t>
      </w:r>
      <w:hyperlink r:id="rId34">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for the Special Meeting of Stockholders, filed with the SEC on April 29,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Administration Agreement with the Administrator, Neostellar Administrative Services LLC, an affiliate of the Adviser. Under the Administration Agreement, the Administrator provides, or oversees, or arranges for, the performance of administrative services necessary for our operation, including the provision of office facilities, equipment, and clerical, bookkeeping and record-keeping services, and arranges for the services of, and oversees, custodians, depositories, transfer agents, dividend disbursing agents, other stockholder servicing agents, accountants, attorneys, underwriters, brokers and dealers, corporate fiduciaries, insurers, and banks. The Administrator also provides on our behalf significant managerial assistance to those portfolio companies to which we are required to provide such assistance. We reimburse the Administrator for the costs and expenses incurred by the Administrator in performing its obligations under the Administration Agreement, including our allocable portion of overhead and the compensation of our Chief Compliance Officer and Chief Financial Officer and their respective staffs. We will also bear all other costs and expenses of our operations, administration and transactions, including, but not limited to (i) investment advisory fees, including the Base Management Fees and Incentive Fees, to the Adviser, pursuant to the Investment Advisory Agreement; (ii) our allocable portion of overhead and other expenses incurred by the Adviser in performing its administrative obligations under the Investment Advisory Agreement, and (iii) all of our other expenses in connection with our operations and transactions as detailed in the Administration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Co-Investment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Externalization, we filed an application with the SEC on August 3, 2026 for the Exemptive Relief and, if the Exemptive Relief is obtained, we intend to rely on it to permit us to co-invest in suitable negotiated investments alongside present and future funds and accounts advised by the Adviser, Magnetar or their affiliates. Any co-investments made under the Exemptive Relief would be subject to compliance with the conditions and other requirements contained therein, which are designed to ensure that we are treated fairly and equitably. Until the Exemptive Relief is obtained, our ability to co-invest alongside the Adviser, Magnetar and their affiliates in privately negotiated transactions will be limited by the 1940 Act and the rules thereunder. There can be no assurance that we will obtain the Exemptive Relief.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Magnetar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Externalization, on July 16, 2026, the Purchaser purchased from the Company, for $20,000,000, a redeemable promissory note (the “Note”) pursuant to a Securities Purchase Agreement, dated as of June 26, 2026. The Note bears interest at a rate of 6.50% per annum, payable semi-annually in cash, and matures in 2029. Following the Externalization, if we complete a transaction or series of transactions with the principal purpose of raising capital in which we issue and sell only shares of our Common Stock to investors other than the Purchaser for aggregate gross proceeds of at least $230.0 million at a price per share no less than our then-current net asset value (a “Qualified Fundraising”), the Note will be redeemed automatically and repaid through the issuance of newly issued shares of our Common Stock at the price per share of Common Stock sold in the Qualified Fundraising or, if the Qualified Fundraising consists of a series of transactions, generally the price per share in the latest transaction in which we raised at least $5.0 million in aggregate net proceeds from purchasers that were not affiliates of the Company. If a Qualified Fundraising does not occur before maturity, we will be obligated to repay all outstanding principal and accrued interest in cash at maturity. If we consummate a change of control while the Note remains outstanding, we will be required to repay the Purchaser in cash in an amount equal to 105% of the outstanding principal and accrued interest. We have agreed to prepare and file a resale shelf registration statement within 30 days after any redemption of the Note covering the resale by the Purchaser of the shares of Common Stock issuable upon redemption of the Note, to use reasonable best efforts to cause that registration statement to become effective within the time periods specified in the Securities Purchase Agreement and to maintain its effectiveness until the later of three years after redemption and the date all such shares have been sold, subject to limited suspension rights. The issuance or resale of those shares could be dilutive to existing stockholders, and the terms of the Magnetar Investment were negotiated with a related party.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5" w:name="Aa_015"/>
      <w:bookmarkEnd w:id="205"/>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Please refer to “Corporate Governance” in our definitive proxy statement on </w:t>
      </w:r>
      <w:hyperlink r:id="rId35">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for the 2026 Annual Meeting of Stockholders, filed with the SEC on April 29, 2026, which is incorporated by reference into this prospectus, for information relating to the governance of the Company. In connection with the Externalization, effective July 15, 2026, our Board of Directors appointed Erik Falk, a Partner and Head of Strategy of Magnetar, as an interested director of the Company.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6" w:name="Aa_016"/>
      <w:bookmarkEnd w:id="206"/>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Please refer to “Compensation of Executive Officers” in our definitive proxy statement on </w:t>
      </w:r>
      <w:hyperlink r:id="rId36">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for the 2026 Annual Meeting of Stockholders, filed with the SEC on April 29, 2026, which is incorporated by reference into this prospectus, for information relating to executive compensation for our most recently completed fiscal year. Effective as of July 15, 2026, due to the Externalization, the Company no longer pays its executive officers, who are now employed by the Adviser. For information relating to changes to our executive compensation in connection with the Externalization, please refer to “Compensation of Management” in our definitive proxy statement on </w:t>
      </w:r>
      <w:hyperlink r:id="rId37">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for the Special Meeting of Stockholders, filed with the SEC on April 29, 2026, which is incorporated by reference into this prospectus.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7" w:name="Aa_017"/>
      <w:bookmarkEnd w:id="207"/>
      <w:r>
        <w:rPr>
          <w:rFonts w:ascii="Times New Roman;Times;Serif" w:hAnsi="Times New Roman;Times;Serif"/>
          <w:b/>
          <w:i w:val="false"/>
          <w:caps w:val="false"/>
          <w:smallCaps w:val="false"/>
          <w:sz w:val="20"/>
        </w:rPr>
        <w:t>RELATED PARTY TRANSACTIONS AND CERTAIN RELATIONSHIPS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Following the Externalization, we are party to the Investment Advisory Agreement with the Adviser and the Administration Agreement with the Administrator. The Adviser is jointly owned by certain of the Adviser’s investment professionals, including Mark D. Klein and Allison Green, and by the Magnetar JV Entity, and such investment professionals are employees of, and hold equity interests in, the Adviser. A portion of the fees payable by us to the Adviser under the Investment Advisory Agreement will inure to the benefit of such persons. In connection with the Externalization, our Board of Directors appointed Erik Falk, a Partner and Head of Strategy of Magnetar, as an interested director of the Company, effective July 15, 2026. In addition, on July 16, 2026, MCP Investing LLC, an affiliate of the Magnetar JV Entity, purchased the $20,000,000 Magnetar Investment in the form of a redeemable promissory note pursuant to the Securities Purchase Agreement, dated as of June 26, 2026, as described under “Management and Other Agreements — Magnetar Investment.” In connection with the Externalization, certain transaction-related cash bonuses, restricted-share grants, vesting acceleration and lock-up arrangements were approved for certain members of management and holders of outstanding restricted shares. We also have applied for the Exemptive Relief and, if obtained, intend to rely on it to permit us to co-invest alongside funds and accounts advised by the Adviser, Magnetar and their affiliates. We have previously invested indirectly in portfolio companies, including CoreWeave and TensorWave, through co-investment vehicles sponsored and managed by Magnetar or its affiliates. For additional information relating to the Externalization, the Investment Advisory Agreement, the Administration Agreement, the Magnetar Investment, externalization-related conflicts and related party transactions, please refer to our definitive proxy statement on </w:t>
      </w:r>
      <w:hyperlink r:id="rId38">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for the Special Meeting of Stockholders, filed with the SEC on April 29, 2026. For additional information relating to other related party transactions and certain relationships, please refer to “Related Party Transactions and Certain Relationships” in our definitive proxy statement on </w:t>
      </w:r>
      <w:hyperlink r:id="rId39">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for the 2026 Annual Meeting of Stockholders, filed with the SEC on April 29, 2026. See also “Risk Factors — Risks Relating to the Externalization and Our Externally Managed Structure.”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8" w:name="Aa_018"/>
      <w:bookmarkEnd w:id="208"/>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September 22, 2026, the beneficial ownership of each current director and executive officer of the Company, as well as each person known to us to beneficially own 5% or more of the outstanding shares of our common stock, and the executive officers and directors as a group.</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the securities. Ownership information for those persons who beneficially own 5% or more of our shares of common stock is based upon Schedule 13G or Schedule 13D filings by such persons with the SEC and other information obtained from such persons, if available.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Company believes that each beneficial owner set forth in the table has sole voting and investment power and has the same address as the Company. Our address is 640 Fifth Avenue, 12th Floor, New York, NY 10019.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57"/>
        <w:gridCol w:w="60"/>
        <w:gridCol w:w="1922"/>
        <w:gridCol w:w="60"/>
        <w:gridCol w:w="136"/>
        <w:gridCol w:w="2254"/>
        <w:gridCol w:w="60"/>
        <w:gridCol w:w="60"/>
        <w:gridCol w:w="115"/>
        <w:gridCol w:w="850"/>
        <w:gridCol w:w="231"/>
      </w:tblGrid>
      <w:tr>
        <w:trPr/>
        <w:tc>
          <w:tcPr>
            <w:tcW w:w="4457"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1922"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Type of Ownership</w:t>
            </w:r>
          </w:p>
        </w:tc>
        <w:tc>
          <w:tcPr>
            <w:tcW w:w="60" w:type="dxa"/>
            <w:tcBorders/>
            <w:tcMar>
              <w:bottom w:w="0" w:type="dxa"/>
            </w:tcMar>
            <w:vAlign w:val="center"/>
          </w:tcPr>
          <w:p>
            <w:pPr>
              <w:pStyle w:val="TableContents"/>
              <w:bidi w:val="0"/>
              <w:spacing w:before="0" w:after="283"/>
              <w:jc w:val="left"/>
              <w:rPr/>
            </w:pPr>
            <w:r>
              <w:rPr/>
              <w:t> </w:t>
            </w:r>
          </w:p>
        </w:tc>
        <w:tc>
          <w:tcPr>
            <w:tcW w:w="239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Owned Beneficially</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Class</w:t>
            </w:r>
          </w:p>
        </w:tc>
        <w:tc>
          <w:tcPr>
            <w:tcW w:w="231" w:type="dxa"/>
            <w:tcBorders/>
            <w:tcMar>
              <w:bottom w:w="0" w:type="dxa"/>
            </w:tcMar>
            <w:vAlign w:val="center"/>
          </w:tcPr>
          <w:p>
            <w:pPr>
              <w:pStyle w:val="TableContents"/>
              <w:bidi w:val="0"/>
              <w:spacing w:before="0" w:after="283"/>
              <w:jc w:val="left"/>
              <w:rPr/>
            </w:pPr>
            <w:r>
              <w:rPr/>
              <w:t> </w:t>
            </w:r>
          </w:p>
        </w:tc>
      </w:tr>
      <w:tr>
        <w:trPr/>
        <w:tc>
          <w:tcPr>
            <w:tcW w:w="445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Interested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2"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225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45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D. Klein</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2"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Direct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225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1,763,796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Erik Falk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Indirect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22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457" w:type="dxa"/>
            <w:tcBorders/>
            <w:shd w:fill="FFFF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Independent Directors</w:t>
            </w:r>
            <w:r>
              <w:rPr>
                <w:rFonts w:ascii="Times New Roman;Times;Serif" w:hAnsi="Times New Roman;Times;Serif"/>
                <w:b/>
                <w:i/>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225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44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Leonard A. Potter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Direct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22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105,815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4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 Mazur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2"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Direct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225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68,950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44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Ronald M. Lott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Direct &amp; Indirect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22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4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Lisa Westley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2"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Direct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225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44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Richard Szuch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Direct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22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457" w:type="dxa"/>
            <w:tcBorders/>
            <w:shd w:fill="FFFFFF" w:val="clear"/>
            <w:tcMar>
              <w:bottom w:w="0" w:type="dxa"/>
            </w:tcM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2"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225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44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Allison Green</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Direct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pPr>
            <w:r>
              <w:rPr/>
              <w:t> </w:t>
            </w:r>
          </w:p>
        </w:tc>
        <w:tc>
          <w:tcPr>
            <w:tcW w:w="225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207,990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457" w:type="dxa"/>
            <w:tcBorders/>
            <w:shd w:fill="FFFF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Executive officers and directors as a group (8 persons)</w:t>
            </w:r>
            <w:r>
              <w:rPr>
                <w:rFonts w:ascii="Times New Roman;Times;Serif" w:hAnsi="Times New Roman;Times;Serif"/>
                <w:b/>
                <w:i/>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2"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bottom w:val="double" w:sz="6" w:space="0" w:color="000000"/>
            </w:tcBorders>
            <w:shd w:fill="FFFFFF" w:val="clear"/>
            <w:vAlign w:val="center"/>
          </w:tcPr>
          <w:p>
            <w:pPr>
              <w:pStyle w:val="TableContents"/>
              <w:bidi w:val="0"/>
              <w:spacing w:before="0" w:after="283"/>
              <w:jc w:val="left"/>
              <w:rPr/>
            </w:pPr>
            <w:r>
              <w:rPr/>
              <w:t> </w:t>
            </w:r>
          </w:p>
        </w:tc>
        <w:tc>
          <w:tcPr>
            <w:tcW w:w="225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2,281,117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less than one percent (1.0%).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has been determined in accordance with Rule 13d-3 under the Exchange Act. Percentages are based on 26,473,222 shares of our common stock outstanding as of August 5, 2026.</w:t>
            </w:r>
          </w:p>
        </w:tc>
      </w:tr>
      <w:tr>
        <w:trPr/>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837,686 shares of the Company’s common stock owned by Mr. Klein’s spouse, which may be deemed to be beneficially owned by Mr. Klein; (ii) restricted shares granted under the SuRo Capital Corp. Amended and Restated 2019 Equity Incentive Plan on December 15, 2023, December 10, 2024 and May 16, 2025; and (iii) restricted shares granted under the SuRo Capital Corp. Second Amended and Restated 2019 Equity Incentive Plan on November 21, 2025 and June 12, 2026. On June 15, 2026, in connection with the approval of the Company’s externalization by its stockholders, the Board of Directors of the Company approved the acceleration in full of the vesting of Mr. Klein’s unvested restricted shares, effective as of June 15, 2026, and those shares vested on that date, subject to Mr. Klein’s entry into a lock-up agreement that replicates the holding periods of the vesting schedules that otherwise would have applied to such shares.</w:t>
            </w:r>
          </w:p>
        </w:tc>
      </w:tr>
      <w:tr>
        <w:trPr/>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3,536 restricted shares granted under the SuRo Capital Corp. Second Amended and Restated 2019 Equity Incentive Plan. On June 15, 2026, in connection with the approval of the Company’s externalization by its stockholders, the Board of Directors of the Company approved the acceleration in full of the vesting of these shares, which vested on that date.</w:t>
            </w:r>
          </w:p>
        </w:tc>
      </w:tr>
      <w:tr>
        <w:trPr/>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restricted shares granted under the SuRo Capital Corp. Amended and Restated 2019 Equity Incentive Plan on December 15, 2023, December 10, 2024 and May 16, 2025; and (ii) restricted shares granted under the SuRo Capital Corp. Second Amended and Restated 2019 Equity Incentive Plan on November 21, 2025 and June 12, 2026. On June 15, 2026, in connection with the approval of the Company’s externalization by its stockholders, the Board of Directors of the Company approved the acceleration in full of the vesting of Ms. Green’s unvested restricted shares, effective as of June 15, 2026, and those shares vested on that date, subject to Ms. Green’s entry into a lock-up agreement that replicates the holding periods of the vesting schedules that otherwise would have applied to such shares.</w:t>
            </w:r>
          </w:p>
        </w:tc>
      </w:tr>
      <w:tr>
        <w:trPr/>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for each of the directors and officers is c/o Neostellar Capital Corp., 640 Fifth Avenue, 12th Floor, New York, New York 10019.</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9" w:name="Aa_019"/>
      <w:bookmarkEnd w:id="209"/>
      <w:r>
        <w:rPr>
          <w:rFonts w:ascii="Times New Roman;Times;Serif" w:hAnsi="Times New Roman;Times;Serif"/>
          <w:b/>
          <w:i w:val="false"/>
          <w:caps w:val="false"/>
          <w:smallCaps w:val="false"/>
          <w:sz w:val="20"/>
        </w:rPr>
        <w:t>REGULATION AS A BUSINESS DEVELOPMENT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We are subject to regulation as described in “Part I, Item 1 — Business” of our most recent Annual Report on </w:t>
      </w:r>
      <w:hyperlink r:id="rId40">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which is incorporated by reference herein.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00"/>
        <w:jc w:val="center"/>
        <w:rPr>
          <w:rFonts w:ascii="Times New Roman;Times;Serif" w:hAnsi="Times New Roman;Times;Serif"/>
          <w:b/>
          <w:i w:val="false"/>
          <w:caps w:val="false"/>
          <w:smallCaps w:val="false"/>
          <w:sz w:val="20"/>
        </w:rPr>
      </w:pPr>
      <w:bookmarkStart w:id="210" w:name="Aa_020"/>
      <w:bookmarkEnd w:id="210"/>
      <w:r>
        <w:rPr>
          <w:rFonts w:ascii="Times New Roman;Times;Serif" w:hAnsi="Times New Roman;Times;Serif"/>
          <w:b/>
          <w:i w:val="false"/>
          <w:caps w:val="false"/>
          <w:smallCaps w:val="false"/>
          <w:sz w:val="20"/>
        </w:rPr>
        <w:t>DETERMINATION OF NET ASSET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the net asset value of our investment portfolio after the conclusion of each fiscal quarter in connection with the preparation of our annual and quarterly reports filed under the Exchange Act, or more frequently if required under the 1940 Act. Our net assets totaled approximately $355.9 million, or $13.44 per share, as of June 30, 2026, which is our most recently determined net asset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including securities that trade on secondary markets for private securities, are valued at fair value as determined in good faith by our Board of Directors, with assistance from the Adviser, the Adviser’s investment professionals, and independent valuation firms, and in accordance with Rule 2a-5 as promulgated under the 1940 Act, unless the Board of Directors formally designates a valuation designee. In connection with that determination, the Adviser’s investment professionals will prepare portfolio company valuations using, when available, the most recent portfolio company financial statements and forecasts. We also engage an independent valuation firm to perform independent valuations of our investments that are not publicly traded or for which there are no readily available market quotations. We may also engage an independent valuation firm to perform independent valuations of any securities that trade on private secondary markets, but are not otherwise publicly traded, where there is a lack of appreciable trading or a wide disparity in recently reported trades.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those securities that are not publicly traded or for which there are no readily available market quotations, the Board of Directors considers recommended valuations prepared by the Adviser’s investment professionals and by the independent valuation firm, respectively, as components of its fair value determinations, with assistance from the Adviser. Due to the uncertainty inherent in the valuation process, such estimates of fair value may differ significantly from the values that would have resulted had others made the determination using the same or different procedures or had a readily available market for the securities existed, and the differences could be material. Additionally, changes in the market environment and other events that may occur over the life of the investments may cause the gains or losses ultimately realized on these investments to be different than the gains or losses implied by the valuation currently assigned to such investments. For those investments that are publicly traded, we generally record unrealized appreciation or depreciation based on changes in the market value of the securities as of the valuation date. Publicly traded securities that remain subject to lock-up restrictions are discounted accordingly. For those investments that are not publicly traded and for which there are no readily available market quotations, we record unrealized depreciation on such investments when we believe that an investment has become impaired and record unrealized appreciation if we believe that the underlying portfolio company has appreciated in value and our equity security has also appreciated in value. Changes in fair value are recorded in the consolidated statement of operations as the net change in unrealized appreciation or depreciation.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determine the fair value of our investments by considering a number of factors. The following represent factors that, among others, could impact our fair value determinations: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trading of our portfolio securities, taking into consideration lock-up requirements and liquidity;</w:t>
            </w:r>
          </w:p>
        </w:tc>
      </w:tr>
      <w:tr>
        <w:trPr/>
        <w:tc>
          <w:tcPr>
            <w:tcW w:w="165" w:type="dxa"/>
            <w:tcBorders/>
            <w:vAlign w:val="center"/>
          </w:tcPr>
          <w:p>
            <w:pPr>
              <w:pStyle w:val="TableContents"/>
              <w:bidi w:val="0"/>
              <w:spacing w:before="0" w:after="283"/>
              <w:jc w:val="both"/>
              <w:rPr>
                <w:caps w:val="false"/>
                <w:smallCaps w:val="false"/>
              </w:rPr>
            </w:pPr>
            <w:r>
              <w:rPr>
                <w:caps w:val="false"/>
                <w:smallCaps w:val="false"/>
              </w:rPr>
              <w:t> </w:t>
            </w:r>
          </w:p>
        </w:tc>
        <w:tc>
          <w:tcPr>
            <w:tcW w:w="10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 trading of our portfolio securities on a private secondary market, where we have determined that there is meaningful volume and the transactions are considered arm’s length by sophisticated investors;</w:t>
            </w:r>
          </w:p>
        </w:tc>
      </w:tr>
      <w:tr>
        <w:trPr/>
        <w:tc>
          <w:tcPr>
            <w:tcW w:w="165" w:type="dxa"/>
            <w:tcBorders/>
            <w:vAlign w:val="center"/>
          </w:tcPr>
          <w:p>
            <w:pPr>
              <w:pStyle w:val="TableContents"/>
              <w:bidi w:val="0"/>
              <w:spacing w:before="0" w:after="283"/>
              <w:jc w:val="both"/>
              <w:rPr>
                <w:caps w:val="false"/>
                <w:smallCaps w:val="false"/>
              </w:rPr>
            </w:pPr>
            <w:r>
              <w:rPr>
                <w:caps w:val="false"/>
                <w:smallCaps w:val="false"/>
              </w:rPr>
              <w:t> </w:t>
            </w:r>
          </w:p>
        </w:tc>
        <w:tc>
          <w:tcPr>
            <w:tcW w:w="10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funding rounds in the companies in which we invested, where there is meaningful and reputable information available on size, valuation and investors; and</w:t>
            </w:r>
          </w:p>
        </w:tc>
      </w:tr>
      <w:tr>
        <w:trPr/>
        <w:tc>
          <w:tcPr>
            <w:tcW w:w="165" w:type="dxa"/>
            <w:tcBorders/>
            <w:vAlign w:val="center"/>
          </w:tcPr>
          <w:p>
            <w:pPr>
              <w:pStyle w:val="TableContents"/>
              <w:bidi w:val="0"/>
              <w:spacing w:before="0" w:after="283"/>
              <w:jc w:val="both"/>
              <w:rPr>
                <w:caps w:val="false"/>
                <w:smallCaps w:val="false"/>
              </w:rPr>
            </w:pPr>
            <w:r>
              <w:rPr>
                <w:caps w:val="false"/>
                <w:smallCaps w:val="false"/>
              </w:rPr>
              <w:t> </w:t>
            </w:r>
          </w:p>
        </w:tc>
        <w:tc>
          <w:tcPr>
            <w:tcW w:w="10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investments by us in current portfolio companies, where the price of the new investment differs materially from prior investments.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There is inherent subjectivity in determining the fair value of our investments. We expect that most of our portfolio investments, other than those for which market quotations are readily available and that may be sold without restriction, will be valued at fair value as determined in good faith by our Board of Directors, with assistance from the Adviser and subject to the Board’s valuation policies and procedures. While our Board of Directors has not previously elected to designate a valuation designee, it may do so in accordance with Rule 2a-5 under the 1940 Act. Furthermore, when calculating net asset value, we also consider our recognition of a deferred tax liability for unrealized gains on investments for those investments held in our taxable subsidiaries. See “Part II, Item 8 — Note 1 — Nature of Operations” to our consolidated financial statements for the year ended December 31, 2025 in our most recent Annual Report on </w:t>
      </w:r>
      <w:hyperlink r:id="rId41">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and “Part I, Item 1 — Note 1 — Nature of Operations” to our condensed consolidated financial statements for the quarter ended June 30, 2026, in our most recent Quarterly Report on </w:t>
      </w:r>
      <w:hyperlink r:id="rId42">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for a list of our taxable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Determinations in Connection with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future offerings of shares of our common stock, our Board of Directors, or an authorized committee thereof, will be required to make a determination of our net asset value and a good faith determination that we are not selling shares of our common stock at a price below the then current net asset value of our common stock at the time at which the sale is made. Our Board of Directors, or an authorized committee thereof, will consider the following factors, among others, in making such a determination:</w:t>
      </w:r>
    </w:p>
    <w:p>
      <w:pPr>
        <w:pStyle w:val="TextBody"/>
        <w:bidi w:val="0"/>
        <w:spacing w:before="0" w:after="0"/>
        <w:ind w:left="0" w:right="0" w:firstLine="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asset value of our common stock disclosed in the most recent periodic report that we filed with the SEC;</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as of a time within 48 hours (excluding Sundays and holidays) of the sale of our common stock;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magnitude of the difference between (i) a value that our Board of Directors or an authorized committee thereof has determined reflects the current (as of a time within 48 hours, excluding Sundays and holidays)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pStyle w:val="TextBody"/>
        <w:bidi w:val="0"/>
        <w:spacing w:before="0" w:after="0"/>
        <w:ind w:left="0" w:right="0" w:hanging="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11" w:name="Aa_021"/>
      <w:bookmarkEnd w:id="211"/>
      <w:r>
        <w:rPr>
          <w:rFonts w:ascii="Times New Roman;Times;Serif" w:hAnsi="Times New Roman;Times;Serif"/>
          <w:b/>
          <w:i w:val="false"/>
          <w:caps/>
          <w:sz w:val="20"/>
        </w:rPr>
        <w:t>Sales of Common Stock Below Net Asset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may, from time to time, vote to allow us to issue common stock at a price below the net asset value per share of our common stock. In such an approval, our stockholders may not specify a maximum discount below net asset value at which we are able to issue our common stock. In order to sell shares pursuant to such a stockholder authorization: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independent directors who have no financial interest in the sale must have approved the sale;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such directors who are not interested persons of Neostellar Capital, in consultation with the underwriter or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offering of common stock below net asset value per share will be designed to raise capital for investment in accordance with our investment objectives and business 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a determination that an offering below net asset value per share is in our and our stockholders’ best interests, our Board of Directors would consider a variety of factors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that an offering below net asset value per share would have on our stockholders, including the potential dilution they would experience as a result of the offering;</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per share by which the offering price per share and the net proceeds per share are less than the most recently determined net asset value per share;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relationship of recent market prices of our common stock to our net asset value per share and the potential impact of the offering on the market price per share of our common stock;</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proposed offering price would closely approximate the market value of our shares;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market impact of being able to raise capital during the current financial market difficulties;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any new investors anticipated to acquire shares in the offering;</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anticipated rate of return on and quality, type and availability of investments to be funded with the proceeds from the offering, if any;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leverage available to us, both before and after any offering, and the terms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us of our common stock at a discount from our net asset value per share pose potential risks for our existing stockholders whether or not they participate in the offering, as well as for new investors who participate in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three headings and accompanying tables will explain and provide hypothetical examples on the impact of an offering at a price less than net asset value per share on three different sets of investors: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stockholders who do not purchase any shares in the offering;</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stockholders who purchase a relatively small amount of shares in the offering or a relatively large amount of shares in the offering;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investors who become stockholders by purchasing shares in the offering.</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on Existing Stockholders who do not Participate in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stockholders who do not participate in an offering below net asset value per share or who do not buy additional shares in the secondary market at the same or lower price we obtain in the offering (after expenses and commissions) face the greatest potential risks. These stockholders will experience an immediate decrease (often called dilution) in the net asset value of the shares they hold and their net asset value per share. These stockholders 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decreases in net asset value per share. This decrease could be more pronounced as the size of the offering and level of discount to net asset value increases.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level of net asset value dilution that would be experienced by a nonparticipating stockholder in three different hypothetical offerings of different sizes and levels of discount from NAV per share. Actual sales prices and discounts may differ from the presentation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examples assume that the Company has 1,000,000 common shares outstanding, $15,000,000 in total assets and $5,000,000 in total liabilities. The current net assets and net asset value per share are thus $10,000,000 and $10.00, respectively. The table illustrates the dilutive effect on nonparticipating Stockholder A of (1) an offering of 50,000 shares (5% of the outstanding shares) at $9.50 per share after offering expenses and commissions (a 5% discount from net asset value), (2) an offering of 100,000 shares (10% of the outstanding shares) at $9.00 per share after offering expenses and commissions (a 10% discount from NAV) and (3) an offering of 250,000 shares (25% of the outstanding shares) at $8.00 per share after offering expenses and commissions (a 20% discount from net asset value). The prospectus supplement pursuant to which any discounted offering is made will include a chart based on the actual number of shares in such offering and the actual discount to the most recently determined net asset value.</w:t>
      </w:r>
    </w:p>
    <w:p>
      <w:pPr>
        <w:pStyle w:val="TextBody"/>
        <w:bidi w:val="0"/>
        <w:spacing w:before="0" w:after="0"/>
        <w:ind w:left="0" w:right="0" w:firstLine="720"/>
        <w:jc w:val="both"/>
        <w:rPr>
          <w:caps w:val="false"/>
          <w:smallCaps w:val="false"/>
        </w:rPr>
      </w:pPr>
      <w:r>
        <w:rPr>
          <w:caps w:val="false"/>
          <w:smallCaps w:val="false"/>
        </w:rPr>
        <w:t> </w:t>
      </w:r>
    </w:p>
    <w:tbl>
      <w:tblPr>
        <w:tblW w:w="11465" w:type="dxa"/>
        <w:jc w:val="left"/>
        <w:tblInd w:w="0" w:type="dxa"/>
        <w:tblLayout w:type="fixed"/>
        <w:tblCellMar>
          <w:top w:w="0" w:type="dxa"/>
          <w:left w:w="0" w:type="dxa"/>
          <w:bottom w:w="0" w:type="dxa"/>
          <w:right w:w="0" w:type="dxa"/>
        </w:tblCellMar>
      </w:tblPr>
      <w:tblGrid>
        <w:gridCol w:w="1700"/>
        <w:gridCol w:w="60"/>
        <w:gridCol w:w="140"/>
        <w:gridCol w:w="980"/>
        <w:gridCol w:w="215"/>
        <w:gridCol w:w="60"/>
        <w:gridCol w:w="140"/>
        <w:gridCol w:w="980"/>
        <w:gridCol w:w="215"/>
        <w:gridCol w:w="60"/>
        <w:gridCol w:w="116"/>
        <w:gridCol w:w="999"/>
        <w:gridCol w:w="215"/>
        <w:gridCol w:w="60"/>
        <w:gridCol w:w="140"/>
        <w:gridCol w:w="980"/>
        <w:gridCol w:w="215"/>
        <w:gridCol w:w="60"/>
        <w:gridCol w:w="107"/>
        <w:gridCol w:w="1008"/>
        <w:gridCol w:w="215"/>
        <w:gridCol w:w="60"/>
        <w:gridCol w:w="140"/>
        <w:gridCol w:w="980"/>
        <w:gridCol w:w="215"/>
        <w:gridCol w:w="60"/>
        <w:gridCol w:w="96"/>
        <w:gridCol w:w="1019"/>
        <w:gridCol w:w="230"/>
      </w:tblGrid>
      <w:tr>
        <w:trPr/>
        <w:tc>
          <w:tcPr>
            <w:tcW w:w="1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Prior to 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 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Offering at 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 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Offering at 10% Discount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 3</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Offering at 20% Discount</w:t>
            </w:r>
          </w:p>
        </w:tc>
        <w:tc>
          <w:tcPr>
            <w:tcW w:w="230"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Below NAV</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Following 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Following 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Following 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230"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per Share to Public</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Proceeds per Share to Issuer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Increase in Shares and Decrease to NAV</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NAV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(0.91</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Dilution to Nonparticipating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 Dilution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Held by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Percentage Outstanding Held by Stockholder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0.95</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0.91</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NAV Dilution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NAV Held by Stockholder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99,762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(0.91</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Investment by Stockholder A (Assumed to be $10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Dilution to Stockholder A (Total NAV Less Total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NAV Dilution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NAV per Share Held by Stockholder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per Share Held by Stockholder A (Assumed to be $10 per Share on Shares Held Prior to Sale)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NAV Dilution per Share Experienced by Stockholder A (NAV per Share Less Investment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Percentage NAV Dilution per Share Experienced by Stockholder A (NAV Dilution per Share Divided by Investment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(0.91</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Assumes 5% in selling compensation and expenses paid by us.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on Existing Stockholders who do Participate in 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stockholders who participate in an offering below net asset value per share or who buy additional shares in the secondary market at the same or lower price as we obtain in the offering (after expenses and commissions) will experience the same types of net asset value dilution as the nonparticipating stockholders, albeit at a lower level, to the extent they purchase less than the same percentage of the discounted offering as their interest in our shares immediately prior to the offering. The level of net asset value dilution to such stockholders will decrease as the number of shares such stockholders purchase increases. Existing stockholders who buy more than their proportionate percentage will experience net asset value dilution but will, in contrast to existing stockholders who purchase less than their proportionate share of the offering, experience an increase (often called accretion) in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purchased by such stockholder increases. Even a stockholder who over-participates will, however, be subject to the risk that we may make additional discounted offerings in which such stockholder does not participate, in which case such a stockholder will experience net asset value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the level of discount to NAV increases.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illustrates the level of dilution and accretion in the hypothetical 25% offering at a 20% discount from the prior chart (Example 3) for a stockholder that acquires shares equal to (1) 50% of its proportionate share of the offering (i.e., 1,250 shares, which is 0.5% of an offering of 250,000 shares rather than its 1.0% proportionate share) and (2) 150% of such percentage (i.e., 3,750 shares, which is 1.5% of an offering of 250,000 shares rather than its 1.0% proportionate share). The prospectus supplement pursuant to which any discounted offering is made will include a chart for this example based on the actual number of shares in such offering and the actual discount from the most recently determined net asset value per share.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74"/>
        <w:gridCol w:w="60"/>
        <w:gridCol w:w="140"/>
        <w:gridCol w:w="980"/>
        <w:gridCol w:w="215"/>
        <w:gridCol w:w="60"/>
        <w:gridCol w:w="147"/>
        <w:gridCol w:w="1034"/>
        <w:gridCol w:w="215"/>
        <w:gridCol w:w="60"/>
        <w:gridCol w:w="96"/>
        <w:gridCol w:w="1019"/>
        <w:gridCol w:w="227"/>
        <w:gridCol w:w="60"/>
        <w:gridCol w:w="147"/>
        <w:gridCol w:w="1034"/>
        <w:gridCol w:w="215"/>
        <w:gridCol w:w="60"/>
        <w:gridCol w:w="107"/>
        <w:gridCol w:w="1008"/>
        <w:gridCol w:w="247"/>
      </w:tblGrid>
      <w:tr>
        <w:trPr/>
        <w:tc>
          <w:tcPr>
            <w:tcW w:w="30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Prior to</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50% Participation</w:t>
            </w:r>
          </w:p>
        </w:tc>
        <w:tc>
          <w:tcPr>
            <w:tcW w:w="2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150% Participation</w:t>
            </w:r>
          </w:p>
        </w:tc>
        <w:tc>
          <w:tcPr>
            <w:tcW w:w="247" w:type="dxa"/>
            <w:tcBorders/>
            <w:vAlign w:val="center"/>
          </w:tcPr>
          <w:p>
            <w:pPr>
              <w:pStyle w:val="TableContents"/>
              <w:bidi w:val="0"/>
              <w:spacing w:before="0" w:after="283"/>
              <w:jc w:val="left"/>
              <w:rPr/>
            </w:pPr>
            <w:r>
              <w:rPr/>
              <w:t> </w:t>
            </w:r>
          </w:p>
        </w:tc>
      </w:tr>
      <w:tr>
        <w:trPr/>
        <w:tc>
          <w:tcPr>
            <w:tcW w:w="30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Below NAV</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 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 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47" w:type="dxa"/>
            <w:tcBorders/>
            <w:vAlign w:val="center"/>
          </w:tcPr>
          <w:p>
            <w:pPr>
              <w:pStyle w:val="TableContents"/>
              <w:bidi w:val="0"/>
              <w:spacing w:before="0" w:after="283"/>
              <w:jc w:val="left"/>
              <w:rPr/>
            </w:pPr>
            <w:r>
              <w:rPr/>
              <w:t> </w:t>
            </w:r>
          </w:p>
        </w:tc>
      </w:tr>
      <w:tr>
        <w:trPr/>
        <w:tc>
          <w:tcPr>
            <w:tcW w:w="3074" w:type="dxa"/>
            <w:tcBorders/>
            <w:shd w:fill="CCEEFF" w:val="clear"/>
            <w:vAlign w:val="center"/>
          </w:tcPr>
          <w:p>
            <w:pPr>
              <w:pStyle w:val="TableContents"/>
              <w:bidi w:val="0"/>
              <w:spacing w:before="0" w:after="283"/>
              <w:jc w:val="left"/>
              <w:rPr>
                <w:b/>
                <w:i/>
              </w:rPr>
            </w:pPr>
            <w:r>
              <w:rPr>
                <w:b/>
                <w:i/>
              </w:rPr>
              <w:t>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30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per Share to Public</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8.42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8.42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3074" w:type="dxa"/>
            <w:tcBorders/>
            <w:shd w:fill="CCEEFF" w:val="clear"/>
            <w:vAlign w:val="center"/>
          </w:tcPr>
          <w:p>
            <w:pPr>
              <w:pStyle w:val="TableContents"/>
              <w:bidi w:val="0"/>
              <w:spacing w:before="0" w:after="283"/>
              <w:jc w:val="left"/>
              <w:rPr/>
            </w:pPr>
            <w:r>
              <w:rPr/>
              <w:t>Net Proceeds per Share to Issuer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8.00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8.00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3074" w:type="dxa"/>
            <w:tcBorders/>
            <w:shd w:fill="FFFFFF" w:val="clear"/>
            <w:vAlign w:val="center"/>
          </w:tcPr>
          <w:p>
            <w:pPr>
              <w:pStyle w:val="TableContents"/>
              <w:bidi w:val="0"/>
              <w:spacing w:before="0" w:after="283"/>
              <w:jc w:val="left"/>
              <w:rPr>
                <w:b/>
                <w:i/>
              </w:rPr>
            </w:pPr>
            <w:r>
              <w:rPr>
                <w:b/>
                <w:i/>
              </w:rPr>
              <w:t>Increase in Shares and Decrease to NAV</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3074" w:type="dxa"/>
            <w:tcBorders/>
            <w:shd w:fill="CCEEFF" w:val="clear"/>
            <w:vAlign w:val="center"/>
          </w:tcPr>
          <w:p>
            <w:pPr>
              <w:pStyle w:val="TableContents"/>
              <w:bidi w:val="0"/>
              <w:spacing w:before="0" w:after="283"/>
              <w:jc w:val="left"/>
              <w:rPr/>
            </w:pPr>
            <w:r>
              <w:rPr/>
              <w:t>Total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1,250,000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25.00</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1,250,000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25.00</w:t>
            </w:r>
          </w:p>
        </w:tc>
        <w:tc>
          <w:tcPr>
            <w:tcW w:w="247" w:type="dxa"/>
            <w:tcBorders/>
            <w:shd w:fill="CCEEFF" w:val="clear"/>
            <w:vAlign w:val="center"/>
          </w:tcPr>
          <w:p>
            <w:pPr>
              <w:pStyle w:val="TableContents"/>
              <w:bidi w:val="0"/>
              <w:spacing w:before="0" w:after="283"/>
              <w:jc w:val="left"/>
              <w:rPr/>
            </w:pPr>
            <w:r>
              <w:rPr/>
              <w:t>%</w:t>
            </w:r>
          </w:p>
        </w:tc>
      </w:tr>
      <w:tr>
        <w:trPr/>
        <w:tc>
          <w:tcPr>
            <w:tcW w:w="3074" w:type="dxa"/>
            <w:tcBorders/>
            <w:shd w:fill="FFFFFF" w:val="clear"/>
            <w:vAlign w:val="center"/>
          </w:tcPr>
          <w:p>
            <w:pPr>
              <w:pStyle w:val="TableContents"/>
              <w:bidi w:val="0"/>
              <w:spacing w:before="0" w:after="283"/>
              <w:jc w:val="left"/>
              <w:rPr/>
            </w:pPr>
            <w:r>
              <w:rPr/>
              <w:t>NAV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9.60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(4.00</w:t>
            </w:r>
          </w:p>
        </w:tc>
        <w:tc>
          <w:tcPr>
            <w:tcW w:w="22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9.60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(4.00</w:t>
            </w:r>
          </w:p>
        </w:tc>
        <w:tc>
          <w:tcPr>
            <w:tcW w:w="247" w:type="dxa"/>
            <w:tcBorders/>
            <w:shd w:fill="FFFFFF" w:val="clear"/>
            <w:vAlign w:val="center"/>
          </w:tcPr>
          <w:p>
            <w:pPr>
              <w:pStyle w:val="TableContents"/>
              <w:bidi w:val="0"/>
              <w:spacing w:before="0" w:after="283"/>
              <w:jc w:val="left"/>
              <w:rPr/>
            </w:pPr>
            <w:r>
              <w:rPr/>
              <w:t>)%</w:t>
            </w:r>
          </w:p>
        </w:tc>
      </w:tr>
      <w:tr>
        <w:trPr/>
        <w:tc>
          <w:tcPr>
            <w:tcW w:w="3074" w:type="dxa"/>
            <w:tcBorders/>
            <w:shd w:fill="CCEEFF" w:val="clear"/>
            <w:vAlign w:val="center"/>
          </w:tcPr>
          <w:p>
            <w:pPr>
              <w:pStyle w:val="TableContents"/>
              <w:bidi w:val="0"/>
              <w:spacing w:before="0" w:after="283"/>
              <w:jc w:val="left"/>
              <w:rPr>
                <w:b/>
                <w:i/>
              </w:rPr>
            </w:pPr>
            <w:r>
              <w:rPr>
                <w:b/>
                <w:i/>
              </w:rPr>
              <w:t>Dilution to Participating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3074" w:type="dxa"/>
            <w:tcBorders/>
            <w:shd w:fill="FFFFFF" w:val="clear"/>
            <w:vAlign w:val="center"/>
          </w:tcPr>
          <w:p>
            <w:pPr>
              <w:pStyle w:val="TableContents"/>
              <w:bidi w:val="0"/>
              <w:spacing w:before="0" w:after="283"/>
              <w:jc w:val="left"/>
              <w:rPr>
                <w:b/>
              </w:rPr>
            </w:pPr>
            <w:r>
              <w:rPr>
                <w:b/>
              </w:rPr>
              <w:t>Share Dilution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3074" w:type="dxa"/>
            <w:tcBorders/>
            <w:shd w:fill="CCEEFF" w:val="clear"/>
            <w:vAlign w:val="center"/>
          </w:tcPr>
          <w:p>
            <w:pPr>
              <w:pStyle w:val="TableContents"/>
              <w:bidi w:val="0"/>
              <w:spacing w:before="0" w:after="283"/>
              <w:jc w:val="left"/>
              <w:rPr/>
            </w:pPr>
            <w:r>
              <w:rPr/>
              <w:t>Shares Held by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11,250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12.50</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13,750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37.50</w:t>
            </w:r>
          </w:p>
        </w:tc>
        <w:tc>
          <w:tcPr>
            <w:tcW w:w="247" w:type="dxa"/>
            <w:tcBorders/>
            <w:shd w:fill="CCEEFF" w:val="clear"/>
            <w:vAlign w:val="center"/>
          </w:tcPr>
          <w:p>
            <w:pPr>
              <w:pStyle w:val="TableContents"/>
              <w:bidi w:val="0"/>
              <w:spacing w:before="0" w:after="283"/>
              <w:jc w:val="left"/>
              <w:rPr/>
            </w:pPr>
            <w:r>
              <w:rPr/>
              <w:t>%</w:t>
            </w:r>
          </w:p>
        </w:tc>
      </w:tr>
      <w:tr>
        <w:trPr/>
        <w:tc>
          <w:tcPr>
            <w:tcW w:w="3074" w:type="dxa"/>
            <w:tcBorders/>
            <w:shd w:fill="FFFFFF" w:val="clear"/>
            <w:vAlign w:val="center"/>
          </w:tcPr>
          <w:p>
            <w:pPr>
              <w:pStyle w:val="TableContents"/>
              <w:bidi w:val="0"/>
              <w:spacing w:before="0" w:after="283"/>
              <w:jc w:val="left"/>
              <w:rPr/>
            </w:pPr>
            <w:r>
              <w:rPr/>
              <w:t>Percentage Outstanding Held by Stockholder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0.90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(10.00</w:t>
            </w:r>
          </w:p>
        </w:tc>
        <w:tc>
          <w:tcPr>
            <w:tcW w:w="22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1.10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10.00</w:t>
            </w:r>
          </w:p>
        </w:tc>
        <w:tc>
          <w:tcPr>
            <w:tcW w:w="247" w:type="dxa"/>
            <w:tcBorders/>
            <w:shd w:fill="FFFFFF" w:val="clear"/>
            <w:vAlign w:val="center"/>
          </w:tcPr>
          <w:p>
            <w:pPr>
              <w:pStyle w:val="TableContents"/>
              <w:bidi w:val="0"/>
              <w:spacing w:before="0" w:after="283"/>
              <w:jc w:val="left"/>
              <w:rPr/>
            </w:pPr>
            <w:r>
              <w:rPr/>
              <w:t>%</w:t>
            </w:r>
          </w:p>
        </w:tc>
      </w:tr>
      <w:tr>
        <w:trPr/>
        <w:tc>
          <w:tcPr>
            <w:tcW w:w="3074" w:type="dxa"/>
            <w:tcBorders/>
            <w:shd w:fill="CCEEFF" w:val="clear"/>
            <w:vAlign w:val="center"/>
          </w:tcPr>
          <w:p>
            <w:pPr>
              <w:pStyle w:val="TableContents"/>
              <w:bidi w:val="0"/>
              <w:spacing w:before="0" w:after="283"/>
              <w:jc w:val="left"/>
              <w:rPr>
                <w:b/>
              </w:rPr>
            </w:pPr>
            <w:r>
              <w:rPr>
                <w:b/>
              </w:rPr>
              <w:t>NAV Dilution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3074" w:type="dxa"/>
            <w:tcBorders/>
            <w:shd w:fill="FFFFFF" w:val="clear"/>
            <w:vAlign w:val="center"/>
          </w:tcPr>
          <w:p>
            <w:pPr>
              <w:pStyle w:val="TableContents"/>
              <w:bidi w:val="0"/>
              <w:spacing w:before="0" w:after="283"/>
              <w:jc w:val="left"/>
              <w:rPr/>
            </w:pPr>
            <w:r>
              <w:rPr/>
              <w:t>Total NAV Held by Stockholder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100,000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108,000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8.00</w:t>
            </w:r>
          </w:p>
        </w:tc>
        <w:tc>
          <w:tcPr>
            <w:tcW w:w="22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132,000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32.00</w:t>
            </w:r>
          </w:p>
        </w:tc>
        <w:tc>
          <w:tcPr>
            <w:tcW w:w="247" w:type="dxa"/>
            <w:tcBorders/>
            <w:shd w:fill="FFFFFF" w:val="clear"/>
            <w:vAlign w:val="center"/>
          </w:tcPr>
          <w:p>
            <w:pPr>
              <w:pStyle w:val="TableContents"/>
              <w:bidi w:val="0"/>
              <w:spacing w:before="0" w:after="283"/>
              <w:jc w:val="left"/>
              <w:rPr/>
            </w:pPr>
            <w:r>
              <w:rPr/>
              <w:t>%</w:t>
            </w:r>
          </w:p>
        </w:tc>
      </w:tr>
      <w:tr>
        <w:trPr/>
        <w:tc>
          <w:tcPr>
            <w:tcW w:w="3074" w:type="dxa"/>
            <w:tcBorders/>
            <w:shd w:fill="CCEEFF" w:val="clear"/>
            <w:vAlign w:val="center"/>
          </w:tcPr>
          <w:p>
            <w:pPr>
              <w:pStyle w:val="TableContents"/>
              <w:bidi w:val="0"/>
              <w:spacing w:before="0" w:after="283"/>
              <w:jc w:val="left"/>
              <w:rPr/>
            </w:pPr>
            <w:r>
              <w:rPr/>
              <w:t>Total Investment by Stockholder A (Assumed to be $10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110,525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131,575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3074" w:type="dxa"/>
            <w:tcBorders/>
            <w:shd w:fill="FFFFFF" w:val="clear"/>
            <w:vAlign w:val="center"/>
          </w:tcPr>
          <w:p>
            <w:pPr>
              <w:pStyle w:val="TableContents"/>
              <w:bidi w:val="0"/>
              <w:spacing w:before="0" w:after="283"/>
              <w:jc w:val="left"/>
              <w:rPr/>
            </w:pPr>
            <w:r>
              <w:rPr/>
              <w:t>Total Dilution to Stockholder A (Total NAV Less Total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(2,525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425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3074" w:type="dxa"/>
            <w:tcBorders/>
            <w:shd w:fill="CCEEFF" w:val="clear"/>
            <w:vAlign w:val="center"/>
          </w:tcPr>
          <w:p>
            <w:pPr>
              <w:pStyle w:val="TableContents"/>
              <w:bidi w:val="0"/>
              <w:spacing w:before="0" w:after="283"/>
              <w:jc w:val="left"/>
              <w:rPr>
                <w:b/>
              </w:rPr>
            </w:pPr>
            <w:r>
              <w:rPr>
                <w:b/>
              </w:rPr>
              <w:t>NAV Dilution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3074" w:type="dxa"/>
            <w:tcBorders/>
            <w:shd w:fill="FFFFFF" w:val="clear"/>
            <w:vAlign w:val="center"/>
          </w:tcPr>
          <w:p>
            <w:pPr>
              <w:pStyle w:val="TableContents"/>
              <w:bidi w:val="0"/>
              <w:spacing w:before="0" w:after="283"/>
              <w:jc w:val="left"/>
              <w:rPr/>
            </w:pPr>
            <w:r>
              <w:rPr/>
              <w:t>NAV per Share Held by Stockholder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9.60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9.60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3074" w:type="dxa"/>
            <w:tcBorders/>
            <w:shd w:fill="CCEEFF" w:val="clear"/>
            <w:vAlign w:val="center"/>
          </w:tcPr>
          <w:p>
            <w:pPr>
              <w:pStyle w:val="TableContents"/>
              <w:bidi w:val="0"/>
              <w:spacing w:before="0" w:after="283"/>
              <w:jc w:val="left"/>
              <w:rPr/>
            </w:pPr>
            <w:r>
              <w:rPr/>
              <w:t>Investment per Share Held by Stockholder A (Assumed to be $10 per Share on Shares Held Prior to Sale)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9.82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(1.76</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9.57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(4.31</w:t>
            </w:r>
          </w:p>
        </w:tc>
        <w:tc>
          <w:tcPr>
            <w:tcW w:w="247" w:type="dxa"/>
            <w:tcBorders/>
            <w:shd w:fill="CCEEFF" w:val="clear"/>
            <w:vAlign w:val="center"/>
          </w:tcPr>
          <w:p>
            <w:pPr>
              <w:pStyle w:val="TableContents"/>
              <w:bidi w:val="0"/>
              <w:spacing w:before="0" w:after="283"/>
              <w:jc w:val="left"/>
              <w:rPr/>
            </w:pPr>
            <w:r>
              <w:rPr/>
              <w:t>)%</w:t>
            </w:r>
          </w:p>
        </w:tc>
      </w:tr>
      <w:tr>
        <w:trPr/>
        <w:tc>
          <w:tcPr>
            <w:tcW w:w="3074" w:type="dxa"/>
            <w:tcBorders/>
            <w:shd w:fill="FFFFFF" w:val="clear"/>
            <w:vAlign w:val="center"/>
          </w:tcPr>
          <w:p>
            <w:pPr>
              <w:pStyle w:val="TableContents"/>
              <w:bidi w:val="0"/>
              <w:spacing w:before="0" w:after="283"/>
              <w:jc w:val="left"/>
              <w:rPr/>
            </w:pPr>
            <w:r>
              <w:rPr/>
              <w:t>NAV Dilution per Share Experienced by Stockholder A (NAV per Share Less Investment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(0.22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0.03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3074" w:type="dxa"/>
            <w:tcBorders/>
            <w:shd w:fill="CCEEFF" w:val="clear"/>
            <w:vAlign w:val="center"/>
          </w:tcPr>
          <w:p>
            <w:pPr>
              <w:pStyle w:val="TableContents"/>
              <w:bidi w:val="0"/>
              <w:spacing w:before="0" w:after="283"/>
              <w:jc w:val="left"/>
              <w:rPr/>
            </w:pPr>
            <w:r>
              <w:rPr/>
              <w:t>Percentage NAV Dilution per Share Experienced by Stockholder A (NAV Dilution per Share Divided by Investment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(2.28</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0.32</w:t>
            </w:r>
          </w:p>
        </w:tc>
        <w:tc>
          <w:tcPr>
            <w:tcW w:w="247"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Assumes 5% in selling compensation and expenses paid by 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on New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are not currently stockholders, but who participate in an offering below net asset value and whose investment per share is greater than the resulting net asset value per share due to selling compensation and expenses paid by us will experience an immediate decrease, albeit small, in the net asset value of their shares and their net asset value per share compared to the price they pay for their shares (Example 1 below). On the other hand, investors who are not currently stockholders, but who participate in an offering below net asset value per share and whose investment per share is also less than the resulting net asset value per share will experience an immediate increase in the net asset value of their shares and their net asset value per share compared to the price they pay for their shares (Examples 2 and 3 below). These latter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decreases in net asset value per share. This decrease could be more pronounced as the size of the offering and level of discount to net asset value increases.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illustrates the level of dilution or accretion for new investors that would be experienced by a new investor in the same hypothetical discounted offerings as described in the first chart above. The illustration is for a new investor who purchases the same percentage (1.00%)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NAV per share.</w:t>
      </w:r>
    </w:p>
    <w:p>
      <w:pPr>
        <w:pStyle w:val="TextBody"/>
        <w:bidi w:val="0"/>
        <w:spacing w:before="0" w:after="0"/>
        <w:ind w:left="0" w:right="0" w:hanging="0"/>
        <w:jc w:val="center"/>
        <w:rPr>
          <w:caps w:val="false"/>
          <w:smallCaps w:val="false"/>
        </w:rPr>
      </w:pPr>
      <w:r>
        <w:rPr>
          <w:caps w:val="false"/>
          <w:smallCaps w:val="false"/>
        </w:rPr>
        <w:t> </w:t>
      </w:r>
    </w:p>
    <w:tbl>
      <w:tblPr>
        <w:tblW w:w="10985" w:type="dxa"/>
        <w:jc w:val="left"/>
        <w:tblInd w:w="0" w:type="dxa"/>
        <w:tblLayout w:type="fixed"/>
        <w:tblCellMar>
          <w:top w:w="0" w:type="dxa"/>
          <w:left w:w="0" w:type="dxa"/>
          <w:bottom w:w="0" w:type="dxa"/>
          <w:right w:w="0" w:type="dxa"/>
        </w:tblCellMar>
      </w:tblPr>
      <w:tblGrid>
        <w:gridCol w:w="1220"/>
        <w:gridCol w:w="60"/>
        <w:gridCol w:w="140"/>
        <w:gridCol w:w="980"/>
        <w:gridCol w:w="215"/>
        <w:gridCol w:w="60"/>
        <w:gridCol w:w="140"/>
        <w:gridCol w:w="980"/>
        <w:gridCol w:w="215"/>
        <w:gridCol w:w="60"/>
        <w:gridCol w:w="116"/>
        <w:gridCol w:w="999"/>
        <w:gridCol w:w="215"/>
        <w:gridCol w:w="60"/>
        <w:gridCol w:w="140"/>
        <w:gridCol w:w="980"/>
        <w:gridCol w:w="215"/>
        <w:gridCol w:w="60"/>
        <w:gridCol w:w="107"/>
        <w:gridCol w:w="1008"/>
        <w:gridCol w:w="215"/>
        <w:gridCol w:w="60"/>
        <w:gridCol w:w="140"/>
        <w:gridCol w:w="980"/>
        <w:gridCol w:w="215"/>
        <w:gridCol w:w="60"/>
        <w:gridCol w:w="107"/>
        <w:gridCol w:w="1008"/>
        <w:gridCol w:w="230"/>
      </w:tblGrid>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 to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 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Offering at 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 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Offering at 10%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 3</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Offering at 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w:t>
            </w:r>
          </w:p>
        </w:tc>
        <w:tc>
          <w:tcPr>
            <w:tcW w:w="23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Below NAV</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 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 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 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b/>
                <w:i/>
              </w:rPr>
            </w:pPr>
            <w:r>
              <w:rPr>
                <w:b/>
                <w:i/>
              </w:rPr>
              <w:t>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per Share to Public</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9.47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8.42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Net Proceeds per Share to Issuer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b/>
                <w:i/>
              </w:rPr>
            </w:pPr>
            <w:r>
              <w:rPr>
                <w:b/>
                <w:i/>
              </w:rPr>
              <w:t>Increase in Shares and Decrease to NAV</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Total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5.00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25.00</w:t>
            </w:r>
          </w:p>
        </w:tc>
        <w:tc>
          <w:tcPr>
            <w:tcW w:w="230" w:type="dxa"/>
            <w:tcBorders/>
            <w:shd w:fill="CCEEFF" w:val="clear"/>
            <w:vAlign w:val="center"/>
          </w:tcPr>
          <w:p>
            <w:pPr>
              <w:pStyle w:val="TableContents"/>
              <w:bidi w:val="0"/>
              <w:spacing w:before="0" w:after="283"/>
              <w:jc w:val="left"/>
              <w:rPr/>
            </w:pPr>
            <w:r>
              <w:rPr/>
              <w:t>%</w:t>
            </w:r>
          </w:p>
        </w:tc>
      </w:tr>
      <w:tr>
        <w:trPr/>
        <w:tc>
          <w:tcPr>
            <w:tcW w:w="1220" w:type="dxa"/>
            <w:tcBorders/>
            <w:shd w:fill="FFFFFF" w:val="clear"/>
            <w:vAlign w:val="center"/>
          </w:tcPr>
          <w:p>
            <w:pPr>
              <w:pStyle w:val="TableContents"/>
              <w:bidi w:val="0"/>
              <w:spacing w:before="0" w:after="283"/>
              <w:jc w:val="left"/>
              <w:rPr/>
            </w:pPr>
            <w:r>
              <w:rPr/>
              <w:t>NAV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(0.24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(0.91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(4.00</w:t>
            </w:r>
          </w:p>
        </w:tc>
        <w:tc>
          <w:tcPr>
            <w:tcW w:w="230" w:type="dxa"/>
            <w:tcBorders/>
            <w:shd w:fill="FFFFFF" w:val="clear"/>
            <w:vAlign w:val="center"/>
          </w:tcPr>
          <w:p>
            <w:pPr>
              <w:pStyle w:val="TableContents"/>
              <w:bidi w:val="0"/>
              <w:spacing w:before="0" w:after="283"/>
              <w:jc w:val="left"/>
              <w:rPr/>
            </w:pPr>
            <w:r>
              <w:rPr/>
              <w:t>)%</w:t>
            </w:r>
          </w:p>
        </w:tc>
      </w:tr>
      <w:tr>
        <w:trPr/>
        <w:tc>
          <w:tcPr>
            <w:tcW w:w="1220" w:type="dxa"/>
            <w:tcBorders/>
            <w:shd w:fill="CCEEFF" w:val="clear"/>
            <w:vAlign w:val="center"/>
          </w:tcPr>
          <w:p>
            <w:pPr>
              <w:pStyle w:val="TableContents"/>
              <w:bidi w:val="0"/>
              <w:spacing w:before="0" w:after="283"/>
              <w:jc w:val="left"/>
              <w:rPr>
                <w:b/>
                <w:i/>
              </w:rPr>
            </w:pPr>
            <w:r>
              <w:rPr>
                <w:b/>
                <w:i/>
              </w:rPr>
              <w:t>Dilution to New Investor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b/>
              </w:rPr>
            </w:pPr>
            <w:r>
              <w:rPr>
                <w:b/>
              </w:rPr>
              <w:t>Share Dilution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Shares Held by New Investor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Percentage Outstanding Held by New Investor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0.05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0.09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0.20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b/>
              </w:rPr>
            </w:pPr>
            <w:r>
              <w:rPr>
                <w:b/>
              </w:rPr>
              <w:t>NAV Dilution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Total NAV Held by New Investor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4,988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9,909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24,000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Total Investment by New Investor A (at the 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9,470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21,050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Total Dilution to New Investor A (Total NAV Less Total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439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2,950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b/>
              </w:rPr>
            </w:pPr>
            <w:r>
              <w:rPr>
                <w:b/>
              </w:rPr>
              <w:t>NAV Dilution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NAV per Share Held by New Investor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Investment per Share Held by New Investor A (at the 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9.47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8.42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NAV Dilution per Share Experienced by New Investor A (NAV per Share Less Investment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(0.02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0.44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1.18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Percentage NAV Dilution per Share Experienced by New Investor A (NAV Dilution per Share Divided by Investment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(0.20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4.64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14.01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2" w:name="BP_001"/>
      <w:bookmarkEnd w:id="212"/>
      <w:r>
        <w:rPr>
          <w:rFonts w:ascii="Times New Roman;Times;Serif" w:hAnsi="Times New Roman;Times;Serif"/>
          <w:b/>
          <w:i w:val="false"/>
          <w:caps w:val="false"/>
          <w:smallCaps w:val="false"/>
          <w:sz w:val="20"/>
        </w:rPr>
        <w:t>DIVIDEND REINVESTMENT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DRIP, through which all dividends are paid to stockholders in the form of additional shares of our common stock, unless a stockholder elects to receive cash as provided below. In this way, a stockholder can maintain an undiluted investment in us and still allow us to pay out the required distributable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action is required on the part of a registered stockholder to receive a distribution in shares of our common stock. A registered stockholder may elect to receive an entire distribution in cash by notifying Equiniti Trust Company, LLC, the plan administrator and our transfer agent and registrar, at 48 Wall Street, 23rd Floor, New York, NY 10005, in writing so that such notice is received by the plan administrator no later than 10 days prior to the record date for distributions to stockholders. The plan administrator will set up an account for shares acquired through the plan for each stockholder who has not elected to receive distributions in cash and hold such shares in non-certificated form. Upon request by a participant,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stockholders whose shares are held by a broker or other financial intermediary may receive distributions in cash by notifying their broker or other financial intermediary of their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only newly issued shares to implement the plan if our shares are trading at a premium to net asset value.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electronically-reported bid and asked prices.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charge to stockholders for receiving their distributions in the form of additional shares of our common stock. The plan administrator’s fees for handling distributions in stock are paid by us. There are no brokerage charges with respect to shares we have issued directly as a result of distributions payable in stock. If a participant elects by written or telephonic notice to the plan administrator to have the plan administrator sell part or all of the shares held by the plan administrator in the participant’s account and remit the proceeds to the participant, the plan administrator is authorized to deduct a $15 transaction fee plus brokerage commissions from the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receive distributions in the form of stock are subject to the same U.S. federal, state and local tax consequences as are stockholders who elect to receive their distributions in cash. A stockholder’s adjusted tax basis for determining gain or loss upon the sale of stock received in a distribution from us will be equal to the total dollar amount of the distribution payable to the stockholder. As a result, if you do not elect to opt out of the DRIP, you will be required to pay applicable U.S. federal, state and local taxes on any reinvested dividends even though you will not receive a corresponding cash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may be terminated by us upon notice in writing mailed to each participant at least 30 days prior to any record date for the payment of any dividend or distribution by us. All correspondence concerning the plan should be directed to the plan administrator by mail at 48 Wall Street, 23rd Floor, New York, NY 10005 or by phone at (800) 937-5449.</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3" w:name="BP_002"/>
      <w:bookmarkEnd w:id="213"/>
      <w:r>
        <w:rPr>
          <w:rFonts w:ascii="Times New Roman;Times;Serif" w:hAnsi="Times New Roman;Times;Serif"/>
          <w:b/>
          <w:i w:val="false"/>
          <w:caps w:val="false"/>
          <w:smallCaps w:val="false"/>
          <w:sz w:val="20"/>
        </w:rPr>
        <w:t>CERTAIN U.S. FEDERAL INCOME TAX CONSIDERATIONS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general summary of certain U.S. federal income tax considerations relating to our qualification and taxation as a RIC under subchapter M of the Code, and the acquisition, ownership and disposition of our common stock.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traders in securities that elect to use a mark-to-market method of accounting for their securities holdings, pension plans and trusts, financial institutions, U.S. stockholders (as defined below) whose functional currency is not the U.S. dollar, persons who mark-to-market our shares, persons who hold our shares as part of a “straddle,” “hedge” or “conversion” transaction, partnerships or other pass-through entities, RICs, real estate investment trusts, personal holding companies, persons who acquire our common stock in connection with the performance of services, persons who have ceased to be U.S. citizens or to be taxed as resident aliens, and individual non-U.S. stockholders present in the United States for 183 days or more during a taxable year. This summary is limited to beneficial owners of our common stock that will hold such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(“IRS”) regarding the offering of the common stock.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discuss the consequences of an investment in our preferred stock, subscription rights to purchase shares of our common stock, debt securities or warrants representing rights to purchase shares of our common stock, preferred stock or debt securities. The U.S. federal income tax consequences of such an investment will be discussed in the relevant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a “U.S. stockholder” generally is a beneficial owner of common stock who is for U.S. federal income tax purposes: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citizen or individual resident of the United States;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treated as a corporation created or organized in or under the laws of the United States, any state thereof or the District of Columbia;</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a court within the United States has primary supervision over its administration and one or more U.S. persons have the authority to control all of its substantive decisions, or if the trust has a valid election in effect under applicable U.S. Treasury regulations to be treated as a U.S. person; or</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term “Non-U.S. stockholder” means a beneficial owner of common stock that is neither a U.S. stockholder nor a partnership for U.S. federal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treated as a partnership for U.S. federal income tax purposes) holds the shares of our common stock, the tax treatment of a partner in the partnership generally will depend upon the status of the partner, the activities of the partnership and certain determinations made at the partner level. Investors treated as a partnership for U.S. federal income tax purposes (or investors that are partners in such a partnership), are encouraged to consult with their own tax advisers with respect to the tax consequences relating to the acquisition, ownership and disposition of our common stock.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matters are complicated and the tax consequences to an investor of an investment in our common stock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to be Treated as a RIC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elected to be taxed as a RIC under the Code beginning with our taxable year ended December 31, 2014, and qualified for taxation as a RIC for such taxable year and each of the subsequent taxable years. We intend to operate in a manner so as to qualify for taxation as a RIC. So long as we maintain our qualification for taxation as a RIC, we generally will not be subject to U.S. federal income tax on any ordinary income or capital gains that we timely distribute to our stockholders as dividends. To qualify for taxation as a RIC, we must, among other things, meet certain source-of-income and asset diversification requirements (as described below). In addition, in order to qualify for the special treatment accorded to RICs, we generally are required to distribute to our stockholders on a timely basis each year at least 90% of our “investment company taxable income,” which is generally our net ordinary income plus the excess of realized net short-term capital gains over realized net long-term capital losses (the “Annual Distribution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the Company as a RIC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w:t>
      </w:r>
    </w:p>
    <w:p>
      <w:pPr>
        <w:pStyle w:val="TextBody"/>
        <w:bidi w:val="0"/>
        <w:spacing w:before="0" w:after="0"/>
        <w:ind w:left="0" w:right="0" w:hanging="0"/>
        <w:jc w:val="center"/>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185"/>
        <w:gridCol w:w="368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qualify as a RIC;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36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satisfy the Annual Distribution Requirement,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we will not be subject to U.S. federal income tax on the portion of our income and capital gains that we timely distribute (or are deemed to distribute) to stockholders as dividends. We will be subject to U.S. federal income tax imposed at the regular corporate rates on any income, including capital gains not timely distributed (or deemed distributed)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will be subject to a 4% nondeductible U.S. federal excise tax on certain undistributed income unless we distribute in a timely manner each calendar year an amount equal to at least the sum of (1) 98% of our net ordinary income for each calendar year, (2) 98.2% of our capital gains in excess of capital losses for the one-year period ending October 31 in that calendar year and (3) any ordinary income and net capital gains that we recognized for preceding years but were not distributed during such years and on which we paid no U.S. federal income tax (the “Excise Tax Avoidance Requirement”). While we intend to timely distribute our income and capital gains in order to avoid imposition of this 4% U.S. federal excise tax, we may not be successful in avoiding entirely the imposition of this tax. In that case, we will be liable for the tax only on the amount by which we do not meet the foregoing distribution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qualify as a RIC for U.S. federal income tax purposes, we must, among other things: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qualify as a BDC under the 1940 Act at all times during each taxable year;</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derive in each taxable year at least 90% of our gross income from dividends, interest, payments with respect to loans of certain securities, gains from the sale or other taxable disposition of stock or other securities or foreign currencies, other income derived with respect to our business of investing in such stock or securities and net income from “qualified publicly traded partnerships” (as defined in the Code) (the “90% Income Test”);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diversify our holdings so that at the end of each quarter of the taxable year: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50% of the value of our assets consists of cash, cash items, U.S. government securities, securities of other RICs, and other securities if such other securities of any one issuer do not represent more than 5% of the value of our assets or more than 10% of the outstanding voting securities of the issuer (the “50% Diversification Test”); and</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more than 25% of the value of our assets is invested in the securities of one issuer, other than U.S. government securities or securities of other RICs, the securities (other than securities of other RICs) of two or more issuers that are controlled, as determined under applicable Code rules, by us and that are engaged in the same or similar or related trades or businesses, or the securities of one or more “qualified publicly traded partnerships” (the “25% Diversification Test,” and together with the 50% Diversification Test, the “Diversification Tests”).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payment-in-kind, or PIK, interest (which represents contractual interest added to the loan balance and due at the end of the loan term) or dividends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and the Excise Tax Avoidance Requirement, even though we will not have received any corresponding cash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subject to certain asset coverage ratio requirements under the 1940 Act and financial covenants under loan and credit agreements that could, under certain circumstances, restrict us from making distributions necessary to satisfy the Annual Distribution Requirement. See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in partnerships, including qualified publicly traded partnerships, which may result in our being subject to state, local or foreign income taxes, franchise taxes, or withholding liabilities. To the extent that we invest in entities treated as partnerships for U.S. federal income tax purposes (other than a “qualified publicly traded partnership”, as defined in the Code), we generally must include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meet the 90% Income Test, we may establish one or more special purpose corporations to hold assets from which we do not anticipate earning dividend, interest or other qualifying income under the 90% Income Test. Any investments held through a special purpose corporation would generally be subject to U.S. federal income and other taxes, and therefore we can expect to achieve a reduced after-tax yield on such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and (vii) produce income that will not be qualifying income for purposes of the 90% Income Test described above. We will monitor our transactions and may make certain tax elections in order to mitigate the potential adverse effect of these provisions.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portfolio company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adjusted tax basis in the stock purchased under the warrant will equal the sum of the amount paid for the warrant plus the strike price paid on the exercise of the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RIC, we are generally limited in our ability to deduct expenses in excess of our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A RIC may not use any net capital losses (that is, realized capital losses in excess of realized capital gains) to offset the RIC’s investment company taxable income, but may carry forward such losses indefinitely and use them to offset capital gains. Due to these limits on the deductibility of expenses, over the course of one or more taxable years we may have, for U.S. federal income tax purposes, aggregate taxable income that we are required to distribute and that is taxable to our stockholders, even if such income is greater than the aggregate net income we actually earned during those years. Such required distributions may be made from the Company’s cash assets or by liquidation of investments, if necessary. We may realize gains or losses from such liquidations. In the event we realize net capital gains from such transactions, a stockholder may receive a larger capital gain distribution than it would have received in the absence of such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 in non-U.S. securities may be subject to non-U.S. income, withholding and other taxes. In that case, our yield on those securities would be decreased. Stockholders will generally not be entitled to claim a credit or deduction with respect to non-U.S. taxes paid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purchase shares in a “passive foreign investment company” (a “PFIC”), we may be subject to U.S. federal income tax on our allocable share of a portion of any “excess distribution” received on, or any gain from the disposition of, such shares. Additional charges in the nature of interest generally will be imposed on us in respect of deferred taxes arising from any such excess distribution or gain. This additional tax and interest may apply even if we make a distribution as a taxable dividend by us to our stockholders in an amount equal to any “excess distribution” or gain from the disposition of such shares. If we invest in a PFIC and elect to treat the PFIC as a “qualified electing fund” under the Code (a “QEF”), in lieu of the foregoing requirements, we will be required to include in income each year our proportionate share of the ordinary earnings and net capital gain of the QEF, even if such income is not distributed by the QEF. Alternatively, we may be able to elect to mark-to-market at the end of each taxable year our shares in a PFIC; in this case, we will recognize as ordinary income our allocable share of any increase in the value of such shares, and as ordinary loss our allocable share of any decrease in such value to the extent that any such decrease does not exceed prior increases included in our income. Under either election, we may be required to recognize in a year income in excess of distributions from PFICs and proceeds from dispositions of PFIC stock during that year, and such income will nevertheless be subject to the Annual Distribution Requirement and will be taken into account for purposes of the 4% U.S. federal excise tax.</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Maintain our Qualification as a RIC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unable to qualify for treatment as a RIC and certain relief provisions are unable to be satisfied, we would be subject to U.S. federal income tax on all of our taxable income imposed at regular corporate rates, regardless of whether we make any distributions to our stockholders. Distributions would not be required, but if such distributions are paid, including distributions of net long-term capital gain, they would be taxable to our stockholders as ordinary dividend income to the extent of our current and accumulated earnings and profits. Subject to certain limitations under the Code, corporate distributees would be eligible for the dividends-received deduction with respect to such dividend and our non-corporate stockholders would generally be able to treat such dividends as “qualified dividend income,” which is subject to reduced rates of U.S. federal income tax. Distributions in excess of our current and accumulated earnings and profits would be treated first as a return of capital that would reduce the stockholder’s adjusted tax basis in its common stock (and correspondingly increase such stockholder’s gain, or reduce such stockholder’s loss, on disposition of such common stock),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U.S. federal income tax at corporate rates on such built-in gain at the time of our requalification as a RIC.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 are complicated and the tax consequences to an investor of an investment in our common stock will depend on the facts of his, her or its particular situation. We encourage investors to consult their own tax advisers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U.S.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by us generally are taxable to U.S. stockholders as ordinary income or capital gains. Distributions of our “investment company taxable income” (which is, generally, our net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U.S. stockholders (including individuals) are attributable to dividends from U.S. corporations and certain qualified foreign corporations, such distributions (“Qualifying Dividends”) may be eligible for a maximum tax rate of 20%. In this regard, it is anticipated that distributions paid by us generally will not be attributable to dividends and, therefore, generally will not qualify for the 20% maximum rate applicable to Qualifying Dividends. Distributions of our net capital gains (which are generally our realized net long-term capital gains in excess of realized net short-term capital losses) properly reported by us as “capital gain dividends” will be taxable to a U.S. stockholder as long-term capital gains which are currently taxable at a maximum rate of 20% in the case of individuals or estates, regardless of the U.S. stockholder’s holding period for his, her or its common stock and regardless of whether paid in cash or reinvested in additional common stock. Distributions in excess of our current and accumulated earnings and profits first will reduce a U.S. stockholder’s adjusted tax basis in such U.S. stockholder’s common stock and, after the adjusted basis is reduced to zero, will constitute capital gains to such U.S.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DRIP, our U.S. stockholders who have not “opted out” of our DRIP will have their cash distributions automatically reinvested in additional shares of our common stock, rather than receiving the cash distributions. Any distributions reinvested under the plan will nevertheless be treated as received by the U.S. stockholders for U.S. federal income tax purposes. A U.S. stockholder’s adjusted tax basis in the additional common stock purchased through the plan is equal to the amount of the reinvested distribution. The additional shares will have a new holding period commencing on the day following the day on which the shares are credited to the U.S. stockholder’s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retain some or all of our realized net long-term capital gains in excess of realized net short-term capital losses, but designate the retained net capital gain as a “deemed distribution.” In that case, among other consequences, we will pay U.S. federal income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If the amount of tax that a U.S. stockholder is treated as having paid exceeds the tax they owe on the deemed capital gain distribution, such excess generally may be claimed as a credit against the U.S. stockholder’s other U.S. federal income tax obligations or may be refunded to the extent it exceeds a U.S. stockholder’s liability for U.S. federal income tax. The U.S. stockholder’s adjusted tax basis for his, her or its common stock will be increased by the amount of the deemed distribution net of such tax. In order to utilize the deemed distribution approach, we must provide written notice to our U.S. stockholders within 60 days after the close of the relevant taxable year. We cannot treat any of our investment company taxable income as a “deemed distribution.”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taxable distributions that are payable in cash or shares of our common stock at the election of each stockholder. Under certain applicable provisions of the Code and the U.S. Treasury regulations and certain IRS guidance, distributions by RICs that are payable in cash or in shares of stock at the election of stockholders are treated as taxable distributions. The IRS has published a revenue procedure indicating that, in the case of publicly offered RICs, this rule will apply where the total amount of cash to be distributed is not less than 20% of the total distribution. Under this revenue procedure, if too many stockholders elect to receive their distributions in cash, the cash available for distribution must be allocated among the stockholders electing to receive cash (with the balance of the distribution paid in stock). In no event will any stockholder electing to receive cash, receive less than the lesser of (a) the portion of the distribution such stockholder has elected to receive in cash or (b) an amount equal to his, her or its entire distribution times the percentage limitation on cash available for distribution. If the Company decides to make any distributions consistent with this guidance that are payable in part in its stock, taxable U.S. stockholders receiving such distributions will be required to include the full amount of the distribution (whether received in cash, our stock, or a combination thereof) as ordinary income (or as long-term capital gain to the extent such distribution is properly reported as a capital gain distribution) to the extent of our current and accumulated earnings and profits for U.S. federal income tax purposes. As a result, a U.S. stockholder may be required to pay tax with respect to such distributions in excess of any cash received. If a U.S. stockholder sells the stock it receives as a distribution in order to pay this tax, the sales proceeds may be less than the amount included in income with respect to the distribution, depending on the market price of our stock at the time of the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U.S. stockholders will nonetheless be treated as receiving the dividend in the taxable year in which the distribution is made. However, any dividend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dividend was declared.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investor purchases shares of our common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stockholder generally will recognize taxable gain or loss if the U.S. stockholder sells or otherwise disposes of his, her or its shares of our common stock. The amount of gain or loss will be measured by the difference between such U.S. stockholder’s adjusted tax basis in the common stock sold and the amount of the proceeds received in exchange. Any gain or loss arising from such sale or disposition generally will be treated as long-term capital gain or loss if the U.S.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by a U.S. stockholder upon a disposition of shares of our common stock will generally be disallowed if the U.S. stockholder purchases other shares of our common stock (whether through reinvestment of distributions or otherwise) within 30 days before or after the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U.S. federal income tax rate on long-term capital gains for non-corporate taxpayers is 20%. In addition, individuals with modified adjusted gross incomes in excess of $200,000 ($250,000 in the case of married individuals filing jointly) and certain estates and trusts are subject to an additional 3.8% tax on their “net investment income,” which generally includes net income from interest, dividends, annuities, royalties, and rents, and net capital gains (other than certain amounts earned from trades or businesses). Corporate U.S. stockholders currently are subject to U.S. federal income tax on net capital gain at the maximum 21% rate also applied to ordinary income. Non-corporate U.S. stockholders with net capital losses for a year (i.e., capital losses in excess of capital gains) generally may deduct up to $3,000 of such losses against their ordinary income that year; any net capital losses of a non-corporate U.S. stockholder in excess of $3,000 generally may be carried forward and used in subsequent years as provided in the Code. Corporate U.S. stockholders generally may not deduct any net capital losses for a year, but may carry back such losses for three years or carry forward such losses for five years.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applicable withholding agent will send to each of our U.S. stockholders, as promptly as possible after the end of each calendar year, a notice detailing the amounts includible in such U.S. stockholder’s taxable income for such year as ordinary income, Qualifying Dividends and as long-term capital gain. In addition, the federal tax status of each year’s distributions generally will be reported to the IRS. Distributions may also be subject to additional state, local and foreign taxes depending on a U.S. stockholder’s particular situation.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Non-U.S.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distributions by us to a Non-U.S. stockholder of our “investment company taxable income” generally are subject to withholding of U.S. federal tax at a 30% rate (or lower rate provided by an applicable treaty) to the extent of our current or accumulated earnings and profits unless an applicable exception applies. No withholding is required with respect to certain distributions if (i) the distributions are properly reported to our stockholders as “interest-related dividends” or “short-term capital gain dividends,” (ii) the distributions are derived from sources specified in the Code for such dividends and (iii) certain other requirements are satisfied. Currently, we do not anticipate that a significant amount of our distributions would be reported as eligible for this exemption from withholding. No assurance can be provided that any of our distributions will qualify for this exemption.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distributions are effectively connected with the Non-U.S. stockholder’s conduct of a trade or business in the United States (and, if a treaty applies, are attributable to a U.S. permanent establishment maintained by the Non-U.S. stockholder in the United States), we will not be required to withhold U.S. federal tax if the Non-U.S. stockholder complies with applicable certification and disclosure requirements, although the distributions will be subject to U.S. federal income tax at the rates applicable to U.S. stockholders. Special certification requirements apply to a Non-U.S. stockholder that is a foreign partnership or a foreign trust, and such entities are urged to consult their own tax advisers.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deemed distributions of our net capital gains to a Non-U.S. stockholder, and gains realized by a Non-U.S. stockholder upon the sale or redemption of our common stock, will not be subject to U.S. federal income tax if properly reported by us as capital gain dividends unless the distributions or gains, as the case may be, are effectively connected with the Non-U.S. stockholder’s conduct of a trade or business within the United States (and, if an income tax treaty applies, are attributable to a permanent establishment maintained by the Non-U.S. stockholder in the United States) or, in the case of an individual, the Non-U.S. stockholder was present in the United States for 183 days or more during the taxable year and certain other conditions are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distribute our net capital gains in the form of deemed rather than actual distributions, a Non-U.S. stockholder will be entitled to a U.S. federal income tax credit or tax refund equal to the stockholder’s allocable share of the U.S. federal income tax we pay on the capital gains deemed to have been distributed; however,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actual or deemed distributions of our net capital gains, or any gains realized upon the sale or redemption of our common stock, are effectively connected with a Non-U.S. stockholder’s conduct of a trade or business within the United States (and, if an income tax treaty applies, are attributable to a U.S. permanent establishment maintained by the Non-U.S. stockholder), such amounts will be subject to U.S. federal income tax, on a net income basis, in the same manner, and at the graduated rates applicable to, a U.S. stockholder. For a corporate Non-U.S. stockholder, the after-tax amount of distributions (both actual and deemed) and gains realized upon the sale or redemption of our common stock that are effectively connected to the Non-U.S. stockholder’s conduct of a trade or business within the United States (and, if a treaty applies, are attributable to a U.S. permanent establishment), may, under certain circumstances, be subject to an additional “branch profits tax” at a 30% rate (or at a lower rate if provided for by an applicable treaty). Accordingly, investment in shares of our common stock may not be appropriate for certain Non-U.S.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DRIP, our stockholders who have not “opted out” of our DRIP will have their cash distributions automatically reinvested in additional shares of our common stock, rather than receiving the cash distributions. If the distribution is a distribution of our investment company taxable income and is not properly reported by us as a short-term capital gains dividend or interest-related dividend (assuming an extension of the exemption discussed above), the amount distributed (to the extent of our current and accumulated earnings and profits) will be subject to U.S. federal withholding tax as described above and only the net after-tax amount will be reinvested in our common stock. If the distribution is effectively connected with the Non-U.S. stockholder’s conduct of a trade or business in the United States (and, if a treaty applies, is attributable to a U.S. permanent establishment), generally the full amount of the distribution will be reinvested in the plan and will nevertheless be subject to U.S. federal income tax at the ordinary income rates applicable to U.S. stockholders. The Non-U.S. stockholder will have an adjusted tax basis in the additional common stock purchased through the plan equal to the amount reinvested. The additional shares will have a new holding period commencing on the day following the day on which the shares are credited to the Non-U.S. stockholder’s account.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to Non-U.S. stockholders entitled to claim the benefits of an applicable tax treaty or that are individuals that are present in the U.S. for 183 days or more during a taxable year may be different from those described herein. Non-U.S. stockholders are urged to consult their tax advisers with respect to the procedure for claiming the benefit of a lower treaty rate and the applicability of foreign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Non-U.S. persons should consult their own tax advisers with respect to the U.S. federal income tax and withholding tax, and state, local and foreign tax consequences of an investment in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unable to qualify for treatment as a RIC, any distributions by us would be treated as dividends to the extent of our current and accumulated earnings and profits. We would not be eligible to report any such dividends as interest-related dividends, short-term capital gain dividends, or capital gain dividends. As a result, any such dividend paid to a Non-U.S. stockholder that is not effectively connected with the Non-U.S. stockholder’s conduct of a trade or business within the United States (and, if an income tax treaty applies, attributable to a permanent establishment maintained by the Non-U.S. stockholder in the United States) would be subject to the 30% (or reduced applicable treaty rate) withholding tax discussed above regardless of the source of the income giving rise to such distribution. Distributions in excess of our current and accumulated earnings and profits would be treated first as a return of capital to the extent of the Non-U.S. stockholder’s adjusted tax basis, and any remaining distributions would be treated as a gain from the sale of the Non-U.S. stockholder’s shares subject to taxation as discussed above. For the consequences to the Company for failing to qualify as a RIC, see “Failure to Maintain our Qualification as a RIC”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Backup Withholding and Information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 stockholders.</w:t>
      </w:r>
      <w:r>
        <w:rPr>
          <w:rFonts w:ascii="Times New Roman;Times;Serif" w:hAnsi="Times New Roman;Times;Serif"/>
          <w:b w:val="false"/>
          <w:i w:val="false"/>
          <w:caps w:val="false"/>
          <w:smallCaps w:val="false"/>
          <w:sz w:val="20"/>
        </w:rPr>
        <w:t xml:space="preserve"> Information returns are required to be filed with the IRS in connection with dividends on the common stock and proceeds received from a sale or other disposition of the common stock to a U.S. stockholder unless the U.S. stockholder is an exempt recipient. U.S. stockholders may also be subject to backup withholding on these payments in respect of the common stock unless such U.S. stockholder provides its taxpayer identification number and otherwise complies with applicable requirements of the backup withholding rules or provides proof of an applicable exemption.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Non-U.S. stockholders.</w:t>
      </w:r>
      <w:r>
        <w:rPr>
          <w:rFonts w:ascii="Times New Roman;Times;Serif" w:hAnsi="Times New Roman;Times;Serif"/>
          <w:b w:val="false"/>
          <w:i w:val="false"/>
          <w:caps w:val="false"/>
          <w:smallCaps w:val="false"/>
          <w:sz w:val="20"/>
        </w:rPr>
        <w:t xml:space="preserve"> The amount of taxable distributions that we pay to any Non-U.S. stockholder with respect to our common stock will be reported to the Non-U.S. stockholder and to the IRS annually on an IRS Form 1042-S, regardless of the amount of U.S. federal income tax withheld. Copies of these information returns may also be made available under the provisions of a specific income tax treaty or agreement with the tax authorities of the country in which the Non-U.S. stockholder resides. However, a Non-U.S. stockholder generally will not be subject to backup withholding and certain other information reporting with respect to payments that we make to the Non-U.S. stockholder, provided that we do not have actual knowledge or reason to know that such Non-U.S. stockholder is a “United States person” within the meaning of the Code, and the Non-U.S. stockholder complies with applicable certification and disclosure requirements and furnishes to us the requisite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withheld under the backup withholding rules are not additional taxes and may be refunded or credited against a U.S. stockholder’s or Non-U.S. stockholder’s U.S. federal income tax liability, if any, provided the required information is timely furnished to the 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Account Tax Compliance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the Code would also require withholding or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specified U.S. person and transaction activity within the holder’s account. In addition, subject to certain exceptions, FATCA also imposes a 30% withholding on certain payments to certain foreign entities that are not FFIs unless such foreign entities certify that they do not have a greater than 10% owner that is a specified U.S. person or provide the withholding agent with identifying information on each greater than 10% owner that is a specified U.S. person. Depending on the status of a Non-U.S. stockholder and the status of the intermediaries through which they hold their shares, Non-U.S. stockholders could be subject to this 30% withholding tax with respect to distributions on their shares. Under certain circumstances, a Non-U.S. stockholder might be eligible for refunds or credits of such taxes.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4" w:name="BP_003"/>
      <w:bookmarkEnd w:id="214"/>
      <w:r>
        <w:rPr>
          <w:rFonts w:ascii="Times New Roman;Times;Serif" w:hAnsi="Times New Roman;Times;Serif"/>
          <w:b/>
          <w:i w:val="false"/>
          <w:caps w:val="false"/>
          <w:smallCaps w:val="false"/>
          <w:sz w:val="20"/>
        </w:rPr>
        <w:t>DESCRIPTION OF OUR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a summary of the common stock, preferred stock, subscription rights, warrants and debt securities that may be offered hereunder. These summaries are not meant to be a complete description of each security. However, this prospectus and the accompanying prospectus supplement will contain the material terms and conditions for each security.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5" w:name="xdx_821_zX8311NMY5Lb"/>
      <w:bookmarkStart w:id="216" w:name="BP_004"/>
      <w:bookmarkStart w:id="217" w:name="xdx_893_ecef--CapitalStockTableTextBlock"/>
      <w:bookmarkEnd w:id="215"/>
      <w:bookmarkEnd w:id="216"/>
      <w:bookmarkEnd w:id="217"/>
      <w:r>
        <w:rPr>
          <w:rFonts w:ascii="Times New Roman;Times;Serif" w:hAnsi="Times New Roman;Times;Serif"/>
          <w:b/>
          <w:i w:val="false"/>
          <w:caps w:val="false"/>
          <w:smallCaps w:val="false"/>
          <w:sz w:val="20"/>
        </w:rPr>
        <w:t>DESCRIPTION OF OUR CAPITAL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a summary of our capital stock and is not meant to be a complete description. However, this prospectus and any accompanying prospectus supplement will contain the material terms and conditions for each security sold thereunder. The following description is based on relevant portions of the Maryland General Corporation Law (the “MGCL”) and on our charter and bylaws.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stock of Neostellar Capital as of September 22, 2026 consists of 100,000,000 shares of stock, par value $0.01 per share, all of which are initially designated as common stock. Our common stock is listed on the Nasdaq Global Select Market under the ticker symbol “NSLR.” As of September 22, 2026, there are no outstanding options or warrants to purchase our stock. As an externally managed BDC, we are subject to limitations under the 1940 Act, including Section 61 thereof, on the issuance of options, warrants and rights to our directors, officers and employees and on the use of equity-based compensation. In connection with the Externalization, on June 15, 2026 our Board of Directors approved the acceleration in full of the vesting of all restricted shares then outstanding and unvested under the Company’s Amended and Restated 2019 Equity Incentive Plan and Second Amended and Restated 2019 Equity Incentive Plan, effective as of June 15, 2026, and those shares vested on that date, subject to each holder’s entry into a lock-up agreement with the Company that replicates the holding periods of the vesting schedules that otherwise would have applied to such shares. No restricted shares remained outstanding under either plan as of June 30, 2026, and we will not grant equity-based awards following the Externalization.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MGCL, our stockholders generally are not personally liable for our debts or obligations.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our outstanding classes of equity securities as of June 30, 2026:</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8" w:name="xdx_886_ecef--OutstandingSecuritiesTable"/>
      <w:bookmarkStart w:id="219" w:name="xdx_886_ecef--OutstandingSecuritiesTable"/>
      <w:bookmarkEnd w:id="219"/>
    </w:p>
    <w:tbl>
      <w:tblPr>
        <w:tblW w:w="7774" w:type="dxa"/>
        <w:jc w:val="left"/>
        <w:tblInd w:w="0" w:type="dxa"/>
        <w:tblLayout w:type="fixed"/>
        <w:tblCellMar>
          <w:top w:w="0" w:type="dxa"/>
          <w:left w:w="0" w:type="dxa"/>
          <w:bottom w:w="28" w:type="dxa"/>
          <w:right w:w="0" w:type="dxa"/>
        </w:tblCellMar>
      </w:tblPr>
      <w:tblGrid>
        <w:gridCol w:w="1475"/>
        <w:gridCol w:w="60"/>
        <w:gridCol w:w="60"/>
        <w:gridCol w:w="1220"/>
        <w:gridCol w:w="60"/>
        <w:gridCol w:w="60"/>
        <w:gridCol w:w="630"/>
        <w:gridCol w:w="2734"/>
        <w:gridCol w:w="60"/>
        <w:gridCol w:w="60"/>
        <w:gridCol w:w="66"/>
        <w:gridCol w:w="1214"/>
        <w:gridCol w:w="75"/>
      </w:tblGrid>
      <w:tr>
        <w:trPr/>
        <w:tc>
          <w:tcPr>
            <w:tcW w:w="1475" w:type="dxa"/>
            <w:tcBorders>
              <w:bottom w:val="single" w:sz="8" w:space="0" w:color="000000"/>
            </w:tcBorders>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64" w:type="dxa"/>
            <w:gridSpan w:val="2"/>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8" w:space="0" w:color="000000"/>
            </w:tcBorders>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475" w:type="dxa"/>
            <w:tcBorders>
              <w:bottom w:val="single" w:sz="8" w:space="0" w:color="000000"/>
            </w:tcBorders>
            <w:vAlign w:val="center"/>
          </w:tcPr>
          <w:p>
            <w:pPr>
              <w:pStyle w:val="TableContents"/>
              <w:bidi w:val="0"/>
              <w:spacing w:before="0" w:after="283"/>
              <w:jc w:val="both"/>
              <w:rPr>
                <w:b/>
              </w:rPr>
            </w:pPr>
            <w:r>
              <w:rPr>
                <w:b/>
              </w:rPr>
              <w:t>Title of Class</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8" w:space="0" w:color="000000"/>
            </w:tcBorders>
            <w:vAlign w:val="center"/>
          </w:tcPr>
          <w:p>
            <w:pPr>
              <w:pStyle w:val="TableContents"/>
              <w:bidi w:val="0"/>
              <w:spacing w:before="0" w:after="283"/>
              <w:jc w:val="center"/>
              <w:rPr>
                <w:b/>
              </w:rPr>
            </w:pPr>
            <w:r>
              <w:rPr>
                <w:b/>
              </w:rPr>
              <w:t xml:space="preserve">Amount </w:t>
              <w:br/>
              <w:t>Authorized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Held by Us or for Our Account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8" w:space="0" w:color="000000"/>
            </w:tcBorders>
            <w:vAlign w:val="center"/>
          </w:tcPr>
          <w:p>
            <w:pPr>
              <w:pStyle w:val="TableContents"/>
              <w:bidi w:val="0"/>
              <w:spacing w:before="0" w:after="283"/>
              <w:jc w:val="center"/>
              <w:rPr>
                <w:b/>
              </w:rPr>
            </w:pPr>
            <w:r>
              <w:rPr>
                <w:b/>
              </w:rPr>
              <w:t>Amount</w:t>
              <w:br/>
              <w:t>Outstanding</w:t>
            </w:r>
          </w:p>
        </w:tc>
        <w:tc>
          <w:tcPr>
            <w:tcW w:w="75" w:type="dxa"/>
            <w:tcBorders/>
            <w:tcMar>
              <w:bottom w:w="0" w:type="dxa"/>
            </w:tcMar>
            <w:vAlign w:val="center"/>
          </w:tcPr>
          <w:p>
            <w:pPr>
              <w:pStyle w:val="TableContents"/>
              <w:bidi w:val="0"/>
              <w:spacing w:before="0" w:after="283"/>
              <w:jc w:val="left"/>
              <w:rPr/>
            </w:pPr>
            <w:r>
              <w:rPr/>
              <w:t> </w:t>
            </w:r>
          </w:p>
        </w:tc>
      </w:tr>
      <w:tr>
        <w:trPr/>
        <w:tc>
          <w:tcPr>
            <w:tcW w:w="1475" w:type="dxa"/>
            <w:tcBorders/>
            <w:shd w:fill="CCEEFF" w:val="clear"/>
            <w:tcMar>
              <w:bottom w:w="0" w:type="dxa"/>
            </w:tcMar>
            <w:vAlign w:val="center"/>
          </w:tcPr>
          <w:p>
            <w:pPr>
              <w:pStyle w:val="TableContents"/>
              <w:bidi w:val="0"/>
              <w:spacing w:before="0" w:after="283"/>
              <w:jc w:val="both"/>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bookmarkStart w:id="220" w:name="xdx_90A_ecef--OutstandingSecurityAuthori"/>
            <w:bookmarkEnd w:id="220"/>
            <w:r>
              <w:rPr/>
              <w:t>100,000,000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0" w:type="dxa"/>
            <w:tcBorders/>
            <w:shd w:fill="CCEEFF" w:val="clear"/>
            <w:tcMar>
              <w:bottom w:w="0" w:type="dxa"/>
            </w:tcMar>
            <w:vAlign w:val="center"/>
          </w:tcPr>
          <w:p>
            <w:pPr>
              <w:pStyle w:val="TableContents"/>
              <w:bidi w:val="0"/>
              <w:spacing w:before="0" w:after="283"/>
              <w:jc w:val="left"/>
              <w:rPr/>
            </w:pPr>
            <w:r>
              <w:rPr/>
              <w:t> </w:t>
            </w:r>
          </w:p>
        </w:tc>
        <w:tc>
          <w:tcPr>
            <w:tcW w:w="2734" w:type="dxa"/>
            <w:tcBorders/>
            <w:shd w:fill="CCEEFF" w:val="clear"/>
            <w:tcMar>
              <w:bottom w:w="0" w:type="dxa"/>
            </w:tcMar>
            <w:vAlign w:val="center"/>
          </w:tcPr>
          <w:p>
            <w:pPr>
              <w:pStyle w:val="TableContents"/>
              <w:bidi w:val="0"/>
              <w:spacing w:before="0" w:after="283"/>
              <w:jc w:val="right"/>
              <w:rPr/>
            </w:pPr>
            <w:bookmarkStart w:id="221" w:name="xdx_901_ecef--OutstandingSecurityHeldSha"/>
            <w:bookmarkEnd w:id="221"/>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14" w:type="dxa"/>
            <w:tcBorders/>
            <w:shd w:fill="CCEEFF" w:val="clear"/>
            <w:tcMar>
              <w:bottom w:w="0" w:type="dxa"/>
            </w:tcMar>
            <w:vAlign w:val="center"/>
          </w:tcPr>
          <w:p>
            <w:pPr>
              <w:pStyle w:val="TableContents"/>
              <w:bidi w:val="0"/>
              <w:spacing w:before="0" w:after="283"/>
              <w:jc w:val="right"/>
              <w:rPr/>
            </w:pPr>
            <w:bookmarkStart w:id="222" w:name="xdx_90E_ecef--OutstandingSecurityNotHeld"/>
            <w:bookmarkEnd w:id="222"/>
            <w:r>
              <w:rPr/>
              <w:t>26,473,222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of Amendment and Restatement (the “Charter”), our Board of Directors is authorized to classify and reclassify any unissued shares of stock into other classes or series of stock without obtaining stockholder approval. As permitted by the MGCL,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23" w:name="xdx_90B_ecef--SecurityTitleTextBlock_c20"/>
      <w:bookmarkEnd w:id="223"/>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of our common stock have equal rights as to earnings, assets, voting, and dividends and, when they are issued, will be duly authorized, validly issued, fully paid and nonassessable. </w:t>
      </w:r>
      <w:bookmarkStart w:id="224" w:name="xdx_907_ecef--SecurityDividendsTextBlock"/>
      <w:bookmarkEnd w:id="224"/>
      <w:r>
        <w:rPr>
          <w:rFonts w:ascii="Times New Roman;Times;Serif" w:hAnsi="Times New Roman;Times;Serif"/>
          <w:b w:val="false"/>
          <w:i w:val="false"/>
          <w:caps w:val="false"/>
          <w:smallCaps w:val="false"/>
          <w:sz w:val="20"/>
        </w:rPr>
        <w:t xml:space="preserve">Distributions may be paid to the holders of our common stock if, as and when authorized by our Board of Directors and declared by us out of assets legally available therefor. </w:t>
      </w:r>
      <w:bookmarkStart w:id="225" w:name="xdx_904_ecef--SecurityPreemptiveAndOther"/>
      <w:bookmarkEnd w:id="225"/>
      <w:r>
        <w:rPr>
          <w:rFonts w:ascii="Times New Roman;Times;Serif" w:hAnsi="Times New Roman;Times;Serif"/>
          <w:b w:val="false"/>
          <w:i w:val="false"/>
          <w:caps w:val="false"/>
          <w:smallCaps w:val="false"/>
          <w:sz w:val="20"/>
        </w:rPr>
        <w:t xml:space="preserve">Shares of our common stock have no preemptive, conversion or redemption rights and are freely transferable, except where their transfer is restricted by federal and state securities laws or by contract. </w:t>
      </w:r>
      <w:bookmarkStart w:id="226" w:name="xdx_90E_ecef--SecurityLiquidationRightsT"/>
      <w:bookmarkEnd w:id="226"/>
      <w:r>
        <w:rPr>
          <w:rFonts w:ascii="Times New Roman;Times;Serif" w:hAnsi="Times New Roman;Times;Serif"/>
          <w:b w:val="false"/>
          <w:i w:val="false"/>
          <w:caps w:val="false"/>
          <w:smallCaps w:val="false"/>
          <w:sz w:val="20"/>
        </w:rPr>
        <w:t xml:space="preserve">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w:t>
      </w:r>
      <w:bookmarkStart w:id="227" w:name="xdx_903_ecef--SecurityVotingRightsTextBl"/>
      <w:bookmarkEnd w:id="227"/>
      <w:r>
        <w:rPr>
          <w:rFonts w:ascii="Times New Roman;Times;Serif" w:hAnsi="Times New Roman;Times;Serif"/>
          <w:b w:val="false"/>
          <w:i w:val="false"/>
          <w:caps w:val="false"/>
          <w:smallCaps w:val="false"/>
          <w:sz w:val="20"/>
        </w:rPr>
        <w:t>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authorizes our Board of Directors to classify and reclassify any unissued shares of stock into other classes or series of stock, including preferred stock. The cost of any such reclassification would be borne by our existing common stockholders. Prior to issuance of shares of each class or series, the Board of Directors is required by the MGCL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Any issuance of preferred stock must comply with the requirements of the 1940 Act. The 1940 Act requires, among other things, that (1) immediately after issuance and before any dividend or other distribution is made with respect to our common stock and before any purchase of common stock is made, such preferred stock together with all other senior securities must not exceed an amount equal to 50% (or 66 2/3%, if certain requirements are met) of our total assets after deducting the amount of such dividend, distribution or purchase price, as the case may be, and (2) the holders of shares of preferred stock, if any are issued, must be entitled as a class to elect two directors at all times and to elect a majority of the directors if dividends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expect that the availability for issuance of preferred stock will provide us with increased flexibility in structuring future financings and acquisitions. However, we do not currently have any plans to issue preferred stock.</w:t>
      </w:r>
    </w:p>
    <w:p>
      <w:pPr>
        <w:pStyle w:val="TextBody"/>
        <w:bidi w:val="0"/>
        <w:spacing w:before="0" w:after="0"/>
        <w:ind w:left="0" w:right="0" w:firstLine="720"/>
        <w:jc w:val="both"/>
        <w:rPr>
          <w:caps w:val="false"/>
          <w:smallCaps w:val="false"/>
        </w:rPr>
      </w:pPr>
      <w:bookmarkStart w:id="228" w:name="xdx_8AA_zTXTKfDRqzdk"/>
      <w:bookmarkEnd w:id="22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of Directors and Officers; Indemnification and Advance of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MGCL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the MGCL, subject to the requirements of the 1940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authorizes us, to the maximum extent permitted by the MGCL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the MGCL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MGCL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the MGCL,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the MGCL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our directors and executive officers. The indemnification agreements provide our directors and executive officers the maximum indemnification permitted under the MGCL and the 1940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Provisions of the MGCL and Our Charter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MGCL and our charter and bylaws contain provisions that could make it more difficult for a potential acquirer to acquire us by means of a tender offer, proxy contest or otherwise, the material ones of which are discussed below. These provisions are expected to discourage certain coercive takeover practices and inadequate takeover bids and to encourage persons seeking to acquire control of us to negotiate first with our Board of Directors. We expect the benefits of these provisions to outweigh the potential disadvantages of discouraging any such acquisition proposals because, among other things, the negotiation of such proposals may improve their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Classified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divided into three classes of directors serving staggered three-year terms. The current terms of the first, second and third classes will expire in 2028, 2029 and 2027, respectively, and in each case, those directors will serve until their successors are elected and qualify. Upon expiration of their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as authorized by our charter, provide that a plurality of all the votes cast at a meeting of stockholders duly called and at which a quorum is present is required to elect a director. Pursuant to our charter our Board of Directors may amend the bylaws to alter the vote required to elect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Number of Directors; Vacancies;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nine. Our charter provides that, at such time as we have at least three independent directors and our common stock is registered under the Exchange Act, as amended, we elect to be subject to the provision of Subtitle 8 of Title 3 of the MGCL regarding the filling of vacancies on the Board of Directors. Accordingly, at such time,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a director may be removed only for cause, as defined in our charter, and then only by the affirmative vote of at least two-thirds of the votes entitled to be cast in the election of directors.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Action by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MGCL,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Provisions for Stockholder Nominations and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Calling of 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Approval of Extraordinary Corporate Action; Amendment of Charter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MGCL,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the following matters require the approval of stockholders entitled to cast at least 80% of the votes entitled to be cast: (i) certain charter amendments; (ii) any proposal for our conversion, whether by merger or otherwise, from a closed-end company to an open-end company; (iii) any proposal for our liquidation or dissolution; or (iv) any proposal regarding a merger, consolidation, share exchange or sale or exchange of all or substantially all of our assets that the MGCL requires to be approved by our stockholders.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(1) our current directors, (2) those directors whose nomination for election by the stockholders or whose election by the directors to fill vacancies is approved by a majority of our current directors then on our Board of Directors or (3) any successor directors whose nomination for election by the stockholders or whose election by the directors to fill vacancies is approved by a majority of continuing directors or the successor continuing directors then in office.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bylaws provide that the Board of Directors will have the exclusive power to make, alter, amend or repeal any provision of our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with respect to appraisal rights arising in connection with the Control Share Act discussed below, as permitted by the MGCL, our charter provides that stockholders will not be entitled to exercise appraisal rights unless a majority of the Board of Directors shall determine such rights apply.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Control Share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MGCL, pursuant to the Control Share Act, provides that control shares of a Maryland corporation acquired in a control share acquisition have no voting rights except to the extent approved by a vote of two-thirds of the votes entitled to be cast on the matter.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increasing ranges of voting power listed in the Control Share Act. The requisite stockholder approval must be obtained each time an acquiror crosses one of the thresholds of voting power. Control shares do not include shares the acquiring person is then entitled to vote as a result of having previously obtained stockholder approval. A control share acquisition means the acquisition of control shares, subject to certain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our Board of Directors determines that it would be in our best interests and if the SEC staff does not object to our determination that our being subject to the Control Share Act does not conflict with the 1940 Act. The SEC staff has issued informal guidance setting forth its position that, if a closed-end investment company opts in to and triggers the Control Share Act, it would not violate Section 18(i) of the 1940 Act if the determination to do so by the board of directors of the closed-end investment company was taken with reasonable care on a basis consistent with other applicable duties and laws, including those to the fund and its shareholders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MGCL,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beneficially owns 10% or more of the voting power of the corporation’s outstanding voting stock; or</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or associate of the corporation who, at any time within the two-year period prior to the date in question, was the beneficial owner of 10% or more of the voting power of the then outstanding voting stock of the corporation.</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 of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five-year prohibition, any business combination between the Maryland corporation and an interested stockholder generally must be recommended by the Board of Directors of the corporation and approved by the affirmative vote of at least: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 of the votes entitled to be cast by holders of outstanding shares of voting stock of the corporation;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super-majority vote requirements do not apply if the corporation’s common stockholders receive a minimum price, as defined under the MGCL, for their shares in the form of cash or other consideration in the same form as previously paid by the interested stockholder for its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Maryland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Maryland Business Combination Act only if the Board of Directors determines that it would be in our best interests and if the SEC staff does not object to our determination that our being subject to the Maryland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Conflict with 1940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if and to the extent that any provision of the MGCL, including the Control Share Act (if we amend our bylaws to be subject to such Act) and the Maryland Business Combination Act, or any provision of our charter or bylaws conflicts with any provision of the 1940 Act, the applicable provision of the 1940 Act will control.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29" w:name="BP_005"/>
      <w:bookmarkEnd w:id="229"/>
      <w:r>
        <w:rPr>
          <w:rFonts w:ascii="Times New Roman;Times;Serif" w:hAnsi="Times New Roman;Times;Serif"/>
          <w:b/>
          <w:i w:val="false"/>
          <w:caps w:val="false"/>
          <w:smallCaps w:val="false"/>
          <w:sz w:val="20"/>
        </w:rPr>
        <w:t xml:space="preserve">DESCRIPTION OF OUR </w:t>
      </w:r>
      <w:bookmarkStart w:id="230" w:name="xdx_909_ecef--SecurityTitleTextBlock_c20"/>
      <w:bookmarkEnd w:id="230"/>
      <w:r>
        <w:rPr>
          <w:rFonts w:ascii="Times New Roman;Times;Serif" w:hAnsi="Times New Roman;Times;Serif"/>
          <w:b/>
          <w:i w:val="false"/>
          <w:caps w:val="false"/>
          <w:smallCaps w:val="false"/>
          <w:sz w:val="20"/>
        </w:rPr>
        <w:t>PREFERRED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shares of common stock, our charter authorizes the issuance of preferred stock. If we offer preferred stock under this prospectus, we will issue an appropriate prospectus supplement. We may issue preferred stock from time to time in one or more classes or series, without stockholder approval. Prior to issuance of shares of each class or series, our Board of Directors is required by the MGCL and by our charter to set the terms, preferences, conversion or other rights, voting powers, restrictions, limitations as to dividends or other distributions, qualifications and terms or conditions of redemption for each class or series. Any such issuance must adhere to the requirements of the 1940 Act, the MGCL and any other limitations imposed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1940 Act currently requires, among other things, that (a) immediately after issuance and before any distribution is made with respect to common stock, the liquidation preference of the preferred stock, together with all other senior securities, must not exceed an amount equal to 50% (or 66 2/3% if certain requirements are met) of our total assets (taking into account such distribution), (b) the holders of shares of preferred stock, if any are issued, must be entitled as a class to elect two directors at all times and to elect a majority of the directors if dividends on the preferred stock are in arrears by two years or more and (c) such class of stock have complete priority over any other class of stock as to distribution of assets and payment of dividends, which dividends shall be cumulative.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series of preferred stock that we may issue, our Board of Directors will determine and the articles supplementary and the prospectus supplement relating to such series will describe: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number of shares of such series;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1" w:name="xdx_900_ecef--SecurityDividendsTextBlock"/>
            <w:bookmarkEnd w:id="231"/>
            <w:r>
              <w:rPr>
                <w:rFonts w:ascii="Times New Roman;Times;Serif" w:hAnsi="Times New Roman;Times;Serif"/>
                <w:b w:val="false"/>
                <w:i w:val="false"/>
                <w:caps w:val="false"/>
                <w:smallCaps w:val="false"/>
                <w:sz w:val="20"/>
              </w:rPr>
              <w:t>the rate and time at which, and the preferences and conditions under which, any dividends will be paid on shares of such series, as well as whether such dividends are participating or non-participating;</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relating to convertibility or exchangeability of the shares of such series, including adjustments to the conversion price of such series;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2" w:name="xdx_905_ecef--SecurityLiquidationRightsT"/>
            <w:bookmarkEnd w:id="232"/>
            <w:r>
              <w:rPr>
                <w:rFonts w:ascii="Times New Roman;Times;Serif" w:hAnsi="Times New Roman;Times;Serif"/>
                <w:b w:val="false"/>
                <w:i w:val="false"/>
                <w:caps w:val="false"/>
                <w:smallCaps w:val="false"/>
                <w:sz w:val="20"/>
              </w:rPr>
              <w:t>the rights and preferences, if any, of holders of shares of such series upon our liquidation, dissolution or winding up of our affairs;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3" w:name="xdx_901_ecef--SecurityVotingRightsTextBl"/>
            <w:bookmarkEnd w:id="233"/>
            <w:r>
              <w:rPr>
                <w:rFonts w:ascii="Times New Roman;Times;Serif" w:hAnsi="Times New Roman;Times;Serif"/>
                <w:b w:val="false"/>
                <w:i w:val="false"/>
                <w:caps w:val="false"/>
                <w:smallCaps w:val="false"/>
                <w:sz w:val="20"/>
              </w:rPr>
              <w:t>the voting powers, if any, of the holders of shares of such series;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relating to the redemption of the shares of such series;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4" w:name="xdx_908_ecef--SecurityLiabilitiesTextBlo"/>
            <w:bookmarkEnd w:id="234"/>
            <w:r>
              <w:rPr>
                <w:rFonts w:ascii="Times New Roman;Times;Serif" w:hAnsi="Times New Roman;Times;Serif"/>
                <w:b w:val="false"/>
                <w:i w:val="false"/>
                <w:caps w:val="false"/>
                <w:smallCaps w:val="false"/>
                <w:sz w:val="20"/>
              </w:rPr>
              <w:t>any limitations on our ability to pay dividends or make distributions on, or acquire or redeem, other securities while shares of such series are outstanding;</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5" w:name="xdx_906_ecef--PreferredStockRestrictions"/>
            <w:bookmarkEnd w:id="235"/>
            <w:r>
              <w:rPr>
                <w:rFonts w:ascii="Times New Roman;Times;Serif" w:hAnsi="Times New Roman;Times;Serif"/>
                <w:b w:val="false"/>
                <w:i w:val="false"/>
                <w:caps w:val="false"/>
                <w:smallCaps w:val="false"/>
                <w:sz w:val="20"/>
              </w:rPr>
              <w:t>any conditions or restrictions on our ability to issue additional shares of such series or other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certain U.S. federal income tax considerations;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6" w:name="xdx_904_ecef--SecurityPreemptiveAndOther"/>
            <w:bookmarkEnd w:id="236"/>
            <w:r>
              <w:rPr>
                <w:rFonts w:ascii="Times New Roman;Times;Serif" w:hAnsi="Times New Roman;Times;Serif"/>
                <w:b w:val="false"/>
                <w:i w:val="false"/>
                <w:caps w:val="false"/>
                <w:smallCaps w:val="false"/>
                <w:sz w:val="20"/>
              </w:rPr>
              <w:t>any other relative powers, preferences and participating, optional or special rights of shares of such series, and the qualifications, limitations or restrictions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dividends, if any, thereon will be cumulative.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37" w:name="BP_006"/>
      <w:bookmarkEnd w:id="237"/>
      <w:r>
        <w:rPr>
          <w:rFonts w:ascii="Times New Roman;Times;Serif" w:hAnsi="Times New Roman;Times;Serif"/>
          <w:b/>
          <w:i w:val="false"/>
          <w:caps w:val="false"/>
          <w:smallCaps w:val="false"/>
          <w:sz w:val="20"/>
        </w:rPr>
        <w:t xml:space="preserve">DESCRIPTION OF OUR </w:t>
      </w:r>
      <w:bookmarkStart w:id="238" w:name="xdx_90A_ecef--OtherSecurityTitleTextBloc"/>
      <w:bookmarkEnd w:id="238"/>
      <w:r>
        <w:rPr>
          <w:rFonts w:ascii="Times New Roman;Times;Serif" w:hAnsi="Times New Roman;Times;Serif"/>
          <w:b/>
          <w:i w:val="false"/>
          <w:caps w:val="false"/>
          <w:smallCaps w:val="false"/>
          <w:sz w:val="20"/>
        </w:rPr>
        <w:t>SUBSCRIPTION RIGHTS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9" w:name="xdx_89A_ecef--OtherSecurityDescriptionTe"/>
      <w:bookmarkEnd w:id="239"/>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issue </w:t>
      </w:r>
      <w:bookmarkStart w:id="240" w:name="xdx_90E_ecef--WarrantsOrRightsCalledTitl"/>
      <w:bookmarkEnd w:id="240"/>
      <w:r>
        <w:rPr>
          <w:rFonts w:ascii="Times New Roman;Times;Serif" w:hAnsi="Times New Roman;Times;Serif"/>
          <w:b w:val="false"/>
          <w:i w:val="false"/>
          <w:caps w:val="false"/>
          <w:smallCaps w:val="false"/>
          <w:sz w:val="20"/>
        </w:rPr>
        <w:t>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right to purchase one new share for a minimum of every three rights held). Our common stockholders will indirectly bear the expenses of such subscription rights offerings, regardless of whether our common stockholders exercise any subscription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would describe the following terms of subscription rights in respect of which this prospectus is being delivered: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of time the offering would remain open (which shall be open a minimum number of days such that all record holders would be eligible to participate in the offering and shall not be open longer than 120 days);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such subscription rights;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such subscription rights (or method of calculation thereof);</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 of the offering (which, in the case of transferable rights, will require a minimum of three shares to be held of record before a person is entitled to purchase an additional share);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such subscription rights issued to each stockholder;</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such subscription rights are transferable and the market on which they may be traded if they are transferable;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certain U.S. federal income tax considerations applicable to the issuance or exercise of such subscription rights;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such subscription rights shall commence, and the date on which such right shall expire (subject to any extension);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such subscription rights include an over-subscription privilege with respect to unsubscribed securities and the terms of such over-subscription privilege;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termination right we may have in connection with such subscription rights offering;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41" w:name="xdx_90A_ecef--RightsLimitedByOtherSecuri"/>
            <w:bookmarkEnd w:id="241"/>
            <w:r>
              <w:rPr>
                <w:rFonts w:ascii="Times New Roman;Times;Serif" w:hAnsi="Times New Roman;Times;Serif"/>
                <w:b w:val="false"/>
                <w:i w:val="false"/>
                <w:caps w:val="false"/>
                <w:smallCaps w:val="false"/>
                <w:sz w:val="20"/>
              </w:rPr>
              <w:t>any other terms of such subscription rights, including exercise, settlement and other procedures and limitations relating to the transfer and exercise of such subscription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Subscription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Dilutive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pStyle w:val="TextBody"/>
        <w:bidi w:val="0"/>
        <w:spacing w:before="0" w:after="0"/>
        <w:ind w:left="0" w:right="0" w:hanging="0"/>
        <w:jc w:val="center"/>
        <w:rPr>
          <w:caps w:val="false"/>
          <w:smallCaps w:val="false"/>
        </w:rPr>
      </w:pPr>
      <w:bookmarkStart w:id="242" w:name="xdx_8AF_zOubGPMpLOrh"/>
      <w:bookmarkEnd w:id="24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3" w:name="BP_007"/>
      <w:bookmarkEnd w:id="243"/>
      <w:r>
        <w:rPr>
          <w:rFonts w:ascii="Times New Roman;Times;Serif" w:hAnsi="Times New Roman;Times;Serif"/>
          <w:b/>
          <w:i w:val="false"/>
          <w:caps w:val="false"/>
          <w:smallCaps w:val="false"/>
          <w:sz w:val="20"/>
        </w:rPr>
        <w:t xml:space="preserve">DESCRIPTION OF OUR </w:t>
      </w:r>
      <w:bookmarkStart w:id="244" w:name="xdx_90A_ecef--LongTermDebtTitleTextBlock"/>
      <w:bookmarkEnd w:id="244"/>
      <w:r>
        <w:rPr>
          <w:rFonts w:ascii="Times New Roman;Times;Serif" w:hAnsi="Times New Roman;Times;Serif"/>
          <w:b/>
          <w:i w:val="false"/>
          <w:caps w:val="false"/>
          <w:smallCaps w:val="false"/>
          <w:sz w:val="20"/>
        </w:rPr>
        <w:t>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45" w:name="xdx_800_ecef--LongTermDebtTableTextBlock"/>
      <w:bookmarkEnd w:id="245"/>
      <w:r>
        <w:rPr>
          <w:rFonts w:ascii="Times New Roman;Times;Serif" w:hAnsi="Times New Roman;Times;Serif"/>
          <w:b w:val="false"/>
          <w:i w:val="false"/>
          <w:caps w:val="false"/>
          <w:smallCaps w:val="false"/>
          <w:sz w:val="20"/>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 with respect to our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includes a description of the material provisions of the indenture. Because this section is a summary, however, it does not describe every aspect of the debt securities and the indenture. We urge you to read the indenture because it, and not this description, defines your rights as a holder of debt securities. A copy of the form of indenture is attached as an exhibit to the registration statement of which this prospectus is a part. We will file a supplemental indenture with the SEC in connection with any debt offering, at which time the supplemental indenture would be publicly available. See “Available Information” in this prospectus for information on how to obtain a copy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which will accompany this prospectus, will describe the particular series of debt securities being offered by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or title of the series of debt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principal amount of the series of debt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the principal amount at which the series of debt securities will be offered;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on which principal will be payable;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or rates (which may be either fixed or variable) and/or the method of determining such rate or rates of interest, if any;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from which any interest will accrue, or the method of determining such date or dates, and the date or dates on which any interest will be payable;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any interest may be paid by issuing additional securities of the same series in lieu of cash (and the terms upon which any such interest may be paid by issuing additional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for redemption, extension or early repayment, if any;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currencies in which the series of debt securities are issued and payable;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if any, other than or in addition to the Borough of Manhattan in the City of New York, of payment, transfer, conversion and/or exchange of the debt securities;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denominations in which the offered debt securities will be issued (if other than $1,000 and any integral multiple thereof);</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any sinking fund;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restrictive covenants;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Events of Default (as defined in “Events of Default” below);</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series of debt securities are issuable in certificated form;</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defeasance or covenant defeasance;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special U.S. federal income tax implications, including, if applicable, U.S. federal income tax considerations relating to original issue discount;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convertibility or exchangeability of the debt securities into or for any other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are subject to subordination and the terms of such subordination;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are secured and the terms of any security interest;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listing, if any, on a securities exchange;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may be secured or unsecured obligations. Unless the prospectus supplement states otherwise, principal (and premium, if any) and interest, if any, will be paid by us in immediately available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We are permitted, under specified conditions, to issue multiple classes of indebtedness if our asset coverage, as defined in the 1940 Act, is at least equal to 200% (or 150% if certain requirements are met) immediately after each such issuance after giving effect to any exemptive relief granted to us by the SEC. In addition, while any indebtedness and senior securities remain outstanding, we must make provisions to prohibit the distribution to our stockholders or the repurchase of such securities or shares unless we meet the applicable asset coverage ratios at the time of the distribution or repurchase. For a discussion of the risks associated with leverage, see “Risk Factors — Risks Related to Our Business and Structure — Regulations governing our operation as a business development company affect our ability to, and the way in which we, raise additional capital, which may expose us to risks, including the typical risks associated with leverage” in our most recent Annual Report on </w:t>
      </w:r>
      <w:hyperlink r:id="rId4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prospectus, any reference to the payment of principal of, or premium or interest, if any, on, debt securities will include additional amounts if required by the terms of the debt securities.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contain any provisions that give you protection in the event we issue a large amount of debt or we are acquired by another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you to the prospectus supplement for information with respect to any deletions from, modifications of or additions to the Events of Default or our covenants that are described below, including any addition of a covenant or other provision providing event risk protection or similar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and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Securities in Registered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Book-Entry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Street Name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you in this Description of Debt Securities,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Considerations for Indirect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debt securities through a bank, broker or other financial institution, either in book-entry form or in street name, we urge you to check with that institution to find out: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it handles securities payments and notices;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it imposes fees or charges;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it would handle a request for the holders’ consent, if ever required;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how you can instruct it to send you debt securities registered in your own name so you can be a holder, if that is permitted in the future for a particular series of debt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it would exercise rights under the debt securities if there were a default or other event triggering the need for holders to act to protect their interests;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in book-entry form, how the depositary’s rules and procedures will affect these matters.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global security may not be transferred to or registered in the name of anyone other than the depositary or its nominee, unless special termination situations arise. We describe those situations below under “— Termination of a Global Security.”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Considerations for 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debt securities are issued only in the form of a global security, an investor should be aware of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cannot cause the debt securities to be registered in his or her name and cannot obtain certificates for his or her interest in the debt securities, except in the special situations we describe below;</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will be an indirect holder and must look to his or her own bank or broker for payments on the debt securities and protection of his or her legal rights relating to the debt securities, as we describe under “— Issuance of Securities in Registered Form” above;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may not be able to sell interests in the debt securities to some insurance companies and other institutions that are required by law to own their securities in non-book-entry form;</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may not be able to pledge his or her interest in a global security in circumstances where certificates representing the debt securities must be delivered to the lender or other beneficiary of the pledge in order for the pledge to be effective;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redeem less than all the debt securities of a particular series being redeemed, DTC’s practice is to determine by lot the amount to be redeemed from each of its participants holding that series;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a Global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global security is terminated for any reason,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 Issuance of Securities in Registered Form”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investors in whose names the debt securities represented by the global security will be registered and, therefore, who will be the holders of those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Payments on 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Special Considerations for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Payments on Certificated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make payments on a certificated debt security as follows. We will pay interest that is due on an interest payment date to the holder of debt securities as shown on the trustee’s records as of the close of business on the regular record date at our office and/or at other offices that may be specified in the prospectus supplement. We will make all payments of principal and premium, if any, by check at the office of the applicable trustee and/or at other offices that may be specified in the prospectus supplement or in a notice to holders against surrender of the debt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 When Offices Are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Book-entry and other indirect holders should consult their banks or brokers for information on how they will receive payments on their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6" w:name="xdx_89C_ecef--LongTermDebtDividendsAndCo"/>
      <w:bookmarkEnd w:id="246"/>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have rights if an Event of Default occurs in respect of the debt securities of your series and is not cured, as described later in this subsection.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“Event of Default” in respect of the debt securities of your series means any of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pay the principal of, or any premium on, a debt security of the series within five days of its due date;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pay interest on a debt security of the series within 30 days of its due date;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deposit any sinking fund payment in respect of debt securities of the series within five days of its due date;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remain in breach of a covenant in respect of debt securities of the series for 60 days after we receive a written notice of default stating we are in breach (the notice must be sent by either the trustee or holders of at least 25% of the principal amount of the outstanding debt securities of the series);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for bankruptcy or certain other events of bankruptcy, insolvency or reorganization occur and remain undischarged or unstayed for a period of 90 days;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of debt securities has an asset coverage, as such term is defined in the 1940 Act, of less than 100 per centum on the last business day of each of twenty-four consecutive calendar months, giving effect to any exemptive relief granted to the Company by the SEC; or</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Event of Default in respect of debt securities of the series described in the prospectus supplement occurs.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interest, or sinking or purchase fund installment, if it in good faith considers the withholding of notice to be in the interest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Remedies if an Event of Default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has occurred and is continuing, the trustee or the holders of not less than 25% in principal amount of the outstanding debt securities of the affected series may (and the trustee shall at the request of such holders)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you are allowed to bypass your trustee and bring your own lawsuit or other formal legal action or take other steps to enforce your rights or protect your interests relating to the debt securities, the following must occur: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 give the trustee written notice that an Event of Default with respect to the relevant series of debt securities has occurred and remains uncured;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25% in principal amount of all outstanding debt securities of the relevant series must make a written request that the trustee take action because of the default and must offer reasonable indemnity, security or both to the trustee against the costs, expenses and other liabilities of taking that action;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must not have taken action for 60 days after receipt of the above notice and offer of indemnity and/or security;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debt securities of that series must not have given the trustee a direction inconsistent with the above notice during that 60-day period.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you are entitled at any time to bring a lawsuit for the payment of money due on your debt securities on or after the due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and other indirect holders should consult their banks or brokers for information on how to give notice or direction to or make a request of the trustee and how to declare or cancel an acceleration of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year, we will furnish to each trustee a written statement of certain of our officers certifying that to their knowledge we are in compliance with the indenture and the debt securities, or else specifying any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Waiver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 majority in principal amount of the outstanding debt securities of the affected series may waive any past defaults other than:</w:t>
      </w:r>
    </w:p>
    <w:p>
      <w:pPr>
        <w:pStyle w:val="TextBody"/>
        <w:bidi w:val="0"/>
        <w:spacing w:before="0" w:after="0"/>
        <w:ind w:left="0" w:right="0" w:firstLine="72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185"/>
        <w:gridCol w:w="78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7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principal, any premium or interest; or</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78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7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 covenant that cannot be modified or amended without the consent of each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or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we merge out of existence or sell substantially all our assets, the resulting entity or transferee must agree to be legally responsible for our obligations under the debt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deliver certain certificates and documents to the trustee;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satisfy any other requirements specified in the prospectus supplement relating to a particular series of debt securities.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or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types of changes we can make to the indenture and the debt securities issued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Requiring Your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there are changes that we cannot make to your debt securities without your specific approval. The following is a list of those types of changes: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stated maturity of the principal of or interest on a debt security or the terms of any sinking fund with respect to any security;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any amounts due on a debt security;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amount of principal payable upon acceleration of the maturity of an original issue discount or indexed security following a default or upon the redemption thereof or the amount thereof provable in a bankruptcy proceeding;</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any right of repayment at the holder’s option;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place or currency of payment on a debt security (except as otherwise described in the prospectus or prospectus supplement);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 your right to sue for payment;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any right to convert or exchange a debt security in accordance with its terms;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modify the subordination provisions in the indenture in a manner that is adverse to outstanding holders of the debt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of holders of debt securities whose consent is needed to modify or amend the indenture;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of holders of debt securities whose consent is needed to waive compliance with certain provisions of the indenture or to waive certain defaults;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modify any other aspect of the provisions of the indenture dealing with supplemental indentures with the consent of holders, waiver of past defaults, changes to the quorum or voting requirements or the waiver of certain covenants;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any obligation we have to pay additional amounts.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Not Requiring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Requiring Majority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change to the indenture and the debt securities would require the following approval:</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change affects only one series of debt securities, it must be approved by the holders of a majority in principal amount of that series;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required approval must be given by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a series of debt securities issued under the indenture, voting together as one class for this purpose, may waive our compliance with some of our covenants applicable to that series of debt securities. However, we cannot obtain a waiver of a payment default or of any of the matters covered by the bullet points included above under “— Changes Requiring Your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Further Details Concerning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taking a vote, we will use the following rules to decide how much principal to attribute to a debt security: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both"/>
              <w:rPr>
                <w:caps w:val="false"/>
                <w:smallCaps w:val="false"/>
              </w:rPr>
            </w:pPr>
            <w:r>
              <w:rPr>
                <w:caps w:val="false"/>
                <w:smallCaps w:val="false"/>
              </w:rPr>
              <w:t>●</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original issue discount securities, we will use the principal amount that would be due and payable on the voting date if the maturity of these debt securities were accelerated to that date because of a default;</w:t>
            </w:r>
          </w:p>
        </w:tc>
      </w:tr>
      <w:tr>
        <w:trPr/>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debt securities whose principal amount is not known (for example, because it is based on an index), we will use the principal face amount at original issuance or a special rule for that debt security described in the prospectus supplement; and</w:t>
            </w:r>
          </w:p>
        </w:tc>
      </w:tr>
      <w:tr>
        <w:trPr/>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 w:type="dxa"/>
            <w:tcBorders/>
            <w:vAlign w:val="center"/>
          </w:tcPr>
          <w:p>
            <w:pPr>
              <w:pStyle w:val="TableContents"/>
              <w:bidi w:val="0"/>
              <w:spacing w:before="0" w:after="283"/>
              <w:jc w:val="both"/>
              <w:rPr>
                <w:caps w:val="false"/>
                <w:smallCaps w:val="false"/>
              </w:rPr>
            </w:pPr>
            <w:r>
              <w:rPr>
                <w:caps w:val="false"/>
                <w:smallCaps w:val="false"/>
              </w:rPr>
              <w:t>●</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debt securities denominated in one or more foreign currencies, we will use the U.S. dollar equivalent.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 Defeasance — Full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generally be entitled to set any day as a record date for the purpose of determining the holders of outstanding indenture securities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and other indirect holders should consult their banks or brokers for information on how approval may be granted or denied if we seek to change the indenture or the debt securities or request a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provisions will be applicable to each series of debt securities unless we state in the applicable prospectus supplement that the provisions of covenant defeasance and full defeasance will not be applicable to that series.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Covenant 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 Indenture Provisions — Subordination” below, such subordination would not prevent the trustee under the indenture from applying the funds available to it from the deposit described in the first bullet below to the payment of amounts due in respect of such debt securities for the benefit of the subordinated debt holders. In order to achieve covenant defeasance, we must do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deliver to the trustee a legal opinion of our counsel confirming that, under current U.S. federal income tax law, we may make the above deposit without causing you to be taxed on the debt securities any differently than if we did not make the deposit;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 must not result in a breach or violation of, or result in a default under, the indenture or any of our other material agreements or instruments;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 or event of default with respect to such debt securities shall have occurred and be continuing and no defaults or events of default related to bankruptcy, insolvency or reorganization shall occur during the next 90 days;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satisfy the conditions for covenant defeasance contained in any supplemental indentures.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accomplish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such a shortfall. However, there is no assurance that we would have sufficient funds to make payment of the shortfall.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Full 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change in U.S. federal tax law or we obtain an IRS ruling, as described in the second bullet below, we can legally release ourselves from all payment and other obligations on the debt securities of a particular series (called “full defeasance”) if we put in place the following other arrangements for you to be repaid: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deliver to the trustee a legal opinion of our counsel stating that the above deposit does not require registration by us under the 1940 Act, as amended, and a legal opinion and officers’ certificate stating that all conditions precedent to defeasance have been complied with.</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 must not result in a breach or violation of, or constitute a default under, the indenture or any of our other material agreements or instruments.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 or event of default with respect to such debt securities shall have occurred and be continuing and no defaults or events of default related to bankruptcy, insolvency or reorganization shall occur during the next 90 days.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satisfy the conditions for full defeasance contained in any supplemental indentures.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your debt securities were subordinated as described later under “— Indenture Provisions — Subordination”, such subordination would not prevent the trustee under the indenture from applying the funds available to it from the deposit referred to in the first bullet of the preceding paragraph to the payment of amounts due in respect of such debt securities for the benefit of the subordinated debt holders.</w:t>
      </w:r>
    </w:p>
    <w:p>
      <w:pPr>
        <w:pStyle w:val="TextBody"/>
        <w:bidi w:val="0"/>
        <w:spacing w:before="0" w:after="0"/>
        <w:ind w:left="0" w:right="0" w:firstLine="720"/>
        <w:jc w:val="both"/>
        <w:rPr>
          <w:caps w:val="false"/>
          <w:smallCaps w:val="false"/>
        </w:rPr>
      </w:pPr>
      <w:bookmarkStart w:id="247" w:name="xdx_8A3_z3trJxmmdMtd"/>
      <w:bookmarkEnd w:id="24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 of Certificated 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registered debt securities cease to be issued in book-entry form, they will be issued: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in fully registered certificated form;</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interest coupons;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otherwise in the prospectus supplement, in denominations of $1,000 and amounts that are multiples of $1,000.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exchange their certificated securities for debt securities of smaller denominations or have them combined into fewer debt securities of larger denominations, as long as the total principal amount is not changed and as long as the denomination is greater than the minimum denomination for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registered debt security is issued in book-entry form, only the depositary will be entitled to transfer and exchange the debt security as described in this subsection, since it will be the sole holder of the debt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8" w:name="xdx_89A_ecef--LongTermDebtStructuringTex"/>
      <w:bookmarkEnd w:id="248"/>
      <w:r>
        <w:rPr>
          <w:rFonts w:ascii="Times New Roman;Times;Serif" w:hAnsi="Times New Roman;Times;Serif"/>
          <w:b/>
          <w:i w:val="false"/>
          <w:caps w:val="false"/>
          <w:smallCaps w:val="false"/>
          <w:sz w:val="20"/>
        </w:rPr>
        <w:t>Indenture Provisions — Subordination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notwithstanding the foregoing, any payment by us is received by the trustee in respect of subordinated debt securities or by the holders of any of such subordinated debt securities, upon our dissolution, winding up, liquidation or reorganization before all Senior Indebtedness is paid in full, the payment or distribution received by the trustee in respect of such subordinated debt securities or by the holders of any such subordinated debt securities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Indebtedness is defined in the indenture as the principal of (and premium, if any) and unpaid interest 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renewals, extensions, modifications and refinancings of any of this indebtedness.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w:t>
      </w:r>
    </w:p>
    <w:p>
      <w:pPr>
        <w:pStyle w:val="TextBody"/>
        <w:bidi w:val="0"/>
        <w:spacing w:before="0" w:after="0"/>
        <w:jc w:val="center"/>
        <w:rPr>
          <w:caps w:val="false"/>
          <w:smallCaps w:val="false"/>
        </w:rPr>
      </w:pPr>
      <w:bookmarkStart w:id="249" w:name="xdx_8A7_zEzmWVerIDVe"/>
      <w:bookmarkEnd w:id="24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Indebtedness and Ranking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of the Company will rank structurally junior to all existing and future indebtedness (including trade payables) incurred by our subsidiaries, financing vehicles or similar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Trustee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successor in interest to U.S. Bank National Association) will serve as the trustee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Considerations Relating to Foreign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pStyle w:val="TextBody"/>
        <w:bidi w:val="0"/>
        <w:spacing w:before="0" w:after="0"/>
        <w:jc w:val="center"/>
        <w:rPr>
          <w:caps w:val="false"/>
          <w:smallCaps w:val="false"/>
        </w:rPr>
      </w:pPr>
      <w:bookmarkStart w:id="250" w:name="xdx_81C_zl05QSBTJ6Bl"/>
      <w:bookmarkEnd w:id="25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1" w:name="BP_008"/>
      <w:bookmarkStart w:id="252" w:name="xdx_894_ecef--OtherSecurityDescriptionTe"/>
      <w:bookmarkEnd w:id="251"/>
      <w:bookmarkEnd w:id="252"/>
      <w:r>
        <w:rPr>
          <w:rFonts w:ascii="Times New Roman;Times;Serif" w:hAnsi="Times New Roman;Times;Serif"/>
          <w:b/>
          <w:i w:val="false"/>
          <w:caps w:val="false"/>
          <w:smallCaps w:val="false"/>
          <w:sz w:val="20"/>
        </w:rPr>
        <w:t xml:space="preserve">DESCRIPTION OF OUR </w:t>
      </w:r>
      <w:bookmarkStart w:id="253" w:name="xdx_90B_ecef--OtherSecurityTitleTextBloc"/>
      <w:bookmarkEnd w:id="253"/>
      <w:r>
        <w:rPr>
          <w:rFonts w:ascii="Times New Roman;Times;Serif" w:hAnsi="Times New Roman;Times;Serif"/>
          <w:b/>
          <w:i w:val="false"/>
          <w:caps w:val="false"/>
          <w:smallCaps w:val="false"/>
          <w:sz w:val="20"/>
        </w:rPr>
        <w:t>WARRANTS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general description of the terms of the </w:t>
      </w:r>
      <w:bookmarkStart w:id="254" w:name="xdx_90C_ecef--WarrantsOrRightsCalledTitl"/>
      <w:bookmarkEnd w:id="254"/>
      <w:r>
        <w:rPr>
          <w:rFonts w:ascii="Times New Roman;Times;Serif" w:hAnsi="Times New Roman;Times;Serif"/>
          <w:b w:val="false"/>
          <w:i w:val="false"/>
          <w:caps w:val="false"/>
          <w:smallCaps w:val="false"/>
          <w:sz w:val="20"/>
        </w:rPr>
        <w:t>warrants we may issue from time to time. Particular terms of any warrants we offer will be described in the prospectus supplement relating to such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shares of our common stock, preferred stock or debt securities. Such warrants may be issued independently or together with shares of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will describe the particular terms of any series of warrants we may issue,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such warrants;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such warrants;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such warrants will be issued;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currencies, including composite currencies, in which the price of such warrants may be payable;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the securities with which the warrants are issued and the number of warrants issued with each such security or each principal amount of such security;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warrants to purchase common stock or preferred stock, the number of shares of common stock or preferred stock purchasable upon exercise of one warrant and the price at which and the currency or currencies, including composite currencies, in which these shares may be purchased upon such exercise;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such warrants shall commence and the date on which such right will expire;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such warrants will be issued in registered form or bearer form;</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minimum or maximum amount of such warrants which may be exercised at any one time;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on and after which such warrants and the related securities will be separately transferable;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book-entry procedures, if any;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securities issuable upon exercise of the warrants;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certain U.S. federal income tax considerations;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such warrants, including terms, procedures and limitations relating to the exchange and exercise of such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for cash such common stock or preferred stock at the exercise price or such principal amount of debt securities as shall in each case be set forth in, or be determinable as set forth in, the prospectus supplement relating to the warrants offered thereby. Warrants may be exercised as set forth in the prospectus supplement beginning on the date specified therein and continuing until the close of business on the expiration date set forth in the prospectus supplement. After the close of business on the expiration date, unexercised warrants will become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payment and a warrant certificate properly completed and duly executed at the corporate trust office of the warrant agent or any other office indicated in the prospectus supplement, we will, as soon as practicable, forward the securities purchasable upon such exercise. If less than all of the warrants represented by such warrant certificate are exercised, a new warrant certificate will be issued for the remaining warrants. If we so indicate in the applicable prospectus supplement, holders of the warrants may surrender securities as all or part of the exercise price for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or other distributions, if any, or payments upon our liquidation, dissolution or winding up or to exercise any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1940 Act, we may generally only offer warrants provided that (1) the warrants expire by their terms within ten years; (2) the exercise or conversion price is not less than the current market value at the date of issuance; (3) our stockholders authorize the issuance of such warrants, and our Board of Directors approves such issuance on the basis that the issuance is in the best interests of the Company and its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 As of the date of this prospectus, our stockholders have not authorized any issuance of warrants beyond those that would otherwise be permitted without stockholder approval under the 1940 Act.</w:t>
      </w:r>
    </w:p>
    <w:p>
      <w:pPr>
        <w:pStyle w:val="TextBody"/>
        <w:bidi w:val="0"/>
        <w:spacing w:before="0" w:after="0"/>
        <w:jc w:val="center"/>
        <w:rPr>
          <w:caps w:val="false"/>
          <w:smallCaps w:val="false"/>
        </w:rPr>
      </w:pPr>
      <w:bookmarkStart w:id="255" w:name="xdx_8A2_zisTyzSclEYc"/>
      <w:bookmarkEnd w:id="255"/>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6" w:name="BP_009"/>
      <w:bookmarkEnd w:id="256"/>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from time to time, in more than one offering, up to $500,000,000 of common stock, preferred stock, subscription rights to purchase shares of common stock, warrants and debt securities, in one or more underwritten public offerings, at-the-market offerings to or through a market maker or into an existing trading market for our securities, on an exchange or otherwise, negotiated transactions, block trades, best efforts or a combination of these methods. The holders of our common stock will indirectly bear any fees and expenses in connection with any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our securities through underwriters or dealers, directly to one or more purchasers, through agents or through a combination of any such methods of sale. In the case of a rights offering, the applicable prospectus supplement will set forth the number of shares of our common stock issuable upon the exercise of each right and the other terms of such rights offering. Any underwriter or agent involved in the offer and sale of our securities will be named in the applicable prospectus supplement. A prospectus supplement or supplements will also describe the terms of the offering of our securities, including: the purchase price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our securities may be listed. Only underwriters or agents named in the prospectus supplement will be underwriters or agents of securities offered by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or discounts, must equal or exceed the net asset value per share of our common stock at the time of the offering except (i) in connection with a rights offering to our existing stockholders, (ii) with the prior approval of the majority of our common stockholders, or (iii) under such other circumstances as the SEC may permit. Any offering of securities by us that requires the consent of the majority of our common stockholders must occur, if at all, within one year after receiving such consent. The price at which our securities may be distributed may represent a discount from prevailing market prices. As an investor in our securities, you will indirectly bear the expenses incurred in connection with all of the distribution activities described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securities, underwriters or agents may receive compensation from us or from purchasers of our securities, for whom they may act as agents, in the form of discounts, concessions or commissions. Underwriters may sell our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under the Securities Act, and any discounts and commissions they receive from us and any profit realized by them on the resale of our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FINRA or independent broker-dealer will not be greater than 10% of the gross proceeds of the sale of our securities offered pursuant to this prospectus and any applicable prospectus supplement. We may also reimburse the underwriter or agent for certain fees and legal expenses incurred by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our securities, either through exercise of the option to purchase additional shares from us or in the open market after the distribution is completed, to cover short positions. Penalty bids permit the underwriters to reclaim a selling concession from a dealer when our securities originally sold by the dealer are purchased in a stabilizing or covering transaction to cover short positions. Those activities may cause the price of our securities to be higher than it would otherwise be. If commenced, the underwriters may discontinue any of the activities at any time.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that are qualified market makers on the Nasdaq Global Select Market may engage in passive market making transactions in our common stock on the Nasdaq Global Select Market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our common stock at a level above that which might otherwise prevail in the open market and, if commenced, may be discontinued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our securities directly or through agents we designate from time to time. We will name any agent involved in the offering and sale of our securities and we will describe any commissions we will pay the agent in the prospectus supplement. Unless the prospectus supplement states otherwise, our agent will act on a best-efforts basis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each class or series of securities will be a new issue with no trading market, other than our common stock, which trades on the Nasdaq Global Select Market under the ticker symbol “NSLR,” and the 6.00% Notes due 2026, which trade on the Nasdaq Global Select Market under the ticker symbol “NSLRL.” Our 6.50% Convertible Notes due 2029 are not listed on any securities exchange. We also have outstanding a 6.50% redeemable promissory note due 2029 issued pursuant to the Securities Purchase Agreement described under “Management and Other Agreements — Magnetar Investment,” which is not listed on any securities exchange. We may elect to list any other class or series of securities on any exchanges, but we are not obligated to do so. We cannot guarantee the liquidity of the trading markets for 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agreements that we may enter into, underwriters, dealers and agents who participate in the distribution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our securities offered hereby will be sold in such jurisdictions only through registered or licensed brokers or dealers.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57" w:name="BP_010"/>
      <w:bookmarkEnd w:id="257"/>
      <w:r>
        <w:rPr>
          <w:rFonts w:ascii="Times New Roman;Times;Serif" w:hAnsi="Times New Roman;Times;Serif"/>
          <w:b/>
          <w:i w:val="false"/>
          <w:caps w:val="false"/>
          <w:smallCaps w:val="false"/>
          <w:sz w:val="20"/>
        </w:rPr>
        <w:t>CUSTODIAN, TRANSFER AND DISTRIBUTION PAYING AGENT AND REGISTRAR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investments are held under a custody agreement with Western Alliance Trust Company, National Association. The address of the custodian is One East Washington Street, Suite 1400, Phoenix, Arizona 85004. Equiniti Trust Company, LLC acts as our transfer agent, distribution paying agent and registrar. The principal business address of our transfer agent is 48 Wall Street, 23rd Floor, New York, NY 10005, and its telephone number is (800) 937-5449.</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8" w:name="BP_011"/>
      <w:bookmarkEnd w:id="258"/>
      <w:r>
        <w:rPr>
          <w:rFonts w:ascii="Times New Roman;Times;Serif" w:hAnsi="Times New Roman;Times;Serif"/>
          <w:b/>
          <w:i w:val="false"/>
          <w:caps w:val="false"/>
          <w:smallCaps w:val="false"/>
          <w:sz w:val="20"/>
        </w:rPr>
        <w:t>BROKERAGE ALLOCATION AND OTHER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Though we generally acquire and dispose of our investments in privately negotiated transactions, including in connection with private secondary market transactions, we also use brokers in the normal course of our business. We paid $22,891, $114,911 and $102,334 in brokerage commissions for the fiscal years ended December 31, 2025, 2024 and 2023, respectively, for an aggregate sum of $240,136. Subject to policies established by our Board of Directors, the Adviser is primarily responsible for the execution of the publicly traded securities portion of our portfolio transactions and the allocation of brokerage commissions. We do not expect to execute transactions through any particular broker or dealer, but will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we will generally seek reasonably competitive trade execution costs, we will not necessarily pay the lowest spread or commission available. Subject to applicable legal requirements, we may select a broker based partly upon brokerage or research services provided to us. In return for such services, we may pay a higher commission than other brokers would charge if we determine in good faith that such commission is reasonable in relation to the services provided.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9" w:name="BP_012"/>
      <w:bookmarkEnd w:id="259"/>
      <w:r>
        <w:rPr>
          <w:rFonts w:ascii="Times New Roman;Times;Serif" w:hAnsi="Times New Roman;Times;Serif"/>
          <w:b/>
          <w:i w:val="false"/>
          <w:caps w:val="false"/>
          <w:smallCaps w:val="false"/>
          <w:sz w:val="20"/>
        </w:rPr>
        <w:t>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 connection with the securities offered hereby will be passed upon for us by Eversheds Sutherland (US) LLP, Washington, D.C. Certain legal matters in connection with any offering pursuant to this prospectus will be passed upon for the underwriters, if any, by counsel named in the applicable prospectus supplement.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60" w:name="BP_013"/>
      <w:bookmarkEnd w:id="260"/>
      <w:r>
        <w:rPr>
          <w:rFonts w:ascii="Times New Roman;Times;Serif" w:hAnsi="Times New Roman;Times;Serif"/>
          <w:b/>
          <w:i w:val="false"/>
          <w:caps w:val="false"/>
          <w:smallCaps w:val="false"/>
          <w:sz w:val="20"/>
        </w:rPr>
        <w:t>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Neostellar Capital Corp. (formerly known as SuRo Capital Corp.) and its subsidiaries incorporated by reference in this prospectus and elsewhere in the registration statement have been so incorporated in reliance upon the reports of CBIZ CPAs P.C. (with respect to the fiscal year ended December 31, 2025) and Marcum LLP, the Company’s former independent registered public accounting firm (with respect to the fiscal year ended December 31, 2024), in each case independent registered public accountants, given on the authority of said firms as experts in auditing and accounting. CBIZ CPAs P.C. acquired the attest business of Marcum LLP effective November 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senior securities table as of December 31, 2025 of Neostellar Capital Corp. and its subsidiaries included in Part II, Item 5 of our most recent Annual Report on </w:t>
      </w:r>
      <w:hyperlink r:id="rId44">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and incorporated by reference herein has been so incorporated in reliance upon the report of CBIZ CPAs P.C., independent registered public accountants. The senior securities table as of December 31, 2024, 2023, 2022 and 2021, included in Part II, Item 5 of our most recent Annual Report on </w:t>
      </w:r>
      <w:hyperlink r:id="rId45">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and incorporated by reference herein, has been so incorporated in reliance upon the report of Marcum LLP, the Company’s former independent registered public accounting firm, as stated in its report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CBIZ CPAs P.C.’s principal business address is 730 Third Avenue, 11th Floor, New York, NY 10017. The office of CBIZ CPAs P.C. that issued the report incorporated by reference herein is located in Boston, Massachusetts. Marcum LLP’s principal business address was 730 Third Avenue, 11th Floor, New York, NY 10017.</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61" w:name="BP_014"/>
      <w:bookmarkEnd w:id="261"/>
      <w:r>
        <w:rPr>
          <w:rFonts w:ascii="Times New Roman;Times;Serif" w:hAnsi="Times New Roman;Times;Serif"/>
          <w:b/>
          <w:i w:val="false"/>
          <w:caps w:val="false"/>
          <w:smallCaps w:val="false"/>
          <w:sz w:val="20"/>
        </w:rPr>
        <w:t>INCORPORATION OF CERTAIN INFORMATION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subsequent to the date of this prospectus and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our filings listed below and any future filings that we may file with the SEC under Section 13(a), 13(c), 14 or 15(d) of the Exchange Act, subsequent to the date of this prospectus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subsequent to the date of this prospectus will automatically update and may supersede information in this prospectus, any accompanying prospectus supplement and information previously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incorporate by reference the documents set forth below that have previously been filed with the SEC:</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Annual Report on </w:t>
            </w:r>
            <w:hyperlink r:id="rId46">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SEC on March 11,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Amendment No. 1 to the Annual Report on </w:t>
            </w:r>
            <w:hyperlink r:id="rId47">
              <w:r>
                <w:rPr>
                  <w:rStyle w:val="InternetLink"/>
                  <w:rFonts w:ascii="Times New Roman;Times;Serif" w:hAnsi="Times New Roman;Times;Serif"/>
                  <w:b w:val="false"/>
                  <w:i w:val="false"/>
                  <w:caps w:val="false"/>
                  <w:smallCaps w:val="false"/>
                  <w:sz w:val="20"/>
                </w:rPr>
                <w:t>Form 10-K/A</w:t>
              </w:r>
            </w:hyperlink>
            <w:r>
              <w:rPr>
                <w:rFonts w:ascii="Times New Roman;Times;Serif" w:hAnsi="Times New Roman;Times;Serif"/>
                <w:b w:val="false"/>
                <w:i w:val="false"/>
                <w:caps w:val="false"/>
                <w:smallCaps w:val="false"/>
                <w:sz w:val="20"/>
              </w:rPr>
              <w:t xml:space="preserve"> for the fiscal year ended December 31, 2025, filed with the SEC on September 23,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Quarterly Report on </w:t>
            </w:r>
            <w:hyperlink r:id="rId48">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March 31, 2026, filed with the SEC on May 6,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Quarterly Report on </w:t>
            </w:r>
            <w:hyperlink r:id="rId49">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June 30, 2026, filed with the SEC on August 6,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Current Reports on Form 8-K (other than information furnished rather than filed in accordance with SEC rules) filed since the filing of our most recent Annual Report on Form 10-K, including on </w:t>
            </w:r>
            <w:hyperlink r:id="rId50">
              <w:r>
                <w:rPr>
                  <w:rStyle w:val="InternetLink"/>
                  <w:rFonts w:ascii="Times New Roman;Times;Serif" w:hAnsi="Times New Roman;Times;Serif"/>
                  <w:b w:val="false"/>
                  <w:i w:val="false"/>
                  <w:caps w:val="false"/>
                  <w:smallCaps w:val="false"/>
                  <w:sz w:val="20"/>
                </w:rPr>
                <w:t>April 7, 2026</w:t>
              </w:r>
            </w:hyperlink>
            <w:r>
              <w:rPr>
                <w:rFonts w:ascii="Times New Roman;Times;Serif" w:hAnsi="Times New Roman;Times;Serif"/>
                <w:b w:val="false"/>
                <w:i w:val="false"/>
                <w:caps w:val="false"/>
                <w:smallCaps w:val="false"/>
                <w:sz w:val="20"/>
              </w:rPr>
              <w:t xml:space="preserve">, </w:t>
            </w:r>
            <w:hyperlink r:id="rId51">
              <w:r>
                <w:rPr>
                  <w:rStyle w:val="InternetLink"/>
                  <w:rFonts w:ascii="Times New Roman;Times;Serif" w:hAnsi="Times New Roman;Times;Serif"/>
                  <w:b w:val="false"/>
                  <w:i w:val="false"/>
                  <w:caps w:val="false"/>
                  <w:smallCaps w:val="false"/>
                  <w:sz w:val="20"/>
                </w:rPr>
                <w:t>June 12, 2026</w:t>
              </w:r>
            </w:hyperlink>
            <w:r>
              <w:rPr>
                <w:rFonts w:ascii="Times New Roman;Times;Serif" w:hAnsi="Times New Roman;Times;Serif"/>
                <w:b w:val="false"/>
                <w:i w:val="false"/>
                <w:caps w:val="false"/>
                <w:smallCaps w:val="false"/>
                <w:sz w:val="20"/>
              </w:rPr>
              <w:t xml:space="preserve">, </w:t>
            </w:r>
            <w:hyperlink r:id="rId52">
              <w:r>
                <w:rPr>
                  <w:rStyle w:val="InternetLink"/>
                  <w:rFonts w:ascii="Times New Roman;Times;Serif" w:hAnsi="Times New Roman;Times;Serif"/>
                  <w:b w:val="false"/>
                  <w:i w:val="false"/>
                  <w:caps w:val="false"/>
                  <w:smallCaps w:val="false"/>
                  <w:sz w:val="20"/>
                </w:rPr>
                <w:t>June 26, 2026</w:t>
              </w:r>
            </w:hyperlink>
            <w:r>
              <w:rPr>
                <w:rFonts w:ascii="Times New Roman;Times;Serif" w:hAnsi="Times New Roman;Times;Serif"/>
                <w:b w:val="false"/>
                <w:i w:val="false"/>
                <w:caps w:val="false"/>
                <w:smallCaps w:val="false"/>
                <w:sz w:val="20"/>
              </w:rPr>
              <w:t xml:space="preserve">, </w:t>
            </w:r>
            <w:hyperlink r:id="rId53">
              <w:r>
                <w:rPr>
                  <w:rStyle w:val="InternetLink"/>
                  <w:rFonts w:ascii="Times New Roman;Times;Serif" w:hAnsi="Times New Roman;Times;Serif"/>
                  <w:b w:val="false"/>
                  <w:i w:val="false"/>
                  <w:caps w:val="false"/>
                  <w:smallCaps w:val="false"/>
                  <w:sz w:val="20"/>
                </w:rPr>
                <w:t>July 8, 2026</w:t>
              </w:r>
            </w:hyperlink>
            <w:r>
              <w:rPr>
                <w:rFonts w:ascii="Times New Roman;Times;Serif" w:hAnsi="Times New Roman;Times;Serif"/>
                <w:b w:val="false"/>
                <w:i w:val="false"/>
                <w:caps w:val="false"/>
                <w:smallCaps w:val="false"/>
                <w:sz w:val="20"/>
              </w:rPr>
              <w:t xml:space="preserve">, </w:t>
            </w:r>
            <w:hyperlink r:id="rId54">
              <w:r>
                <w:rPr>
                  <w:rStyle w:val="InternetLink"/>
                  <w:rFonts w:ascii="Times New Roman;Times;Serif" w:hAnsi="Times New Roman;Times;Serif"/>
                  <w:b w:val="false"/>
                  <w:i w:val="false"/>
                  <w:caps w:val="false"/>
                  <w:smallCaps w:val="false"/>
                  <w:sz w:val="20"/>
                </w:rPr>
                <w:t>July 21, 2026,</w:t>
              </w:r>
            </w:hyperlink>
            <w:r>
              <w:rPr>
                <w:rFonts w:ascii="Times New Roman;Times;Serif" w:hAnsi="Times New Roman;Times;Serif"/>
                <w:b w:val="false"/>
                <w:i w:val="false"/>
                <w:caps w:val="false"/>
                <w:smallCaps w:val="false"/>
                <w:sz w:val="20"/>
              </w:rPr>
              <w:t xml:space="preserve"> and </w:t>
            </w:r>
            <w:hyperlink r:id="rId55">
              <w:r>
                <w:rPr>
                  <w:rStyle w:val="InternetLink"/>
                  <w:rFonts w:ascii="Times New Roman;Times;Serif" w:hAnsi="Times New Roman;Times;Serif"/>
                  <w:b w:val="false"/>
                  <w:i w:val="false"/>
                  <w:caps w:val="false"/>
                  <w:smallCaps w:val="false"/>
                  <w:sz w:val="20"/>
                </w:rPr>
                <w:t>August 5, 2026</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definitive proxy statement on </w:t>
            </w:r>
            <w:hyperlink r:id="rId56">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for the 2026 Annual Meeting of Stockholders, filed with the SEC on April 29, 2026 (to the extent incorporated by reference into Part III of our Annual Report on </w:t>
            </w:r>
            <w:hyperlink r:id="rId57">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and our definitive proxy statement on </w:t>
            </w:r>
            <w:hyperlink r:id="rId58">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for the Special Meeting of Stockholders, filed with the SEC on April 29, 2026 (to the extent relating to the Externalization, the approval of the Investment Advisory Agreement, Section 15(c) considerations and related conflicts);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contained in </w:t>
            </w:r>
            <w:hyperlink r:id="rId59">
              <w:r>
                <w:rPr>
                  <w:rStyle w:val="InternetLink"/>
                  <w:rFonts w:ascii="Times New Roman;Times;Serif" w:hAnsi="Times New Roman;Times;Serif"/>
                  <w:b w:val="false"/>
                  <w:i w:val="false"/>
                  <w:caps w:val="false"/>
                  <w:smallCaps w:val="false"/>
                  <w:sz w:val="20"/>
                </w:rPr>
                <w:t>Exhibit 4.5</w:t>
              </w:r>
            </w:hyperlink>
            <w:r>
              <w:rPr>
                <w:rFonts w:ascii="Times New Roman;Times;Serif" w:hAnsi="Times New Roman;Times;Serif"/>
                <w:b w:val="false"/>
                <w:i w:val="false"/>
                <w:caps w:val="false"/>
                <w:smallCaps w:val="false"/>
                <w:sz w:val="20"/>
              </w:rPr>
              <w:t xml:space="preserve"> of our Annual Report on </w:t>
            </w:r>
            <w:hyperlink r:id="rId60">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which updated the description thereof in our Registration Statement on </w:t>
            </w:r>
            <w:hyperlink r:id="rId61">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 No. 001-35156), as filed with the SEC on April 27, 2011, including any amendment or report filed for the purpose of updating such description prior to the termination of the offering of the common stock registered hereby.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copies of these filings, see “Available Information” in this prospectus, or you may request a copy of these filings (other than exhibits, unless the exhibits are specifically incorporated by reference into these documents) at no cost by writing or calling the following address and telephone number:</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Capital Corp.</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 Fifth Avenue, 12th Floor</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931-6331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2" w:name="BP_015"/>
      <w:bookmarkEnd w:id="262"/>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N-2 we filed with the SEC under the Securities Act.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with or submit to the SEC annual, quarterly and current reports, proxy statements and other information meeting the informational requirements of the Exchange Act. The SEC maintains a website that contains reports, proxy and information statements and other information filed electronically by us with the SEC, which are available free of charge on the SEC’s website at http://www.sec.gov. This information will also be available free of charge by contacting us at 640 Fifth Avenue, 12th Floor, New York, NY 10019, by telephone at (212) 931-6331, or on our website at neostellar.vc. Information contained on our website or on the SEC’s web site about us is not incorporated into this prospectus and you should not consider information contained on our website or on the SEC’s website to be part of this prospectus.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$500,000,000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Neostellar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C — OTHER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25.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audited consolidated financial statements of Neostellar Capital Corp. (formerly known as SuRo Capital Corp.) and its subsidiaries as of and for the year ended December 31, 2025 are incorporated by reference in Part A of this Registration Statement in reliance on the report of CBIZ CPAs P.C., an independent registered public accounting firm, given on the authority of said firm as experts in auditing and accounting. The financial statements as of and for the year ended December 31, 2024 were audited by Marcum LLP, the Registrant’s former independent registered public accounting firm. The unaudited condensed consolidated financial statements of the Registrant and its subsidiaries as of June 30, 2026 and for the three and six months ended June 30, 2026 and 2025, included in the Registrant’s Quarterly Report on </w:t>
      </w:r>
      <w:hyperlink r:id="rId62">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June 30, 2026, are also incorporated by reference in Part A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60"/>
        <w:gridCol w:w="9912"/>
      </w:tblGrid>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Articles of Amendment and Restatement</w:t>
              </w:r>
            </w:hyperlink>
            <w:hyperlink r:id="rId64">
              <w:r>
                <w:rPr>
                  <w:rStyle w:val="InternetLink"/>
                  <w:rFonts w:ascii="Times New Roman;Times;Serif" w:hAnsi="Times New Roman;Times;Serif"/>
                  <w:b w:val="false"/>
                  <w:i w:val="false"/>
                  <w:caps w:val="false"/>
                  <w:smallCaps w:val="false"/>
                  <w:position w:val="7"/>
                  <w:sz w:val="16"/>
                  <w:sz w:val="20"/>
                </w:rPr>
                <w:t>(1)</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Articles of Amendment</w:t>
              </w:r>
            </w:hyperlink>
            <w:hyperlink r:id="rId66">
              <w:r>
                <w:rPr>
                  <w:rStyle w:val="InternetLink"/>
                  <w:rFonts w:ascii="Times New Roman;Times;Serif" w:hAnsi="Times New Roman;Times;Serif"/>
                  <w:b w:val="false"/>
                  <w:i w:val="false"/>
                  <w:caps w:val="false"/>
                  <w:smallCaps w:val="false"/>
                  <w:position w:val="7"/>
                  <w:sz w:val="16"/>
                  <w:sz w:val="20"/>
                </w:rPr>
                <w:t>(2)</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Articles of Amendment</w:t>
              </w:r>
            </w:hyperlink>
            <w:hyperlink r:id="rId68">
              <w:r>
                <w:rPr>
                  <w:rStyle w:val="InternetLink"/>
                  <w:rFonts w:ascii="Times New Roman;Times;Serif" w:hAnsi="Times New Roman;Times;Serif"/>
                  <w:b w:val="false"/>
                  <w:i w:val="false"/>
                  <w:caps w:val="false"/>
                  <w:smallCaps w:val="false"/>
                  <w:position w:val="7"/>
                  <w:sz w:val="16"/>
                  <w:sz w:val="20"/>
                </w:rPr>
                <w:t>(3)</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Articles of Amendment</w:t>
              </w:r>
            </w:hyperlink>
            <w:hyperlink r:id="rId70">
              <w:r>
                <w:rPr>
                  <w:rStyle w:val="InternetLink"/>
                  <w:rFonts w:ascii="Times New Roman;Times;Serif" w:hAnsi="Times New Roman;Times;Serif"/>
                  <w:b w:val="false"/>
                  <w:i w:val="false"/>
                  <w:caps w:val="false"/>
                  <w:smallCaps w:val="false"/>
                  <w:position w:val="7"/>
                  <w:sz w:val="16"/>
                  <w:sz w:val="20"/>
                </w:rPr>
                <w:t>(4)</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71">
              <w:r>
                <w:rPr>
                  <w:rStyle w:val="InternetLink"/>
                  <w:rFonts w:ascii="Times New Roman;Times;Serif" w:hAnsi="Times New Roman;Times;Serif"/>
                  <w:b w:val="false"/>
                  <w:i w:val="false"/>
                  <w:caps w:val="false"/>
                  <w:smallCaps w:val="false"/>
                  <w:sz w:val="20"/>
                </w:rPr>
                <w:t>Articles of Amendment</w:t>
              </w:r>
            </w:hyperlink>
            <w:hyperlink r:id="rId72">
              <w:r>
                <w:rPr>
                  <w:rStyle w:val="InternetLink"/>
                  <w:rFonts w:ascii="Times New Roman;Times;Serif" w:hAnsi="Times New Roman;Times;Serif"/>
                  <w:b w:val="false"/>
                  <w:i w:val="false"/>
                  <w:caps w:val="false"/>
                  <w:smallCaps w:val="false"/>
                  <w:position w:val="7"/>
                  <w:sz w:val="16"/>
                  <w:sz w:val="20"/>
                </w:rPr>
                <w:t>(17)</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73">
              <w:r>
                <w:rPr>
                  <w:rStyle w:val="InternetLink"/>
                  <w:rFonts w:ascii="Times New Roman;Times;Serif" w:hAnsi="Times New Roman;Times;Serif"/>
                  <w:b w:val="false"/>
                  <w:i w:val="false"/>
                  <w:caps w:val="false"/>
                  <w:smallCaps w:val="false"/>
                  <w:sz w:val="20"/>
                </w:rPr>
                <w:t>Third Amended and Restated Bylaws</w:t>
              </w:r>
            </w:hyperlink>
            <w:hyperlink r:id="rId74">
              <w:r>
                <w:rPr>
                  <w:rStyle w:val="InternetLink"/>
                  <w:rFonts w:ascii="Times New Roman;Times;Serif" w:hAnsi="Times New Roman;Times;Serif"/>
                  <w:b w:val="false"/>
                  <w:i w:val="false"/>
                  <w:caps w:val="false"/>
                  <w:smallCaps w:val="false"/>
                  <w:position w:val="7"/>
                  <w:sz w:val="16"/>
                  <w:sz w:val="20"/>
                </w:rPr>
                <w:t>(17)</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75">
              <w:r>
                <w:rPr>
                  <w:rStyle w:val="InternetLink"/>
                  <w:rFonts w:ascii="Times New Roman;Times;Serif" w:hAnsi="Times New Roman;Times;Serif"/>
                  <w:b w:val="false"/>
                  <w:i w:val="false"/>
                  <w:caps w:val="false"/>
                  <w:smallCaps w:val="false"/>
                  <w:sz w:val="20"/>
                </w:rPr>
                <w:t>Form of Common Stock Certificate</w:t>
              </w:r>
            </w:hyperlink>
            <w:hyperlink r:id="rId76">
              <w:r>
                <w:rPr>
                  <w:rStyle w:val="InternetLink"/>
                  <w:rFonts w:ascii="Times New Roman;Times;Serif" w:hAnsi="Times New Roman;Times;Serif"/>
                  <w:b w:val="false"/>
                  <w:i w:val="false"/>
                  <w:caps w:val="false"/>
                  <w:smallCaps w:val="false"/>
                  <w:position w:val="7"/>
                  <w:sz w:val="16"/>
                  <w:sz w:val="20"/>
                </w:rPr>
                <w:t>(5)</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77">
              <w:r>
                <w:rPr>
                  <w:rStyle w:val="InternetLink"/>
                  <w:rFonts w:ascii="Times New Roman;Times;Serif" w:hAnsi="Times New Roman;Times;Serif"/>
                  <w:b w:val="false"/>
                  <w:i w:val="false"/>
                  <w:caps w:val="false"/>
                  <w:smallCaps w:val="false"/>
                  <w:sz w:val="20"/>
                </w:rPr>
                <w:t>Base Indenture, dated March 28, 2018, by and between the Registrant and U.S. Bank National Association, as trustee</w:t>
              </w:r>
            </w:hyperlink>
            <w:hyperlink r:id="rId78">
              <w:r>
                <w:rPr>
                  <w:rStyle w:val="InternetLink"/>
                  <w:rFonts w:ascii="Times New Roman;Times;Serif" w:hAnsi="Times New Roman;Times;Serif"/>
                  <w:b w:val="false"/>
                  <w:i w:val="false"/>
                  <w:caps w:val="false"/>
                  <w:smallCaps w:val="false"/>
                  <w:position w:val="7"/>
                  <w:sz w:val="16"/>
                  <w:sz w:val="20"/>
                </w:rPr>
                <w:t>(6)</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79">
              <w:r>
                <w:rPr>
                  <w:rStyle w:val="InternetLink"/>
                  <w:rFonts w:ascii="Times New Roman;Times;Serif" w:hAnsi="Times New Roman;Times;Serif"/>
                  <w:b w:val="false"/>
                  <w:i w:val="false"/>
                  <w:caps w:val="false"/>
                  <w:smallCaps w:val="false"/>
                  <w:sz w:val="20"/>
                </w:rPr>
                <w:t>Second Supplemental Indenture, dated December 17, 2021, relating to the 6.00% Notes due 2026, by and between the Company and U.S. Bank National Association, as trustee</w:t>
              </w:r>
            </w:hyperlink>
            <w:hyperlink r:id="rId80">
              <w:r>
                <w:rPr>
                  <w:rStyle w:val="InternetLink"/>
                  <w:rFonts w:ascii="Times New Roman;Times;Serif" w:hAnsi="Times New Roman;Times;Serif"/>
                  <w:b w:val="false"/>
                  <w:i w:val="false"/>
                  <w:caps w:val="false"/>
                  <w:smallCaps w:val="false"/>
                  <w:position w:val="7"/>
                  <w:sz w:val="16"/>
                  <w:sz w:val="20"/>
                </w:rPr>
                <w:t>(7)</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"https://www.sec.gov/Archives/edgar/data/1509470/000110465921150924/tm2135610d1_ex4-2.htm" \l "S1"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Form of 6.00% Notes due 2026 (incorporated by reference to Exhibit d.3)</w:t>
            </w:r>
            <w:r>
              <w:rPr>
                <w:rStyle w:val="InternetLink"/>
                <w:smallCaps w:val="false"/>
                <w:caps w:val="false"/>
                <w:sz w:val="20"/>
                <w:i w:val="false"/>
                <w:b w:val="false"/>
                <w:rFonts w:ascii="Times New Roman;Times;Serif" w:hAnsi="Times New Roman;Times;Serif"/>
              </w:rPr>
              <w:fldChar w:fldCharType="end"/>
            </w:r>
            <w:r>
              <w:fldChar w:fldCharType="begin"/>
            </w:r>
            <w:r>
              <w:rPr>
                <w:rStyle w:val="InternetLink"/>
                <w:smallCaps w:val="false"/>
                <w:caps w:val="false"/>
                <w:position w:val="7"/>
                <w:sz w:val="16"/>
                <w:sz w:val="20"/>
                <w:i w:val="false"/>
                <w:b w:val="false"/>
                <w:rFonts w:ascii="Times New Roman;Times;Serif" w:hAnsi="Times New Roman;Times;Serif"/>
              </w:rPr>
              <w:instrText xml:space="preserve"> HYPERLINK "https://www.sec.gov/Archives/edgar/data/1509470/000110465921150924/tm2135610d1_ex4-2.htm" \l "S1"</w:instrText>
            </w:r>
            <w:r>
              <w:rPr>
                <w:rStyle w:val="InternetLink"/>
                <w:smallCaps w:val="false"/>
                <w:caps w:val="false"/>
                <w:position w:val="7"/>
                <w:sz w:val="16"/>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position w:val="7"/>
                <w:sz w:val="16"/>
                <w:sz w:val="20"/>
              </w:rPr>
              <w:t>(7)</w:t>
            </w:r>
            <w:r>
              <w:rPr>
                <w:rStyle w:val="InternetLink"/>
                <w:smallCaps w:val="false"/>
                <w:caps w:val="false"/>
                <w:position w:val="7"/>
                <w:sz w:val="16"/>
                <w:sz w:val="20"/>
                <w:i w:val="false"/>
                <w:b w:val="false"/>
                <w:rFonts w:ascii="Times New Roman;Times;Serif" w:hAnsi="Times New Roman;Times;Serif"/>
              </w:rPr>
              <w:fldChar w:fldCharType="end"/>
            </w:r>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81">
              <w:r>
                <w:rPr>
                  <w:rStyle w:val="InternetLink"/>
                  <w:rFonts w:ascii="Times New Roman;Times;Serif" w:hAnsi="Times New Roman;Times;Serif"/>
                  <w:b w:val="false"/>
                  <w:i w:val="false"/>
                  <w:caps w:val="false"/>
                  <w:smallCaps w:val="false"/>
                  <w:sz w:val="20"/>
                </w:rPr>
                <w:t>Description of Securities</w:t>
              </w:r>
            </w:hyperlink>
            <w:hyperlink r:id="rId82">
              <w:r>
                <w:rPr>
                  <w:rStyle w:val="InternetLink"/>
                  <w:rFonts w:ascii="Times New Roman;Times;Serif" w:hAnsi="Times New Roman;Times;Serif"/>
                  <w:b w:val="false"/>
                  <w:i w:val="false"/>
                  <w:caps w:val="false"/>
                  <w:smallCaps w:val="false"/>
                  <w:position w:val="7"/>
                  <w:sz w:val="16"/>
                  <w:sz w:val="20"/>
                </w:rPr>
                <w:t>(8)</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83">
              <w:r>
                <w:rPr>
                  <w:rStyle w:val="InternetLink"/>
                  <w:rFonts w:ascii="Times New Roman;Times;Serif" w:hAnsi="Times New Roman;Times;Serif"/>
                  <w:b w:val="false"/>
                  <w:i w:val="false"/>
                  <w:caps w:val="false"/>
                  <w:smallCaps w:val="false"/>
                  <w:sz w:val="20"/>
                </w:rPr>
                <w:t>Dividend Reinvestment Plan</w:t>
              </w:r>
            </w:hyperlink>
            <w:hyperlink r:id="rId84">
              <w:r>
                <w:rPr>
                  <w:rStyle w:val="InternetLink"/>
                  <w:rFonts w:ascii="Times New Roman;Times;Serif" w:hAnsi="Times New Roman;Times;Serif"/>
                  <w:b w:val="false"/>
                  <w:i w:val="false"/>
                  <w:caps w:val="false"/>
                  <w:smallCaps w:val="false"/>
                  <w:position w:val="7"/>
                  <w:sz w:val="16"/>
                  <w:sz w:val="20"/>
                </w:rPr>
                <w:t>(1)</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85">
              <w:r>
                <w:rPr>
                  <w:rStyle w:val="InternetLink"/>
                  <w:rFonts w:ascii="Times New Roman;Times;Serif" w:hAnsi="Times New Roman;Times;Serif"/>
                  <w:b w:val="false"/>
                  <w:i w:val="false"/>
                  <w:caps w:val="false"/>
                  <w:smallCaps w:val="false"/>
                  <w:sz w:val="20"/>
                </w:rPr>
                <w:t>Investment Advisory Agreement, dated July 15, 2026, by and between the Registrant and Neostellar Advisors LLC</w:t>
              </w:r>
            </w:hyperlink>
            <w:hyperlink r:id="rId86">
              <w:r>
                <w:rPr>
                  <w:rStyle w:val="InternetLink"/>
                  <w:rFonts w:ascii="Times New Roman;Times;Serif" w:hAnsi="Times New Roman;Times;Serif"/>
                  <w:b w:val="false"/>
                  <w:i w:val="false"/>
                  <w:caps w:val="false"/>
                  <w:smallCaps w:val="false"/>
                  <w:position w:val="7"/>
                  <w:sz w:val="16"/>
                  <w:sz w:val="20"/>
                </w:rPr>
                <w:t>(18)</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87">
              <w:r>
                <w:rPr>
                  <w:rStyle w:val="InternetLink"/>
                  <w:rFonts w:ascii="Times New Roman;Times;Serif" w:hAnsi="Times New Roman;Times;Serif"/>
                  <w:b w:val="false"/>
                  <w:i w:val="false"/>
                  <w:caps w:val="false"/>
                  <w:smallCaps w:val="false"/>
                  <w:sz w:val="20"/>
                </w:rPr>
                <w:t>At-the-Market Sales Agreement dated as of July 29, 2020, by and among SuRo Capital Corp., BTIG LLC, JMP Securities LLC, and Ladenburg Thalmann &amp; Co., Inc.</w:t>
              </w:r>
            </w:hyperlink>
            <w:hyperlink r:id="rId88">
              <w:r>
                <w:rPr>
                  <w:rStyle w:val="InternetLink"/>
                  <w:rFonts w:ascii="Times New Roman;Times;Serif" w:hAnsi="Times New Roman;Times;Serif"/>
                  <w:b w:val="false"/>
                  <w:i w:val="false"/>
                  <w:caps w:val="false"/>
                  <w:smallCaps w:val="false"/>
                  <w:position w:val="7"/>
                  <w:sz w:val="16"/>
                  <w:sz w:val="20"/>
                </w:rPr>
                <w:t>(9)</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89">
              <w:r>
                <w:rPr>
                  <w:rStyle w:val="InternetLink"/>
                  <w:rFonts w:ascii="Times New Roman;Times;Serif" w:hAnsi="Times New Roman;Times;Serif"/>
                  <w:b w:val="false"/>
                  <w:i w:val="false"/>
                  <w:caps w:val="false"/>
                  <w:smallCaps w:val="false"/>
                  <w:sz w:val="20"/>
                </w:rPr>
                <w:t>Amendment No. 1 to the At-the-Market Sales Agreement, dated as of September 23, 2020, by and among SuRo Capital Corp., BTIG LLC, JMP Securities LLC, and Ladenburg Thalmann &amp; Co., Inc.</w:t>
              </w:r>
            </w:hyperlink>
            <w:hyperlink r:id="rId90">
              <w:r>
                <w:rPr>
                  <w:rStyle w:val="InternetLink"/>
                  <w:rFonts w:ascii="Times New Roman;Times;Serif" w:hAnsi="Times New Roman;Times;Serif"/>
                  <w:b w:val="false"/>
                  <w:i w:val="false"/>
                  <w:caps w:val="false"/>
                  <w:smallCaps w:val="false"/>
                  <w:position w:val="7"/>
                  <w:sz w:val="16"/>
                  <w:sz w:val="20"/>
                </w:rPr>
                <w:t>(10)</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91">
              <w:r>
                <w:rPr>
                  <w:rStyle w:val="InternetLink"/>
                  <w:rFonts w:ascii="Times New Roman;Times;Serif" w:hAnsi="Times New Roman;Times;Serif"/>
                  <w:b w:val="false"/>
                  <w:i w:val="false"/>
                  <w:caps w:val="false"/>
                  <w:smallCaps w:val="false"/>
                  <w:sz w:val="20"/>
                </w:rPr>
                <w:t>Amendment No. 2 to the At-the-Market Sales Agreement, dated as of November 8, 2024, by and among SuRo Capital Corp., BTIG, LLC, Citizens JMP Securities, LLC, Ladenburg Thalmann &amp; Co. Inc., and Barrington Research Associates, Inc.</w:t>
              </w:r>
            </w:hyperlink>
            <w:hyperlink r:id="rId92">
              <w:r>
                <w:rPr>
                  <w:rStyle w:val="InternetLink"/>
                  <w:rFonts w:ascii="Times New Roman;Times;Serif" w:hAnsi="Times New Roman;Times;Serif"/>
                  <w:b w:val="false"/>
                  <w:i w:val="false"/>
                  <w:caps w:val="false"/>
                  <w:smallCaps w:val="false"/>
                  <w:position w:val="7"/>
                  <w:sz w:val="16"/>
                  <w:sz w:val="20"/>
                </w:rPr>
                <w:t>(14)</w:t>
              </w:r>
            </w:hyperlink>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271"/>
        <w:gridCol w:w="60"/>
        <w:gridCol w:w="9874"/>
      </w:tblGrid>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93">
              <w:r>
                <w:rPr>
                  <w:rStyle w:val="InternetLink"/>
                  <w:rFonts w:ascii="Times New Roman;Times;Serif" w:hAnsi="Times New Roman;Times;Serif"/>
                  <w:b w:val="false"/>
                  <w:i w:val="false"/>
                  <w:caps w:val="false"/>
                  <w:smallCaps w:val="false"/>
                  <w:sz w:val="20"/>
                </w:rPr>
                <w:t>Custody Agreement, dated April 19, 2023, by and between the Registrant and Western Alliance Trust Company, N.A., as Custodian</w:t>
              </w:r>
            </w:hyperlink>
            <w:hyperlink r:id="rId94">
              <w:r>
                <w:rPr>
                  <w:rStyle w:val="InternetLink"/>
                  <w:rFonts w:ascii="Times New Roman;Times;Serif" w:hAnsi="Times New Roman;Times;Serif"/>
                  <w:b w:val="false"/>
                  <w:i w:val="false"/>
                  <w:caps w:val="false"/>
                  <w:smallCaps w:val="false"/>
                  <w:position w:val="7"/>
                  <w:sz w:val="16"/>
                  <w:sz w:val="20"/>
                </w:rPr>
                <w:t>(11)</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95">
              <w:r>
                <w:rPr>
                  <w:rStyle w:val="InternetLink"/>
                  <w:rFonts w:ascii="Times New Roman;Times;Serif" w:hAnsi="Times New Roman;Times;Serif"/>
                  <w:b w:val="false"/>
                  <w:i w:val="false"/>
                  <w:caps w:val="false"/>
                  <w:smallCaps w:val="false"/>
                  <w:sz w:val="20"/>
                </w:rPr>
                <w:t>Administration Agreement, dated July 15, 2026, by and between the Registrant and Neostellar Administrative Services LLC</w:t>
              </w:r>
            </w:hyperlink>
            <w:hyperlink r:id="rId96">
              <w:r>
                <w:rPr>
                  <w:rStyle w:val="InternetLink"/>
                  <w:rFonts w:ascii="Times New Roman;Times;Serif" w:hAnsi="Times New Roman;Times;Serif"/>
                  <w:b w:val="false"/>
                  <w:i w:val="false"/>
                  <w:caps w:val="false"/>
                  <w:smallCaps w:val="false"/>
                  <w:position w:val="7"/>
                  <w:sz w:val="16"/>
                  <w:sz w:val="20"/>
                </w:rPr>
                <w:t>(18)</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97">
              <w:r>
                <w:rPr>
                  <w:rStyle w:val="InternetLink"/>
                  <w:rFonts w:ascii="Times New Roman;Times;Serif" w:hAnsi="Times New Roman;Times;Serif"/>
                  <w:b w:val="false"/>
                  <w:i w:val="false"/>
                  <w:caps w:val="false"/>
                  <w:smallCaps w:val="false"/>
                  <w:sz w:val="20"/>
                </w:rPr>
                <w:t>Form of Indemnification Agreement by and between the Company and each of its directors</w:t>
              </w:r>
            </w:hyperlink>
            <w:hyperlink r:id="rId98">
              <w:r>
                <w:rPr>
                  <w:rStyle w:val="InternetLink"/>
                  <w:rFonts w:ascii="Times New Roman;Times;Serif" w:hAnsi="Times New Roman;Times;Serif"/>
                  <w:b w:val="false"/>
                  <w:i w:val="false"/>
                  <w:caps w:val="false"/>
                  <w:smallCaps w:val="false"/>
                  <w:position w:val="7"/>
                  <w:sz w:val="16"/>
                  <w:sz w:val="20"/>
                </w:rPr>
                <w:t>(1)</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99">
              <w:r>
                <w:rPr>
                  <w:rStyle w:val="InternetLink"/>
                  <w:rFonts w:ascii="Times New Roman;Times;Serif" w:hAnsi="Times New Roman;Times;Serif"/>
                  <w:b w:val="false"/>
                  <w:i w:val="false"/>
                  <w:caps w:val="false"/>
                  <w:smallCaps w:val="false"/>
                  <w:sz w:val="20"/>
                </w:rPr>
                <w:t>Notes Purchase Agreement, dated August 6, 2024, by and between the Registrant and the purchaser party thereto</w:t>
              </w:r>
            </w:hyperlink>
            <w:hyperlink r:id="rId100">
              <w:r>
                <w:rPr>
                  <w:rStyle w:val="InternetLink"/>
                  <w:rFonts w:ascii="Times New Roman;Times;Serif" w:hAnsi="Times New Roman;Times;Serif"/>
                  <w:b w:val="false"/>
                  <w:i w:val="false"/>
                  <w:caps w:val="false"/>
                  <w:smallCaps w:val="false"/>
                  <w:position w:val="7"/>
                  <w:sz w:val="16"/>
                  <w:sz w:val="20"/>
                </w:rPr>
                <w:t>(15)</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101">
              <w:r>
                <w:rPr>
                  <w:rStyle w:val="InternetLink"/>
                  <w:rFonts w:ascii="Times New Roman;Times;Serif" w:hAnsi="Times New Roman;Times;Serif"/>
                  <w:b w:val="false"/>
                  <w:i w:val="false"/>
                  <w:caps w:val="false"/>
                  <w:smallCaps w:val="false"/>
                  <w:sz w:val="20"/>
                </w:rPr>
                <w:t>Amended and Restated Notes Purchase Agreement, dated December 12, 2025, by and between the Registrant and the purchaser party thereto</w:t>
              </w:r>
            </w:hyperlink>
            <w:hyperlink r:id="rId102">
              <w:r>
                <w:rPr>
                  <w:rStyle w:val="InternetLink"/>
                  <w:rFonts w:ascii="Times New Roman;Times;Serif" w:hAnsi="Times New Roman;Times;Serif"/>
                  <w:b w:val="false"/>
                  <w:i w:val="false"/>
                  <w:caps w:val="false"/>
                  <w:smallCaps w:val="false"/>
                  <w:position w:val="7"/>
                  <w:sz w:val="16"/>
                  <w:sz w:val="20"/>
                </w:rPr>
                <w:t>(16)</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103">
              <w:r>
                <w:rPr>
                  <w:rStyle w:val="InternetLink"/>
                  <w:rFonts w:ascii="Times New Roman;Times;Serif" w:hAnsi="Times New Roman;Times;Serif"/>
                  <w:b w:val="false"/>
                  <w:i w:val="false"/>
                  <w:caps w:val="false"/>
                  <w:smallCaps w:val="false"/>
                  <w:sz w:val="20"/>
                </w:rPr>
                <w:t>Securities Purchase Agreement, dated June 26, 2026, by and between the Registrant and MCP Investing LLC</w:t>
              </w:r>
            </w:hyperlink>
            <w:hyperlink r:id="rId104">
              <w:r>
                <w:rPr>
                  <w:rStyle w:val="InternetLink"/>
                  <w:rFonts w:ascii="Times New Roman;Times;Serif" w:hAnsi="Times New Roman;Times;Serif"/>
                  <w:b w:val="false"/>
                  <w:i w:val="false"/>
                  <w:caps w:val="false"/>
                  <w:smallCaps w:val="false"/>
                  <w:position w:val="7"/>
                  <w:sz w:val="16"/>
                  <w:sz w:val="20"/>
                </w:rPr>
                <w:t>(18)</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105">
              <w:r>
                <w:rPr>
                  <w:rStyle w:val="InternetLink"/>
                  <w:rFonts w:ascii="Times New Roman;Times;Serif" w:hAnsi="Times New Roman;Times;Serif"/>
                  <w:b w:val="false"/>
                  <w:i w:val="false"/>
                  <w:caps w:val="false"/>
                  <w:smallCaps w:val="false"/>
                  <w:sz w:val="20"/>
                </w:rPr>
                <w:t>Redeemable Promissory Note, dated July 16, 2026, issued by the Registrant to MCP Investing LLC</w:t>
              </w:r>
            </w:hyperlink>
            <w:hyperlink r:id="rId106">
              <w:r>
                <w:rPr>
                  <w:rStyle w:val="InternetLink"/>
                  <w:rFonts w:ascii="Times New Roman;Times;Serif" w:hAnsi="Times New Roman;Times;Serif"/>
                  <w:b w:val="false"/>
                  <w:i w:val="false"/>
                  <w:caps w:val="false"/>
                  <w:smallCaps w:val="false"/>
                  <w:position w:val="7"/>
                  <w:sz w:val="16"/>
                  <w:sz w:val="20"/>
                </w:rPr>
                <w:t>(18)</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107">
              <w:r>
                <w:rPr>
                  <w:rStyle w:val="InternetLink"/>
                  <w:rFonts w:ascii="Times New Roman;Times;Serif" w:hAnsi="Times New Roman;Times;Serif"/>
                  <w:b w:val="false"/>
                  <w:i w:val="false"/>
                  <w:caps w:val="false"/>
                  <w:smallCaps w:val="false"/>
                  <w:sz w:val="20"/>
                </w:rPr>
                <w:t>Opinion and Consent of Eversheds Sutherland (US) LLP</w:t>
              </w:r>
            </w:hyperlink>
            <w:hyperlink r:id="rId108">
              <w:r>
                <w:rPr>
                  <w:rStyle w:val="InternetLink"/>
                  <w:rFonts w:ascii="Times New Roman;Times;Serif" w:hAnsi="Times New Roman;Times;Serif"/>
                  <w:b w:val="false"/>
                  <w:i w:val="false"/>
                  <w:caps w:val="false"/>
                  <w:smallCaps w:val="false"/>
                  <w:position w:val="7"/>
                  <w:sz w:val="16"/>
                  <w:sz w:val="20"/>
                </w:rPr>
                <w:t>(19)</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w:anchor="exn-1.htm">
              <w:r>
                <w:rPr>
                  <w:rStyle w:val="InternetLink"/>
                  <w:rFonts w:ascii="Times New Roman;Times;Serif" w:hAnsi="Times New Roman;Times;Serif"/>
                  <w:b w:val="false"/>
                  <w:i w:val="false"/>
                  <w:caps w:val="false"/>
                  <w:smallCaps w:val="false"/>
                  <w:sz w:val="20"/>
                </w:rPr>
                <w:t>Consent of Marcum LLP*</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w:anchor="exn-2.htm">
              <w:r>
                <w:rPr>
                  <w:rStyle w:val="InternetLink"/>
                  <w:rFonts w:ascii="Times New Roman;Times;Serif" w:hAnsi="Times New Roman;Times;Serif"/>
                  <w:b w:val="false"/>
                  <w:i w:val="false"/>
                  <w:caps w:val="false"/>
                  <w:smallCaps w:val="false"/>
                  <w:sz w:val="20"/>
                </w:rPr>
                <w:t>Consent of CBIZ CPAs P.C.*</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109">
              <w:r>
                <w:rPr>
                  <w:rStyle w:val="InternetLink"/>
                  <w:rFonts w:ascii="Times New Roman;Times;Serif" w:hAnsi="Times New Roman;Times;Serif"/>
                  <w:b w:val="false"/>
                  <w:i w:val="false"/>
                  <w:caps w:val="false"/>
                  <w:smallCaps w:val="false"/>
                  <w:sz w:val="20"/>
                </w:rPr>
                <w:t>Report of Marcum LLP regarding the Senior Securities table</w:t>
              </w:r>
            </w:hyperlink>
            <w:hyperlink r:id="rId110">
              <w:r>
                <w:rPr>
                  <w:rStyle w:val="InternetLink"/>
                  <w:rFonts w:ascii="Times New Roman;Times;Serif" w:hAnsi="Times New Roman;Times;Serif"/>
                  <w:b w:val="false"/>
                  <w:i w:val="false"/>
                  <w:caps w:val="false"/>
                  <w:smallCaps w:val="false"/>
                  <w:position w:val="7"/>
                  <w:sz w:val="16"/>
                  <w:sz w:val="20"/>
                </w:rPr>
                <w:t>(20)</w:t>
              </w:r>
            </w:hyperlink>
            <w:hyperlink r:id="rId111">
              <w:r>
                <w:rPr>
                  <w:rStyle w:val="InternetLink"/>
                  <w:rFonts w:ascii="Times New Roman;Times;Serif" w:hAnsi="Times New Roman;Times;Serif"/>
                  <w:b w:val="false"/>
                  <w:i w:val="false"/>
                  <w:caps w:val="false"/>
                  <w:smallCaps w:val="false"/>
                  <w:sz w:val="20"/>
                </w:rPr>
                <w:t> </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112">
              <w:r>
                <w:rPr>
                  <w:rStyle w:val="InternetLink"/>
                  <w:rFonts w:ascii="Times New Roman;Times;Serif" w:hAnsi="Times New Roman;Times;Serif"/>
                  <w:b w:val="false"/>
                  <w:i w:val="false"/>
                  <w:caps w:val="false"/>
                  <w:smallCaps w:val="false"/>
                  <w:sz w:val="20"/>
                </w:rPr>
                <w:t>Report of CBIZ CPAs P.C. regarding the Senior Securities table</w:t>
              </w:r>
            </w:hyperlink>
            <w:hyperlink r:id="rId113">
              <w:r>
                <w:rPr>
                  <w:rStyle w:val="InternetLink"/>
                  <w:rFonts w:ascii="Times New Roman;Times;Serif" w:hAnsi="Times New Roman;Times;Serif"/>
                  <w:b w:val="false"/>
                  <w:i w:val="false"/>
                  <w:caps w:val="false"/>
                  <w:smallCaps w:val="false"/>
                  <w:position w:val="7"/>
                  <w:sz w:val="16"/>
                  <w:sz w:val="20"/>
                </w:rPr>
                <w:t>(16)</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114">
              <w:r>
                <w:rPr>
                  <w:rStyle w:val="InternetLink"/>
                  <w:rFonts w:ascii="Times New Roman;Times;Serif" w:hAnsi="Times New Roman;Times;Serif"/>
                  <w:b w:val="false"/>
                  <w:i w:val="false"/>
                  <w:caps w:val="false"/>
                  <w:smallCaps w:val="false"/>
                  <w:sz w:val="20"/>
                </w:rPr>
                <w:t>Code of Ethics</w:t>
              </w:r>
            </w:hyperlink>
            <w:hyperlink r:id="rId115">
              <w:r>
                <w:rPr>
                  <w:rStyle w:val="InternetLink"/>
                  <w:rFonts w:ascii="Times New Roman;Times;Serif" w:hAnsi="Times New Roman;Times;Serif"/>
                  <w:b w:val="false"/>
                  <w:i w:val="false"/>
                  <w:caps w:val="false"/>
                  <w:smallCaps w:val="false"/>
                  <w:position w:val="7"/>
                  <w:sz w:val="16"/>
                  <w:sz w:val="20"/>
                </w:rPr>
                <w:t>(12)</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116">
              <w:r>
                <w:rPr>
                  <w:rStyle w:val="InternetLink"/>
                  <w:rFonts w:ascii="Times New Roman;Times;Serif" w:hAnsi="Times New Roman;Times;Serif"/>
                  <w:b w:val="false"/>
                  <w:i w:val="false"/>
                  <w:caps w:val="false"/>
                  <w:smallCaps w:val="false"/>
                  <w:sz w:val="20"/>
                </w:rPr>
                <w:t>Code of Business Conduct and Ethics</w:t>
              </w:r>
            </w:hyperlink>
            <w:hyperlink r:id="rId117">
              <w:r>
                <w:rPr>
                  <w:rStyle w:val="InternetLink"/>
                  <w:rFonts w:ascii="Times New Roman;Times;Serif" w:hAnsi="Times New Roman;Times;Serif"/>
                  <w:b w:val="false"/>
                  <w:i w:val="false"/>
                  <w:caps w:val="false"/>
                  <w:smallCaps w:val="false"/>
                  <w:position w:val="7"/>
                  <w:sz w:val="16"/>
                  <w:sz w:val="20"/>
                </w:rPr>
                <w:t>(13)</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118">
              <w:r>
                <w:rPr>
                  <w:rStyle w:val="InternetLink"/>
                  <w:rFonts w:ascii="Times New Roman;Times;Serif" w:hAnsi="Times New Roman;Times;Serif"/>
                  <w:b w:val="false"/>
                  <w:i w:val="false"/>
                  <w:caps w:val="false"/>
                  <w:smallCaps w:val="false"/>
                  <w:sz w:val="20"/>
                </w:rPr>
                <w:t>Joint Code of Ethics of the Registrant and Neostellar Advisors LLC</w:t>
              </w:r>
            </w:hyperlink>
            <w:hyperlink r:id="rId119">
              <w:r>
                <w:rPr>
                  <w:rStyle w:val="InternetLink"/>
                  <w:rFonts w:ascii="Times New Roman;Times;Serif" w:hAnsi="Times New Roman;Times;Serif"/>
                  <w:b w:val="false"/>
                  <w:i w:val="false"/>
                  <w:caps w:val="false"/>
                  <w:smallCaps w:val="false"/>
                  <w:position w:val="7"/>
                  <w:sz w:val="16"/>
                  <w:sz w:val="20"/>
                </w:rPr>
                <w:t>(19)</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120">
              <w:r>
                <w:rPr>
                  <w:rStyle w:val="InternetLink"/>
                  <w:rFonts w:ascii="Times New Roman;Times;Serif" w:hAnsi="Times New Roman;Times;Serif"/>
                  <w:b w:val="false"/>
                  <w:i w:val="false"/>
                  <w:caps w:val="false"/>
                  <w:smallCaps w:val="false"/>
                  <w:sz w:val="20"/>
                </w:rPr>
                <w:t>Calculation of Filing Fee Table</w:t>
              </w:r>
            </w:hyperlink>
            <w:hyperlink r:id="rId121">
              <w:r>
                <w:rPr>
                  <w:rStyle w:val="InternetLink"/>
                  <w:rFonts w:ascii="Times New Roman;Times;Serif" w:hAnsi="Times New Roman;Times;Serif"/>
                  <w:b w:val="false"/>
                  <w:i w:val="false"/>
                  <w:caps w:val="false"/>
                  <w:smallCaps w:val="false"/>
                  <w:position w:val="7"/>
                  <w:sz w:val="16"/>
                  <w:sz w:val="20"/>
                </w:rPr>
                <w:t>(19)</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"https://www.sec.gov/Archives/edgar/data/1509470/000149315226035527/formn-2.htm" \l "poa_001"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w:t>
            </w:r>
            <w:r>
              <w:rPr>
                <w:rStyle w:val="InternetLink"/>
                <w:smallCaps w:val="false"/>
                <w:caps w:val="false"/>
                <w:sz w:val="20"/>
                <w:i w:val="false"/>
                <w:b w:val="false"/>
                <w:rFonts w:ascii="Times New Roman;Times;Serif" w:hAnsi="Times New Roman;Times;Serif"/>
              </w:rPr>
              <w:fldChar w:fldCharType="end"/>
            </w:r>
            <w:r>
              <w:fldChar w:fldCharType="begin"/>
            </w:r>
            <w:r>
              <w:rPr>
                <w:rStyle w:val="InternetLink"/>
                <w:smallCaps w:val="false"/>
                <w:caps w:val="false"/>
                <w:position w:val="7"/>
                <w:sz w:val="16"/>
                <w:sz w:val="20"/>
                <w:i w:val="false"/>
                <w:b w:val="false"/>
                <w:rFonts w:ascii="Times New Roman;Times;Serif" w:hAnsi="Times New Roman;Times;Serif"/>
              </w:rPr>
              <w:instrText xml:space="preserve"> HYPERLINK "https://www.sec.gov/Archives/edgar/data/1509470/000149315226035527/formn-2.htm" \l "poa_001"</w:instrText>
            </w:r>
            <w:r>
              <w:rPr>
                <w:rStyle w:val="InternetLink"/>
                <w:smallCaps w:val="false"/>
                <w:caps w:val="false"/>
                <w:position w:val="7"/>
                <w:sz w:val="16"/>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position w:val="7"/>
                <w:sz w:val="16"/>
                <w:sz w:val="20"/>
              </w:rPr>
              <w:t>(19)</w:t>
            </w:r>
            <w:r>
              <w:rPr>
                <w:rStyle w:val="InternetLink"/>
                <w:smallCaps w:val="false"/>
                <w:caps w:val="false"/>
                <w:position w:val="7"/>
                <w:sz w:val="16"/>
                <w:sz w:val="20"/>
                <w:i w:val="false"/>
                <w:b w:val="false"/>
                <w:rFonts w:ascii="Times New Roman;Times;Serif" w:hAnsi="Times New Roman;Times;Serif"/>
              </w:rPr>
              <w:fldChar w:fldCharType="end"/>
            </w:r>
          </w:p>
        </w:tc>
      </w:tr>
    </w:tbl>
    <w:p>
      <w:pPr>
        <w:pStyle w:val="TextBody"/>
        <w:bidi w:val="0"/>
        <w:spacing w:before="0" w:after="0"/>
        <w:ind w:left="0" w:right="0" w:hanging="0"/>
        <w:jc w:val="both"/>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Pre-Effective Amendment No. 2 to the Registrant’s Registration Statement on Form N-2 (File No. 333-171578), filed on March 30, 2011, and incorporated by reference herein.</w:t>
            </w:r>
          </w:p>
        </w:tc>
      </w:tr>
      <w:tr>
        <w:trPr/>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June 1, 2011, and incorporated by reference herein.</w:t>
            </w:r>
          </w:p>
        </w:tc>
      </w:tr>
      <w:tr>
        <w:trPr/>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August 1, 2019, and incorporated by reference herein.</w:t>
            </w:r>
          </w:p>
        </w:tc>
      </w:tr>
      <w:tr>
        <w:trPr/>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June 16, 2020, and incorporated by reference herein.</w:t>
            </w:r>
          </w:p>
        </w:tc>
      </w:tr>
      <w:tr>
        <w:trPr/>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Pre-Effective Amendment No. 3 to the Registrant’s Registration Statement on Form N-2 (File No. 333-175655), filed on September 20, 2011, and incorporated by reference herein.</w:t>
            </w:r>
          </w:p>
        </w:tc>
      </w:tr>
      <w:tr>
        <w:trPr/>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Registration Statement on Form N-2 (File No. 333-239681), filed on July 2, 2020 and incorporated by reference herein.</w:t>
            </w:r>
          </w:p>
        </w:tc>
      </w:tr>
      <w:tr>
        <w:trPr/>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December 17, 2021 and incorporated by reference herein.</w:t>
            </w:r>
          </w:p>
        </w:tc>
      </w:tr>
      <w:tr>
        <w:trPr/>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Annual Report on Form 10-K (File No. 814-00852) filed on March 11, 2022 and incorporated by reference herein.</w:t>
            </w:r>
          </w:p>
        </w:tc>
      </w:tr>
    </w:tbl>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346"/>
        <w:gridCol w:w="9859"/>
      </w:tblGrid>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August 3, 2020 and incorporated by reference herein.</w:t>
            </w:r>
          </w:p>
        </w:tc>
      </w:tr>
      <w:tr>
        <w:trPr/>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September 23, 2020 and incorporated by reference herein.</w:t>
            </w:r>
          </w:p>
        </w:tc>
      </w:tr>
      <w:tr>
        <w:trPr/>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April 20, 2023 and incorporated by reference herein.</w:t>
            </w:r>
          </w:p>
        </w:tc>
      </w:tr>
      <w:tr>
        <w:trPr/>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Annual Report on Form 10-K (File No. 814-00852), filed on March 16, 2023 and incorporated by reference herein.</w:t>
            </w:r>
          </w:p>
        </w:tc>
      </w:tr>
      <w:tr>
        <w:trPr/>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Annual Report on Form 10-K (File No. 814-00852), filed on March 13, 2020 and incorporated by reference herein.</w:t>
            </w:r>
          </w:p>
        </w:tc>
      </w:tr>
      <w:tr>
        <w:trPr/>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November 8, 2024 and incorporated by reference herein.</w:t>
            </w:r>
          </w:p>
        </w:tc>
      </w:tr>
      <w:tr>
        <w:trPr/>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Quarterly Report on Form 10-Q (File No. 814-00852), filed on August 8, 2024 and incorporated by reference herein.</w:t>
            </w:r>
          </w:p>
        </w:tc>
      </w:tr>
      <w:tr>
        <w:trPr/>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Annual Report on Form 10-K (File No. 814-00852), filed on March 11, 2026, and incorporated by reference herein.</w:t>
            </w:r>
          </w:p>
        </w:tc>
      </w:tr>
      <w:tr>
        <w:trPr/>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June 26, 2026, and incorporated by reference herein.</w:t>
            </w:r>
          </w:p>
        </w:tc>
      </w:tr>
      <w:tr>
        <w:trPr/>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July 21, 2026, and incorporated by reference herein.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8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Registration Statement on Form N-2 (File No. 333-297852) filed on July 31, 2026, and incorporated by reference herein.</w:t>
            </w:r>
          </w:p>
        </w:tc>
      </w:tr>
      <w:tr>
        <w:trPr/>
        <w:tc>
          <w:tcPr>
            <w:tcW w:w="327" w:type="dxa"/>
            <w:tcBorders/>
            <w:vAlign w:val="center"/>
          </w:tcPr>
          <w:p>
            <w:pPr>
              <w:pStyle w:val="TableContents"/>
              <w:bidi w:val="0"/>
              <w:spacing w:before="0" w:after="283"/>
              <w:jc w:val="both"/>
              <w:rPr>
                <w:caps w:val="false"/>
                <w:smallCaps w:val="false"/>
              </w:rPr>
            </w:pPr>
            <w:r>
              <w:rPr>
                <w:caps w:val="false"/>
                <w:smallCaps w:val="false"/>
              </w:rPr>
              <w:t> </w:t>
            </w:r>
          </w:p>
        </w:tc>
        <w:tc>
          <w:tcPr>
            <w:tcW w:w="98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8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Annual Report on Form 10-K (File No. 814-00852), filed on March 11, 2026, and with the Registrant’s Amendment No. 1 to the Annual Report on Form 10-K/A (File No. 814-00852), filed on September 23, 2026, incorporated by reference 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26. MARKETING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under the heading “Plan of Distribution” in Part A of this Registration Statement is incorporated herein by reference and any information concerning any underwriters for a particular offering will be contained in the prospectus supplement related to that offering.</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27. OTHER EXPENSES OF ISSUANCE AND DISTRIBUTION</w:t>
      </w:r>
    </w:p>
    <w:p>
      <w:pPr>
        <w:pStyle w:val="TextBody"/>
        <w:bidi w:val="0"/>
        <w:spacing w:before="0" w:after="0"/>
        <w:ind w:left="0" w:right="0" w:hanging="0"/>
        <w:jc w:val="both"/>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2900"/>
        <w:gridCol w:w="60"/>
        <w:gridCol w:w="140"/>
        <w:gridCol w:w="800"/>
        <w:gridCol w:w="155"/>
      </w:tblGrid>
      <w:tr>
        <w:trPr/>
        <w:tc>
          <w:tcPr>
            <w:tcW w:w="2900" w:type="dxa"/>
            <w:tcBorders/>
            <w:shd w:fill="CCEEFF" w:val="clear"/>
            <w:vAlign w:val="center"/>
          </w:tcPr>
          <w:p>
            <w:pPr>
              <w:pStyle w:val="TableContents"/>
              <w:bidi w:val="0"/>
              <w:spacing w:before="0" w:after="283"/>
              <w:jc w:val="both"/>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15,312</w:t>
            </w:r>
          </w:p>
        </w:tc>
        <w:tc>
          <w:tcPr>
            <w:tcW w:w="15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both"/>
              <w:rPr/>
            </w:pPr>
            <w:r>
              <w:rPr/>
              <w:t>FINRA filing fee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75,500</w:t>
            </w:r>
          </w:p>
        </w:tc>
        <w:tc>
          <w:tcPr>
            <w:tcW w:w="155" w:type="dxa"/>
            <w:tcBorders/>
            <w:shd w:fill="FFFFFF" w:val="clear"/>
            <w:vAlign w:val="center"/>
          </w:tcPr>
          <w:p>
            <w:pPr>
              <w:pStyle w:val="TableContents"/>
              <w:bidi w:val="0"/>
              <w:spacing w:before="0" w:after="283"/>
              <w:jc w:val="left"/>
              <w:rPr/>
            </w:pPr>
            <w:r>
              <w:rPr/>
              <w:t>*</w:t>
            </w:r>
          </w:p>
        </w:tc>
      </w:tr>
      <w:tr>
        <w:trPr/>
        <w:tc>
          <w:tcPr>
            <w:tcW w:w="2900" w:type="dxa"/>
            <w:tcBorders/>
            <w:shd w:fill="CCEEFF" w:val="clear"/>
            <w:vAlign w:val="center"/>
          </w:tcPr>
          <w:p>
            <w:pPr>
              <w:pStyle w:val="TableContents"/>
              <w:bidi w:val="0"/>
              <w:spacing w:before="0" w:after="283"/>
              <w:jc w:val="both"/>
              <w:rPr/>
            </w:pPr>
            <w:r>
              <w:rPr/>
              <w:t>Nasdaq Global Select Market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30,000</w:t>
            </w:r>
          </w:p>
        </w:tc>
        <w:tc>
          <w:tcPr>
            <w:tcW w:w="155" w:type="dxa"/>
            <w:tcBorders/>
            <w:shd w:fill="CCEEFF" w:val="clear"/>
            <w:vAlign w:val="center"/>
          </w:tcPr>
          <w:p>
            <w:pPr>
              <w:pStyle w:val="TableContents"/>
              <w:bidi w:val="0"/>
              <w:spacing w:before="0" w:after="283"/>
              <w:jc w:val="left"/>
              <w:rPr/>
            </w:pPr>
            <w:r>
              <w:rPr/>
              <w:t>*</w:t>
            </w:r>
          </w:p>
        </w:tc>
      </w:tr>
      <w:tr>
        <w:trPr/>
        <w:tc>
          <w:tcPr>
            <w:tcW w:w="2900" w:type="dxa"/>
            <w:tcBorders/>
            <w:shd w:fill="FFFFFF" w:val="clear"/>
            <w:vAlign w:val="center"/>
          </w:tcPr>
          <w:p>
            <w:pPr>
              <w:pStyle w:val="TableContents"/>
              <w:bidi w:val="0"/>
              <w:spacing w:before="0" w:after="283"/>
              <w:jc w:val="both"/>
              <w:rPr/>
            </w:pPr>
            <w:r>
              <w:rPr/>
              <w:t>Printing and postage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75,000</w:t>
            </w:r>
          </w:p>
        </w:tc>
        <w:tc>
          <w:tcPr>
            <w:tcW w:w="155" w:type="dxa"/>
            <w:tcBorders/>
            <w:shd w:fill="FFFFFF" w:val="clear"/>
            <w:vAlign w:val="center"/>
          </w:tcPr>
          <w:p>
            <w:pPr>
              <w:pStyle w:val="TableContents"/>
              <w:bidi w:val="0"/>
              <w:spacing w:before="0" w:after="283"/>
              <w:jc w:val="left"/>
              <w:rPr/>
            </w:pPr>
            <w:r>
              <w:rPr/>
              <w:t>*</w:t>
            </w:r>
          </w:p>
        </w:tc>
      </w:tr>
      <w:tr>
        <w:trPr/>
        <w:tc>
          <w:tcPr>
            <w:tcW w:w="2900" w:type="dxa"/>
            <w:tcBorders/>
            <w:shd w:fill="CCEEFF" w:val="clear"/>
            <w:vAlign w:val="center"/>
          </w:tcPr>
          <w:p>
            <w:pPr>
              <w:pStyle w:val="TableContents"/>
              <w:bidi w:val="0"/>
              <w:spacing w:before="0" w:after="283"/>
              <w:jc w:val="both"/>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500,000</w:t>
            </w:r>
          </w:p>
        </w:tc>
        <w:tc>
          <w:tcPr>
            <w:tcW w:w="155" w:type="dxa"/>
            <w:tcBorders/>
            <w:shd w:fill="CCEEFF" w:val="clear"/>
            <w:vAlign w:val="center"/>
          </w:tcPr>
          <w:p>
            <w:pPr>
              <w:pStyle w:val="TableContents"/>
              <w:bidi w:val="0"/>
              <w:spacing w:before="0" w:after="283"/>
              <w:jc w:val="left"/>
              <w:rPr/>
            </w:pPr>
            <w:r>
              <w:rPr/>
              <w:t>*</w:t>
            </w:r>
          </w:p>
        </w:tc>
      </w:tr>
      <w:tr>
        <w:trPr/>
        <w:tc>
          <w:tcPr>
            <w:tcW w:w="2900" w:type="dxa"/>
            <w:tcBorders/>
            <w:shd w:fill="FFFFFF" w:val="clear"/>
            <w:vAlign w:val="center"/>
          </w:tcPr>
          <w:p>
            <w:pPr>
              <w:pStyle w:val="TableContents"/>
              <w:bidi w:val="0"/>
              <w:spacing w:before="0" w:after="283"/>
              <w:jc w:val="both"/>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100,000</w:t>
            </w:r>
          </w:p>
        </w:tc>
        <w:tc>
          <w:tcPr>
            <w:tcW w:w="155" w:type="dxa"/>
            <w:tcBorders/>
            <w:shd w:fill="FFFFFF" w:val="clear"/>
            <w:vAlign w:val="center"/>
          </w:tcPr>
          <w:p>
            <w:pPr>
              <w:pStyle w:val="TableContents"/>
              <w:bidi w:val="0"/>
              <w:spacing w:before="0" w:after="283"/>
              <w:jc w:val="left"/>
              <w:rPr/>
            </w:pPr>
            <w:r>
              <w:rPr/>
              <w:t>*</w:t>
            </w:r>
          </w:p>
        </w:tc>
      </w:tr>
      <w:tr>
        <w:trPr/>
        <w:tc>
          <w:tcPr>
            <w:tcW w:w="2900" w:type="dxa"/>
            <w:tcBorders/>
            <w:shd w:fill="CCEEFF" w:val="clear"/>
            <w:vAlign w:val="center"/>
          </w:tcPr>
          <w:p>
            <w:pPr>
              <w:pStyle w:val="TableContents"/>
              <w:bidi w:val="0"/>
              <w:spacing w:before="0" w:after="283"/>
              <w:jc w:val="both"/>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200,000</w:t>
            </w:r>
          </w:p>
        </w:tc>
        <w:tc>
          <w:tcPr>
            <w:tcW w:w="155" w:type="dxa"/>
            <w:tcBorders/>
            <w:shd w:fill="CCEEFF" w:val="clear"/>
            <w:vAlign w:val="center"/>
          </w:tcPr>
          <w:p>
            <w:pPr>
              <w:pStyle w:val="TableContents"/>
              <w:bidi w:val="0"/>
              <w:spacing w:before="0" w:after="283"/>
              <w:jc w:val="left"/>
              <w:rPr/>
            </w:pPr>
            <w:r>
              <w:rPr/>
              <w:t>*</w:t>
            </w:r>
          </w:p>
        </w:tc>
      </w:tr>
      <w:tr>
        <w:trPr/>
        <w:tc>
          <w:tcPr>
            <w:tcW w:w="290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995,812</w:t>
            </w:r>
          </w:p>
        </w:tc>
        <w:tc>
          <w:tcPr>
            <w:tcW w:w="15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28. PERSONS CONTROLLED BY OR UNDER COMMON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list sets forth each of our consolidated subsidiaries, the state or country under whose laws the subsidiary is organized, and the percentage of voting securities or membership interests owned by us in such subsidiary:</w:t>
      </w:r>
    </w:p>
    <w:p>
      <w:pPr>
        <w:pStyle w:val="TextBody"/>
        <w:bidi w:val="0"/>
        <w:spacing w:before="0" w:after="0"/>
        <w:ind w:left="0" w:right="0" w:firstLine="720"/>
        <w:jc w:val="both"/>
        <w:rPr>
          <w:caps w:val="false"/>
          <w:smallCaps w:val="false"/>
        </w:rPr>
      </w:pPr>
      <w:r>
        <w:rPr>
          <w:caps w:val="false"/>
          <w:smallCaps w:val="false"/>
        </w:rPr>
        <w:t> </w:t>
      </w:r>
    </w:p>
    <w:tbl>
      <w:tblPr>
        <w:tblW w:w="4650" w:type="dxa"/>
        <w:jc w:val="left"/>
        <w:tblInd w:w="0" w:type="dxa"/>
        <w:tblLayout w:type="fixed"/>
        <w:tblCellMar>
          <w:top w:w="0" w:type="dxa"/>
          <w:left w:w="0" w:type="dxa"/>
          <w:bottom w:w="0" w:type="dxa"/>
          <w:right w:w="0" w:type="dxa"/>
        </w:tblCellMar>
      </w:tblPr>
      <w:tblGrid>
        <w:gridCol w:w="3920"/>
        <w:gridCol w:w="60"/>
        <w:gridCol w:w="60"/>
        <w:gridCol w:w="380"/>
        <w:gridCol w:w="230"/>
      </w:tblGrid>
      <w:tr>
        <w:trPr/>
        <w:tc>
          <w:tcPr>
            <w:tcW w:w="3920" w:type="dxa"/>
            <w:tcBorders/>
            <w:shd w:fill="CCEEFF" w:val="clear"/>
            <w:vAlign w:val="center"/>
          </w:tcPr>
          <w:p>
            <w:pPr>
              <w:pStyle w:val="TableContents"/>
              <w:bidi w:val="0"/>
              <w:spacing w:before="0" w:after="283"/>
              <w:jc w:val="both"/>
              <w:rPr/>
            </w:pPr>
            <w:r>
              <w:rPr/>
              <w:t>GSV Capital Lending, LLC (Delaware)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920" w:type="dxa"/>
            <w:tcBorders/>
            <w:shd w:fill="FFFFFF" w:val="clear"/>
            <w:vAlign w:val="center"/>
          </w:tcPr>
          <w:p>
            <w:pPr>
              <w:pStyle w:val="TableContents"/>
              <w:bidi w:val="0"/>
              <w:spacing w:before="0" w:after="283"/>
              <w:jc w:val="both"/>
              <w:rPr/>
            </w:pPr>
            <w:r>
              <w:rPr/>
              <w:t>GSVC AE Holdings, Inc. (Delaware)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both"/>
              <w:rPr/>
            </w:pPr>
            <w:r>
              <w:rPr/>
              <w:t>GSVC AV Holdings, Inc. (Delaware)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920" w:type="dxa"/>
            <w:tcBorders/>
            <w:shd w:fill="FFFFFF" w:val="clear"/>
            <w:vAlign w:val="center"/>
          </w:tcPr>
          <w:p>
            <w:pPr>
              <w:pStyle w:val="TableContents"/>
              <w:bidi w:val="0"/>
              <w:spacing w:before="0" w:after="283"/>
              <w:jc w:val="both"/>
              <w:rPr/>
            </w:pPr>
            <w:r>
              <w:rPr/>
              <w:t>GSVC SW Holdings, Inc. (Delaware)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both"/>
              <w:rPr/>
            </w:pPr>
            <w:r>
              <w:rPr/>
              <w:t>GSVC SVDS Holdings, Inc. (Delaware)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920" w:type="dxa"/>
            <w:tcBorders/>
            <w:shd w:fill="FFFFFF" w:val="clear"/>
            <w:vAlign w:val="center"/>
          </w:tcPr>
          <w:p>
            <w:pPr>
              <w:pStyle w:val="TableContents"/>
              <w:bidi w:val="0"/>
              <w:spacing w:before="0" w:after="283"/>
              <w:jc w:val="both"/>
              <w:rPr/>
            </w:pPr>
            <w:r>
              <w:rPr/>
              <w:t>SuRo Capital Sports, LLC (Delaware)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both"/>
              <w:rPr/>
            </w:pPr>
            <w:r>
              <w:rPr/>
              <w:t>1789 Capital Nirvana II LP (Delaware)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920" w:type="dxa"/>
            <w:tcBorders/>
            <w:shd w:fill="FFFFFF" w:val="clear"/>
            <w:vAlign w:val="center"/>
          </w:tcPr>
          <w:p>
            <w:pPr>
              <w:pStyle w:val="TableContents"/>
              <w:bidi w:val="0"/>
              <w:spacing w:before="0" w:after="283"/>
              <w:jc w:val="both"/>
              <w:rPr/>
            </w:pPr>
            <w:r>
              <w:rPr/>
              <w:t>SRCI Advisors, LLC (Delaware)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each of the Company’s subsidiaries is consolidated with the Company for financial reporting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deemed to control certain portfolio companies. See “Portfolio Companies” in Part A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29. NUMBER OF HOLDERS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registered stockholders of the Registrant’s common stock at September 22, 2026 (including Cede &amp; Co.):</w:t>
      </w:r>
    </w:p>
    <w:p>
      <w:pPr>
        <w:pStyle w:val="TextBody"/>
        <w:bidi w:val="0"/>
        <w:spacing w:before="0" w:after="0"/>
        <w:ind w:left="0" w:right="0" w:firstLine="720"/>
        <w:jc w:val="both"/>
        <w:rPr>
          <w:caps w:val="false"/>
          <w:smallCaps w:val="false"/>
        </w:rPr>
      </w:pPr>
      <w:r>
        <w:rPr>
          <w:caps w:val="false"/>
          <w:smallCaps w:val="false"/>
        </w:rPr>
        <w:t> </w:t>
      </w:r>
    </w:p>
    <w:tbl>
      <w:tblPr>
        <w:tblW w:w="5275" w:type="dxa"/>
        <w:jc w:val="left"/>
        <w:tblInd w:w="0" w:type="dxa"/>
        <w:tblLayout w:type="fixed"/>
        <w:tblCellMar>
          <w:top w:w="0" w:type="dxa"/>
          <w:left w:w="0" w:type="dxa"/>
          <w:bottom w:w="28" w:type="dxa"/>
          <w:right w:w="0" w:type="dxa"/>
        </w:tblCellMar>
      </w:tblPr>
      <w:tblGrid>
        <w:gridCol w:w="4025"/>
        <w:gridCol w:w="60"/>
        <w:gridCol w:w="209"/>
        <w:gridCol w:w="906"/>
        <w:gridCol w:w="75"/>
      </w:tblGrid>
      <w:tr>
        <w:trPr/>
        <w:tc>
          <w:tcPr>
            <w:tcW w:w="4025" w:type="dxa"/>
            <w:tcBorders>
              <w:bottom w:val="single" w:sz="8" w:space="0" w:color="000000"/>
            </w:tcBorders>
            <w:vAlign w:val="center"/>
          </w:tcPr>
          <w:p>
            <w:pPr>
              <w:pStyle w:val="TableContents"/>
              <w:bidi w:val="0"/>
              <w:spacing w:before="0" w:after="283"/>
              <w:jc w:val="both"/>
              <w:rPr>
                <w:b/>
              </w:rPr>
            </w:pPr>
            <w:r>
              <w:rPr>
                <w:b/>
              </w:rPr>
              <w:t>Title of Class</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Registered</w:t>
              <w:br/>
              <w:t>Stockholders</w:t>
            </w:r>
          </w:p>
        </w:tc>
        <w:tc>
          <w:tcPr>
            <w:tcW w:w="75" w:type="dxa"/>
            <w:tcBorders/>
            <w:tcMar>
              <w:bottom w:w="0" w:type="dxa"/>
            </w:tcMar>
            <w:vAlign w:val="center"/>
          </w:tcPr>
          <w:p>
            <w:pPr>
              <w:pStyle w:val="TableContents"/>
              <w:bidi w:val="0"/>
              <w:spacing w:before="0" w:after="283"/>
              <w:jc w:val="left"/>
              <w:rPr/>
            </w:pPr>
            <w:r>
              <w:rPr/>
              <w:t> </w:t>
            </w:r>
          </w:p>
        </w:tc>
      </w:tr>
      <w:tr>
        <w:trPr/>
        <w:tc>
          <w:tcPr>
            <w:tcW w:w="4025" w:type="dxa"/>
            <w:tcBorders/>
            <w:shd w:fill="CCEEFF" w:val="clear"/>
            <w:tcMar>
              <w:bottom w:w="0" w:type="dxa"/>
            </w:tcMar>
            <w:vAlign w:val="center"/>
          </w:tcPr>
          <w:p>
            <w:pPr>
              <w:pStyle w:val="TableContents"/>
              <w:bidi w:val="0"/>
              <w:spacing w:before="0" w:after="283"/>
              <w:jc w:val="both"/>
              <w:rPr/>
            </w:pPr>
            <w:r>
              <w:rPr/>
              <w:t>Common Stock, par value $0.01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pPr>
            <w:r>
              <w:rPr/>
              <w:t>17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30.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Section 2-418 of the Maryland General Corporation Law (the “MGCL”), Article VII of the Registrant’s Articles of Amendment and Restatement and Article XI of the Registrant’s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MGCL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The Registrant’s charter contains such a provision which eliminates directors’ and officers’ liability to the maximum extent permitted by the MGCL, subject to the requirements of the Investment Company Act of 1940, as amended (the “1940 Act”).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charter authorizes the Registrant, to the maximum extent permitted by the MGCL and subject to the requirements of the 1940 Act, to indemnify any present or former director or officer or any individual who, while serving as the Registrant’s director or officer and at the Registrant’s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The Registrant’s bylaws obligate the Registrant, to the maximum extent permitted by the MGCL and subject to the requirements of the 1940 Act, to indemnify any present or former director or officer or any individual who, while serving as the Registrant’s director or officer and at the Registrant’s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the Registrant to indemnify and advance expenses to any person who served a predecessor of the Registrant in any of the capacities described above and any of the Registrant’s employees or agents or any employees or agents of the Registrant’s predecessor. In accordance with the 1940 Act, the Registrant will not indemnify any person for any liability to which such person would be subject by reason of such person’s willful misfeasance, bad faith, gross negligence or reckless disregard of the duties involved in the conduct of his or her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MGCL requires a corporation (unless its charter provides otherwise, which the Registrant’s charter does not) to indemnify a director or officer who has been successful in the defense of any 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the MGCL,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the MGCL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31. BUSINESS AND OTHER CONNECTIONS OF INVESTMENT ADVISER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Advisors LLC, a Delaware limited liability company, serves as the Registrant’s investment adviser. Information regarding any other business, profession, vocation or employment of a substantial nature in which the Adviser, and each managing director, director, executive officer or partner of the Adviser, is or has been engaged within the last two fiscal years for his or her own account or in the capacity of director, officer, employee, partner or trustee, is available in the Adviser’s Uniform Application for Investment Adviser Registration on Form ADV (File No. 801-136737), as filed with the SEC. The principal business address of the Adviser is 640 Fifth Avenue, 12th Floor, New York, NY 10019.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32. LOCATION OF ACCOUNTS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accounts, books, and other documents required to be maintained by Section 31(a) of the 1940 Act, and the rules thereunder are maintained at the offices of: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Neostellar Capital Corp., 640 Fifth Avenue, 12th Floor, New York, NY 10019;</w:t>
            </w:r>
          </w:p>
        </w:tc>
      </w:tr>
      <w:tr>
        <w:trPr/>
        <w:tc>
          <w:tcPr>
            <w:tcW w:w="2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Equiniti Trust Company, LLC, 48 Wall Street, 23rd Floor, New York, NY 10005 or by phone at (800) 937-5449;</w:t>
            </w:r>
          </w:p>
        </w:tc>
      </w:tr>
      <w:tr>
        <w:trPr/>
        <w:tc>
          <w:tcPr>
            <w:tcW w:w="2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Custodian, Western Alliance Trust Company, National Association, One East Washington Street, Suite 1400, Phoenix, AZ 85004;</w:t>
            </w:r>
          </w:p>
        </w:tc>
      </w:tr>
      <w:tr>
        <w:trPr/>
        <w:tc>
          <w:tcPr>
            <w:tcW w:w="2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Neostellar Advisors LLC, 640 Fifth Avenue, 12th Floor, New York, NY 10019; and</w:t>
            </w:r>
          </w:p>
        </w:tc>
      </w:tr>
      <w:tr>
        <w:trPr/>
        <w:tc>
          <w:tcPr>
            <w:tcW w:w="2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Neostellar Administrative Services LLC, 640 Fifth Avenue, 12th Floor, New York, NY 10019.</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33. MANAGEMENT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discussion of the Administration Agreement set forth under the captions “Prospectus Summary — Administration Agreement” and “Management and Other Agreements — Administration Agreement” in Part A of this Registration Statement,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34. UNDERTAKINGS</w:t>
      </w:r>
    </w:p>
    <w:p>
      <w:pPr>
        <w:pStyle w:val="TextBody"/>
        <w:bidi w:val="0"/>
        <w:spacing w:before="0" w:after="0"/>
        <w:ind w:left="0" w:right="0" w:hanging="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260"/>
        <w:gridCol w:w="128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p>
      <w:pPr>
        <w:pStyle w:val="TextBody"/>
        <w:bidi w:val="0"/>
        <w:spacing w:before="0" w:after="0"/>
        <w:ind w:left="0" w:right="0" w:hanging="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260"/>
        <w:gridCol w:w="128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p>
      <w:pPr>
        <w:pStyle w:val="TextBody"/>
        <w:bidi w:val="0"/>
        <w:spacing w:before="0" w:after="0"/>
        <w:ind w:left="0"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60"/>
        <w:gridCol w:w="2465"/>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 hereby undertakes: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 as amended (the “Securities Act”);</w:t>
            </w:r>
          </w:p>
        </w:tc>
      </w:tr>
      <w:tr>
        <w:trPr/>
        <w:tc>
          <w:tcPr>
            <w:tcW w:w="282"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 in the effective registration statement; and</w:t>
            </w:r>
          </w:p>
        </w:tc>
      </w:tr>
      <w:tr>
        <w:trPr/>
        <w:tc>
          <w:tcPr>
            <w:tcW w:w="282"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3(a)(i), (ii), and (iii)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into the registration statement, or is contained in a form of prospectus filed pursuant to Rule 424(b) that is part of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any liability under the Securities Act, each such post-effective amendment shall be deemed to be a new registration statement relating to the securities offered therein, and the offering of those securities at the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tc>
      </w:tr>
      <w:tr>
        <w:trPr/>
        <w:tc>
          <w:tcPr>
            <w:tcW w:w="222" w:type="dxa"/>
            <w:tcBorders/>
            <w:vAlign w:val="center"/>
          </w:tcPr>
          <w:p>
            <w:pPr>
              <w:pStyle w:val="TableContents"/>
              <w:bidi w:val="0"/>
              <w:spacing w:before="0" w:after="283"/>
              <w:jc w:val="both"/>
              <w:rPr>
                <w:caps w:val="false"/>
                <w:smallCaps w:val="false"/>
              </w:rPr>
            </w:pPr>
            <w:r>
              <w:rPr>
                <w:caps w:val="false"/>
                <w:smallCaps w:val="false"/>
              </w:rPr>
              <w:t> </w:t>
            </w:r>
          </w:p>
        </w:tc>
        <w:tc>
          <w:tcPr>
            <w:tcW w:w="99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r>
        <w:trPr/>
        <w:tc>
          <w:tcPr>
            <w:tcW w:w="222" w:type="dxa"/>
            <w:tcBorders/>
            <w:vAlign w:val="center"/>
          </w:tcPr>
          <w:p>
            <w:pPr>
              <w:pStyle w:val="TableContents"/>
              <w:bidi w:val="0"/>
              <w:spacing w:before="0" w:after="283"/>
              <w:jc w:val="both"/>
              <w:rPr>
                <w:caps w:val="false"/>
                <w:smallCaps w:val="false"/>
              </w:rPr>
            </w:pPr>
            <w:r>
              <w:rPr>
                <w:caps w:val="false"/>
                <w:smallCaps w:val="false"/>
              </w:rPr>
              <w:t> </w:t>
            </w:r>
          </w:p>
        </w:tc>
        <w:tc>
          <w:tcPr>
            <w:tcW w:w="99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to any purchaser: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Registrant is relying on Rule 430B: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Registrant is subject to Rule 430C: each prospectus filed pursuant to Rule 424(b) under the Securities Act as part of a registration statement relating to an offering, other than registration statements relying on Rule 430B or other than prospectuses filed in reliance on Rule 430A under the Securities Act, shall be deemed to be part of and included in the registration statement as of the date it is first used after effectiveness;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0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to any purchaser in the initial distribution of securities: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preliminary prospectus or prospectus of the undersigned Registrant relating to the offering required to be filed pursuant to Rule 424 under the Securities Act; </w:t>
            </w:r>
          </w:p>
        </w:tc>
      </w:tr>
      <w:tr>
        <w:trPr/>
        <w:tc>
          <w:tcPr>
            <w:tcW w:w="299" w:type="dxa"/>
            <w:tcBorders/>
            <w:vAlign w:val="center"/>
          </w:tcPr>
          <w:p>
            <w:pPr>
              <w:pStyle w:val="TableContents"/>
              <w:bidi w:val="0"/>
              <w:spacing w:before="0" w:after="283"/>
              <w:jc w:val="both"/>
              <w:rPr>
                <w:caps w:val="false"/>
                <w:smallCaps w:val="false"/>
              </w:rPr>
            </w:pPr>
            <w:r>
              <w:rPr>
                <w:caps w:val="false"/>
                <w:smallCaps w:val="false"/>
              </w:rPr>
              <w:t> </w:t>
            </w:r>
          </w:p>
        </w:tc>
        <w:tc>
          <w:tcPr>
            <w:tcW w:w="99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free writing prospectus relating to the offering prepared by or on behalf of the undersigned Registrant or used or referred to by the undersigned Registrant; </w:t>
            </w:r>
          </w:p>
        </w:tc>
      </w:tr>
      <w:tr>
        <w:trPr/>
        <w:tc>
          <w:tcPr>
            <w:tcW w:w="299" w:type="dxa"/>
            <w:tcBorders/>
            <w:vAlign w:val="center"/>
          </w:tcPr>
          <w:p>
            <w:pPr>
              <w:pStyle w:val="TableContents"/>
              <w:bidi w:val="0"/>
              <w:spacing w:before="0" w:after="283"/>
              <w:jc w:val="both"/>
              <w:rPr>
                <w:caps w:val="false"/>
                <w:smallCaps w:val="false"/>
              </w:rPr>
            </w:pPr>
            <w:r>
              <w:rPr>
                <w:caps w:val="false"/>
                <w:smallCaps w:val="false"/>
              </w:rPr>
              <w:t> </w:t>
            </w:r>
          </w:p>
        </w:tc>
        <w:tc>
          <w:tcPr>
            <w:tcW w:w="99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portion of any other free writing prospectus or advertisement pursuant to Rule 482 under the Securities Act relating to the offering containing material information about the undersigned Registrant or its securities provided by or on behalf of the undersigned Registrant; and </w:t>
            </w:r>
          </w:p>
        </w:tc>
      </w:tr>
      <w:tr>
        <w:trPr/>
        <w:tc>
          <w:tcPr>
            <w:tcW w:w="299" w:type="dxa"/>
            <w:tcBorders/>
            <w:vAlign w:val="center"/>
          </w:tcPr>
          <w:p>
            <w:pPr>
              <w:pStyle w:val="TableContents"/>
              <w:bidi w:val="0"/>
              <w:spacing w:before="0" w:after="283"/>
              <w:jc w:val="both"/>
              <w:rPr>
                <w:caps w:val="false"/>
                <w:smallCaps w:val="false"/>
              </w:rPr>
            </w:pPr>
            <w:r>
              <w:rPr>
                <w:caps w:val="false"/>
                <w:smallCaps w:val="false"/>
              </w:rPr>
              <w:t> </w:t>
            </w:r>
          </w:p>
        </w:tc>
        <w:tc>
          <w:tcPr>
            <w:tcW w:w="99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other communication that is an offer in the offering made by the undersigned Registrant to the purchaser. </w:t>
            </w:r>
          </w:p>
        </w:tc>
      </w:tr>
    </w:tbl>
    <w:p>
      <w:pPr>
        <w:pStyle w:val="TextBody"/>
        <w:bidi w:val="0"/>
        <w:spacing w:before="0" w:after="0"/>
        <w:ind w:left="0" w:right="0" w:hanging="0"/>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260"/>
        <w:gridCol w:w="1325"/>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applicable.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 hereby undertakes 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r>
        <w:trPr/>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Insofar as indemnification for liabilities arising under the Securities Act may be permitted to directors, officers and controlling persons of the Registrant,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r>
        <w:trPr/>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undertakes to send by first class mail or other means designed to ensure equally prompt delivery within two business days of receipt of a written or oral request, any prospectus or Statement of Additional Information.</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Pre-Effective Amendment No. 1 to the Registration Statement to be signed on its behalf by the undersigned, thereunto duly authorized, in the City of New York, in the State of New York, on the 23rd day of September, 2026.</w:t>
      </w:r>
    </w:p>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35"/>
        <w:gridCol w:w="3080"/>
        <w:gridCol w:w="75"/>
      </w:tblGrid>
      <w:tr>
        <w:trPr/>
        <w:tc>
          <w:tcPr>
            <w:tcW w:w="341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CAPITAL CORP.</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308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Pre-Effective Amendment No. 1 to the Registration Statement on Form N-2 has been signed by the following persons in the capacities and on the dates indicated below. The document may be executed by the signatories hereto on any number of counterparts, all of which constitute one and the same instrument.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040" w:type="dxa"/>
        <w:jc w:val="left"/>
        <w:tblInd w:w="0" w:type="dxa"/>
        <w:tblLayout w:type="fixed"/>
        <w:tblCellMar>
          <w:top w:w="0" w:type="dxa"/>
          <w:left w:w="0" w:type="dxa"/>
          <w:bottom w:w="28" w:type="dxa"/>
          <w:right w:w="0" w:type="dxa"/>
        </w:tblCellMar>
      </w:tblPr>
      <w:tblGrid>
        <w:gridCol w:w="1505"/>
        <w:gridCol w:w="60"/>
        <w:gridCol w:w="4715"/>
        <w:gridCol w:w="60"/>
        <w:gridCol w:w="1700"/>
      </w:tblGrid>
      <w:tr>
        <w:trPr/>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50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0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President and Director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23, 2026 </w:t>
            </w:r>
          </w:p>
        </w:tc>
      </w:tr>
      <w:tr>
        <w:trPr/>
        <w:tc>
          <w:tcPr>
            <w:tcW w:w="15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 D. Klein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0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0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Treasurer and Corporate Secretary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23, 2026 </w:t>
            </w:r>
          </w:p>
        </w:tc>
      </w:tr>
      <w:tr>
        <w:trPr/>
        <w:tc>
          <w:tcPr>
            <w:tcW w:w="15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Allison Green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Financial and Accounting Officer)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0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0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23, 2026 </w:t>
            </w:r>
          </w:p>
        </w:tc>
      </w:tr>
      <w:tr>
        <w:trPr/>
        <w:tc>
          <w:tcPr>
            <w:tcW w:w="15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Leonard A. Potter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0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0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23, 2026 </w:t>
            </w:r>
          </w:p>
        </w:tc>
      </w:tr>
      <w:tr>
        <w:trPr/>
        <w:tc>
          <w:tcPr>
            <w:tcW w:w="15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Ronald M. Lott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0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0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23, 2026 </w:t>
            </w:r>
          </w:p>
        </w:tc>
      </w:tr>
      <w:tr>
        <w:trPr/>
        <w:tc>
          <w:tcPr>
            <w:tcW w:w="15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 Mazur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0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0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23, 2026 </w:t>
            </w:r>
          </w:p>
        </w:tc>
      </w:tr>
      <w:tr>
        <w:trPr/>
        <w:tc>
          <w:tcPr>
            <w:tcW w:w="15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Lisa Westley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0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0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23, 2026 </w:t>
            </w:r>
          </w:p>
        </w:tc>
      </w:tr>
      <w:tr>
        <w:trPr/>
        <w:tc>
          <w:tcPr>
            <w:tcW w:w="15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Szuch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0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0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(Interested 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23, 2026 </w:t>
            </w:r>
          </w:p>
        </w:tc>
      </w:tr>
      <w:tr>
        <w:trPr/>
        <w:tc>
          <w:tcPr>
            <w:tcW w:w="15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Falk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Signed by Mark D. Klein as attorney-in-fact pursuant to the power of attorney included in the Registration Statement as filed with the SEC on July 31, 2026.</w:t>
      </w:r>
    </w:p>
    <w:p>
      <w:pPr>
        <w:pStyle w:val="TextBody"/>
        <w:shd w:fill="FFFFFF" w:val="clear"/>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bookmarkStart w:id="263" w:name="exn-1.htm"/>
      <w:bookmarkStart w:id="264" w:name="ksexn1"/>
      <w:bookmarkEnd w:id="263"/>
      <w:bookmarkEnd w:id="264"/>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n.1</w:t>
      </w:r>
    </w:p>
    <w:p>
      <w:pPr>
        <w:pStyle w:val="TextBody"/>
        <w:bidi w:val="0"/>
        <w:jc w:val="center"/>
        <w:rPr>
          <w:caps/>
        </w:rPr>
      </w:pPr>
      <w:r>
        <w:rPr>
          <w:caps/>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N-2 (the “Registration Statement”) of SuRo Capital Corp. (now known as Neostellar Capital Corp.) (the “Company”) of our report dated March 12, 2025, with respect to the consolidated financial statements of the Company, included in the Company’s Annual Report on Form 10-K for the year ended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incorporation by reference in this Registration Statement of our report dated March 12, 2025, relating to the Company’s senior securities table, included in Amendment No. 1 to the Company’s Annual Report on Form 10-K/A for the year ended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headings “Financial Highlights”, “Independent Registered Public Accounting Firm”, “Financial Statements and Exhibits” and “Senior Securities” in such Registration Statement.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w:t>
      </w:r>
      <w:r>
        <w:rPr>
          <w:rFonts w:ascii="Times New Roman;Times;Serif" w:hAnsi="Times New Roman;Times;Serif"/>
          <w:b w:val="false"/>
          <w:i w:val="false"/>
          <w:smallCaps/>
          <w:sz w:val="20"/>
        </w:rPr>
        <w:t>llp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23, 2026</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65" w:name="exn-2.htm"/>
      <w:bookmarkStart w:id="266" w:name="ksexn2"/>
      <w:bookmarkEnd w:id="265"/>
      <w:bookmarkEnd w:id="26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N-2 (the “Registration Statement”) of SuRo Capital Corp. (now known as Neostellar Capital Corp.) (the “Company”) of our report dated March 11, 2026, with respect to the consolidated financial statements of the Company, included in the Company’s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incorporation by reference in this Registration Statement of our report dated March 11, 2026, relating to the Company’s senior securities table, included in the Company’s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headings “Financial Highlights”, “Independent Registered Public Accounting Firm”, “Financial Statements and Exhibits” and “Senior Securities”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CBIZ CPAs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23,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9470/000149315226009641/form10-k.htm" TargetMode="External"/><Relationship Id="rId3" Type="http://schemas.openxmlformats.org/officeDocument/2006/relationships/hyperlink" Target="https://www.sec.gov/Archives/edgar/data/1509470/000149315226036285/form10-q.htm" TargetMode="External"/><Relationship Id="rId4" Type="http://schemas.openxmlformats.org/officeDocument/2006/relationships/hyperlink" Target="https://www.sec.gov/Archives/edgar/data/1509470/000149315226009641/form10-k.htm" TargetMode="External"/><Relationship Id="rId5" Type="http://schemas.openxmlformats.org/officeDocument/2006/relationships/hyperlink" Target="https://www.sec.gov/Archives/edgar/data/1509470/000149315226036285/form10-q.htm" TargetMode="External"/><Relationship Id="rId6" Type="http://schemas.openxmlformats.org/officeDocument/2006/relationships/hyperlink" Target="https://www.sec.gov/Archives/edgar/data/1509470/000149315226009641/form10-k.htm" TargetMode="External"/><Relationship Id="rId7" Type="http://schemas.openxmlformats.org/officeDocument/2006/relationships/hyperlink" Target="https://www.sec.gov/Archives/edgar/data/1509470/000149315226036285/form10-q.htm" TargetMode="External"/><Relationship Id="rId8" Type="http://schemas.openxmlformats.org/officeDocument/2006/relationships/hyperlink" Target="https://www.sec.gov/Archives/edgar/data/1509470/000149315226009641/form10-k.htm" TargetMode="External"/><Relationship Id="rId9" Type="http://schemas.openxmlformats.org/officeDocument/2006/relationships/hyperlink" Target="https://www.sec.gov/Archives/edgar/data/1509470/000149315226009641/form10-k.htm" TargetMode="External"/><Relationship Id="rId10" Type="http://schemas.openxmlformats.org/officeDocument/2006/relationships/hyperlink" Target="https://www.sec.gov/Archives/edgar/data/1509470/000149315226009641/form10-k.htm" TargetMode="External"/><Relationship Id="rId11" Type="http://schemas.openxmlformats.org/officeDocument/2006/relationships/hyperlink" Target="https://www.sec.gov/Archives/edgar/data/1509470/000149315226009641/form10-k.htm" TargetMode="External"/><Relationship Id="rId12" Type="http://schemas.openxmlformats.org/officeDocument/2006/relationships/hyperlink" Target="https://www.sec.gov/Archives/edgar/data/1509470/000149315226036285/form10-q.htm" TargetMode="External"/><Relationship Id="rId13" Type="http://schemas.openxmlformats.org/officeDocument/2006/relationships/hyperlink" Target="https://www.sec.gov/Archives/edgar/data/1509470/000149315226009641/form10-k.htm" TargetMode="External"/><Relationship Id="rId14" Type="http://schemas.openxmlformats.org/officeDocument/2006/relationships/hyperlink" Target="https://www.sec.gov/Archives/edgar/data/1509470/000149315226036285/form10-q.htm" TargetMode="External"/><Relationship Id="rId15" Type="http://schemas.openxmlformats.org/officeDocument/2006/relationships/hyperlink" Target="https://www.sec.gov/Archives/edgar/data/1509470/000149315226009641/form10-k.htm" TargetMode="External"/><Relationship Id="rId16" Type="http://schemas.openxmlformats.org/officeDocument/2006/relationships/hyperlink" Target="https://www.sec.gov/Archives/edgar/data/1509470/000149315226036285/form10-q.htm" TargetMode="External"/><Relationship Id="rId17" Type="http://schemas.openxmlformats.org/officeDocument/2006/relationships/hyperlink" Target="https://www.sec.gov/Archives/edgar/data/1509470/000149315226009641/form10-k.htm" TargetMode="External"/><Relationship Id="rId18" Type="http://schemas.openxmlformats.org/officeDocument/2006/relationships/hyperlink" Target="https://www.sec.gov/Archives/edgar/data/1509470/000149315226036285/form10-q.htm" TargetMode="External"/><Relationship Id="rId19" Type="http://schemas.openxmlformats.org/officeDocument/2006/relationships/hyperlink" Target="https://www.sec.gov/Archives/edgar/data/1509470/000149315226009641/form10-k.htm" TargetMode="External"/><Relationship Id="rId20" Type="http://schemas.openxmlformats.org/officeDocument/2006/relationships/hyperlink" Target="https://www.sec.gov/Archives/edgar/data/1509470/000149315226036285/form10-q.htm" TargetMode="External"/><Relationship Id="rId21" Type="http://schemas.openxmlformats.org/officeDocument/2006/relationships/hyperlink" Target="https://www.sec.gov/Archives/edgar/data/1509470/000149315226009641/form10-k.htm" TargetMode="External"/><Relationship Id="rId22" Type="http://schemas.openxmlformats.org/officeDocument/2006/relationships/hyperlink" Target="https://www.sec.gov/Archives/edgar/data/1509470/000149315226036285/form10-q.htm" TargetMode="External"/><Relationship Id="rId23" Type="http://schemas.openxmlformats.org/officeDocument/2006/relationships/hyperlink" Target="https://www.sec.gov/Archives/edgar/data/1509470/000149315226009641/form10-k.htm" TargetMode="External"/><Relationship Id="rId24" Type="http://schemas.openxmlformats.org/officeDocument/2006/relationships/hyperlink" Target="https://www.sec.gov/Archives/edgar/data/1509470/000149315226009641/form10-k.htm" TargetMode="External"/><Relationship Id="rId25" Type="http://schemas.openxmlformats.org/officeDocument/2006/relationships/hyperlink" Target="https://www.sec.gov/Archives/edgar/data/1509470/000149315226036285/form10-q.htm" TargetMode="External"/><Relationship Id="rId26" Type="http://schemas.openxmlformats.org/officeDocument/2006/relationships/hyperlink" Target="https://www.sec.gov/Archives/edgar/data/1509470/000149315226009641/form10-k.htm" TargetMode="External"/><Relationship Id="rId27" Type="http://schemas.openxmlformats.org/officeDocument/2006/relationships/hyperlink" Target="https://www.sec.gov/Archives/edgar/data/1509470/000149315226036285/form10-q.htm" TargetMode="External"/><Relationship Id="rId28" Type="http://schemas.openxmlformats.org/officeDocument/2006/relationships/hyperlink" Target="https://www.sec.gov/Archives/edgar/data/1509470/000149315226009641/form10-k.htm" TargetMode="External"/><Relationship Id="rId29" Type="http://schemas.openxmlformats.org/officeDocument/2006/relationships/hyperlink" Target="https://www.sec.gov/Archives/edgar/data/1509470/000149315226009641/form10-k.htm" TargetMode="External"/><Relationship Id="rId30" Type="http://schemas.openxmlformats.org/officeDocument/2006/relationships/hyperlink" Target="https://www.sec.gov/Archives/edgar/data/1509470/000149315226009641/form10-k.htm" TargetMode="External"/><Relationship Id="rId31" Type="http://schemas.openxmlformats.org/officeDocument/2006/relationships/hyperlink" Target="https://www.sec.gov/Archives/edgar/data/1509470/000149315226036285/form10-q.htm" TargetMode="External"/><Relationship Id="rId32" Type="http://schemas.openxmlformats.org/officeDocument/2006/relationships/hyperlink" Target="https://www.sec.gov/Archives/edgar/data/1509470/000149315226009641/form10-k.htm" TargetMode="External"/><Relationship Id="rId33" Type="http://schemas.openxmlformats.org/officeDocument/2006/relationships/hyperlink" Target="https://www.sec.gov/Archives/edgar/data/1509470/000149315226009641/form10-k.htm" TargetMode="External"/><Relationship Id="rId34" Type="http://schemas.openxmlformats.org/officeDocument/2006/relationships/hyperlink" Target="https://www.sec.gov/Archives/edgar/data/1509470/000149315226019618/formdef14a.htm" TargetMode="External"/><Relationship Id="rId35" Type="http://schemas.openxmlformats.org/officeDocument/2006/relationships/hyperlink" Target="https://www.sec.gov/Archives/edgar/data/1509470/000149315226019618/formdef14a.htm" TargetMode="External"/><Relationship Id="rId36" Type="http://schemas.openxmlformats.org/officeDocument/2006/relationships/hyperlink" Target="https://www.sec.gov/Archives/edgar/data/1509470/000149315226019618/formdef14a.htm" TargetMode="External"/><Relationship Id="rId37" Type="http://schemas.openxmlformats.org/officeDocument/2006/relationships/hyperlink" Target="https://www.sec.gov/Archives/edgar/data/1509470/000149315226019618/formdef14a.htm" TargetMode="External"/><Relationship Id="rId38" Type="http://schemas.openxmlformats.org/officeDocument/2006/relationships/hyperlink" Target="https://www.sec.gov/Archives/edgar/data/1509470/000149315226019618/formdef14a.htm" TargetMode="External"/><Relationship Id="rId39" Type="http://schemas.openxmlformats.org/officeDocument/2006/relationships/hyperlink" Target="https://www.sec.gov/Archives/edgar/data/1509470/000149315226019618/formdef14a.htm" TargetMode="External"/><Relationship Id="rId40" Type="http://schemas.openxmlformats.org/officeDocument/2006/relationships/hyperlink" Target="https://www.sec.gov/Archives/edgar/data/1509470/000149315226009641/form10-k.htm" TargetMode="External"/><Relationship Id="rId41" Type="http://schemas.openxmlformats.org/officeDocument/2006/relationships/hyperlink" Target="https://www.sec.gov/Archives/edgar/data/1509470/000149315226009641/form10-k.htm" TargetMode="External"/><Relationship Id="rId42" Type="http://schemas.openxmlformats.org/officeDocument/2006/relationships/hyperlink" Target="https://www.sec.gov/Archives/edgar/data/1509470/000149315226036285/form10-q.htm" TargetMode="External"/><Relationship Id="rId43" Type="http://schemas.openxmlformats.org/officeDocument/2006/relationships/hyperlink" Target="https://www.sec.gov/Archives/edgar/data/1509470/000149315226009641/form10-k.htm" TargetMode="External"/><Relationship Id="rId44" Type="http://schemas.openxmlformats.org/officeDocument/2006/relationships/hyperlink" Target="https://www.sec.gov/Archives/edgar/data/1509470/000149315226009641/form10-k.htm" TargetMode="External"/><Relationship Id="rId45" Type="http://schemas.openxmlformats.org/officeDocument/2006/relationships/hyperlink" Target="https://www.sec.gov/Archives/edgar/data/1509470/000149315226009641/form10-k.htm" TargetMode="External"/><Relationship Id="rId46" Type="http://schemas.openxmlformats.org/officeDocument/2006/relationships/hyperlink" Target="https://www.sec.gov/Archives/edgar/data/1509470/000149315226009641/form10-k.htm" TargetMode="External"/><Relationship Id="rId47" Type="http://schemas.openxmlformats.org/officeDocument/2006/relationships/hyperlink" Target="https://www.sec.gov/Archives/edgar/data/1509470/000149315226043924/form10-ka.htm" TargetMode="External"/><Relationship Id="rId48" Type="http://schemas.openxmlformats.org/officeDocument/2006/relationships/hyperlink" Target="https://www.sec.gov/Archives/edgar/data/1509470/000149315226021430/form10-q.htm" TargetMode="External"/><Relationship Id="rId49" Type="http://schemas.openxmlformats.org/officeDocument/2006/relationships/hyperlink" Target="https://www.sec.gov/Archives/edgar/data/1509470/000149315226036285/form10-q.htm" TargetMode="External"/><Relationship Id="rId50" Type="http://schemas.openxmlformats.org/officeDocument/2006/relationships/hyperlink" Target="https://www.sec.gov/Archives/edgar/data/1509470/000149315226015439/form8-k.htm" TargetMode="External"/><Relationship Id="rId51" Type="http://schemas.openxmlformats.org/officeDocument/2006/relationships/hyperlink" Target="https://www.sec.gov/Archives/edgar/data/1509470/000149315226028371/form8-k.htm" TargetMode="External"/><Relationship Id="rId52" Type="http://schemas.openxmlformats.org/officeDocument/2006/relationships/hyperlink" Target="https://www.sec.gov/Archives/edgar/data/1509470/000149315226030285/form8-k.htm" TargetMode="External"/><Relationship Id="rId53" Type="http://schemas.openxmlformats.org/officeDocument/2006/relationships/hyperlink" Target="https://www.sec.gov/Archives/edgar/data/1509470/000149315226032550/form8-k.htm" TargetMode="External"/><Relationship Id="rId54" Type="http://schemas.openxmlformats.org/officeDocument/2006/relationships/hyperlink" Target="https://www.sec.gov/Archives/edgar/data/1509470/000149315226034015/form8-k.htm" TargetMode="External"/><Relationship Id="rId55" Type="http://schemas.openxmlformats.org/officeDocument/2006/relationships/hyperlink" Target="https://www.sec.gov/Archives/edgar/data/1509470/000149315226036167/form8-k.htm" TargetMode="External"/><Relationship Id="rId56" Type="http://schemas.openxmlformats.org/officeDocument/2006/relationships/hyperlink" Target="https://www.sec.gov/Archives/edgar/data/1509470/000149315226019603/formdef14a.htm" TargetMode="External"/><Relationship Id="rId57" Type="http://schemas.openxmlformats.org/officeDocument/2006/relationships/hyperlink" Target="https://www.sec.gov/Archives/edgar/data/1509470/000149315226009641/form10-k.htm" TargetMode="External"/><Relationship Id="rId58" Type="http://schemas.openxmlformats.org/officeDocument/2006/relationships/hyperlink" Target="https://www.sec.gov/Archives/edgar/data/1509470/000149315226019618/formdef14a.htm" TargetMode="External"/><Relationship Id="rId59" Type="http://schemas.openxmlformats.org/officeDocument/2006/relationships/hyperlink" Target="https://www.sec.gov/Archives/edgar/data/1509470/000162828022005867/surocapital-form10xkex45.htm" TargetMode="External"/><Relationship Id="rId60" Type="http://schemas.openxmlformats.org/officeDocument/2006/relationships/hyperlink" Target="https://www.sec.gov/Archives/edgar/data/1509470/000149315226009641/form10-k.htm" TargetMode="External"/><Relationship Id="rId61" Type="http://schemas.openxmlformats.org/officeDocument/2006/relationships/hyperlink" Target="https://www.sec.gov/Archives/edgar/data/1509470/000113379611000108/k218237_8a12b.htm" TargetMode="External"/><Relationship Id="rId62" Type="http://schemas.openxmlformats.org/officeDocument/2006/relationships/hyperlink" Target="https://www.sec.gov/Archives/edgar/data/1509470/000149315226036285/form10-q.htm" TargetMode="External"/><Relationship Id="rId63" Type="http://schemas.openxmlformats.org/officeDocument/2006/relationships/hyperlink" Target="https://www.sec.gov/Archives/edgar/data/1509470/000113379611000069/k216228_ex99-2a.htm" TargetMode="External"/><Relationship Id="rId64" Type="http://schemas.openxmlformats.org/officeDocument/2006/relationships/hyperlink" Target="https://www.sec.gov/Archives/edgar/data/1509470/000113379611000069/k216228_ex99-2a.htm" TargetMode="External"/><Relationship Id="rId65" Type="http://schemas.openxmlformats.org/officeDocument/2006/relationships/hyperlink" Target="https://www.sec.gov/Archives/edgar/data/1509470/000114420411033389/v224342_ex3-1.htm" TargetMode="External"/><Relationship Id="rId66" Type="http://schemas.openxmlformats.org/officeDocument/2006/relationships/hyperlink" Target="https://www.sec.gov/Archives/edgar/data/1509470/000114420411033389/v224342_ex3-1.htm" TargetMode="External"/><Relationship Id="rId67" Type="http://schemas.openxmlformats.org/officeDocument/2006/relationships/hyperlink" Target="https://www.sec.gov/Archives/edgar/data/1509470/000114420419037014/tv526412_ex3-1.htm" TargetMode="External"/><Relationship Id="rId68" Type="http://schemas.openxmlformats.org/officeDocument/2006/relationships/hyperlink" Target="https://www.sec.gov/Archives/edgar/data/1509470/000114420419037014/tv526412_ex3-1.htm" TargetMode="External"/><Relationship Id="rId69" Type="http://schemas.openxmlformats.org/officeDocument/2006/relationships/hyperlink" Target="https://www.sec.gov/Archives/edgar/data/1509470/000110465920073783/tm2022743d1_ex3-1.htm" TargetMode="External"/><Relationship Id="rId70" Type="http://schemas.openxmlformats.org/officeDocument/2006/relationships/hyperlink" Target="https://www.sec.gov/Archives/edgar/data/1509470/000110465920073783/tm2022743d1_ex3-1.htm" TargetMode="External"/><Relationship Id="rId71" Type="http://schemas.openxmlformats.org/officeDocument/2006/relationships/hyperlink" Target="https://www.sec.gov/Archives/edgar/data/1509470/000149315226030285/ex3-1.htm" TargetMode="External"/><Relationship Id="rId72" Type="http://schemas.openxmlformats.org/officeDocument/2006/relationships/hyperlink" Target="https://www.sec.gov/Archives/edgar/data/1509470/000149315226030285/ex3-1.htm" TargetMode="External"/><Relationship Id="rId73" Type="http://schemas.openxmlformats.org/officeDocument/2006/relationships/hyperlink" Target="https://www.sec.gov/Archives/edgar/data/1509470/000149315226030285/ex3-2.htm" TargetMode="External"/><Relationship Id="rId74" Type="http://schemas.openxmlformats.org/officeDocument/2006/relationships/hyperlink" Target="https://www.sec.gov/Archives/edgar/data/1509470/000149315226030285/ex3-2.htm" TargetMode="External"/><Relationship Id="rId75" Type="http://schemas.openxmlformats.org/officeDocument/2006/relationships/hyperlink" Target="https://www.sec.gov/Archives/edgar/data/1509470/000114420411053817/v235130_ex99-d1.htm" TargetMode="External"/><Relationship Id="rId76" Type="http://schemas.openxmlformats.org/officeDocument/2006/relationships/hyperlink" Target="https://www.sec.gov/Archives/edgar/data/1509470/000114420411053817/v235130_ex99-d1.htm" TargetMode="External"/><Relationship Id="rId77" Type="http://schemas.openxmlformats.org/officeDocument/2006/relationships/hyperlink" Target="https://www.sec.gov/Archives/edgar/data/1509470/000110465920080689/tm2023838d1_ex-d3.htm" TargetMode="External"/><Relationship Id="rId78" Type="http://schemas.openxmlformats.org/officeDocument/2006/relationships/hyperlink" Target="https://www.sec.gov/Archives/edgar/data/1509470/000110465920080689/tm2023838d1_ex-d3.htm" TargetMode="External"/><Relationship Id="rId79" Type="http://schemas.openxmlformats.org/officeDocument/2006/relationships/hyperlink" Target="https://www.sec.gov/Archives/edgar/data/1509470/000110465921150924/tm2135610d1_ex4-2.htm" TargetMode="External"/><Relationship Id="rId80" Type="http://schemas.openxmlformats.org/officeDocument/2006/relationships/hyperlink" Target="https://www.sec.gov/Archives/edgar/data/1509470/000110465921150924/tm2135610d1_ex4-2.htm" TargetMode="External"/><Relationship Id="rId81" Type="http://schemas.openxmlformats.org/officeDocument/2006/relationships/hyperlink" Target="https://www.sec.gov/Archives/edgar/data/1509470/000162828022005867/surocapital-form10xkex45.htm" TargetMode="External"/><Relationship Id="rId82" Type="http://schemas.openxmlformats.org/officeDocument/2006/relationships/hyperlink" Target="https://www.sec.gov/Archives/edgar/data/1509470/000162828022005867/surocapital-form10xkex45.htm" TargetMode="External"/><Relationship Id="rId83" Type="http://schemas.openxmlformats.org/officeDocument/2006/relationships/hyperlink" Target="https://www.sec.gov/Archives/edgar/data/1509470/000113379611000069/k216228_ex99-2e.htm" TargetMode="External"/><Relationship Id="rId84" Type="http://schemas.openxmlformats.org/officeDocument/2006/relationships/hyperlink" Target="https://www.sec.gov/Archives/edgar/data/1509470/000113379611000069/k216228_ex99-2e.htm" TargetMode="External"/><Relationship Id="rId85" Type="http://schemas.openxmlformats.org/officeDocument/2006/relationships/hyperlink" Target="https://www.sec.gov/Archives/edgar/data/1509470/000149315226034015/ex10-1.htm" TargetMode="External"/><Relationship Id="rId86" Type="http://schemas.openxmlformats.org/officeDocument/2006/relationships/hyperlink" Target="https://www.sec.gov/Archives/edgar/data/1509470/000149315226034015/ex10-1.htm" TargetMode="External"/><Relationship Id="rId87" Type="http://schemas.openxmlformats.org/officeDocument/2006/relationships/hyperlink" Target="https://www.sec.gov/Archives/edgar/data/1509470/000110465920089216/tm2026282d1_ex10-1.htm" TargetMode="External"/><Relationship Id="rId88" Type="http://schemas.openxmlformats.org/officeDocument/2006/relationships/hyperlink" Target="https://www.sec.gov/Archives/edgar/data/1509470/000110465920089216/tm2026282d1_ex10-1.htm" TargetMode="External"/><Relationship Id="rId89" Type="http://schemas.openxmlformats.org/officeDocument/2006/relationships/hyperlink" Target="https://www.sec.gov/Archives/edgar/data/1509470/000110465920107576/tm2031571d1_ex10-2.htm" TargetMode="External"/><Relationship Id="rId90" Type="http://schemas.openxmlformats.org/officeDocument/2006/relationships/hyperlink" Target="https://www.sec.gov/Archives/edgar/data/1509470/000110465920107576/tm2031571d1_ex10-2.htm" TargetMode="External"/><Relationship Id="rId91" Type="http://schemas.openxmlformats.org/officeDocument/2006/relationships/hyperlink" Target="https://www.sec.gov/Archives/edgar/data/1509470/000110465924115992/tm2427943d1_ex10-3.htm" TargetMode="External"/><Relationship Id="rId92" Type="http://schemas.openxmlformats.org/officeDocument/2006/relationships/hyperlink" Target="https://www.sec.gov/Archives/edgar/data/1509470/000110465924115992/tm2427943d1_ex10-3.htm" TargetMode="External"/><Relationship Id="rId93" Type="http://schemas.openxmlformats.org/officeDocument/2006/relationships/hyperlink" Target="https://www.sec.gov/Archives/edgar/data/1509470/000110465923047475/tm2313292d1_ex10-1.htm" TargetMode="External"/><Relationship Id="rId94" Type="http://schemas.openxmlformats.org/officeDocument/2006/relationships/hyperlink" Target="https://www.sec.gov/Archives/edgar/data/1509470/000110465923047475/tm2313292d1_ex10-1.htm" TargetMode="External"/><Relationship Id="rId95" Type="http://schemas.openxmlformats.org/officeDocument/2006/relationships/hyperlink" Target="https://www.sec.gov/Archives/edgar/data/1509470/000149315226034015/ex10-2.htm" TargetMode="External"/><Relationship Id="rId96" Type="http://schemas.openxmlformats.org/officeDocument/2006/relationships/hyperlink" Target="https://www.sec.gov/Archives/edgar/data/1509470/000149315226034015/ex10-2.htm" TargetMode="External"/><Relationship Id="rId97" Type="http://schemas.openxmlformats.org/officeDocument/2006/relationships/hyperlink" Target="https://www.sec.gov/Archives/edgar/data/1509470/000113379611000069/k216228_ex99-2k2.htm" TargetMode="External"/><Relationship Id="rId98" Type="http://schemas.openxmlformats.org/officeDocument/2006/relationships/hyperlink" Target="https://www.sec.gov/Archives/edgar/data/1509470/000113379611000069/k216228_ex99-2k2.htm" TargetMode="External"/><Relationship Id="rId99" Type="http://schemas.openxmlformats.org/officeDocument/2006/relationships/hyperlink" Target="https://www.sec.gov/Archives/edgar/data/1509470/000149315224030665/ex10-1.htm" TargetMode="External"/><Relationship Id="rId100" Type="http://schemas.openxmlformats.org/officeDocument/2006/relationships/hyperlink" Target="https://www.sec.gov/Archives/edgar/data/1509470/000149315224030665/ex10-1.htm" TargetMode="External"/><Relationship Id="rId101" Type="http://schemas.openxmlformats.org/officeDocument/2006/relationships/hyperlink" Target="https://www.sec.gov/Archives/edgar/data/1509470/000149315226009641/ex10-20.htm" TargetMode="External"/><Relationship Id="rId102" Type="http://schemas.openxmlformats.org/officeDocument/2006/relationships/hyperlink" Target="https://www.sec.gov/Archives/edgar/data/1509470/000149315226009641/ex10-20.htm" TargetMode="External"/><Relationship Id="rId103" Type="http://schemas.openxmlformats.org/officeDocument/2006/relationships/hyperlink" Target="https://www.sec.gov/Archives/edgar/data/1509470/000149315226034015/ex10-3.htm" TargetMode="External"/><Relationship Id="rId104" Type="http://schemas.openxmlformats.org/officeDocument/2006/relationships/hyperlink" Target="https://www.sec.gov/Archives/edgar/data/1509470/000149315226034015/ex10-3.htm" TargetMode="External"/><Relationship Id="rId105" Type="http://schemas.openxmlformats.org/officeDocument/2006/relationships/hyperlink" Target="https://www.sec.gov/Archives/edgar/data/1509470/000149315226034015/ex10-4.htm" TargetMode="External"/><Relationship Id="rId106" Type="http://schemas.openxmlformats.org/officeDocument/2006/relationships/hyperlink" Target="https://www.sec.gov/Archives/edgar/data/1509470/000149315226034015/ex10-4.htm" TargetMode="External"/><Relationship Id="rId107" Type="http://schemas.openxmlformats.org/officeDocument/2006/relationships/hyperlink" Target="https://www.sec.gov/Archives/edgar/data/1509470/000149315226035527/exl.htm" TargetMode="External"/><Relationship Id="rId108" Type="http://schemas.openxmlformats.org/officeDocument/2006/relationships/hyperlink" Target="https://www.sec.gov/Archives/edgar/data/1509470/000149315226035527/exl.htm" TargetMode="External"/><Relationship Id="rId109" Type="http://schemas.openxmlformats.org/officeDocument/2006/relationships/hyperlink" Target="https://www.sec.gov/Archives/edgar/data/1509470/000149315226043924/ex99-1.htm" TargetMode="External"/><Relationship Id="rId110" Type="http://schemas.openxmlformats.org/officeDocument/2006/relationships/hyperlink" Target="https://www.sec.gov/Archives/edgar/data/1509470/000149315226043924/ex99-1.htm" TargetMode="External"/><Relationship Id="rId111" Type="http://schemas.openxmlformats.org/officeDocument/2006/relationships/hyperlink" Target="https://www.sec.gov/Archives/edgar/data/1509470/000149315226043924/ex99-1.htm" TargetMode="External"/><Relationship Id="rId112" Type="http://schemas.openxmlformats.org/officeDocument/2006/relationships/hyperlink" Target="https://www.sec.gov/Archives/edgar/data/1509470/000149315226009641/ex99-2.htm" TargetMode="External"/><Relationship Id="rId113" Type="http://schemas.openxmlformats.org/officeDocument/2006/relationships/hyperlink" Target="https://www.sec.gov/Archives/edgar/data/1509470/000149315226009641/ex99-2.htm" TargetMode="External"/><Relationship Id="rId114" Type="http://schemas.openxmlformats.org/officeDocument/2006/relationships/hyperlink" Target="https://www.sec.gov/Archives/edgar/data/1509470/000149315223007850/ex14-1.htm" TargetMode="External"/><Relationship Id="rId115" Type="http://schemas.openxmlformats.org/officeDocument/2006/relationships/hyperlink" Target="https://www.sec.gov/Archives/edgar/data/1509470/000149315223007850/ex14-1.htm" TargetMode="External"/><Relationship Id="rId116" Type="http://schemas.openxmlformats.org/officeDocument/2006/relationships/hyperlink" Target="https://www.sec.gov/Archives/edgar/data/1509470/000150947020000003/ssss-12312019x10kex142.htm" TargetMode="External"/><Relationship Id="rId117" Type="http://schemas.openxmlformats.org/officeDocument/2006/relationships/hyperlink" Target="https://www.sec.gov/Archives/edgar/data/1509470/000150947020000003/ssss-12312019x10kex142.htm" TargetMode="External"/><Relationship Id="rId118" Type="http://schemas.openxmlformats.org/officeDocument/2006/relationships/hyperlink" Target="https://www.sec.gov/Archives/edgar/data/1509470/000149315226035527/exr-3.htm" TargetMode="External"/><Relationship Id="rId119" Type="http://schemas.openxmlformats.org/officeDocument/2006/relationships/hyperlink" Target="https://www.sec.gov/Archives/edgar/data/1509470/000149315226035527/exr-3.htm" TargetMode="External"/><Relationship Id="rId120" Type="http://schemas.openxmlformats.org/officeDocument/2006/relationships/hyperlink" Target="https://www.sec.gov/Archives/edgar/data/1509470/000149315226035527/exs.htm" TargetMode="External"/><Relationship Id="rId121" Type="http://schemas.openxmlformats.org/officeDocument/2006/relationships/hyperlink" Target="https://www.sec.gov/Archives/edgar/data/1509470/000149315226035527/exs.htm" TargetMode="External"/><Relationship Id="rId122" Type="http://schemas.openxmlformats.org/officeDocument/2006/relationships/fontTable" Target="fontTable.xml"/><Relationship Id="rId1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58912</Words>
  <Characters>309976</Characters>
  <CharactersWithSpaces>370081</CharactersWithSpaces>
  <Paragraphs>5778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