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3253105</wp:posOffset>
            </wp:positionH>
            <wp:positionV relativeFrom="page">
              <wp:posOffset>457835</wp:posOffset>
            </wp:positionV>
            <wp:extent cx="342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page">
              <wp:posOffset>3253105</wp:posOffset>
            </wp:positionH>
            <wp:positionV relativeFrom="page">
              <wp:posOffset>483235</wp:posOffset>
            </wp:positionV>
            <wp:extent cx="342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7145"/>
                    </a:xfrm>
                    <a:prstGeom prst="rect">
                      <a:avLst/>
                    </a:prstGeom>
                    <a:noFill/>
                  </pic:spPr>
                </pic:pic>
              </a:graphicData>
            </a:graphic>
          </wp:anchor>
        </w:drawing>
        <w:t>UNITED STATES</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194310</wp:posOffset>
            </wp:positionV>
            <wp:extent cx="1543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206375</wp:posOffset>
            </wp:positionV>
            <wp:extent cx="15436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266065</wp:posOffset>
            </wp:positionV>
            <wp:extent cx="4081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1120" w:hanging="685"/>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w:t>
      </w:r>
    </w:p>
    <w:p>
      <w:pPr>
        <w:spacing w:after="0" w:line="9"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b w:val="1"/>
          <w:bCs w:val="1"/>
          <w:color w:val="auto"/>
        </w:rPr>
        <w:t>OF THE SECURITIES EXCHANGE ACT OF 1934</w:t>
      </w:r>
    </w:p>
    <w:p>
      <w:pPr>
        <w:spacing w:after="0" w:line="99"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-59055</wp:posOffset>
            </wp:positionV>
            <wp:extent cx="4081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7" w:lineRule="exact"/>
        <w:rPr>
          <w:sz w:val="24"/>
          <w:szCs w:val="24"/>
          <w:color w:val="auto"/>
        </w:rPr>
      </w:pPr>
    </w:p>
    <w:p>
      <w:pPr>
        <w:ind w:left="1120" w:hanging="685"/>
        <w:spacing w:after="0"/>
        <w:tabs>
          <w:tab w:leader="none" w:pos="11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w:t>
      </w:r>
    </w:p>
    <w:p>
      <w:pPr>
        <w:spacing w:after="0" w:line="9" w:lineRule="exact"/>
        <w:rPr>
          <w:rFonts w:ascii="Arial" w:cs="Arial" w:eastAsia="Arial" w:hAnsi="Arial"/>
          <w:sz w:val="18"/>
          <w:szCs w:val="18"/>
          <w:b w:val="1"/>
          <w:bCs w:val="1"/>
          <w:color w:val="auto"/>
        </w:rPr>
      </w:pPr>
    </w:p>
    <w:p>
      <w:pPr>
        <w:ind w:left="1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206375</wp:posOffset>
            </wp:positionV>
            <wp:extent cx="1543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tbl>
      <w:tblPr>
        <w:tblLayout w:type="fixed"/>
        <w:tblInd w:w="1080" w:type="dxa"/>
        <w:tblCellMar>
          <w:top w:w="0" w:type="dxa"/>
          <w:left w:w="0" w:type="dxa"/>
          <w:bottom w:w="0" w:type="dxa"/>
          <w:right w:w="0" w:type="dxa"/>
        </w:tblCellMar>
      </w:tblPr>
      <w:tr>
        <w:trPr>
          <w:trHeight w:val="421"/>
        </w:trPr>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80" w:type="dxa"/>
            <w:vAlign w:val="bottom"/>
            <w:gridSpan w:val="3"/>
          </w:tcPr>
          <w:p>
            <w:pPr>
              <w:jc w:val="center"/>
              <w:ind w:right="1668"/>
              <w:spacing w:after="0"/>
              <w:rPr>
                <w:sz w:val="20"/>
                <w:szCs w:val="20"/>
                <w:color w:val="auto"/>
              </w:rPr>
            </w:pPr>
            <w:r>
              <w:rPr>
                <w:rFonts w:ascii="Arial" w:cs="Arial" w:eastAsia="Arial" w:hAnsi="Arial"/>
                <w:sz w:val="32"/>
                <w:szCs w:val="32"/>
                <w:b w:val="1"/>
                <w:bCs w:val="1"/>
                <w:color w:val="auto"/>
                <w:w w:val="96"/>
              </w:rPr>
              <w:t>GSV Capital Corp.</w:t>
            </w:r>
          </w:p>
        </w:tc>
      </w:tr>
      <w:tr>
        <w:trPr>
          <w:trHeight w:val="269"/>
        </w:trPr>
        <w:tc>
          <w:tcPr>
            <w:tcW w:w="2040" w:type="dxa"/>
            <w:vAlign w:val="bottom"/>
          </w:tcPr>
          <w:p>
            <w:pPr>
              <w:spacing w:after="0"/>
              <w:rPr>
                <w:sz w:val="23"/>
                <w:szCs w:val="23"/>
                <w:color w:val="auto"/>
              </w:rPr>
            </w:pPr>
          </w:p>
        </w:tc>
        <w:tc>
          <w:tcPr>
            <w:tcW w:w="440" w:type="dxa"/>
            <w:vAlign w:val="bottom"/>
            <w:gridSpan w:val="2"/>
          </w:tcPr>
          <w:p>
            <w:pPr>
              <w:spacing w:after="0"/>
              <w:rPr>
                <w:sz w:val="23"/>
                <w:szCs w:val="23"/>
                <w:color w:val="auto"/>
              </w:rPr>
            </w:pPr>
          </w:p>
        </w:tc>
        <w:tc>
          <w:tcPr>
            <w:tcW w:w="2420" w:type="dxa"/>
            <w:vAlign w:val="bottom"/>
            <w:tcBorders>
              <w:bottom w:val="single" w:sz="8" w:color="auto"/>
            </w:tcBorders>
          </w:tcPr>
          <w:p>
            <w:pPr>
              <w:spacing w:after="0"/>
              <w:rPr>
                <w:sz w:val="23"/>
                <w:szCs w:val="23"/>
                <w:color w:val="auto"/>
              </w:rPr>
            </w:pPr>
          </w:p>
        </w:tc>
        <w:tc>
          <w:tcPr>
            <w:tcW w:w="1900" w:type="dxa"/>
            <w:vAlign w:val="bottom"/>
          </w:tcPr>
          <w:p>
            <w:pPr>
              <w:spacing w:after="0"/>
              <w:rPr>
                <w:sz w:val="23"/>
                <w:szCs w:val="23"/>
                <w:color w:val="auto"/>
              </w:rPr>
            </w:pPr>
          </w:p>
        </w:tc>
      </w:tr>
      <w:tr>
        <w:trPr>
          <w:trHeight w:val="596"/>
        </w:trPr>
        <w:tc>
          <w:tcPr>
            <w:tcW w:w="2040" w:type="dxa"/>
            <w:vAlign w:val="bottom"/>
          </w:tcPr>
          <w:p>
            <w:pPr>
              <w:jc w:val="center"/>
              <w:ind w:left="157"/>
              <w:spacing w:after="0"/>
              <w:rPr>
                <w:sz w:val="20"/>
                <w:szCs w:val="20"/>
                <w:color w:val="auto"/>
              </w:rPr>
            </w:pPr>
            <w:r>
              <w:rPr>
                <w:rFonts w:ascii="Arial" w:cs="Arial" w:eastAsia="Arial" w:hAnsi="Arial"/>
                <w:sz w:val="18"/>
                <w:szCs w:val="18"/>
                <w:b w:val="1"/>
                <w:bCs w:val="1"/>
                <w:color w:val="auto"/>
                <w:w w:val="96"/>
              </w:rPr>
              <w:t>Maryland</w:t>
            </w:r>
          </w:p>
        </w:tc>
        <w:tc>
          <w:tcPr>
            <w:tcW w:w="4760" w:type="dxa"/>
            <w:vAlign w:val="bottom"/>
            <w:gridSpan w:val="4"/>
          </w:tcPr>
          <w:p>
            <w:pPr>
              <w:ind w:left="100"/>
              <w:spacing w:after="0"/>
              <w:rPr>
                <w:sz w:val="20"/>
                <w:szCs w:val="20"/>
                <w:color w:val="auto"/>
              </w:rPr>
            </w:pPr>
            <w:r>
              <w:rPr>
                <w:rFonts w:ascii="Arial" w:cs="Arial" w:eastAsia="Arial" w:hAnsi="Arial"/>
                <w:sz w:val="14"/>
                <w:szCs w:val="14"/>
                <w:b w:val="1"/>
                <w:bCs w:val="1"/>
                <w:color w:val="auto"/>
                <w:w w:val="98"/>
              </w:rPr>
              <w:t>(Exact name of registrant as specified in its charter)</w:t>
            </w:r>
            <w:r>
              <w:rPr>
                <w:rFonts w:ascii="Arial" w:cs="Arial" w:eastAsia="Arial" w:hAnsi="Arial"/>
                <w:sz w:val="36"/>
                <w:szCs w:val="36"/>
                <w:b w:val="1"/>
                <w:bCs w:val="1"/>
                <w:color w:val="auto"/>
                <w:w w:val="98"/>
                <w:vertAlign w:val="subscript"/>
              </w:rPr>
              <w:t>27-4443543</w:t>
            </w:r>
          </w:p>
        </w:tc>
      </w:tr>
      <w:tr>
        <w:trPr>
          <w:trHeight w:val="140"/>
        </w:trPr>
        <w:tc>
          <w:tcPr>
            <w:tcW w:w="2040" w:type="dxa"/>
            <w:vAlign w:val="bottom"/>
          </w:tcPr>
          <w:p>
            <w:pPr>
              <w:jc w:val="center"/>
              <w:ind w:left="157"/>
              <w:spacing w:after="0" w:line="141" w:lineRule="exact"/>
              <w:rPr>
                <w:sz w:val="20"/>
                <w:szCs w:val="20"/>
                <w:color w:val="auto"/>
              </w:rPr>
            </w:pPr>
            <w:r>
              <w:rPr>
                <w:rFonts w:ascii="Arial" w:cs="Arial" w:eastAsia="Arial" w:hAnsi="Arial"/>
                <w:sz w:val="14"/>
                <w:szCs w:val="14"/>
                <w:color w:val="auto"/>
                <w:w w:val="95"/>
              </w:rPr>
              <w:t>(State of incorporation)</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320" w:type="dxa"/>
            <w:vAlign w:val="bottom"/>
            <w:gridSpan w:val="2"/>
          </w:tcPr>
          <w:p>
            <w:pPr>
              <w:jc w:val="center"/>
              <w:ind w:left="2168"/>
              <w:spacing w:after="0" w:line="141" w:lineRule="exact"/>
              <w:rPr>
                <w:sz w:val="20"/>
                <w:szCs w:val="20"/>
                <w:color w:val="auto"/>
              </w:rPr>
            </w:pPr>
            <w:r>
              <w:rPr>
                <w:rFonts w:ascii="Arial" w:cs="Arial" w:eastAsia="Arial" w:hAnsi="Arial"/>
                <w:sz w:val="14"/>
                <w:szCs w:val="14"/>
                <w:color w:val="auto"/>
                <w:w w:val="96"/>
              </w:rPr>
              <w:t>(I.R.S. Employer Identification No.)</w:t>
            </w:r>
          </w:p>
        </w:tc>
      </w:tr>
      <w:tr>
        <w:trPr>
          <w:trHeight w:val="157"/>
        </w:trPr>
        <w:tc>
          <w:tcPr>
            <w:tcW w:w="2040" w:type="dxa"/>
            <w:vAlign w:val="bottom"/>
          </w:tcPr>
          <w:p>
            <w:pPr>
              <w:jc w:val="center"/>
              <w:ind w:left="157"/>
              <w:spacing w:after="0" w:line="157" w:lineRule="exact"/>
              <w:rPr>
                <w:sz w:val="20"/>
                <w:szCs w:val="20"/>
                <w:color w:val="auto"/>
              </w:rPr>
            </w:pPr>
            <w:r>
              <w:rPr>
                <w:rFonts w:ascii="Arial" w:cs="Arial" w:eastAsia="Arial" w:hAnsi="Arial"/>
                <w:sz w:val="18"/>
                <w:szCs w:val="18"/>
                <w:b w:val="1"/>
                <w:bCs w:val="1"/>
                <w:color w:val="auto"/>
                <w:w w:val="88"/>
              </w:rPr>
              <w:t>2965 Woodside Road</w:t>
            </w:r>
          </w:p>
        </w:tc>
        <w:tc>
          <w:tcPr>
            <w:tcW w:w="280" w:type="dxa"/>
            <w:vAlign w:val="bottom"/>
          </w:tcPr>
          <w:p>
            <w:pPr>
              <w:spacing w:after="0"/>
              <w:rPr>
                <w:sz w:val="13"/>
                <w:szCs w:val="13"/>
                <w:color w:val="auto"/>
              </w:rPr>
            </w:pPr>
          </w:p>
        </w:tc>
        <w:tc>
          <w:tcPr>
            <w:tcW w:w="4480" w:type="dxa"/>
            <w:vAlign w:val="bottom"/>
            <w:gridSpan w:val="3"/>
          </w:tcPr>
          <w:p>
            <w:pPr>
              <w:jc w:val="center"/>
              <w:ind w:left="2286"/>
              <w:spacing w:after="0" w:line="157" w:lineRule="exact"/>
              <w:rPr>
                <w:sz w:val="20"/>
                <w:szCs w:val="20"/>
                <w:color w:val="auto"/>
              </w:rPr>
            </w:pPr>
            <w:r>
              <w:rPr>
                <w:rFonts w:ascii="Arial" w:cs="Arial" w:eastAsia="Arial" w:hAnsi="Arial"/>
                <w:sz w:val="18"/>
                <w:szCs w:val="18"/>
                <w:b w:val="1"/>
                <w:bCs w:val="1"/>
                <w:color w:val="auto"/>
                <w:w w:val="87"/>
              </w:rPr>
              <w:t>94062</w:t>
            </w:r>
          </w:p>
        </w:tc>
      </w:tr>
      <w:tr>
        <w:trPr>
          <w:trHeight w:val="216"/>
        </w:trPr>
        <w:tc>
          <w:tcPr>
            <w:tcW w:w="2040" w:type="dxa"/>
            <w:vAlign w:val="bottom"/>
          </w:tcPr>
          <w:p>
            <w:pPr>
              <w:jc w:val="center"/>
              <w:ind w:left="177"/>
              <w:spacing w:after="0"/>
              <w:rPr>
                <w:sz w:val="20"/>
                <w:szCs w:val="20"/>
                <w:color w:val="auto"/>
              </w:rPr>
            </w:pPr>
            <w:r>
              <w:rPr>
                <w:rFonts w:ascii="Arial" w:cs="Arial" w:eastAsia="Arial" w:hAnsi="Arial"/>
                <w:sz w:val="18"/>
                <w:szCs w:val="18"/>
                <w:b w:val="1"/>
                <w:bCs w:val="1"/>
                <w:color w:val="auto"/>
                <w:w w:val="90"/>
              </w:rPr>
              <w:t>Woodside, CA</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182"/>
        </w:trPr>
        <w:tc>
          <w:tcPr>
            <w:tcW w:w="2320" w:type="dxa"/>
            <w:vAlign w:val="bottom"/>
            <w:gridSpan w:val="2"/>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1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900" w:type="dxa"/>
            <w:vAlign w:val="bottom"/>
          </w:tcPr>
          <w:p>
            <w:pPr>
              <w:jc w:val="center"/>
              <w:ind w:right="108"/>
              <w:spacing w:after="0"/>
              <w:rPr>
                <w:sz w:val="20"/>
                <w:szCs w:val="20"/>
                <w:color w:val="auto"/>
              </w:rPr>
            </w:pPr>
            <w:r>
              <w:rPr>
                <w:rFonts w:ascii="Arial" w:cs="Arial" w:eastAsia="Arial" w:hAnsi="Arial"/>
                <w:sz w:val="14"/>
                <w:szCs w:val="14"/>
                <w:color w:val="auto"/>
                <w:w w:val="96"/>
              </w:rPr>
              <w:t>(Zip Code)</w:t>
            </w:r>
          </w:p>
        </w:tc>
      </w:tr>
      <w:tr>
        <w:trPr>
          <w:trHeight w:val="417"/>
        </w:trPr>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gridSpan w:val="2"/>
          </w:tcPr>
          <w:p>
            <w:pPr>
              <w:jc w:val="right"/>
              <w:ind w:right="568"/>
              <w:spacing w:after="0"/>
              <w:rPr>
                <w:sz w:val="20"/>
                <w:szCs w:val="20"/>
                <w:color w:val="auto"/>
              </w:rPr>
            </w:pPr>
            <w:r>
              <w:rPr>
                <w:rFonts w:ascii="Arial" w:cs="Arial" w:eastAsia="Arial" w:hAnsi="Arial"/>
                <w:sz w:val="18"/>
                <w:szCs w:val="18"/>
                <w:b w:val="1"/>
                <w:bCs w:val="1"/>
                <w:color w:val="auto"/>
              </w:rPr>
              <w:t>(650) 206-2965</w:t>
            </w:r>
          </w:p>
        </w:tc>
        <w:tc>
          <w:tcPr>
            <w:tcW w:w="1900" w:type="dxa"/>
            <w:vAlign w:val="bottom"/>
          </w:tcPr>
          <w:p>
            <w:pPr>
              <w:spacing w:after="0"/>
              <w:rPr>
                <w:sz w:val="24"/>
                <w:szCs w:val="24"/>
                <w:color w:val="auto"/>
              </w:rPr>
            </w:pPr>
          </w:p>
        </w:tc>
      </w:tr>
      <w:tr>
        <w:trPr>
          <w:trHeight w:val="285"/>
        </w:trPr>
        <w:tc>
          <w:tcPr>
            <w:tcW w:w="2040" w:type="dxa"/>
            <w:vAlign w:val="bottom"/>
          </w:tcPr>
          <w:p>
            <w:pPr>
              <w:spacing w:after="0"/>
              <w:rPr>
                <w:sz w:val="24"/>
                <w:szCs w:val="24"/>
                <w:color w:val="auto"/>
              </w:rPr>
            </w:pPr>
          </w:p>
        </w:tc>
        <w:tc>
          <w:tcPr>
            <w:tcW w:w="4760" w:type="dxa"/>
            <w:vAlign w:val="bottom"/>
            <w:gridSpan w:val="4"/>
          </w:tcPr>
          <w:p>
            <w:pPr>
              <w:ind w:left="160"/>
              <w:spacing w:after="0"/>
              <w:rPr>
                <w:sz w:val="20"/>
                <w:szCs w:val="20"/>
                <w:color w:val="auto"/>
              </w:rPr>
            </w:pPr>
            <w:r>
              <w:rPr>
                <w:rFonts w:ascii="Arial" w:cs="Arial" w:eastAsia="Arial" w:hAnsi="Arial"/>
                <w:sz w:val="14"/>
                <w:szCs w:val="14"/>
                <w:color w:val="auto"/>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-1063625</wp:posOffset>
            </wp:positionV>
            <wp:extent cx="574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461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-875030</wp:posOffset>
            </wp:positionV>
            <wp:extent cx="5746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6115" cy="8890"/>
                    </a:xfrm>
                    <a:prstGeom prst="rect">
                      <a:avLst/>
                    </a:prstGeom>
                    <a:noFill/>
                  </pic:spPr>
                </pic:pic>
              </a:graphicData>
            </a:graphic>
          </wp:anchor>
        </w:drawing>
        <w:drawing>
          <wp:anchor simplePos="0" relativeHeight="251657728" behindDoc="1" locked="0" layoutInCell="0" allowOverlap="1">
            <wp:simplePos x="0" y="0"/>
            <wp:positionH relativeFrom="column">
              <wp:posOffset>2257425</wp:posOffset>
            </wp:positionH>
            <wp:positionV relativeFrom="paragraph">
              <wp:posOffset>187960</wp:posOffset>
            </wp:positionV>
            <wp:extent cx="154368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x No o</w:t>
      </w:r>
    </w:p>
    <w:p>
      <w:pPr>
        <w:spacing w:after="0" w:line="73" w:lineRule="exact"/>
        <w:rPr>
          <w:sz w:val="24"/>
          <w:szCs w:val="24"/>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39" w:lineRule="exact"/>
        <w:rPr>
          <w:sz w:val="24"/>
          <w:szCs w:val="24"/>
          <w:color w:val="auto"/>
        </w:rPr>
      </w:pPr>
    </w:p>
    <w:p>
      <w:pPr>
        <w:jc w:val="both"/>
        <w:ind w:left="40" w:right="519" w:firstLine="27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-76200</wp:posOffset>
            </wp:positionV>
            <wp:extent cx="574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ectPr>
          <w:pgSz w:w="11900" w:h="16838" w:orient="portrait"/>
          <w:cols w:equalWidth="0" w:num="1">
            <w:col w:w="10079"/>
          </w:cols>
          <w:pgMar w:left="380" w:top="1175" w:right="1440" w:bottom="1440" w:gutter="0" w:footer="0" w:header="0"/>
        </w:sectPr>
      </w:pPr>
    </w:p>
    <w:p>
      <w:pPr>
        <w:ind w:left="180"/>
        <w:spacing w:after="0"/>
        <w:tabs>
          <w:tab w:leader="none" w:pos="214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4"/>
          <w:szCs w:val="14"/>
          <w:color w:val="auto"/>
        </w:rPr>
        <w:t>o</w:t>
      </w:r>
    </w:p>
    <w:p>
      <w:pPr>
        <w:spacing w:after="0" w:line="9" w:lineRule="exact"/>
        <w:rPr>
          <w:sz w:val="24"/>
          <w:szCs w:val="24"/>
          <w:color w:val="auto"/>
        </w:rPr>
      </w:pPr>
    </w:p>
    <w:p>
      <w:pPr>
        <w:ind w:left="180"/>
        <w:spacing w:after="0"/>
        <w:tabs>
          <w:tab w:leader="none" w:pos="214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Accelerated filer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54" w:lineRule="exact"/>
        <w:rPr>
          <w:sz w:val="24"/>
          <w:szCs w:val="24"/>
          <w:color w:val="auto"/>
        </w:rPr>
      </w:pPr>
    </w:p>
    <w:p>
      <w:pPr>
        <w:sectPr>
          <w:pgSz w:w="11900" w:h="16838" w:orient="portrait"/>
          <w:cols w:equalWidth="0" w:num="3">
            <w:col w:w="3900" w:space="720"/>
            <w:col w:w="1960" w:space="200"/>
            <w:col w:w="3299"/>
          </w:cols>
          <w:pgMar w:left="380" w:top="1175" w:right="1440" w:bottom="1440" w:gutter="0" w:footer="0" w:header="0"/>
          <w:type w:val="continuous"/>
        </w:sectPr>
      </w:pPr>
    </w:p>
    <w:p>
      <w:pPr>
        <w:spacing w:after="0"/>
        <w:rPr>
          <w:sz w:val="20"/>
          <w:szCs w:val="20"/>
          <w:color w:val="auto"/>
        </w:rPr>
      </w:pPr>
      <w:r>
        <w:rPr>
          <w:rFonts w:ascii="Arial" w:cs="Arial" w:eastAsia="Arial" w:hAnsi="Arial"/>
          <w:sz w:val="18"/>
          <w:szCs w:val="18"/>
          <w:color w:val="auto"/>
        </w:rPr>
        <w:t>(do not check if a smaller reporting company)</w:t>
      </w:r>
    </w:p>
    <w:p>
      <w:pPr>
        <w:spacing w:after="0" w:line="103" w:lineRule="exact"/>
        <w:rPr>
          <w:sz w:val="24"/>
          <w:szCs w:val="24"/>
          <w:color w:val="auto"/>
        </w:rPr>
      </w:pPr>
    </w:p>
    <w:p>
      <w:pPr>
        <w:ind w:left="3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Act).Yes o No x</w:t>
      </w:r>
    </w:p>
    <w:p>
      <w:pPr>
        <w:spacing w:after="0" w:line="140" w:lineRule="exact"/>
        <w:rPr>
          <w:sz w:val="24"/>
          <w:szCs w:val="24"/>
          <w:color w:val="auto"/>
        </w:rPr>
      </w:pPr>
    </w:p>
    <w:p>
      <w:pPr>
        <w:ind w:left="320"/>
        <w:spacing w:after="0"/>
        <w:rPr>
          <w:sz w:val="20"/>
          <w:szCs w:val="20"/>
          <w:color w:val="auto"/>
        </w:rPr>
      </w:pPr>
      <w:r>
        <w:rPr>
          <w:rFonts w:ascii="Arial" w:cs="Arial" w:eastAsia="Arial" w:hAnsi="Arial"/>
          <w:sz w:val="17"/>
          <w:szCs w:val="17"/>
          <w:color w:val="auto"/>
        </w:rPr>
        <w:t>The number of shares of the issuer’s Common Stock, $0.01 par value, outstanding as of May 9, 2013 was 19,320,100.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486410</wp:posOffset>
            </wp:positionH>
            <wp:positionV relativeFrom="paragraph">
              <wp:posOffset>755650</wp:posOffset>
            </wp:positionV>
            <wp:extent cx="6114415"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5080</wp:posOffset>
            </wp:positionV>
            <wp:extent cx="342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30480</wp:posOffset>
            </wp:positionV>
            <wp:extent cx="342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ectPr>
          <w:pgSz w:w="11900" w:h="16838" w:orient="portrait"/>
          <w:cols w:equalWidth="0" w:num="1">
            <w:col w:w="10079"/>
          </w:cols>
          <w:pgMar w:left="380" w:top="1175" w:right="1440" w:bottom="1440" w:gutter="0" w:footer="0" w:header="0"/>
          <w:type w:val="continuous"/>
        </w:sectPr>
      </w:pPr>
    </w:p>
    <w:bookmarkStart w:id="1" w:name="page2"/>
    <w:bookmarkEnd w:id="1"/>
    <w:p>
      <w:pPr>
        <w:jc w:val="center"/>
        <w:ind w:right="519"/>
        <w:spacing w:after="0"/>
        <w:rPr>
          <w:sz w:val="20"/>
          <w:szCs w:val="20"/>
          <w:color w:val="auto"/>
        </w:rPr>
      </w:pPr>
      <w:r>
        <w:rPr>
          <w:rFonts w:ascii="Arial" w:cs="Arial" w:eastAsia="Arial" w:hAnsi="Arial"/>
          <w:sz w:val="18"/>
          <w:szCs w:val="18"/>
          <w:b w:val="1"/>
          <w:bCs w:val="1"/>
          <w:color w:val="auto"/>
        </w:rPr>
        <w:t>GSV CAPITAL CORP. AND SUBSIDIARY</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PAGE</w:t>
            </w:r>
          </w:p>
        </w:tc>
      </w:tr>
      <w:tr>
        <w:trPr>
          <w:trHeight w:val="210"/>
        </w:trPr>
        <w:tc>
          <w:tcPr>
            <w:tcW w:w="7680" w:type="dxa"/>
            <w:vAlign w:val="bottom"/>
            <w:gridSpan w:val="28"/>
            <w:shd w:val="clear" w:color="auto" w:fill="CCFFCC"/>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176"/>
        </w:trPr>
        <w:tc>
          <w:tcPr>
            <w:tcW w:w="840" w:type="dxa"/>
            <w:vAlign w:val="bottom"/>
            <w:gridSpan w:val="3"/>
          </w:tcPr>
          <w:p>
            <w:pPr>
              <w:ind w:left="200"/>
              <w:spacing w:after="0" w:line="176" w:lineRule="exact"/>
              <w:rPr>
                <w:sz w:val="20"/>
                <w:szCs w:val="20"/>
                <w:color w:val="auto"/>
              </w:rPr>
            </w:pPr>
            <w:r>
              <w:rPr>
                <w:rFonts w:ascii="Arial" w:cs="Arial" w:eastAsia="Arial" w:hAnsi="Arial"/>
                <w:sz w:val="18"/>
                <w:szCs w:val="18"/>
                <w:color w:val="0000EE"/>
              </w:rPr>
              <w:t>Item 1.</w:t>
            </w:r>
          </w:p>
        </w:tc>
        <w:tc>
          <w:tcPr>
            <w:tcW w:w="6840" w:type="dxa"/>
            <w:vAlign w:val="bottom"/>
            <w:gridSpan w:val="25"/>
          </w:tcPr>
          <w:p>
            <w:pPr>
              <w:ind w:left="80"/>
              <w:spacing w:after="0" w:line="176" w:lineRule="exact"/>
              <w:rPr>
                <w:sz w:val="20"/>
                <w:szCs w:val="20"/>
                <w:color w:val="auto"/>
              </w:rPr>
            </w:pPr>
            <w:r>
              <w:rPr>
                <w:rFonts w:ascii="Arial" w:cs="Arial" w:eastAsia="Arial" w:hAnsi="Arial"/>
                <w:sz w:val="18"/>
                <w:szCs w:val="18"/>
                <w:color w:val="0000EE"/>
              </w:rPr>
              <w:t>Financial Statements</w:t>
            </w:r>
          </w:p>
        </w:tc>
        <w:tc>
          <w:tcPr>
            <w:tcW w:w="54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0000EE"/>
              </w:rPr>
              <w:t>2</w:t>
            </w:r>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FFCC"/>
          </w:tcPr>
          <w:p>
            <w:pPr>
              <w:spacing w:after="0"/>
              <w:rPr>
                <w:sz w:val="15"/>
                <w:szCs w:val="15"/>
                <w:color w:val="auto"/>
              </w:rPr>
            </w:pPr>
          </w:p>
        </w:tc>
        <w:tc>
          <w:tcPr>
            <w:tcW w:w="5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6760" w:type="dxa"/>
            <w:vAlign w:val="bottom"/>
            <w:gridSpan w:val="24"/>
            <w:shd w:val="clear" w:color="auto" w:fill="CCFFCC"/>
          </w:tcPr>
          <w:p>
            <w:pPr>
              <w:spacing w:after="0" w:line="176" w:lineRule="exact"/>
              <w:rPr>
                <w:sz w:val="20"/>
                <w:szCs w:val="20"/>
                <w:color w:val="auto"/>
              </w:rPr>
            </w:pPr>
            <w:r>
              <w:rPr>
                <w:rFonts w:ascii="Arial" w:cs="Arial" w:eastAsia="Arial" w:hAnsi="Arial"/>
                <w:sz w:val="18"/>
                <w:szCs w:val="18"/>
                <w:color w:val="0000EE"/>
                <w:w w:val="96"/>
              </w:rPr>
              <w:t>Consolidated Statements of Assets and Liabilities as of March 31, 2013 (unaudited) and</w:t>
            </w:r>
          </w:p>
        </w:tc>
        <w:tc>
          <w:tcPr>
            <w:tcW w:w="540" w:type="dxa"/>
            <w:vAlign w:val="bottom"/>
            <w:gridSpan w:val="4"/>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rPr>
              <w:t>2</w:t>
            </w:r>
          </w:p>
        </w:tc>
      </w:tr>
      <w:tr>
        <w:trPr>
          <w:trHeight w:val="196"/>
        </w:trPr>
        <w:tc>
          <w:tcPr>
            <w:tcW w:w="200" w:type="dxa"/>
            <w:vAlign w:val="bottom"/>
            <w:tcBorders>
              <w:top w:val="single" w:sz="8" w:color="CCFFCC"/>
            </w:tcBorders>
            <w:shd w:val="clear" w:color="auto" w:fill="CCFFCC"/>
          </w:tcPr>
          <w:p>
            <w:pPr>
              <w:spacing w:after="0"/>
              <w:rPr>
                <w:sz w:val="17"/>
                <w:szCs w:val="17"/>
                <w:color w:val="auto"/>
              </w:rPr>
            </w:pPr>
          </w:p>
        </w:tc>
        <w:tc>
          <w:tcPr>
            <w:tcW w:w="50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0000EE"/>
            </w:tcBorders>
            <w:shd w:val="clear" w:color="auto" w:fill="CCFFCC"/>
          </w:tcPr>
          <w:p>
            <w:pPr>
              <w:spacing w:after="0"/>
              <w:rPr>
                <w:sz w:val="17"/>
                <w:szCs w:val="17"/>
                <w:color w:val="auto"/>
              </w:rPr>
            </w:pPr>
          </w:p>
        </w:tc>
        <w:tc>
          <w:tcPr>
            <w:tcW w:w="6140" w:type="dxa"/>
            <w:vAlign w:val="bottom"/>
            <w:tcBorders>
              <w:top w:val="single" w:sz="8" w:color="0000EE"/>
            </w:tcBorders>
            <w:gridSpan w:val="20"/>
            <w:shd w:val="clear" w:color="auto" w:fill="CCFFCC"/>
          </w:tcPr>
          <w:p>
            <w:pPr>
              <w:spacing w:after="0" w:line="196" w:lineRule="exact"/>
              <w:rPr>
                <w:sz w:val="20"/>
                <w:szCs w:val="20"/>
                <w:color w:val="auto"/>
              </w:rPr>
            </w:pPr>
            <w:r>
              <w:rPr>
                <w:rFonts w:ascii="Arial" w:cs="Arial" w:eastAsia="Arial" w:hAnsi="Arial"/>
                <w:sz w:val="18"/>
                <w:szCs w:val="18"/>
                <w:color w:val="0000EE"/>
              </w:rPr>
              <w:t>December 31, 2012</w:t>
            </w:r>
          </w:p>
        </w:tc>
        <w:tc>
          <w:tcPr>
            <w:tcW w:w="440" w:type="dxa"/>
            <w:vAlign w:val="bottom"/>
            <w:tcBorders>
              <w:top w:val="single" w:sz="8" w:color="CCFFCC"/>
            </w:tcBorders>
            <w:gridSpan w:val="3"/>
            <w:shd w:val="clear" w:color="auto" w:fill="CCFFCC"/>
          </w:tcPr>
          <w:p>
            <w:pPr>
              <w:spacing w:after="0"/>
              <w:rPr>
                <w:sz w:val="17"/>
                <w:szCs w:val="17"/>
                <w:color w:val="auto"/>
              </w:rPr>
            </w:pPr>
          </w:p>
        </w:tc>
        <w:tc>
          <w:tcPr>
            <w:tcW w:w="26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0000EE"/>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4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760" w:type="dxa"/>
            <w:vAlign w:val="bottom"/>
            <w:gridSpan w:val="24"/>
          </w:tcPr>
          <w:p>
            <w:pPr>
              <w:spacing w:after="0" w:line="176" w:lineRule="exact"/>
              <w:rPr>
                <w:sz w:val="20"/>
                <w:szCs w:val="20"/>
                <w:color w:val="auto"/>
              </w:rPr>
            </w:pPr>
            <w:r>
              <w:rPr>
                <w:rFonts w:ascii="Arial" w:cs="Arial" w:eastAsia="Arial" w:hAnsi="Arial"/>
                <w:sz w:val="18"/>
                <w:szCs w:val="18"/>
                <w:color w:val="0000EE"/>
                <w:w w:val="94"/>
              </w:rPr>
              <w:t>Consolidated Statements of Operations (unaudited) for the three months ended March 31,</w:t>
            </w:r>
          </w:p>
        </w:tc>
        <w:tc>
          <w:tcPr>
            <w:tcW w:w="54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0000EE"/>
              </w:rPr>
              <w:t>3</w:t>
            </w: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26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2013, and March 31, 2012</w:t>
            </w:r>
          </w:p>
        </w:tc>
        <w:tc>
          <w:tcPr>
            <w:tcW w:w="32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tcBorders>
              <w:bottom w:val="single" w:sz="8" w:color="CCFFCC"/>
            </w:tcBorders>
            <w:shd w:val="clear" w:color="auto" w:fill="CCFFCC"/>
          </w:tcPr>
          <w:p>
            <w:pPr>
              <w:spacing w:after="0"/>
              <w:rPr>
                <w:sz w:val="15"/>
                <w:szCs w:val="15"/>
                <w:color w:val="auto"/>
              </w:rPr>
            </w:pPr>
          </w:p>
        </w:tc>
        <w:tc>
          <w:tcPr>
            <w:tcW w:w="500" w:type="dxa"/>
            <w:vAlign w:val="bottom"/>
            <w:tcBorders>
              <w:bottom w:val="single" w:sz="8" w:color="CCFFCC"/>
            </w:tcBorders>
            <w:shd w:val="clear" w:color="auto" w:fill="CCFFCC"/>
          </w:tcPr>
          <w:p>
            <w:pPr>
              <w:spacing w:after="0"/>
              <w:rPr>
                <w:sz w:val="15"/>
                <w:szCs w:val="15"/>
                <w:color w:val="auto"/>
              </w:rPr>
            </w:pPr>
          </w:p>
        </w:tc>
        <w:tc>
          <w:tcPr>
            <w:tcW w:w="140" w:type="dxa"/>
            <w:vAlign w:val="bottom"/>
            <w:tcBorders>
              <w:bottom w:val="single" w:sz="8" w:color="CCFFCC"/>
            </w:tcBorders>
            <w:shd w:val="clear" w:color="auto" w:fill="CCFFCC"/>
          </w:tcPr>
          <w:p>
            <w:pPr>
              <w:spacing w:after="0"/>
              <w:rPr>
                <w:sz w:val="15"/>
                <w:szCs w:val="15"/>
                <w:color w:val="auto"/>
              </w:rPr>
            </w:pPr>
          </w:p>
        </w:tc>
        <w:tc>
          <w:tcPr>
            <w:tcW w:w="80" w:type="dxa"/>
            <w:vAlign w:val="bottom"/>
            <w:tcBorders>
              <w:bottom w:val="single" w:sz="8" w:color="CCFFCC"/>
            </w:tcBorders>
            <w:shd w:val="clear" w:color="auto" w:fill="CCFFCC"/>
          </w:tcPr>
          <w:p>
            <w:pPr>
              <w:spacing w:after="0"/>
              <w:rPr>
                <w:sz w:val="15"/>
                <w:szCs w:val="15"/>
                <w:color w:val="auto"/>
              </w:rPr>
            </w:pPr>
          </w:p>
        </w:tc>
        <w:tc>
          <w:tcPr>
            <w:tcW w:w="6500" w:type="dxa"/>
            <w:vAlign w:val="bottom"/>
            <w:tcBorders>
              <w:bottom w:val="single" w:sz="8" w:color="0000EE"/>
            </w:tcBorders>
            <w:gridSpan w:val="23"/>
            <w:shd w:val="clear" w:color="auto" w:fill="CCFFCC"/>
          </w:tcPr>
          <w:p>
            <w:pPr>
              <w:spacing w:after="0" w:line="176" w:lineRule="exact"/>
              <w:rPr>
                <w:sz w:val="20"/>
                <w:szCs w:val="20"/>
                <w:color w:val="auto"/>
              </w:rPr>
            </w:pPr>
            <w:r>
              <w:rPr>
                <w:rFonts w:ascii="Arial" w:cs="Arial" w:eastAsia="Arial" w:hAnsi="Arial"/>
                <w:sz w:val="18"/>
                <w:szCs w:val="18"/>
                <w:color w:val="0000EE"/>
                <w:w w:val="89"/>
              </w:rPr>
              <w:t>Consolidated Statements of Changes in Net Assets (unaudited) for the three months ended</w:t>
            </w:r>
          </w:p>
        </w:tc>
        <w:tc>
          <w:tcPr>
            <w:tcW w:w="260" w:type="dxa"/>
            <w:vAlign w:val="bottom"/>
            <w:tcBorders>
              <w:bottom w:val="single" w:sz="8" w:color="CCFFCC"/>
            </w:tcBorders>
            <w:shd w:val="clear" w:color="auto" w:fill="CCFFCC"/>
          </w:tcPr>
          <w:p>
            <w:pPr>
              <w:spacing w:after="0"/>
              <w:rPr>
                <w:sz w:val="15"/>
                <w:szCs w:val="15"/>
                <w:color w:val="auto"/>
              </w:rPr>
            </w:pPr>
          </w:p>
        </w:tc>
        <w:tc>
          <w:tcPr>
            <w:tcW w:w="340" w:type="dxa"/>
            <w:vAlign w:val="bottom"/>
            <w:tcBorders>
              <w:bottom w:val="single" w:sz="8" w:color="CCFFCC"/>
            </w:tcBorders>
            <w:gridSpan w:val="2"/>
            <w:shd w:val="clear" w:color="auto" w:fill="CCFFCC"/>
          </w:tcPr>
          <w:p>
            <w:pPr>
              <w:spacing w:after="0"/>
              <w:rPr>
                <w:sz w:val="15"/>
                <w:szCs w:val="15"/>
                <w:color w:val="auto"/>
              </w:rPr>
            </w:pPr>
          </w:p>
        </w:tc>
        <w:tc>
          <w:tcPr>
            <w:tcW w:w="100" w:type="dxa"/>
            <w:vAlign w:val="bottom"/>
            <w:tcBorders>
              <w:bottom w:val="single" w:sz="8" w:color="0000EE"/>
            </w:tcBorders>
            <w:shd w:val="clear" w:color="auto" w:fill="CCFFCC"/>
          </w:tcPr>
          <w:p>
            <w:pPr>
              <w:jc w:val="right"/>
              <w:spacing w:after="0" w:line="176" w:lineRule="exact"/>
              <w:rPr>
                <w:sz w:val="20"/>
                <w:szCs w:val="20"/>
                <w:color w:val="auto"/>
              </w:rPr>
            </w:pPr>
            <w:r>
              <w:rPr>
                <w:rFonts w:ascii="Arial" w:cs="Arial" w:eastAsia="Arial" w:hAnsi="Arial"/>
                <w:sz w:val="18"/>
                <w:szCs w:val="18"/>
                <w:color w:val="0000EE"/>
                <w:w w:val="79"/>
              </w:rPr>
              <w:t>4</w:t>
            </w:r>
          </w:p>
        </w:tc>
        <w:tc>
          <w:tcPr>
            <w:tcW w:w="100" w:type="dxa"/>
            <w:vAlign w:val="bottom"/>
            <w:tcBorders>
              <w:bottom w:val="single" w:sz="8" w:color="CCFFCC"/>
            </w:tcBorders>
            <w:shd w:val="clear" w:color="auto" w:fill="CCFFCC"/>
          </w:tcPr>
          <w:p>
            <w:pPr>
              <w:spacing w:after="0"/>
              <w:rPr>
                <w:sz w:val="15"/>
                <w:szCs w:val="15"/>
                <w:color w:val="auto"/>
              </w:rPr>
            </w:pPr>
          </w:p>
        </w:tc>
      </w:tr>
      <w:tr>
        <w:trPr>
          <w:trHeight w:val="217"/>
        </w:trPr>
        <w:tc>
          <w:tcPr>
            <w:tcW w:w="200" w:type="dxa"/>
            <w:vAlign w:val="bottom"/>
            <w:tcBorders>
              <w:bottom w:val="single" w:sz="8" w:color="CCFFCC"/>
            </w:tcBorders>
            <w:shd w:val="clear" w:color="auto" w:fill="CCFFCC"/>
          </w:tcPr>
          <w:p>
            <w:pPr>
              <w:spacing w:after="0"/>
              <w:rPr>
                <w:sz w:val="18"/>
                <w:szCs w:val="18"/>
                <w:color w:val="auto"/>
              </w:rPr>
            </w:pPr>
          </w:p>
        </w:tc>
        <w:tc>
          <w:tcPr>
            <w:tcW w:w="50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2680" w:type="dxa"/>
            <w:vAlign w:val="bottom"/>
            <w:tcBorders>
              <w:bottom w:val="single" w:sz="8" w:color="0000EE"/>
            </w:tcBorders>
            <w:gridSpan w:val="13"/>
            <w:shd w:val="clear" w:color="auto" w:fill="CCFFCC"/>
          </w:tcPr>
          <w:p>
            <w:pPr>
              <w:spacing w:after="0" w:line="196" w:lineRule="exact"/>
              <w:rPr>
                <w:sz w:val="20"/>
                <w:szCs w:val="20"/>
                <w:color w:val="auto"/>
              </w:rPr>
            </w:pPr>
            <w:r>
              <w:rPr>
                <w:rFonts w:ascii="Arial" w:cs="Arial" w:eastAsia="Arial" w:hAnsi="Arial"/>
                <w:sz w:val="18"/>
                <w:szCs w:val="18"/>
                <w:color w:val="0000EE"/>
                <w:w w:val="90"/>
              </w:rPr>
              <w:t>March 31, 2013, and March 31, 2012</w:t>
            </w:r>
          </w:p>
        </w:tc>
        <w:tc>
          <w:tcPr>
            <w:tcW w:w="3900" w:type="dxa"/>
            <w:vAlign w:val="bottom"/>
            <w:tcBorders>
              <w:bottom w:val="single" w:sz="8" w:color="CCFFCC"/>
            </w:tcBorders>
            <w:gridSpan w:val="10"/>
            <w:shd w:val="clear" w:color="auto" w:fill="CCFFCC"/>
          </w:tcPr>
          <w:p>
            <w:pPr>
              <w:spacing w:after="0"/>
              <w:rPr>
                <w:sz w:val="18"/>
                <w:szCs w:val="18"/>
                <w:color w:val="auto"/>
              </w:rPr>
            </w:pPr>
          </w:p>
        </w:tc>
        <w:tc>
          <w:tcPr>
            <w:tcW w:w="2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500" w:type="dxa"/>
            <w:vAlign w:val="bottom"/>
            <w:tcBorders>
              <w:bottom w:val="single" w:sz="8" w:color="0000EE"/>
            </w:tcBorders>
            <w:gridSpan w:val="23"/>
          </w:tcPr>
          <w:p>
            <w:pPr>
              <w:spacing w:after="0" w:line="176" w:lineRule="exact"/>
              <w:rPr>
                <w:sz w:val="20"/>
                <w:szCs w:val="20"/>
                <w:color w:val="auto"/>
              </w:rPr>
            </w:pPr>
            <w:r>
              <w:rPr>
                <w:rFonts w:ascii="Arial" w:cs="Arial" w:eastAsia="Arial" w:hAnsi="Arial"/>
                <w:sz w:val="18"/>
                <w:szCs w:val="18"/>
                <w:color w:val="0000EE"/>
                <w:w w:val="89"/>
              </w:rPr>
              <w:t>Consolidated Statements of Cash Flows (unaudited) for the three months ended March 31,</w:t>
            </w:r>
          </w:p>
        </w:tc>
        <w:tc>
          <w:tcPr>
            <w:tcW w:w="26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100" w:type="dxa"/>
            <w:vAlign w:val="bottom"/>
            <w:tcBorders>
              <w:bottom w:val="single" w:sz="8" w:color="0000EE"/>
            </w:tcBorders>
          </w:tcPr>
          <w:p>
            <w:pPr>
              <w:jc w:val="right"/>
              <w:spacing w:after="0" w:line="176" w:lineRule="exact"/>
              <w:rPr>
                <w:sz w:val="20"/>
                <w:szCs w:val="20"/>
                <w:color w:val="auto"/>
              </w:rPr>
            </w:pPr>
            <w:r>
              <w:rPr>
                <w:rFonts w:ascii="Arial" w:cs="Arial" w:eastAsia="Arial" w:hAnsi="Arial"/>
                <w:sz w:val="18"/>
                <w:szCs w:val="18"/>
                <w:color w:val="0000EE"/>
                <w:w w:val="79"/>
              </w:rPr>
              <w:t>5</w:t>
            </w:r>
          </w:p>
        </w:tc>
        <w:tc>
          <w:tcPr>
            <w:tcW w:w="100" w:type="dxa"/>
            <w:vAlign w:val="bottom"/>
          </w:tcPr>
          <w:p>
            <w:pPr>
              <w:spacing w:after="0"/>
              <w:rPr>
                <w:sz w:val="15"/>
                <w:szCs w:val="15"/>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580" w:type="dxa"/>
            <w:vAlign w:val="bottom"/>
            <w:gridSpan w:val="23"/>
          </w:tcPr>
          <w:p>
            <w:pPr>
              <w:spacing w:after="0" w:line="196" w:lineRule="exact"/>
              <w:rPr>
                <w:sz w:val="20"/>
                <w:szCs w:val="20"/>
                <w:color w:val="auto"/>
              </w:rPr>
            </w:pPr>
            <w:r>
              <w:rPr>
                <w:rFonts w:ascii="Arial" w:cs="Arial" w:eastAsia="Arial" w:hAnsi="Arial"/>
                <w:sz w:val="18"/>
                <w:szCs w:val="18"/>
                <w:color w:val="0000EE"/>
              </w:rPr>
              <w:t>2013, and March 31, 2012</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0" w:type="dxa"/>
            <w:vAlign w:val="bottom"/>
            <w:tcBorders>
              <w:bottom w:val="single" w:sz="8" w:color="CCFFCC"/>
            </w:tcBorders>
            <w:shd w:val="clear" w:color="auto" w:fill="CCFFCC"/>
          </w:tcPr>
          <w:p>
            <w:pPr>
              <w:spacing w:after="0"/>
              <w:rPr>
                <w:sz w:val="17"/>
                <w:szCs w:val="17"/>
                <w:color w:val="auto"/>
              </w:rPr>
            </w:pPr>
          </w:p>
        </w:tc>
        <w:tc>
          <w:tcPr>
            <w:tcW w:w="5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5220" w:type="dxa"/>
            <w:vAlign w:val="bottom"/>
            <w:tcBorders>
              <w:bottom w:val="single" w:sz="8" w:color="0000EE"/>
            </w:tcBorders>
            <w:gridSpan w:val="19"/>
            <w:shd w:val="clear" w:color="auto" w:fill="CCFFCC"/>
          </w:tcPr>
          <w:p>
            <w:pPr>
              <w:spacing w:after="0" w:line="176" w:lineRule="exact"/>
              <w:rPr>
                <w:sz w:val="20"/>
                <w:szCs w:val="20"/>
                <w:color w:val="auto"/>
              </w:rPr>
            </w:pPr>
            <w:r>
              <w:rPr>
                <w:rFonts w:ascii="Arial" w:cs="Arial" w:eastAsia="Arial" w:hAnsi="Arial"/>
                <w:sz w:val="18"/>
                <w:szCs w:val="18"/>
                <w:color w:val="0000EE"/>
                <w:w w:val="90"/>
              </w:rPr>
              <w:t>Consolidated Schedule of Investments as of March 31, 2013 (unaudited)</w:t>
            </w:r>
          </w:p>
        </w:tc>
        <w:tc>
          <w:tcPr>
            <w:tcW w:w="1540" w:type="dxa"/>
            <w:vAlign w:val="bottom"/>
            <w:tcBorders>
              <w:bottom w:val="single" w:sz="8" w:color="CCFFCC"/>
            </w:tcBorders>
            <w:gridSpan w:val="5"/>
            <w:shd w:val="clear" w:color="auto" w:fill="CCFFCC"/>
          </w:tcPr>
          <w:p>
            <w:pPr>
              <w:spacing w:after="0"/>
              <w:rPr>
                <w:sz w:val="17"/>
                <w:szCs w:val="17"/>
                <w:color w:val="auto"/>
              </w:rPr>
            </w:pPr>
          </w:p>
        </w:tc>
        <w:tc>
          <w:tcPr>
            <w:tcW w:w="340" w:type="dxa"/>
            <w:vAlign w:val="bottom"/>
            <w:tcBorders>
              <w:bottom w:val="single" w:sz="8" w:color="CCFFCC"/>
            </w:tcBorders>
            <w:gridSpan w:val="2"/>
            <w:shd w:val="clear" w:color="auto" w:fill="CCFFCC"/>
          </w:tcPr>
          <w:p>
            <w:pPr>
              <w:spacing w:after="0"/>
              <w:rPr>
                <w:sz w:val="17"/>
                <w:szCs w:val="17"/>
                <w:color w:val="auto"/>
              </w:rPr>
            </w:pPr>
          </w:p>
        </w:tc>
        <w:tc>
          <w:tcPr>
            <w:tcW w:w="100" w:type="dxa"/>
            <w:vAlign w:val="bottom"/>
            <w:tcBorders>
              <w:bottom w:val="single" w:sz="8" w:color="0000EE"/>
            </w:tcBorders>
            <w:shd w:val="clear" w:color="auto" w:fill="CCFFCC"/>
          </w:tcPr>
          <w:p>
            <w:pPr>
              <w:jc w:val="right"/>
              <w:spacing w:after="0" w:line="176" w:lineRule="exact"/>
              <w:rPr>
                <w:sz w:val="20"/>
                <w:szCs w:val="20"/>
                <w:color w:val="auto"/>
              </w:rPr>
            </w:pPr>
            <w:r>
              <w:rPr>
                <w:rFonts w:ascii="Arial" w:cs="Arial" w:eastAsia="Arial" w:hAnsi="Arial"/>
                <w:sz w:val="18"/>
                <w:szCs w:val="18"/>
                <w:color w:val="0000EE"/>
                <w:w w:val="79"/>
              </w:rPr>
              <w:t>6</w:t>
            </w:r>
          </w:p>
        </w:tc>
        <w:tc>
          <w:tcPr>
            <w:tcW w:w="100" w:type="dxa"/>
            <w:vAlign w:val="bottom"/>
            <w:tcBorders>
              <w:bottom w:val="single" w:sz="8" w:color="CCFFCC"/>
            </w:tcBorders>
            <w:shd w:val="clear" w:color="auto" w:fill="CCFFCC"/>
          </w:tcPr>
          <w:p>
            <w:pPr>
              <w:spacing w:after="0"/>
              <w:rPr>
                <w:sz w:val="17"/>
                <w:szCs w:val="17"/>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760" w:type="dxa"/>
            <w:vAlign w:val="bottom"/>
            <w:gridSpan w:val="24"/>
          </w:tcPr>
          <w:p>
            <w:pPr>
              <w:spacing w:after="0" w:line="176" w:lineRule="exact"/>
              <w:rPr>
                <w:sz w:val="20"/>
                <w:szCs w:val="20"/>
                <w:color w:val="auto"/>
              </w:rPr>
            </w:pPr>
            <w:r>
              <w:rPr>
                <w:rFonts w:ascii="Arial" w:cs="Arial" w:eastAsia="Arial" w:hAnsi="Arial"/>
                <w:sz w:val="18"/>
                <w:szCs w:val="18"/>
                <w:color w:val="0000EE"/>
              </w:rPr>
              <w:t>Consolidated Schedule of Investments as of December 31, 2012</w:t>
            </w:r>
          </w:p>
        </w:tc>
        <w:tc>
          <w:tcPr>
            <w:tcW w:w="54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0000EE"/>
              </w:rPr>
              <w:t>11</w:t>
            </w:r>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FFCC"/>
          </w:tcPr>
          <w:p>
            <w:pPr>
              <w:spacing w:after="0"/>
              <w:rPr>
                <w:sz w:val="15"/>
                <w:szCs w:val="15"/>
                <w:color w:val="auto"/>
              </w:rPr>
            </w:pPr>
          </w:p>
        </w:tc>
        <w:tc>
          <w:tcPr>
            <w:tcW w:w="5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6760" w:type="dxa"/>
            <w:vAlign w:val="bottom"/>
            <w:gridSpan w:val="24"/>
            <w:shd w:val="clear" w:color="auto" w:fill="CCFFCC"/>
          </w:tcPr>
          <w:p>
            <w:pPr>
              <w:spacing w:after="0" w:line="176" w:lineRule="exact"/>
              <w:rPr>
                <w:sz w:val="20"/>
                <w:szCs w:val="20"/>
                <w:color w:val="auto"/>
              </w:rPr>
            </w:pPr>
            <w:r>
              <w:rPr>
                <w:rFonts w:ascii="Arial" w:cs="Arial" w:eastAsia="Arial" w:hAnsi="Arial"/>
                <w:sz w:val="18"/>
                <w:szCs w:val="18"/>
                <w:color w:val="0000EE"/>
              </w:rPr>
              <w:t>Notes to the Consolidated Financial Statements as of March 31, 2013 (unaudited)</w:t>
            </w:r>
          </w:p>
        </w:tc>
        <w:tc>
          <w:tcPr>
            <w:tcW w:w="540" w:type="dxa"/>
            <w:vAlign w:val="bottom"/>
            <w:gridSpan w:val="4"/>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rPr>
              <w:t>16</w:t>
            </w:r>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540" w:type="dxa"/>
            <w:vAlign w:val="bottom"/>
            <w:tcBorders>
              <w:top w:val="single" w:sz="8" w:color="0000EE"/>
            </w:tcBorders>
            <w:shd w:val="clear" w:color="auto" w:fill="CCFFCC"/>
          </w:tcPr>
          <w:p>
            <w:pPr>
              <w:spacing w:after="0" w:line="20" w:lineRule="exact"/>
              <w:rPr>
                <w:sz w:val="1"/>
                <w:szCs w:val="1"/>
                <w:color w:val="auto"/>
              </w:rPr>
            </w:pPr>
          </w:p>
        </w:tc>
        <w:tc>
          <w:tcPr>
            <w:tcW w:w="14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64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840" w:type="dxa"/>
            <w:vAlign w:val="bottom"/>
            <w:gridSpan w:val="3"/>
          </w:tcPr>
          <w:p>
            <w:pPr>
              <w:ind w:left="200"/>
              <w:spacing w:after="0" w:line="176" w:lineRule="exact"/>
              <w:rPr>
                <w:sz w:val="20"/>
                <w:szCs w:val="20"/>
                <w:color w:val="auto"/>
              </w:rPr>
            </w:pPr>
            <w:r>
              <w:rPr>
                <w:rFonts w:ascii="Arial" w:cs="Arial" w:eastAsia="Arial" w:hAnsi="Arial"/>
                <w:sz w:val="18"/>
                <w:szCs w:val="18"/>
                <w:color w:val="0000EE"/>
              </w:rPr>
              <w:t>Item 2.</w:t>
            </w:r>
          </w:p>
        </w:tc>
        <w:tc>
          <w:tcPr>
            <w:tcW w:w="6840" w:type="dxa"/>
            <w:vAlign w:val="bottom"/>
            <w:gridSpan w:val="25"/>
          </w:tcPr>
          <w:p>
            <w:pPr>
              <w:ind w:left="80"/>
              <w:spacing w:after="0" w:line="176" w:lineRule="exact"/>
              <w:rPr>
                <w:sz w:val="20"/>
                <w:szCs w:val="20"/>
                <w:color w:val="auto"/>
              </w:rPr>
            </w:pPr>
            <w:r>
              <w:rPr>
                <w:rFonts w:ascii="Arial" w:cs="Arial" w:eastAsia="Arial" w:hAnsi="Arial"/>
                <w:sz w:val="18"/>
                <w:szCs w:val="18"/>
                <w:color w:val="0000EE"/>
              </w:rPr>
              <w:t>Management’s Discussion and Analysis of Financial Condition and</w:t>
            </w:r>
          </w:p>
        </w:tc>
        <w:tc>
          <w:tcPr>
            <w:tcW w:w="54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0000EE"/>
              </w:rPr>
              <w:t>30</w:t>
            </w:r>
          </w:p>
        </w:tc>
      </w:tr>
      <w:tr>
        <w:trPr>
          <w:trHeight w:val="196"/>
        </w:trPr>
        <w:tc>
          <w:tcPr>
            <w:tcW w:w="20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40" w:type="dxa"/>
            <w:vAlign w:val="bottom"/>
            <w:tcBorders>
              <w:top w:val="single" w:sz="8" w:color="0000EE"/>
            </w:tcBorders>
            <w:gridSpan w:val="18"/>
          </w:tcPr>
          <w:p>
            <w:pPr>
              <w:ind w:left="180"/>
              <w:spacing w:after="0" w:line="196" w:lineRule="exact"/>
              <w:rPr>
                <w:sz w:val="20"/>
                <w:szCs w:val="20"/>
                <w:color w:val="auto"/>
              </w:rPr>
            </w:pPr>
            <w:r>
              <w:rPr>
                <w:rFonts w:ascii="Arial" w:cs="Arial" w:eastAsia="Arial" w:hAnsi="Arial"/>
                <w:sz w:val="18"/>
                <w:szCs w:val="18"/>
                <w:color w:val="0000EE"/>
              </w:rPr>
              <w:t>Results of Operations</w:t>
            </w:r>
          </w:p>
        </w:tc>
        <w:tc>
          <w:tcPr>
            <w:tcW w:w="1920" w:type="dxa"/>
            <w:vAlign w:val="bottom"/>
            <w:gridSpan w:val="6"/>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40" w:type="dxa"/>
            <w:vAlign w:val="bottom"/>
            <w:gridSpan w:val="3"/>
            <w:shd w:val="clear" w:color="auto" w:fill="CCFFCC"/>
          </w:tcPr>
          <w:p>
            <w:pPr>
              <w:ind w:left="200"/>
              <w:spacing w:after="0" w:line="176" w:lineRule="exact"/>
              <w:rPr>
                <w:sz w:val="20"/>
                <w:szCs w:val="20"/>
                <w:color w:val="auto"/>
              </w:rPr>
            </w:pPr>
            <w:r>
              <w:rPr>
                <w:rFonts w:ascii="Arial" w:cs="Arial" w:eastAsia="Arial" w:hAnsi="Arial"/>
                <w:sz w:val="18"/>
                <w:szCs w:val="18"/>
                <w:color w:val="0000EE"/>
              </w:rPr>
              <w:t>Item 3.</w:t>
            </w:r>
          </w:p>
        </w:tc>
        <w:tc>
          <w:tcPr>
            <w:tcW w:w="6840" w:type="dxa"/>
            <w:vAlign w:val="bottom"/>
            <w:gridSpan w:val="25"/>
            <w:shd w:val="clear" w:color="auto" w:fill="CCFFCC"/>
          </w:tcPr>
          <w:p>
            <w:pPr>
              <w:ind w:left="80"/>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540" w:type="dxa"/>
            <w:vAlign w:val="bottom"/>
            <w:gridSpan w:val="4"/>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rPr>
              <w:t>38</w:t>
            </w:r>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540" w:type="dxa"/>
            <w:vAlign w:val="bottom"/>
            <w:tcBorders>
              <w:top w:val="single" w:sz="8" w:color="0000EE"/>
            </w:tcBorders>
            <w:shd w:val="clear" w:color="auto" w:fill="CCFFCC"/>
          </w:tcPr>
          <w:p>
            <w:pPr>
              <w:spacing w:after="0" w:line="20" w:lineRule="exact"/>
              <w:rPr>
                <w:sz w:val="1"/>
                <w:szCs w:val="1"/>
                <w:color w:val="auto"/>
              </w:rPr>
            </w:pPr>
          </w:p>
        </w:tc>
        <w:tc>
          <w:tcPr>
            <w:tcW w:w="14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840" w:type="dxa"/>
            <w:vAlign w:val="bottom"/>
            <w:gridSpan w:val="3"/>
          </w:tcPr>
          <w:p>
            <w:pPr>
              <w:ind w:left="200"/>
              <w:spacing w:after="0" w:line="176" w:lineRule="exact"/>
              <w:rPr>
                <w:sz w:val="20"/>
                <w:szCs w:val="20"/>
                <w:color w:val="auto"/>
              </w:rPr>
            </w:pPr>
            <w:r>
              <w:rPr>
                <w:rFonts w:ascii="Arial" w:cs="Arial" w:eastAsia="Arial" w:hAnsi="Arial"/>
                <w:sz w:val="18"/>
                <w:szCs w:val="18"/>
                <w:color w:val="0000EE"/>
              </w:rPr>
              <w:t>Item 4.</w:t>
            </w:r>
          </w:p>
        </w:tc>
        <w:tc>
          <w:tcPr>
            <w:tcW w:w="6840" w:type="dxa"/>
            <w:vAlign w:val="bottom"/>
            <w:gridSpan w:val="25"/>
          </w:tcPr>
          <w:p>
            <w:pPr>
              <w:ind w:left="80"/>
              <w:spacing w:after="0" w:line="176" w:lineRule="exact"/>
              <w:rPr>
                <w:sz w:val="20"/>
                <w:szCs w:val="20"/>
                <w:color w:val="auto"/>
              </w:rPr>
            </w:pPr>
            <w:r>
              <w:rPr>
                <w:rFonts w:ascii="Arial" w:cs="Arial" w:eastAsia="Arial" w:hAnsi="Arial"/>
                <w:sz w:val="18"/>
                <w:szCs w:val="18"/>
                <w:color w:val="0000EE"/>
              </w:rPr>
              <w:t>Controls and Procedures</w:t>
            </w:r>
          </w:p>
        </w:tc>
        <w:tc>
          <w:tcPr>
            <w:tcW w:w="54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0000EE"/>
              </w:rPr>
              <w:t>38</w:t>
            </w:r>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680" w:type="dxa"/>
            <w:vAlign w:val="bottom"/>
            <w:gridSpan w:val="28"/>
            <w:shd w:val="clear" w:color="auto" w:fill="CCFFCC"/>
          </w:tcPr>
          <w:p>
            <w:pPr>
              <w:ind w:left="20"/>
              <w:spacing w:after="0"/>
              <w:rPr>
                <w:sz w:val="20"/>
                <w:szCs w:val="20"/>
                <w:color w:val="auto"/>
              </w:rPr>
            </w:pPr>
            <w:r>
              <w:rPr>
                <w:rFonts w:ascii="Arial" w:cs="Arial" w:eastAsia="Arial" w:hAnsi="Arial"/>
                <w:sz w:val="18"/>
                <w:szCs w:val="18"/>
                <w:b w:val="1"/>
                <w:bCs w:val="1"/>
                <w:color w:val="auto"/>
              </w:rPr>
              <w:t>PART II. OTHER INFORMATION</w:t>
            </w:r>
          </w:p>
        </w:tc>
        <w:tc>
          <w:tcPr>
            <w:tcW w:w="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176"/>
        </w:trPr>
        <w:tc>
          <w:tcPr>
            <w:tcW w:w="840" w:type="dxa"/>
            <w:vAlign w:val="bottom"/>
            <w:gridSpan w:val="3"/>
          </w:tcPr>
          <w:p>
            <w:pPr>
              <w:ind w:left="200"/>
              <w:spacing w:after="0" w:line="176" w:lineRule="exact"/>
              <w:rPr>
                <w:sz w:val="20"/>
                <w:szCs w:val="20"/>
                <w:color w:val="auto"/>
              </w:rPr>
            </w:pPr>
            <w:r>
              <w:rPr>
                <w:rFonts w:ascii="Arial" w:cs="Arial" w:eastAsia="Arial" w:hAnsi="Arial"/>
                <w:sz w:val="18"/>
                <w:szCs w:val="18"/>
                <w:color w:val="0000EE"/>
              </w:rPr>
              <w:t>Item 1.</w:t>
            </w:r>
          </w:p>
        </w:tc>
        <w:tc>
          <w:tcPr>
            <w:tcW w:w="6840" w:type="dxa"/>
            <w:vAlign w:val="bottom"/>
            <w:gridSpan w:val="25"/>
          </w:tcPr>
          <w:p>
            <w:pPr>
              <w:ind w:left="80"/>
              <w:spacing w:after="0" w:line="176" w:lineRule="exact"/>
              <w:rPr>
                <w:sz w:val="20"/>
                <w:szCs w:val="20"/>
                <w:color w:val="auto"/>
              </w:rPr>
            </w:pPr>
            <w:r>
              <w:rPr>
                <w:rFonts w:ascii="Arial" w:cs="Arial" w:eastAsia="Arial" w:hAnsi="Arial"/>
                <w:sz w:val="18"/>
                <w:szCs w:val="18"/>
                <w:color w:val="0000EE"/>
              </w:rPr>
              <w:t>Legal Proceedings</w:t>
            </w:r>
          </w:p>
        </w:tc>
        <w:tc>
          <w:tcPr>
            <w:tcW w:w="54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0000EE"/>
              </w:rPr>
              <w:t>39</w:t>
            </w:r>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40" w:type="dxa"/>
            <w:vAlign w:val="bottom"/>
            <w:gridSpan w:val="3"/>
            <w:shd w:val="clear" w:color="auto" w:fill="CCFFCC"/>
          </w:tcPr>
          <w:p>
            <w:pPr>
              <w:ind w:left="200"/>
              <w:spacing w:after="0" w:line="176" w:lineRule="exact"/>
              <w:rPr>
                <w:sz w:val="20"/>
                <w:szCs w:val="20"/>
                <w:color w:val="auto"/>
              </w:rPr>
            </w:pPr>
            <w:r>
              <w:rPr>
                <w:rFonts w:ascii="Arial" w:cs="Arial" w:eastAsia="Arial" w:hAnsi="Arial"/>
                <w:sz w:val="18"/>
                <w:szCs w:val="18"/>
                <w:color w:val="0000EE"/>
                <w:w w:val="92"/>
              </w:rPr>
              <w:t>Item 1A.</w:t>
            </w:r>
          </w:p>
        </w:tc>
        <w:tc>
          <w:tcPr>
            <w:tcW w:w="6840" w:type="dxa"/>
            <w:vAlign w:val="bottom"/>
            <w:gridSpan w:val="25"/>
            <w:shd w:val="clear" w:color="auto" w:fill="CCFFCC"/>
          </w:tcPr>
          <w:p>
            <w:pPr>
              <w:ind w:left="80"/>
              <w:spacing w:after="0" w:line="176" w:lineRule="exact"/>
              <w:rPr>
                <w:sz w:val="20"/>
                <w:szCs w:val="20"/>
                <w:color w:val="auto"/>
              </w:rPr>
            </w:pPr>
            <w:r>
              <w:rPr>
                <w:rFonts w:ascii="Arial" w:cs="Arial" w:eastAsia="Arial" w:hAnsi="Arial"/>
                <w:sz w:val="18"/>
                <w:szCs w:val="18"/>
                <w:color w:val="0000EE"/>
              </w:rPr>
              <w:t>Risk Factors</w:t>
            </w:r>
          </w:p>
        </w:tc>
        <w:tc>
          <w:tcPr>
            <w:tcW w:w="540" w:type="dxa"/>
            <w:vAlign w:val="bottom"/>
            <w:gridSpan w:val="4"/>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rPr>
              <w:t>39</w:t>
            </w:r>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4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840" w:type="dxa"/>
            <w:vAlign w:val="bottom"/>
            <w:gridSpan w:val="3"/>
          </w:tcPr>
          <w:p>
            <w:pPr>
              <w:ind w:left="200"/>
              <w:spacing w:after="0" w:line="176" w:lineRule="exact"/>
              <w:rPr>
                <w:sz w:val="20"/>
                <w:szCs w:val="20"/>
                <w:color w:val="auto"/>
              </w:rPr>
            </w:pPr>
            <w:r>
              <w:rPr>
                <w:rFonts w:ascii="Arial" w:cs="Arial" w:eastAsia="Arial" w:hAnsi="Arial"/>
                <w:sz w:val="18"/>
                <w:szCs w:val="18"/>
                <w:color w:val="0000EE"/>
              </w:rPr>
              <w:t>Item 2.</w:t>
            </w:r>
          </w:p>
        </w:tc>
        <w:tc>
          <w:tcPr>
            <w:tcW w:w="6840" w:type="dxa"/>
            <w:vAlign w:val="bottom"/>
            <w:gridSpan w:val="25"/>
          </w:tcPr>
          <w:p>
            <w:pPr>
              <w:ind w:left="80"/>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54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0000EE"/>
              </w:rPr>
              <w:t>40</w:t>
            </w:r>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40" w:type="dxa"/>
            <w:vAlign w:val="bottom"/>
            <w:gridSpan w:val="3"/>
            <w:shd w:val="clear" w:color="auto" w:fill="CCFFCC"/>
          </w:tcPr>
          <w:p>
            <w:pPr>
              <w:ind w:left="200"/>
              <w:spacing w:after="0" w:line="176" w:lineRule="exact"/>
              <w:rPr>
                <w:sz w:val="20"/>
                <w:szCs w:val="20"/>
                <w:color w:val="auto"/>
              </w:rPr>
            </w:pPr>
            <w:r>
              <w:rPr>
                <w:rFonts w:ascii="Arial" w:cs="Arial" w:eastAsia="Arial" w:hAnsi="Arial"/>
                <w:sz w:val="18"/>
                <w:szCs w:val="18"/>
                <w:color w:val="0000EE"/>
              </w:rPr>
              <w:t>Item 3.</w:t>
            </w:r>
          </w:p>
        </w:tc>
        <w:tc>
          <w:tcPr>
            <w:tcW w:w="6840" w:type="dxa"/>
            <w:vAlign w:val="bottom"/>
            <w:gridSpan w:val="25"/>
            <w:shd w:val="clear" w:color="auto" w:fill="CCFFCC"/>
          </w:tcPr>
          <w:p>
            <w:pPr>
              <w:ind w:left="80"/>
              <w:spacing w:after="0" w:line="176" w:lineRule="exact"/>
              <w:rPr>
                <w:sz w:val="20"/>
                <w:szCs w:val="20"/>
                <w:color w:val="auto"/>
              </w:rPr>
            </w:pPr>
            <w:r>
              <w:rPr>
                <w:rFonts w:ascii="Arial" w:cs="Arial" w:eastAsia="Arial" w:hAnsi="Arial"/>
                <w:sz w:val="18"/>
                <w:szCs w:val="18"/>
                <w:color w:val="0000EE"/>
              </w:rPr>
              <w:t>Defaults Upon Senior Securities</w:t>
            </w:r>
          </w:p>
        </w:tc>
        <w:tc>
          <w:tcPr>
            <w:tcW w:w="540" w:type="dxa"/>
            <w:vAlign w:val="bottom"/>
            <w:gridSpan w:val="4"/>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rPr>
              <w:t>40</w:t>
            </w:r>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4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840" w:type="dxa"/>
            <w:vAlign w:val="bottom"/>
            <w:gridSpan w:val="3"/>
          </w:tcPr>
          <w:p>
            <w:pPr>
              <w:ind w:left="200"/>
              <w:spacing w:after="0" w:line="176" w:lineRule="exact"/>
              <w:rPr>
                <w:sz w:val="20"/>
                <w:szCs w:val="20"/>
                <w:color w:val="auto"/>
              </w:rPr>
            </w:pPr>
            <w:r>
              <w:rPr>
                <w:rFonts w:ascii="Arial" w:cs="Arial" w:eastAsia="Arial" w:hAnsi="Arial"/>
                <w:sz w:val="18"/>
                <w:szCs w:val="18"/>
                <w:color w:val="0000EE"/>
              </w:rPr>
              <w:t>Item 4.</w:t>
            </w:r>
          </w:p>
        </w:tc>
        <w:tc>
          <w:tcPr>
            <w:tcW w:w="6840" w:type="dxa"/>
            <w:vAlign w:val="bottom"/>
            <w:gridSpan w:val="25"/>
          </w:tcPr>
          <w:p>
            <w:pPr>
              <w:ind w:left="80"/>
              <w:spacing w:after="0" w:line="176" w:lineRule="exact"/>
              <w:rPr>
                <w:sz w:val="20"/>
                <w:szCs w:val="20"/>
                <w:color w:val="auto"/>
              </w:rPr>
            </w:pPr>
            <w:r>
              <w:rPr>
                <w:rFonts w:ascii="Arial" w:cs="Arial" w:eastAsia="Arial" w:hAnsi="Arial"/>
                <w:sz w:val="18"/>
                <w:szCs w:val="18"/>
                <w:color w:val="0000EE"/>
              </w:rPr>
              <w:t>Mine Safety Disclosure</w:t>
            </w:r>
          </w:p>
        </w:tc>
        <w:tc>
          <w:tcPr>
            <w:tcW w:w="54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0000EE"/>
              </w:rPr>
              <w:t>40</w:t>
            </w:r>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40" w:type="dxa"/>
            <w:vAlign w:val="bottom"/>
            <w:gridSpan w:val="3"/>
            <w:shd w:val="clear" w:color="auto" w:fill="CCFFCC"/>
          </w:tcPr>
          <w:p>
            <w:pPr>
              <w:ind w:left="200"/>
              <w:spacing w:after="0" w:line="176" w:lineRule="exact"/>
              <w:rPr>
                <w:sz w:val="20"/>
                <w:szCs w:val="20"/>
                <w:color w:val="auto"/>
              </w:rPr>
            </w:pPr>
            <w:r>
              <w:rPr>
                <w:rFonts w:ascii="Arial" w:cs="Arial" w:eastAsia="Arial" w:hAnsi="Arial"/>
                <w:sz w:val="18"/>
                <w:szCs w:val="18"/>
                <w:color w:val="0000EE"/>
              </w:rPr>
              <w:t>Item 5.</w:t>
            </w:r>
          </w:p>
        </w:tc>
        <w:tc>
          <w:tcPr>
            <w:tcW w:w="6840" w:type="dxa"/>
            <w:vAlign w:val="bottom"/>
            <w:gridSpan w:val="25"/>
            <w:shd w:val="clear" w:color="auto" w:fill="CCFFCC"/>
          </w:tcPr>
          <w:p>
            <w:pPr>
              <w:ind w:left="80"/>
              <w:spacing w:after="0" w:line="176" w:lineRule="exact"/>
              <w:rPr>
                <w:sz w:val="20"/>
                <w:szCs w:val="20"/>
                <w:color w:val="auto"/>
              </w:rPr>
            </w:pPr>
            <w:r>
              <w:rPr>
                <w:rFonts w:ascii="Arial" w:cs="Arial" w:eastAsia="Arial" w:hAnsi="Arial"/>
                <w:sz w:val="18"/>
                <w:szCs w:val="18"/>
                <w:color w:val="0000EE"/>
              </w:rPr>
              <w:t>Other Information</w:t>
            </w:r>
          </w:p>
        </w:tc>
        <w:tc>
          <w:tcPr>
            <w:tcW w:w="540" w:type="dxa"/>
            <w:vAlign w:val="bottom"/>
            <w:gridSpan w:val="4"/>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rPr>
              <w:t>40</w:t>
            </w:r>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4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840" w:type="dxa"/>
            <w:vAlign w:val="bottom"/>
            <w:gridSpan w:val="3"/>
          </w:tcPr>
          <w:p>
            <w:pPr>
              <w:ind w:left="200"/>
              <w:spacing w:after="0" w:line="176" w:lineRule="exact"/>
              <w:rPr>
                <w:sz w:val="20"/>
                <w:szCs w:val="20"/>
                <w:color w:val="auto"/>
              </w:rPr>
            </w:pPr>
            <w:r>
              <w:rPr>
                <w:rFonts w:ascii="Arial" w:cs="Arial" w:eastAsia="Arial" w:hAnsi="Arial"/>
                <w:sz w:val="18"/>
                <w:szCs w:val="18"/>
                <w:color w:val="0000EE"/>
              </w:rPr>
              <w:t>Item 6.</w:t>
            </w:r>
          </w:p>
        </w:tc>
        <w:tc>
          <w:tcPr>
            <w:tcW w:w="6840" w:type="dxa"/>
            <w:vAlign w:val="bottom"/>
            <w:gridSpan w:val="25"/>
          </w:tcPr>
          <w:p>
            <w:pPr>
              <w:ind w:left="80"/>
              <w:spacing w:after="0" w:line="176" w:lineRule="exact"/>
              <w:rPr>
                <w:sz w:val="20"/>
                <w:szCs w:val="20"/>
                <w:color w:val="auto"/>
              </w:rPr>
            </w:pPr>
            <w:r>
              <w:rPr>
                <w:rFonts w:ascii="Arial" w:cs="Arial" w:eastAsia="Arial" w:hAnsi="Arial"/>
                <w:sz w:val="18"/>
                <w:szCs w:val="18"/>
                <w:color w:val="0000EE"/>
              </w:rPr>
              <w:t>Exhibits</w:t>
            </w:r>
          </w:p>
        </w:tc>
        <w:tc>
          <w:tcPr>
            <w:tcW w:w="540" w:type="dxa"/>
            <w:vAlign w:val="bottom"/>
            <w:gridSpan w:val="4"/>
          </w:tcPr>
          <w:p>
            <w:pPr>
              <w:jc w:val="right"/>
              <w:ind w:right="100"/>
              <w:spacing w:after="0" w:line="176" w:lineRule="exact"/>
              <w:rPr>
                <w:sz w:val="20"/>
                <w:szCs w:val="20"/>
                <w:color w:val="auto"/>
              </w:rPr>
            </w:pPr>
            <w:r>
              <w:rPr>
                <w:rFonts w:ascii="Arial" w:cs="Arial" w:eastAsia="Arial" w:hAnsi="Arial"/>
                <w:sz w:val="18"/>
                <w:szCs w:val="18"/>
                <w:color w:val="0000EE"/>
              </w:rPr>
              <w:t>41</w:t>
            </w:r>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FFCC"/>
          </w:tcPr>
          <w:p>
            <w:pPr>
              <w:spacing w:after="0"/>
              <w:rPr>
                <w:sz w:val="15"/>
                <w:szCs w:val="15"/>
                <w:color w:val="auto"/>
              </w:rPr>
            </w:pPr>
          </w:p>
        </w:tc>
        <w:tc>
          <w:tcPr>
            <w:tcW w:w="5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6760" w:type="dxa"/>
            <w:vAlign w:val="bottom"/>
            <w:gridSpan w:val="24"/>
            <w:shd w:val="clear" w:color="auto" w:fill="CCFFCC"/>
          </w:tcPr>
          <w:p>
            <w:pPr>
              <w:spacing w:after="0" w:line="176" w:lineRule="exact"/>
              <w:rPr>
                <w:sz w:val="20"/>
                <w:szCs w:val="20"/>
                <w:color w:val="auto"/>
              </w:rPr>
            </w:pPr>
            <w:r>
              <w:rPr>
                <w:rFonts w:ascii="Arial" w:cs="Arial" w:eastAsia="Arial" w:hAnsi="Arial"/>
                <w:sz w:val="18"/>
                <w:szCs w:val="18"/>
                <w:color w:val="0000EE"/>
              </w:rPr>
              <w:t>Signatures</w:t>
            </w:r>
          </w:p>
        </w:tc>
        <w:tc>
          <w:tcPr>
            <w:tcW w:w="540" w:type="dxa"/>
            <w:vAlign w:val="bottom"/>
            <w:gridSpan w:val="4"/>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rPr>
              <w:t>42</w:t>
            </w:r>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4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958"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SUBSIDIARY</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March 31, 2013</w:t>
            </w:r>
          </w:p>
        </w:tc>
        <w:tc>
          <w:tcPr>
            <w:tcW w:w="160" w:type="dxa"/>
            <w:vAlign w:val="bottom"/>
          </w:tcPr>
          <w:p>
            <w:pPr>
              <w:spacing w:after="0"/>
              <w:rPr>
                <w:sz w:val="16"/>
                <w:szCs w:val="16"/>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1"/>
              </w:rPr>
              <w:t>December 31, 2012</w:t>
            </w:r>
          </w:p>
        </w:tc>
        <w:tc>
          <w:tcPr>
            <w:tcW w:w="0" w:type="dxa"/>
            <w:vAlign w:val="bottom"/>
          </w:tcPr>
          <w:p>
            <w:pPr>
              <w:spacing w:after="0"/>
              <w:rPr>
                <w:sz w:val="1"/>
                <w:szCs w:val="1"/>
                <w:color w:val="auto"/>
              </w:rPr>
            </w:pPr>
          </w:p>
        </w:tc>
      </w:tr>
      <w:tr>
        <w:trPr>
          <w:trHeight w:val="198"/>
        </w:trPr>
        <w:tc>
          <w:tcPr>
            <w:tcW w:w="5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(Unaudited)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Investments at fair value:</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760" w:type="dxa"/>
            <w:vAlign w:val="bottom"/>
          </w:tcPr>
          <w:p>
            <w:pPr>
              <w:ind w:left="200"/>
              <w:spacing w:after="0" w:line="201" w:lineRule="exact"/>
              <w:rPr>
                <w:sz w:val="20"/>
                <w:szCs w:val="20"/>
                <w:color w:val="auto"/>
              </w:rPr>
            </w:pPr>
            <w:r>
              <w:rPr>
                <w:rFonts w:ascii="Arial" w:cs="Arial" w:eastAsia="Arial" w:hAnsi="Arial"/>
                <w:sz w:val="18"/>
                <w:szCs w:val="18"/>
                <w:color w:val="auto"/>
                <w:w w:val="94"/>
              </w:rPr>
              <w:t>Investments in affiliated securities (cost of $40,175,504 and $38,210,753,</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7"/>
              </w:rPr>
              <w:t>34,353,557</w:t>
            </w:r>
          </w:p>
        </w:tc>
        <w:tc>
          <w:tcPr>
            <w:tcW w:w="28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34,648,363</w:t>
            </w:r>
          </w:p>
        </w:tc>
        <w:tc>
          <w:tcPr>
            <w:tcW w:w="0" w:type="dxa"/>
            <w:vAlign w:val="bottom"/>
          </w:tcPr>
          <w:p>
            <w:pPr>
              <w:spacing w:after="0"/>
              <w:rPr>
                <w:sz w:val="1"/>
                <w:szCs w:val="1"/>
                <w:color w:val="auto"/>
              </w:rPr>
            </w:pPr>
          </w:p>
        </w:tc>
      </w:tr>
      <w:tr>
        <w:trPr>
          <w:trHeight w:val="230"/>
        </w:trPr>
        <w:tc>
          <w:tcPr>
            <w:tcW w:w="576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760" w:type="dxa"/>
            <w:vAlign w:val="bottom"/>
            <w:shd w:val="clear" w:color="auto" w:fill="CCFFCC"/>
          </w:tcPr>
          <w:p>
            <w:pPr>
              <w:ind w:left="200"/>
              <w:spacing w:after="0" w:line="201" w:lineRule="exact"/>
              <w:rPr>
                <w:sz w:val="20"/>
                <w:szCs w:val="20"/>
                <w:color w:val="auto"/>
              </w:rPr>
            </w:pPr>
            <w:r>
              <w:rPr>
                <w:rFonts w:ascii="Arial" w:cs="Arial" w:eastAsia="Arial" w:hAnsi="Arial"/>
                <w:sz w:val="18"/>
                <w:szCs w:val="18"/>
                <w:color w:val="auto"/>
                <w:w w:val="95"/>
              </w:rPr>
              <w:t>Investments in non-control/non-affiliated securities (cost of $195,306,389</w:t>
            </w:r>
          </w:p>
        </w:tc>
        <w:tc>
          <w:tcPr>
            <w:tcW w:w="10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w w:val="87"/>
              </w:rPr>
              <w:t>187,801,048</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w w:val="91"/>
              </w:rPr>
              <w:t>190,748,722</w:t>
            </w:r>
          </w:p>
        </w:tc>
        <w:tc>
          <w:tcPr>
            <w:tcW w:w="0" w:type="dxa"/>
            <w:vAlign w:val="bottom"/>
          </w:tcPr>
          <w:p>
            <w:pPr>
              <w:spacing w:after="0"/>
              <w:rPr>
                <w:sz w:val="1"/>
                <w:szCs w:val="1"/>
                <w:color w:val="auto"/>
              </w:rPr>
            </w:pPr>
          </w:p>
        </w:tc>
      </w:tr>
      <w:tr>
        <w:trPr>
          <w:trHeight w:val="230"/>
        </w:trPr>
        <w:tc>
          <w:tcPr>
            <w:tcW w:w="57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and $198,936,982, respectively)</w:t>
            </w: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760" w:type="dxa"/>
            <w:vAlign w:val="bottom"/>
          </w:tcPr>
          <w:p>
            <w:pPr>
              <w:ind w:left="200"/>
              <w:spacing w:after="0" w:line="201" w:lineRule="exact"/>
              <w:rPr>
                <w:sz w:val="20"/>
                <w:szCs w:val="20"/>
                <w:color w:val="auto"/>
              </w:rPr>
            </w:pPr>
            <w:r>
              <w:rPr>
                <w:rFonts w:ascii="Arial" w:cs="Arial" w:eastAsia="Arial" w:hAnsi="Arial"/>
                <w:sz w:val="18"/>
                <w:szCs w:val="18"/>
                <w:color w:val="auto"/>
                <w:w w:val="92"/>
              </w:rPr>
              <w:t>Investments in money market funds (cost of $16,000,000 and $16,000,000,</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7"/>
              </w:rPr>
              <w:t>16,000,000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230"/>
        </w:trPr>
        <w:tc>
          <w:tcPr>
            <w:tcW w:w="576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760" w:type="dxa"/>
            <w:vAlign w:val="bottom"/>
            <w:shd w:val="clear" w:color="auto" w:fill="CCFFCC"/>
          </w:tcPr>
          <w:p>
            <w:pPr>
              <w:ind w:left="380"/>
              <w:spacing w:after="0" w:line="195" w:lineRule="exact"/>
              <w:rPr>
                <w:sz w:val="20"/>
                <w:szCs w:val="20"/>
                <w:color w:val="auto"/>
              </w:rPr>
            </w:pPr>
            <w:r>
              <w:rPr>
                <w:rFonts w:ascii="Arial" w:cs="Arial" w:eastAsia="Arial" w:hAnsi="Arial"/>
                <w:sz w:val="18"/>
                <w:szCs w:val="18"/>
                <w:color w:val="auto"/>
              </w:rPr>
              <w:t>Total Investments (cost of $251,481,893 and $253,147,735,</w:t>
            </w:r>
          </w:p>
        </w:tc>
        <w:tc>
          <w:tcPr>
            <w:tcW w:w="100" w:type="dxa"/>
            <w:vAlign w:val="bottom"/>
            <w:shd w:val="clear" w:color="auto" w:fill="CCFFCC"/>
          </w:tcPr>
          <w:p>
            <w:pPr>
              <w:spacing w:after="0"/>
              <w:rPr>
                <w:sz w:val="16"/>
                <w:szCs w:val="16"/>
                <w:color w:val="auto"/>
              </w:rPr>
            </w:pPr>
          </w:p>
        </w:tc>
        <w:tc>
          <w:tcPr>
            <w:tcW w:w="1020" w:type="dxa"/>
            <w:vAlign w:val="bottom"/>
            <w:gridSpan w:val="2"/>
            <w:shd w:val="clear" w:color="auto" w:fill="CCFFCC"/>
          </w:tcPr>
          <w:p>
            <w:pPr>
              <w:jc w:val="right"/>
              <w:ind w:right="120"/>
              <w:spacing w:after="0" w:line="195" w:lineRule="exact"/>
              <w:rPr>
                <w:sz w:val="20"/>
                <w:szCs w:val="20"/>
                <w:color w:val="auto"/>
              </w:rPr>
            </w:pPr>
            <w:r>
              <w:rPr>
                <w:rFonts w:ascii="Arial" w:cs="Arial" w:eastAsia="Arial" w:hAnsi="Arial"/>
                <w:sz w:val="18"/>
                <w:szCs w:val="18"/>
                <w:color w:val="auto"/>
                <w:w w:val="87"/>
              </w:rPr>
              <w:t>238,154,605</w:t>
            </w:r>
          </w:p>
        </w:tc>
        <w:tc>
          <w:tcPr>
            <w:tcW w:w="1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60" w:type="dxa"/>
            <w:vAlign w:val="bottom"/>
            <w:gridSpan w:val="2"/>
            <w:shd w:val="clear" w:color="auto" w:fill="CCFFCC"/>
          </w:tcPr>
          <w:p>
            <w:pPr>
              <w:jc w:val="right"/>
              <w:ind w:right="120"/>
              <w:spacing w:after="0" w:line="195" w:lineRule="exact"/>
              <w:rPr>
                <w:sz w:val="20"/>
                <w:szCs w:val="20"/>
                <w:color w:val="auto"/>
              </w:rPr>
            </w:pPr>
            <w:r>
              <w:rPr>
                <w:rFonts w:ascii="Arial" w:cs="Arial" w:eastAsia="Arial" w:hAnsi="Arial"/>
                <w:sz w:val="18"/>
                <w:szCs w:val="18"/>
                <w:color w:val="auto"/>
                <w:w w:val="91"/>
              </w:rPr>
              <w:t>241,397,085</w:t>
            </w:r>
          </w:p>
        </w:tc>
        <w:tc>
          <w:tcPr>
            <w:tcW w:w="0" w:type="dxa"/>
            <w:vAlign w:val="bottom"/>
          </w:tcPr>
          <w:p>
            <w:pPr>
              <w:spacing w:after="0"/>
              <w:rPr>
                <w:sz w:val="1"/>
                <w:szCs w:val="1"/>
                <w:color w:val="auto"/>
              </w:rPr>
            </w:pPr>
          </w:p>
        </w:tc>
      </w:tr>
      <w:tr>
        <w:trPr>
          <w:trHeight w:val="230"/>
        </w:trPr>
        <w:tc>
          <w:tcPr>
            <w:tcW w:w="5760" w:type="dxa"/>
            <w:vAlign w:val="bottom"/>
            <w:shd w:val="clear" w:color="auto" w:fill="CCFFCC"/>
          </w:tcPr>
          <w:p>
            <w:pPr>
              <w:ind w:left="56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Cash</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6,818,379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11,318,525</w:t>
            </w:r>
          </w:p>
        </w:tc>
        <w:tc>
          <w:tcPr>
            <w:tcW w:w="0" w:type="dxa"/>
            <w:vAlign w:val="bottom"/>
          </w:tcPr>
          <w:p>
            <w:pPr>
              <w:spacing w:after="0"/>
              <w:rPr>
                <w:sz w:val="1"/>
                <w:szCs w:val="1"/>
                <w:color w:val="auto"/>
              </w:rPr>
            </w:pPr>
          </w:p>
        </w:tc>
      </w:tr>
      <w:tr>
        <w:trPr>
          <w:trHeight w:val="216"/>
        </w:trPr>
        <w:tc>
          <w:tcPr>
            <w:tcW w:w="5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Due from:</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GSV Asset Management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8,505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16"/>
        </w:trPr>
        <w:tc>
          <w:tcPr>
            <w:tcW w:w="57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Portfolio companies</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323,041</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316,377</w:t>
            </w:r>
          </w:p>
        </w:tc>
        <w:tc>
          <w:tcPr>
            <w:tcW w:w="0" w:type="dxa"/>
            <w:vAlign w:val="bottom"/>
          </w:tcPr>
          <w:p>
            <w:pPr>
              <w:spacing w:after="0"/>
              <w:rPr>
                <w:sz w:val="1"/>
                <w:szCs w:val="1"/>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65,741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63,953</w:t>
            </w:r>
          </w:p>
        </w:tc>
        <w:tc>
          <w:tcPr>
            <w:tcW w:w="0" w:type="dxa"/>
            <w:vAlign w:val="bottom"/>
          </w:tcPr>
          <w:p>
            <w:pPr>
              <w:spacing w:after="0"/>
              <w:rPr>
                <w:sz w:val="1"/>
                <w:szCs w:val="1"/>
                <w:color w:val="auto"/>
              </w:rPr>
            </w:pPr>
          </w:p>
        </w:tc>
      </w:tr>
      <w:tr>
        <w:trPr>
          <w:trHeight w:val="216"/>
        </w:trPr>
        <w:tc>
          <w:tcPr>
            <w:tcW w:w="5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Dividend receivable</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1,477</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48,489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27,145</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shd w:val="clear" w:color="auto" w:fill="CCFFCC"/>
          </w:tcPr>
          <w:p>
            <w:pPr>
              <w:ind w:left="3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7"/>
              </w:rPr>
              <w:t>245,420,237</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1"/>
              </w:rPr>
              <w:t>253,130,728</w:t>
            </w:r>
          </w:p>
        </w:tc>
        <w:tc>
          <w:tcPr>
            <w:tcW w:w="0" w:type="dxa"/>
            <w:vAlign w:val="bottom"/>
          </w:tcPr>
          <w:p>
            <w:pPr>
              <w:spacing w:after="0"/>
              <w:rPr>
                <w:sz w:val="1"/>
                <w:szCs w:val="1"/>
                <w:color w:val="auto"/>
              </w:rPr>
            </w:pPr>
          </w:p>
        </w:tc>
      </w:tr>
      <w:tr>
        <w:trPr>
          <w:trHeight w:val="210"/>
        </w:trPr>
        <w:tc>
          <w:tcPr>
            <w:tcW w:w="576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Due to:</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GSV Asset Management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39,012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51,194</w:t>
            </w:r>
          </w:p>
        </w:tc>
        <w:tc>
          <w:tcPr>
            <w:tcW w:w="0" w:type="dxa"/>
            <w:vAlign w:val="bottom"/>
          </w:tcPr>
          <w:p>
            <w:pPr>
              <w:spacing w:after="0"/>
              <w:rPr>
                <w:sz w:val="1"/>
                <w:szCs w:val="1"/>
                <w:color w:val="auto"/>
              </w:rPr>
            </w:pPr>
          </w:p>
        </w:tc>
      </w:tr>
      <w:tr>
        <w:trPr>
          <w:trHeight w:val="216"/>
        </w:trPr>
        <w:tc>
          <w:tcPr>
            <w:tcW w:w="5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236,359</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204,093</w:t>
            </w:r>
          </w:p>
        </w:tc>
        <w:tc>
          <w:tcPr>
            <w:tcW w:w="0" w:type="dxa"/>
            <w:vAlign w:val="bottom"/>
          </w:tcPr>
          <w:p>
            <w:pPr>
              <w:spacing w:after="0"/>
              <w:rPr>
                <w:sz w:val="1"/>
                <w:szCs w:val="1"/>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53,320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292,640</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shd w:val="clear" w:color="auto" w:fill="CCFFCC"/>
          </w:tcPr>
          <w:p>
            <w:pPr>
              <w:ind w:left="38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328,691</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547,927</w:t>
            </w:r>
          </w:p>
        </w:tc>
        <w:tc>
          <w:tcPr>
            <w:tcW w:w="0" w:type="dxa"/>
            <w:vAlign w:val="bottom"/>
          </w:tcPr>
          <w:p>
            <w:pPr>
              <w:spacing w:after="0"/>
              <w:rPr>
                <w:sz w:val="1"/>
                <w:szCs w:val="1"/>
                <w:color w:val="auto"/>
              </w:rPr>
            </w:pPr>
          </w:p>
        </w:tc>
      </w:tr>
      <w:tr>
        <w:trPr>
          <w:trHeight w:val="210"/>
        </w:trPr>
        <w:tc>
          <w:tcPr>
            <w:tcW w:w="576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Commitments and contingencies (Note 6)</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7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7"/>
              </w:rPr>
              <w:t>245,091,546</w:t>
            </w:r>
          </w:p>
        </w:tc>
        <w:tc>
          <w:tcPr>
            <w:tcW w:w="2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1"/>
              </w:rPr>
              <w:t>252,582,801</w:t>
            </w:r>
          </w:p>
        </w:tc>
        <w:tc>
          <w:tcPr>
            <w:tcW w:w="0" w:type="dxa"/>
            <w:vAlign w:val="bottom"/>
          </w:tcPr>
          <w:p>
            <w:pPr>
              <w:spacing w:after="0"/>
              <w:rPr>
                <w:sz w:val="1"/>
                <w:szCs w:val="1"/>
                <w:color w:val="auto"/>
              </w:rPr>
            </w:pPr>
          </w:p>
        </w:tc>
      </w:tr>
      <w:tr>
        <w:trPr>
          <w:trHeight w:val="210"/>
        </w:trPr>
        <w:tc>
          <w:tcPr>
            <w:tcW w:w="576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NET ASSETS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76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Common stock, par value $0.01 per share (100,000,000 authorized;</w:t>
            </w:r>
          </w:p>
        </w:tc>
        <w:tc>
          <w:tcPr>
            <w:tcW w:w="10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193,201</w:t>
            </w:r>
          </w:p>
        </w:tc>
        <w:tc>
          <w:tcPr>
            <w:tcW w:w="280" w:type="dxa"/>
            <w:vAlign w:val="bottom"/>
            <w:gridSpan w:val="2"/>
            <w:shd w:val="clear" w:color="auto" w:fill="CCFFCC"/>
          </w:tcPr>
          <w:p>
            <w:pPr>
              <w:ind w:left="160"/>
              <w:spacing w:after="0" w:line="201" w:lineRule="exact"/>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193,201</w:t>
            </w:r>
          </w:p>
        </w:tc>
        <w:tc>
          <w:tcPr>
            <w:tcW w:w="0" w:type="dxa"/>
            <w:vAlign w:val="bottom"/>
          </w:tcPr>
          <w:p>
            <w:pPr>
              <w:spacing w:after="0"/>
              <w:rPr>
                <w:sz w:val="1"/>
                <w:szCs w:val="1"/>
                <w:color w:val="auto"/>
              </w:rPr>
            </w:pPr>
          </w:p>
        </w:tc>
      </w:tr>
      <w:tr>
        <w:trPr>
          <w:trHeight w:val="230"/>
        </w:trPr>
        <w:tc>
          <w:tcPr>
            <w:tcW w:w="57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19,320,100 and 19,320,100 issued and outstanding, respectively)</w:t>
            </w: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Paid-in capital in excess of par</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275,837,514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275,837,514</w:t>
            </w:r>
          </w:p>
        </w:tc>
        <w:tc>
          <w:tcPr>
            <w:tcW w:w="0" w:type="dxa"/>
            <w:vAlign w:val="bottom"/>
          </w:tcPr>
          <w:p>
            <w:pPr>
              <w:spacing w:after="0"/>
              <w:rPr>
                <w:sz w:val="1"/>
                <w:szCs w:val="1"/>
                <w:color w:val="auto"/>
              </w:rPr>
            </w:pPr>
          </w:p>
        </w:tc>
      </w:tr>
      <w:tr>
        <w:trPr>
          <w:trHeight w:val="216"/>
        </w:trPr>
        <w:tc>
          <w:tcPr>
            <w:tcW w:w="5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Accumulated net investment loss</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2"/>
              </w:rPr>
              <w:t>(12,884,470)</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5"/>
              </w:rPr>
              <w:t>(10,316,745)</w:t>
            </w:r>
          </w:p>
        </w:tc>
        <w:tc>
          <w:tcPr>
            <w:tcW w:w="0" w:type="dxa"/>
            <w:vAlign w:val="bottom"/>
          </w:tcPr>
          <w:p>
            <w:pPr>
              <w:spacing w:after="0"/>
              <w:rPr>
                <w:sz w:val="1"/>
                <w:szCs w:val="1"/>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Accumulated net realized loss on investments</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(4,727,411)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(1,380,519)</w:t>
            </w:r>
          </w:p>
        </w:tc>
        <w:tc>
          <w:tcPr>
            <w:tcW w:w="0" w:type="dxa"/>
            <w:vAlign w:val="bottom"/>
          </w:tcPr>
          <w:p>
            <w:pPr>
              <w:spacing w:after="0"/>
              <w:rPr>
                <w:sz w:val="1"/>
                <w:szCs w:val="1"/>
                <w:color w:val="auto"/>
              </w:rPr>
            </w:pPr>
          </w:p>
        </w:tc>
      </w:tr>
      <w:tr>
        <w:trPr>
          <w:trHeight w:val="216"/>
        </w:trPr>
        <w:tc>
          <w:tcPr>
            <w:tcW w:w="5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Accumulated net unrealized depreciation on investments</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2"/>
              </w:rPr>
              <w:t>(13,327,288)</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5"/>
              </w:rPr>
              <w:t>(11,750,650)</w:t>
            </w:r>
          </w:p>
        </w:tc>
        <w:tc>
          <w:tcPr>
            <w:tcW w:w="0" w:type="dxa"/>
            <w:vAlign w:val="bottom"/>
          </w:tcPr>
          <w:p>
            <w:pPr>
              <w:spacing w:after="0"/>
              <w:rPr>
                <w:sz w:val="1"/>
                <w:szCs w:val="1"/>
                <w:color w:val="auto"/>
              </w:rPr>
            </w:pPr>
          </w:p>
        </w:tc>
      </w:tr>
      <w:tr>
        <w:trPr>
          <w:trHeight w:val="20"/>
        </w:trPr>
        <w:tc>
          <w:tcPr>
            <w:tcW w:w="57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tcPr>
          <w:p>
            <w:pPr>
              <w:ind w:left="380"/>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245,091,546</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252,582,801</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FFCC"/>
          </w:tcPr>
          <w:p>
            <w:pPr>
              <w:ind w:left="38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12.69</w:t>
            </w:r>
          </w:p>
        </w:tc>
        <w:tc>
          <w:tcPr>
            <w:tcW w:w="2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0"/>
        </w:trPr>
        <w:tc>
          <w:tcPr>
            <w:tcW w:w="5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-2469515</wp:posOffset>
            </wp:positionV>
            <wp:extent cx="521398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-1628775</wp:posOffset>
            </wp:positionV>
            <wp:extent cx="521398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-1345565</wp:posOffset>
            </wp:positionV>
            <wp:extent cx="521398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-351155</wp:posOffset>
            </wp:positionV>
            <wp:extent cx="5213985"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91" w:right="1440" w:bottom="1440" w:gutter="0" w:footer="0" w:header="0"/>
        </w:sectPr>
      </w:pPr>
    </w:p>
    <w:bookmarkStart w:id="3" w:name="page4"/>
    <w:bookmarkEnd w:id="3"/>
    <w:p>
      <w:pPr>
        <w:jc w:val="center"/>
        <w:ind w:right="519"/>
        <w:spacing w:after="0"/>
        <w:rPr>
          <w:sz w:val="20"/>
          <w:szCs w:val="20"/>
          <w:color w:val="auto"/>
        </w:rPr>
      </w:pPr>
      <w:r>
        <w:rPr>
          <w:rFonts w:ascii="Arial" w:cs="Arial" w:eastAsia="Arial" w:hAnsi="Arial"/>
          <w:sz w:val="18"/>
          <w:szCs w:val="18"/>
          <w:b w:val="1"/>
          <w:bCs w:val="1"/>
          <w:color w:val="auto"/>
        </w:rPr>
        <w:t>GSV CAPITAL CORP. AND SUBSIDIARY</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057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5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March 31, 2013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March 31, 2012</w:t>
            </w:r>
          </w:p>
        </w:tc>
      </w:tr>
      <w:tr>
        <w:trPr>
          <w:trHeight w:val="210"/>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INVESTMENT INCOME</w:t>
            </w: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Interest income from non-control/non-affiliated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112,101</w:t>
            </w:r>
          </w:p>
        </w:tc>
      </w:tr>
      <w:tr>
        <w:trPr>
          <w:trHeight w:val="216"/>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Dividend income</w:t>
            </w: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4,535</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5,704</w:t>
            </w:r>
          </w:p>
        </w:tc>
      </w:tr>
      <w:tr>
        <w:trPr>
          <w:trHeight w:val="20"/>
        </w:trPr>
        <w:tc>
          <w:tcPr>
            <w:tcW w:w="524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10"/>
        </w:trPr>
        <w:tc>
          <w:tcPr>
            <w:tcW w:w="5240" w:type="dxa"/>
            <w:vAlign w:val="bottom"/>
          </w:tcPr>
          <w:p>
            <w:pPr>
              <w:ind w:left="200"/>
              <w:spacing w:after="0"/>
              <w:rPr>
                <w:sz w:val="20"/>
                <w:szCs w:val="20"/>
                <w:color w:val="auto"/>
              </w:rPr>
            </w:pPr>
            <w:r>
              <w:rPr>
                <w:rFonts w:ascii="Arial" w:cs="Arial" w:eastAsia="Arial" w:hAnsi="Arial"/>
                <w:sz w:val="18"/>
                <w:szCs w:val="18"/>
                <w:b w:val="1"/>
                <w:bCs w:val="1"/>
                <w:color w:val="auto"/>
              </w:rPr>
              <w:t>Total Investment Income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117,805</w:t>
            </w:r>
          </w:p>
        </w:tc>
      </w:tr>
      <w:tr>
        <w:trPr>
          <w:trHeight w:val="210"/>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Investment management fees</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1,283,599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621,926</w:t>
            </w:r>
          </w:p>
        </w:tc>
      </w:tr>
      <w:tr>
        <w:trPr>
          <w:trHeight w:val="216"/>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Costs incurred under administration agreement</w:t>
            </w: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887,984</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345,594</w:t>
            </w: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Directors’ fees</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65,250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42,500</w:t>
            </w:r>
          </w:p>
        </w:tc>
      </w:tr>
      <w:tr>
        <w:trPr>
          <w:trHeight w:val="216"/>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Professional fees</w:t>
            </w: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236,886</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131,845</w:t>
            </w: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Insurance expense</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53,013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46,669</w:t>
            </w:r>
          </w:p>
        </w:tc>
      </w:tr>
      <w:tr>
        <w:trPr>
          <w:trHeight w:val="216"/>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Investor relations expense</w:t>
            </w: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43,562</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14,250</w:t>
            </w: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9,023</w:t>
            </w:r>
          </w:p>
        </w:tc>
      </w:tr>
      <w:tr>
        <w:trPr>
          <w:trHeight w:val="20"/>
        </w:trPr>
        <w:tc>
          <w:tcPr>
            <w:tcW w:w="5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5240" w:type="dxa"/>
            <w:vAlign w:val="bottom"/>
            <w:shd w:val="clear" w:color="auto" w:fill="CCFFCC"/>
          </w:tcPr>
          <w:p>
            <w:pPr>
              <w:ind w:left="200"/>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2,572,260</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1,211,807</w:t>
            </w:r>
          </w:p>
        </w:tc>
      </w:tr>
      <w:tr>
        <w:trPr>
          <w:trHeight w:val="20"/>
        </w:trPr>
        <w:tc>
          <w:tcPr>
            <w:tcW w:w="524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10"/>
        </w:trPr>
        <w:tc>
          <w:tcPr>
            <w:tcW w:w="5240" w:type="dxa"/>
            <w:vAlign w:val="bottom"/>
          </w:tcPr>
          <w:p>
            <w:pPr>
              <w:ind w:left="200"/>
              <w:spacing w:after="0"/>
              <w:rPr>
                <w:sz w:val="20"/>
                <w:szCs w:val="20"/>
                <w:color w:val="auto"/>
              </w:rPr>
            </w:pPr>
            <w:r>
              <w:rPr>
                <w:rFonts w:ascii="Arial" w:cs="Arial" w:eastAsia="Arial" w:hAnsi="Arial"/>
                <w:sz w:val="18"/>
                <w:szCs w:val="18"/>
                <w:b w:val="1"/>
                <w:bCs w:val="1"/>
                <w:color w:val="auto"/>
              </w:rPr>
              <w:t>Net Investment Loss</w:t>
            </w: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(2,567,725)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(1,094,002)</w:t>
            </w:r>
          </w:p>
        </w:tc>
      </w:tr>
      <w:tr>
        <w:trPr>
          <w:trHeight w:val="216"/>
        </w:trPr>
        <w:tc>
          <w:tcPr>
            <w:tcW w:w="5240" w:type="dxa"/>
            <w:vAlign w:val="bottom"/>
            <w:shd w:val="clear" w:color="auto" w:fill="CCFFCC"/>
          </w:tcPr>
          <w:p>
            <w:pPr>
              <w:ind w:left="200"/>
              <w:spacing w:after="0"/>
              <w:rPr>
                <w:sz w:val="20"/>
                <w:szCs w:val="20"/>
                <w:color w:val="auto"/>
              </w:rPr>
            </w:pPr>
            <w:r>
              <w:rPr>
                <w:rFonts w:ascii="Arial" w:cs="Arial" w:eastAsia="Arial" w:hAnsi="Arial"/>
                <w:sz w:val="18"/>
                <w:szCs w:val="18"/>
                <w:b w:val="1"/>
                <w:bCs w:val="1"/>
                <w:color w:val="auto"/>
              </w:rPr>
              <w:t>Net Realized Loss on Investments</w:t>
            </w: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(3,346,892)</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(256)</w:t>
            </w:r>
          </w:p>
        </w:tc>
      </w:tr>
      <w:tr>
        <w:trPr>
          <w:trHeight w:val="198"/>
        </w:trPr>
        <w:tc>
          <w:tcPr>
            <w:tcW w:w="5240" w:type="dxa"/>
            <w:vAlign w:val="bottom"/>
          </w:tcPr>
          <w:p>
            <w:pPr>
              <w:ind w:left="200"/>
              <w:spacing w:after="0" w:line="198" w:lineRule="exact"/>
              <w:rPr>
                <w:sz w:val="20"/>
                <w:szCs w:val="20"/>
                <w:color w:val="auto"/>
              </w:rPr>
            </w:pPr>
            <w:r>
              <w:rPr>
                <w:rFonts w:ascii="Arial" w:cs="Arial" w:eastAsia="Arial" w:hAnsi="Arial"/>
                <w:sz w:val="18"/>
                <w:szCs w:val="18"/>
                <w:b w:val="1"/>
                <w:bCs w:val="1"/>
                <w:color w:val="auto"/>
              </w:rPr>
              <w:t>Net Change in Unrealized Appreciation (Depreciation) on</w:t>
            </w:r>
          </w:p>
        </w:tc>
        <w:tc>
          <w:tcPr>
            <w:tcW w:w="160" w:type="dxa"/>
            <w:vAlign w:val="bottom"/>
          </w:tcPr>
          <w:p>
            <w:pPr>
              <w:spacing w:after="0"/>
              <w:rPr>
                <w:sz w:val="17"/>
                <w:szCs w:val="17"/>
                <w:color w:val="auto"/>
              </w:rPr>
            </w:pPr>
          </w:p>
        </w:tc>
        <w:tc>
          <w:tcPr>
            <w:tcW w:w="1240" w:type="dxa"/>
            <w:vAlign w:val="bottom"/>
            <w:gridSpan w:val="2"/>
          </w:tcPr>
          <w:p>
            <w:pPr>
              <w:jc w:val="right"/>
              <w:ind w:right="80"/>
              <w:spacing w:after="0" w:line="198" w:lineRule="exact"/>
              <w:rPr>
                <w:sz w:val="20"/>
                <w:szCs w:val="20"/>
                <w:color w:val="auto"/>
              </w:rPr>
            </w:pPr>
            <w:r>
              <w:rPr>
                <w:rFonts w:ascii="Arial" w:cs="Arial" w:eastAsia="Arial" w:hAnsi="Arial"/>
                <w:sz w:val="18"/>
                <w:szCs w:val="18"/>
                <w:color w:val="auto"/>
              </w:rPr>
              <w:t>(1,576,638)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1,011,195</w:t>
            </w:r>
          </w:p>
        </w:tc>
      </w:tr>
      <w:tr>
        <w:trPr>
          <w:trHeight w:val="234"/>
        </w:trPr>
        <w:tc>
          <w:tcPr>
            <w:tcW w:w="5240" w:type="dxa"/>
            <w:vAlign w:val="bottom"/>
          </w:tcPr>
          <w:p>
            <w:pPr>
              <w:ind w:left="380"/>
              <w:spacing w:after="0"/>
              <w:rPr>
                <w:sz w:val="20"/>
                <w:szCs w:val="20"/>
                <w:color w:val="auto"/>
              </w:rPr>
            </w:pPr>
            <w:r>
              <w:rPr>
                <w:rFonts w:ascii="Arial" w:cs="Arial" w:eastAsia="Arial" w:hAnsi="Arial"/>
                <w:sz w:val="18"/>
                <w:szCs w:val="18"/>
                <w:b w:val="1"/>
                <w:bCs w:val="1"/>
                <w:color w:val="auto"/>
              </w:rPr>
              <w:t>Investments</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30"/>
        </w:trPr>
        <w:tc>
          <w:tcPr>
            <w:tcW w:w="5240" w:type="dxa"/>
            <w:vAlign w:val="bottom"/>
            <w:shd w:val="clear" w:color="auto" w:fill="CCFFCC"/>
          </w:tcPr>
          <w:p>
            <w:pPr>
              <w:ind w:left="20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(7,491,255)</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(83,063)</w:t>
            </w:r>
          </w:p>
        </w:tc>
      </w:tr>
      <w:tr>
        <w:trPr>
          <w:trHeight w:val="20"/>
        </w:trPr>
        <w:tc>
          <w:tcPr>
            <w:tcW w:w="52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1"/>
        </w:trPr>
        <w:tc>
          <w:tcPr>
            <w:tcW w:w="5240" w:type="dxa"/>
            <w:vAlign w:val="bottom"/>
          </w:tcPr>
          <w:p>
            <w:pPr>
              <w:ind w:left="200"/>
              <w:spacing w:after="0" w:line="191" w:lineRule="exact"/>
              <w:rPr>
                <w:sz w:val="20"/>
                <w:szCs w:val="20"/>
                <w:color w:val="auto"/>
              </w:rPr>
            </w:pPr>
            <w:r>
              <w:rPr>
                <w:rFonts w:ascii="Arial" w:cs="Arial" w:eastAsia="Arial" w:hAnsi="Arial"/>
                <w:sz w:val="18"/>
                <w:szCs w:val="18"/>
                <w:b w:val="1"/>
                <w:bCs w:val="1"/>
                <w:color w:val="auto"/>
                <w:w w:val="99"/>
              </w:rPr>
              <w:t>Net Decrease in Net Assets Resulting From Operations Per</w:t>
            </w:r>
          </w:p>
        </w:tc>
        <w:tc>
          <w:tcPr>
            <w:tcW w:w="160" w:type="dxa"/>
            <w:vAlign w:val="bottom"/>
          </w:tcPr>
          <w:p>
            <w:pPr>
              <w:jc w:val="right"/>
              <w:spacing w:after="0" w:line="191"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line="191" w:lineRule="exact"/>
              <w:rPr>
                <w:sz w:val="20"/>
                <w:szCs w:val="20"/>
                <w:color w:val="auto"/>
              </w:rPr>
            </w:pPr>
            <w:r>
              <w:rPr>
                <w:rFonts w:ascii="Arial" w:cs="Arial" w:eastAsia="Arial" w:hAnsi="Arial"/>
                <w:sz w:val="18"/>
                <w:szCs w:val="18"/>
                <w:color w:val="auto"/>
              </w:rPr>
              <w:t>(0.38)</w:t>
            </w:r>
          </w:p>
        </w:tc>
        <w:tc>
          <w:tcPr>
            <w:tcW w:w="32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line="191" w:lineRule="exact"/>
              <w:rPr>
                <w:sz w:val="20"/>
                <w:szCs w:val="20"/>
                <w:color w:val="auto"/>
              </w:rPr>
            </w:pPr>
            <w:r>
              <w:rPr>
                <w:rFonts w:ascii="Arial" w:cs="Arial" w:eastAsia="Arial" w:hAnsi="Arial"/>
                <w:sz w:val="18"/>
                <w:szCs w:val="18"/>
                <w:color w:val="auto"/>
              </w:rPr>
              <w:t>(0.01)</w:t>
            </w:r>
          </w:p>
        </w:tc>
      </w:tr>
      <w:tr>
        <w:trPr>
          <w:trHeight w:val="234"/>
        </w:trPr>
        <w:tc>
          <w:tcPr>
            <w:tcW w:w="5240" w:type="dxa"/>
            <w:vAlign w:val="bottom"/>
          </w:tcPr>
          <w:p>
            <w:pPr>
              <w:ind w:left="380"/>
              <w:spacing w:after="0"/>
              <w:rPr>
                <w:sz w:val="20"/>
                <w:szCs w:val="20"/>
                <w:color w:val="auto"/>
              </w:rPr>
            </w:pPr>
            <w:r>
              <w:rPr>
                <w:rFonts w:ascii="Arial" w:cs="Arial" w:eastAsia="Arial" w:hAnsi="Arial"/>
                <w:sz w:val="18"/>
                <w:szCs w:val="18"/>
                <w:b w:val="1"/>
                <w:bCs w:val="1"/>
                <w:color w:val="auto"/>
              </w:rPr>
              <w:t>Common Share</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
        </w:trPr>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5240" w:type="dxa"/>
            <w:vAlign w:val="bottom"/>
            <w:shd w:val="clear" w:color="auto" w:fill="CCFFCC"/>
          </w:tcPr>
          <w:p>
            <w:pPr>
              <w:ind w:left="200"/>
              <w:spacing w:after="0"/>
              <w:rPr>
                <w:sz w:val="20"/>
                <w:szCs w:val="20"/>
                <w:color w:val="auto"/>
              </w:rPr>
            </w:pPr>
            <w:r>
              <w:rPr>
                <w:rFonts w:ascii="Arial" w:cs="Arial" w:eastAsia="Arial" w:hAnsi="Arial"/>
                <w:sz w:val="18"/>
                <w:szCs w:val="18"/>
                <w:b w:val="1"/>
                <w:bCs w:val="1"/>
                <w:color w:val="auto"/>
              </w:rPr>
              <w:t>Weighted Average Common Shares Outstanding</w:t>
            </w:r>
          </w:p>
        </w:tc>
        <w:tc>
          <w:tcPr>
            <w:tcW w:w="160" w:type="dxa"/>
            <w:vAlign w:val="bottom"/>
            <w:shd w:val="clear" w:color="auto" w:fill="CCFFCC"/>
          </w:tcPr>
          <w:p>
            <w:pPr>
              <w:spacing w:after="0"/>
              <w:rPr>
                <w:sz w:val="20"/>
                <w:szCs w:val="20"/>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19,320,100</w:t>
            </w: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9,387,133</w:t>
            </w:r>
          </w:p>
        </w:tc>
      </w:tr>
      <w:tr>
        <w:trPr>
          <w:trHeight w:val="20"/>
        </w:trPr>
        <w:tc>
          <w:tcPr>
            <w:tcW w:w="52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-2614930</wp:posOffset>
            </wp:positionV>
            <wp:extent cx="521398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-1217295</wp:posOffset>
            </wp:positionV>
            <wp:extent cx="521398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-513715</wp:posOffset>
            </wp:positionV>
            <wp:extent cx="5213985" cy="342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3985" cy="34290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958" w:right="1440" w:bottom="1440" w:gutter="0" w:footer="0" w:header="0"/>
        </w:sectPr>
      </w:pPr>
    </w:p>
    <w:bookmarkStart w:id="4" w:name="page5"/>
    <w:bookmarkEnd w:id="4"/>
    <w:p>
      <w:pPr>
        <w:jc w:val="center"/>
        <w:ind w:right="519"/>
        <w:spacing w:after="0"/>
        <w:rPr>
          <w:sz w:val="20"/>
          <w:szCs w:val="20"/>
          <w:color w:val="auto"/>
        </w:rPr>
      </w:pPr>
      <w:r>
        <w:rPr>
          <w:rFonts w:ascii="Arial" w:cs="Arial" w:eastAsia="Arial" w:hAnsi="Arial"/>
          <w:sz w:val="18"/>
          <w:szCs w:val="18"/>
          <w:b w:val="1"/>
          <w:bCs w:val="1"/>
          <w:color w:val="auto"/>
        </w:rPr>
        <w:t>GSV CAPITAL CORP. AND SUBSIDIARY</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057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5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March 31, 2013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March 31, 2012</w:t>
            </w:r>
          </w:p>
        </w:tc>
      </w:tr>
      <w:tr>
        <w:trPr>
          <w:trHeight w:val="210"/>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Decrease in Net Assets Resulting From Operations</w:t>
            </w: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Net Investment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(2,567,725)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(1,094,002)</w:t>
            </w:r>
          </w:p>
        </w:tc>
      </w:tr>
      <w:tr>
        <w:trPr>
          <w:trHeight w:val="216"/>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Realized Loss on Investments</w:t>
            </w: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(3,346,892)</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(256)</w:t>
            </w:r>
          </w:p>
        </w:tc>
      </w:tr>
      <w:tr>
        <w:trPr>
          <w:trHeight w:val="202"/>
        </w:trPr>
        <w:tc>
          <w:tcPr>
            <w:tcW w:w="5240" w:type="dxa"/>
            <w:vAlign w:val="bottom"/>
          </w:tcPr>
          <w:p>
            <w:pPr>
              <w:ind w:left="20"/>
              <w:spacing w:after="0" w:line="201" w:lineRule="exact"/>
              <w:rPr>
                <w:sz w:val="20"/>
                <w:szCs w:val="20"/>
                <w:color w:val="auto"/>
              </w:rPr>
            </w:pPr>
            <w:r>
              <w:rPr>
                <w:rFonts w:ascii="Arial" w:cs="Arial" w:eastAsia="Arial" w:hAnsi="Arial"/>
                <w:sz w:val="18"/>
                <w:szCs w:val="18"/>
                <w:color w:val="auto"/>
              </w:rPr>
              <w:t>Net Change in Unrealized Appreciation (Depreciation) on</w:t>
            </w:r>
          </w:p>
        </w:tc>
        <w:tc>
          <w:tcPr>
            <w:tcW w:w="160" w:type="dxa"/>
            <w:vAlign w:val="bottom"/>
          </w:tcPr>
          <w:p>
            <w:pPr>
              <w:spacing w:after="0"/>
              <w:rPr>
                <w:sz w:val="17"/>
                <w:szCs w:val="17"/>
                <w:color w:val="auto"/>
              </w:rPr>
            </w:pPr>
          </w:p>
        </w:tc>
        <w:tc>
          <w:tcPr>
            <w:tcW w:w="12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(1,576,638)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1,011,195</w:t>
            </w:r>
          </w:p>
        </w:tc>
      </w:tr>
      <w:tr>
        <w:trPr>
          <w:trHeight w:val="230"/>
        </w:trPr>
        <w:tc>
          <w:tcPr>
            <w:tcW w:w="524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0"/>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(7,491,255)</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(83,063)</w:t>
            </w:r>
          </w:p>
        </w:tc>
      </w:tr>
      <w:tr>
        <w:trPr>
          <w:trHeight w:val="210"/>
        </w:trPr>
        <w:tc>
          <w:tcPr>
            <w:tcW w:w="524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Capital Share Transactions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r>
      <w:tr>
        <w:trPr>
          <w:trHeight w:val="216"/>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Proceeds from Common Shares Issued</w:t>
            </w: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96,255,000</w:t>
            </w: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Offering Costs</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(326,077)</w:t>
            </w:r>
          </w:p>
        </w:tc>
      </w:tr>
      <w:tr>
        <w:trPr>
          <w:trHeight w:val="20"/>
        </w:trPr>
        <w:tc>
          <w:tcPr>
            <w:tcW w:w="5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Net Capital Share Transactions</w:t>
            </w: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95,928,923</w:t>
            </w:r>
          </w:p>
        </w:tc>
      </w:tr>
      <w:tr>
        <w:trPr>
          <w:trHeight w:val="20"/>
        </w:trPr>
        <w:tc>
          <w:tcPr>
            <w:tcW w:w="524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Total Increase (Decrease) in Net Assets</w:t>
            </w: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(7,491,255)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95,845,860</w:t>
            </w:r>
          </w:p>
        </w:tc>
      </w:tr>
      <w:tr>
        <w:trPr>
          <w:trHeight w:val="216"/>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Assets at Beginning of Period</w:t>
            </w: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252,582,801</w:t>
            </w:r>
          </w:p>
        </w:tc>
        <w:tc>
          <w:tcPr>
            <w:tcW w:w="14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71,503,248</w:t>
            </w:r>
          </w:p>
        </w:tc>
      </w:tr>
      <w:tr>
        <w:trPr>
          <w:trHeight w:val="20"/>
        </w:trPr>
        <w:tc>
          <w:tcPr>
            <w:tcW w:w="524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Net Assets at End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245,091,546</w:t>
            </w:r>
          </w:p>
        </w:tc>
        <w:tc>
          <w:tcPr>
            <w:tcW w:w="1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167,349,108</w:t>
            </w:r>
          </w:p>
        </w:tc>
      </w:tr>
      <w:tr>
        <w:trPr>
          <w:trHeight w:val="21"/>
        </w:trPr>
        <w:tc>
          <w:tcPr>
            <w:tcW w:w="5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Capital Share Activity</w:t>
            </w: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6,900,000</w:t>
            </w:r>
          </w:p>
        </w:tc>
      </w:tr>
      <w:tr>
        <w:trPr>
          <w:trHeight w:val="216"/>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Shares Outstanding at Beginning of Period</w:t>
            </w: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19,320,100</w:t>
            </w:r>
          </w:p>
        </w:tc>
        <w:tc>
          <w:tcPr>
            <w:tcW w:w="14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5,520,100</w:t>
            </w:r>
          </w:p>
        </w:tc>
      </w:tr>
      <w:tr>
        <w:trPr>
          <w:trHeight w:val="20"/>
        </w:trPr>
        <w:tc>
          <w:tcPr>
            <w:tcW w:w="524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Shares Outstanding at End of Period</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19,320,100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12,420,100</w:t>
            </w:r>
          </w:p>
        </w:tc>
      </w:tr>
      <w:tr>
        <w:trPr>
          <w:trHeight w:val="21"/>
        </w:trPr>
        <w:tc>
          <w:tcPr>
            <w:tcW w:w="5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-1619885</wp:posOffset>
            </wp:positionV>
            <wp:extent cx="521398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-1054100</wp:posOffset>
            </wp:positionV>
            <wp:extent cx="521398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-770890</wp:posOffset>
            </wp:positionV>
            <wp:extent cx="5213985"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958" w:right="1440" w:bottom="1440" w:gutter="0" w:footer="0" w:header="0"/>
        </w:sectPr>
      </w:pPr>
    </w:p>
    <w:bookmarkStart w:id="5" w:name="page6"/>
    <w:bookmarkEnd w:id="5"/>
    <w:p>
      <w:pPr>
        <w:jc w:val="center"/>
        <w:ind w:right="519"/>
        <w:spacing w:after="0"/>
        <w:rPr>
          <w:sz w:val="20"/>
          <w:szCs w:val="20"/>
          <w:color w:val="auto"/>
        </w:rPr>
      </w:pPr>
      <w:r>
        <w:rPr>
          <w:rFonts w:ascii="Arial" w:cs="Arial" w:eastAsia="Arial" w:hAnsi="Arial"/>
          <w:sz w:val="18"/>
          <w:szCs w:val="18"/>
          <w:b w:val="1"/>
          <w:bCs w:val="1"/>
          <w:color w:val="auto"/>
        </w:rPr>
        <w:t>GSV CAPITAL CORP. AND SUBSIDIARY</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4"/>
              </w:rPr>
              <w:t>Three months ended</w:t>
            </w:r>
          </w:p>
        </w:tc>
        <w:tc>
          <w:tcPr>
            <w:tcW w:w="160" w:type="dxa"/>
            <w:vAlign w:val="bottom"/>
          </w:tcPr>
          <w:p>
            <w:pPr>
              <w:spacing w:after="0"/>
              <w:rPr>
                <w:sz w:val="14"/>
                <w:szCs w:val="14"/>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5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8"/>
              </w:rPr>
              <w:t>March 31, 2013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March 31, 2012</w:t>
            </w:r>
          </w:p>
        </w:tc>
      </w:tr>
      <w:tr>
        <w:trPr>
          <w:trHeight w:val="210"/>
        </w:trPr>
        <w:tc>
          <w:tcPr>
            <w:tcW w:w="53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Net decrease in net assets resulting from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(7,491,255)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(83,063)</w:t>
            </w:r>
          </w:p>
        </w:tc>
      </w:tr>
      <w:tr>
        <w:trPr>
          <w:trHeight w:val="202"/>
        </w:trPr>
        <w:tc>
          <w:tcPr>
            <w:tcW w:w="530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Adjustments to reconcile net decrease in net assets resulting from</w:t>
            </w:r>
          </w:p>
        </w:tc>
        <w:tc>
          <w:tcPr>
            <w:tcW w:w="16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r>
      <w:tr>
        <w:trPr>
          <w:trHeight w:val="230"/>
        </w:trPr>
        <w:tc>
          <w:tcPr>
            <w:tcW w:w="53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operations to net cash used in operating activities:</w:t>
            </w:r>
          </w:p>
        </w:tc>
        <w:tc>
          <w:tcPr>
            <w:tcW w:w="16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r>
      <w:tr>
        <w:trPr>
          <w:trHeight w:val="216"/>
        </w:trPr>
        <w:tc>
          <w:tcPr>
            <w:tcW w:w="5300" w:type="dxa"/>
            <w:vAlign w:val="bottom"/>
          </w:tcPr>
          <w:p>
            <w:pPr>
              <w:ind w:left="200"/>
              <w:spacing w:after="0"/>
              <w:rPr>
                <w:sz w:val="20"/>
                <w:szCs w:val="20"/>
                <w:color w:val="auto"/>
              </w:rPr>
            </w:pPr>
            <w:r>
              <w:rPr>
                <w:rFonts w:ascii="Arial" w:cs="Arial" w:eastAsia="Arial" w:hAnsi="Arial"/>
                <w:sz w:val="18"/>
                <w:szCs w:val="18"/>
                <w:color w:val="auto"/>
              </w:rPr>
              <w:t>Net realized loss on investments</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3,346,892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r>
      <w:tr>
        <w:trPr>
          <w:trHeight w:val="216"/>
        </w:trPr>
        <w:tc>
          <w:tcPr>
            <w:tcW w:w="5300" w:type="dxa"/>
            <w:vAlign w:val="bottom"/>
            <w:shd w:val="clear" w:color="auto" w:fill="CCFFCC"/>
          </w:tcPr>
          <w:p>
            <w:pPr>
              <w:ind w:left="200"/>
              <w:spacing w:after="0"/>
              <w:rPr>
                <w:sz w:val="20"/>
                <w:szCs w:val="20"/>
                <w:color w:val="auto"/>
              </w:rPr>
            </w:pPr>
            <w:r>
              <w:rPr>
                <w:rFonts w:ascii="Arial" w:cs="Arial" w:eastAsia="Arial" w:hAnsi="Arial"/>
                <w:sz w:val="18"/>
                <w:szCs w:val="18"/>
                <w:color w:val="auto"/>
                <w:w w:val="93"/>
              </w:rPr>
              <w:t>Net change in unrealized (appreciation) depreciation on investments</w:t>
            </w: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1,576,638</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(1,011,195)</w:t>
            </w:r>
          </w:p>
        </w:tc>
      </w:tr>
      <w:tr>
        <w:trPr>
          <w:trHeight w:val="216"/>
        </w:trPr>
        <w:tc>
          <w:tcPr>
            <w:tcW w:w="5300" w:type="dxa"/>
            <w:vAlign w:val="bottom"/>
          </w:tcPr>
          <w:p>
            <w:pPr>
              <w:ind w:left="200"/>
              <w:spacing w:after="0"/>
              <w:rPr>
                <w:sz w:val="20"/>
                <w:szCs w:val="20"/>
                <w:color w:val="auto"/>
              </w:rPr>
            </w:pPr>
            <w:r>
              <w:rPr>
                <w:rFonts w:ascii="Arial" w:cs="Arial" w:eastAsia="Arial" w:hAnsi="Arial"/>
                <w:sz w:val="18"/>
                <w:szCs w:val="18"/>
                <w:color w:val="auto"/>
              </w:rPr>
              <w:t>Purchases of investments in:</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300" w:type="dxa"/>
            <w:vAlign w:val="bottom"/>
            <w:shd w:val="clear" w:color="auto" w:fill="CCFFCC"/>
          </w:tcPr>
          <w:p>
            <w:pPr>
              <w:ind w:left="560"/>
              <w:spacing w:after="0"/>
              <w:rPr>
                <w:sz w:val="20"/>
                <w:szCs w:val="20"/>
                <w:color w:val="auto"/>
              </w:rPr>
            </w:pPr>
            <w:r>
              <w:rPr>
                <w:rFonts w:ascii="Arial" w:cs="Arial" w:eastAsia="Arial" w:hAnsi="Arial"/>
                <w:sz w:val="18"/>
                <w:szCs w:val="18"/>
                <w:color w:val="auto"/>
              </w:rPr>
              <w:t>Portfolio investments</w:t>
            </w: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(3,466,394)</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(10,666,649)</w:t>
            </w:r>
          </w:p>
        </w:tc>
      </w:tr>
      <w:tr>
        <w:trPr>
          <w:trHeight w:val="216"/>
        </w:trPr>
        <w:tc>
          <w:tcPr>
            <w:tcW w:w="5300" w:type="dxa"/>
            <w:vAlign w:val="bottom"/>
          </w:tcPr>
          <w:p>
            <w:pPr>
              <w:ind w:left="560"/>
              <w:spacing w:after="0"/>
              <w:rPr>
                <w:sz w:val="20"/>
                <w:szCs w:val="20"/>
                <w:color w:val="auto"/>
              </w:rPr>
            </w:pPr>
            <w:r>
              <w:rPr>
                <w:rFonts w:ascii="Arial" w:cs="Arial" w:eastAsia="Arial" w:hAnsi="Arial"/>
                <w:sz w:val="18"/>
                <w:szCs w:val="18"/>
                <w:color w:val="auto"/>
              </w:rPr>
              <w:t>United States treasury bill</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(19,999,128)</w:t>
            </w:r>
          </w:p>
        </w:tc>
      </w:tr>
      <w:tr>
        <w:trPr>
          <w:trHeight w:val="216"/>
        </w:trPr>
        <w:tc>
          <w:tcPr>
            <w:tcW w:w="5300" w:type="dxa"/>
            <w:vAlign w:val="bottom"/>
            <w:shd w:val="clear" w:color="auto" w:fill="CCFFCC"/>
          </w:tcPr>
          <w:p>
            <w:pPr>
              <w:ind w:left="56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(10,000,000)</w:t>
            </w:r>
          </w:p>
        </w:tc>
      </w:tr>
      <w:tr>
        <w:trPr>
          <w:trHeight w:val="216"/>
        </w:trPr>
        <w:tc>
          <w:tcPr>
            <w:tcW w:w="5300" w:type="dxa"/>
            <w:vAlign w:val="bottom"/>
          </w:tcPr>
          <w:p>
            <w:pPr>
              <w:ind w:left="200"/>
              <w:spacing w:after="0"/>
              <w:rPr>
                <w:sz w:val="20"/>
                <w:szCs w:val="20"/>
                <w:color w:val="auto"/>
              </w:rPr>
            </w:pPr>
            <w:r>
              <w:rPr>
                <w:rFonts w:ascii="Arial" w:cs="Arial" w:eastAsia="Arial" w:hAnsi="Arial"/>
                <w:sz w:val="18"/>
                <w:szCs w:val="18"/>
                <w:color w:val="auto"/>
              </w:rPr>
              <w:t>Proceeds from sales of investments in:</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300" w:type="dxa"/>
            <w:vAlign w:val="bottom"/>
            <w:shd w:val="clear" w:color="auto" w:fill="CCFFCC"/>
          </w:tcPr>
          <w:p>
            <w:pPr>
              <w:ind w:left="560"/>
              <w:spacing w:after="0"/>
              <w:rPr>
                <w:sz w:val="20"/>
                <w:szCs w:val="20"/>
                <w:color w:val="auto"/>
              </w:rPr>
            </w:pPr>
            <w:r>
              <w:rPr>
                <w:rFonts w:ascii="Arial" w:cs="Arial" w:eastAsia="Arial" w:hAnsi="Arial"/>
                <w:sz w:val="18"/>
                <w:szCs w:val="18"/>
                <w:color w:val="auto"/>
              </w:rPr>
              <w:t>Portfolio investments</w:t>
            </w: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1,785,344</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tcPr>
          <w:p>
            <w:pPr>
              <w:ind w:left="560"/>
              <w:spacing w:after="0"/>
              <w:rPr>
                <w:sz w:val="20"/>
                <w:szCs w:val="20"/>
                <w:color w:val="auto"/>
              </w:rPr>
            </w:pPr>
            <w:r>
              <w:rPr>
                <w:rFonts w:ascii="Arial" w:cs="Arial" w:eastAsia="Arial" w:hAnsi="Arial"/>
                <w:sz w:val="18"/>
                <w:szCs w:val="18"/>
                <w:color w:val="auto"/>
              </w:rPr>
              <w:t>United States treasury bill</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19,998,872</w:t>
            </w:r>
          </w:p>
        </w:tc>
      </w:tr>
      <w:tr>
        <w:trPr>
          <w:trHeight w:val="216"/>
        </w:trPr>
        <w:tc>
          <w:tcPr>
            <w:tcW w:w="5300" w:type="dxa"/>
            <w:vAlign w:val="bottom"/>
            <w:shd w:val="clear" w:color="auto" w:fill="CCFFCC"/>
          </w:tcPr>
          <w:p>
            <w:pPr>
              <w:ind w:left="56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1,000,000</w:t>
            </w: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Change in operating assets and liabilities: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3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Due from GSV Asset Management</w:t>
            </w: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(2,782)</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(750)</w:t>
            </w:r>
          </w:p>
        </w:tc>
      </w:tr>
      <w:tr>
        <w:trPr>
          <w:trHeight w:val="216"/>
        </w:trPr>
        <w:tc>
          <w:tcPr>
            <w:tcW w:w="5300" w:type="dxa"/>
            <w:vAlign w:val="bottom"/>
          </w:tcPr>
          <w:p>
            <w:pPr>
              <w:ind w:left="200"/>
              <w:spacing w:after="0"/>
              <w:rPr>
                <w:sz w:val="20"/>
                <w:szCs w:val="20"/>
                <w:color w:val="auto"/>
              </w:rPr>
            </w:pPr>
            <w:r>
              <w:rPr>
                <w:rFonts w:ascii="Arial" w:cs="Arial" w:eastAsia="Arial" w:hAnsi="Arial"/>
                <w:sz w:val="18"/>
                <w:szCs w:val="18"/>
                <w:color w:val="auto"/>
              </w:rPr>
              <w:t>Due from portfolio companies</w:t>
            </w: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(6,664)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(60,896)</w:t>
            </w:r>
          </w:p>
        </w:tc>
      </w:tr>
      <w:tr>
        <w:trPr>
          <w:trHeight w:val="216"/>
        </w:trPr>
        <w:tc>
          <w:tcPr>
            <w:tcW w:w="53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Accrued interest</w:t>
            </w: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(100,350)</w:t>
            </w:r>
          </w:p>
        </w:tc>
      </w:tr>
      <w:tr>
        <w:trPr>
          <w:trHeight w:val="216"/>
        </w:trPr>
        <w:tc>
          <w:tcPr>
            <w:tcW w:w="530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(1,788)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74,538</w:t>
            </w:r>
          </w:p>
        </w:tc>
      </w:tr>
      <w:tr>
        <w:trPr>
          <w:trHeight w:val="216"/>
        </w:trPr>
        <w:tc>
          <w:tcPr>
            <w:tcW w:w="53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Dividend receivable</w:t>
            </w: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443</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(1,723)</w:t>
            </w:r>
          </w:p>
        </w:tc>
      </w:tr>
      <w:tr>
        <w:trPr>
          <w:trHeight w:val="216"/>
        </w:trPr>
        <w:tc>
          <w:tcPr>
            <w:tcW w:w="530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(21,344)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(56,721)</w:t>
            </w:r>
          </w:p>
        </w:tc>
      </w:tr>
      <w:tr>
        <w:trPr>
          <w:trHeight w:val="216"/>
        </w:trPr>
        <w:tc>
          <w:tcPr>
            <w:tcW w:w="53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Due to GSV Asset Management</w:t>
            </w: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(12,182)</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(61,903)</w:t>
            </w:r>
          </w:p>
        </w:tc>
      </w:tr>
      <w:tr>
        <w:trPr>
          <w:trHeight w:val="216"/>
        </w:trPr>
        <w:tc>
          <w:tcPr>
            <w:tcW w:w="5300" w:type="dxa"/>
            <w:vAlign w:val="bottom"/>
          </w:tcPr>
          <w:p>
            <w:pPr>
              <w:ind w:left="200"/>
              <w:spacing w:after="0"/>
              <w:rPr>
                <w:sz w:val="20"/>
                <w:szCs w:val="20"/>
                <w:color w:val="auto"/>
              </w:rPr>
            </w:pPr>
            <w:r>
              <w:rPr>
                <w:rFonts w:ascii="Arial" w:cs="Arial" w:eastAsia="Arial" w:hAnsi="Arial"/>
                <w:sz w:val="18"/>
                <w:szCs w:val="18"/>
                <w:color w:val="auto"/>
              </w:rPr>
              <w:t>Due to other affiliates</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(5,113)</w:t>
            </w:r>
          </w:p>
        </w:tc>
      </w:tr>
      <w:tr>
        <w:trPr>
          <w:trHeight w:val="216"/>
        </w:trPr>
        <w:tc>
          <w:tcPr>
            <w:tcW w:w="53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32,266</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47,987</w:t>
            </w:r>
          </w:p>
        </w:tc>
      </w:tr>
      <w:tr>
        <w:trPr>
          <w:trHeight w:val="216"/>
        </w:trPr>
        <w:tc>
          <w:tcPr>
            <w:tcW w:w="530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(239,320)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2,264</w:t>
            </w:r>
          </w:p>
        </w:tc>
      </w:tr>
      <w:tr>
        <w:trPr>
          <w:trHeight w:val="20"/>
        </w:trPr>
        <w:tc>
          <w:tcPr>
            <w:tcW w:w="5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300" w:type="dxa"/>
            <w:vAlign w:val="bottom"/>
            <w:shd w:val="clear" w:color="auto" w:fill="CCFFCC"/>
          </w:tcPr>
          <w:p>
            <w:pPr>
              <w:ind w:left="380"/>
              <w:spacing w:after="0"/>
              <w:rPr>
                <w:sz w:val="20"/>
                <w:szCs w:val="20"/>
                <w:color w:val="auto"/>
              </w:rPr>
            </w:pPr>
            <w:r>
              <w:rPr>
                <w:rFonts w:ascii="Arial" w:cs="Arial" w:eastAsia="Arial" w:hAnsi="Arial"/>
                <w:sz w:val="18"/>
                <w:szCs w:val="18"/>
                <w:b w:val="1"/>
                <w:bCs w:val="1"/>
                <w:color w:val="auto"/>
              </w:rPr>
              <w:t>Net Cash Used in Operating Activities</w:t>
            </w: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(4,500,146)</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(20,923,574)</w:t>
            </w:r>
          </w:p>
        </w:tc>
      </w:tr>
      <w:tr>
        <w:trPr>
          <w:trHeight w:val="210"/>
        </w:trPr>
        <w:tc>
          <w:tcPr>
            <w:tcW w:w="530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r>
      <w:tr>
        <w:trPr>
          <w:trHeight w:val="216"/>
        </w:trPr>
        <w:tc>
          <w:tcPr>
            <w:tcW w:w="530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proceeds from common shares issued</w:t>
            </w: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96,255,000</w:t>
            </w: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Offering costs</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(326,077)</w:t>
            </w:r>
          </w:p>
        </w:tc>
      </w:tr>
      <w:tr>
        <w:trPr>
          <w:trHeight w:val="20"/>
        </w:trPr>
        <w:tc>
          <w:tcPr>
            <w:tcW w:w="5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300" w:type="dxa"/>
            <w:vAlign w:val="bottom"/>
            <w:shd w:val="clear" w:color="auto" w:fill="CCFFCC"/>
          </w:tcPr>
          <w:p>
            <w:pPr>
              <w:ind w:left="380"/>
              <w:spacing w:after="0"/>
              <w:rPr>
                <w:sz w:val="20"/>
                <w:szCs w:val="20"/>
                <w:color w:val="auto"/>
              </w:rPr>
            </w:pPr>
            <w:r>
              <w:rPr>
                <w:rFonts w:ascii="Arial" w:cs="Arial" w:eastAsia="Arial" w:hAnsi="Arial"/>
                <w:sz w:val="18"/>
                <w:szCs w:val="18"/>
                <w:b w:val="1"/>
                <w:bCs w:val="1"/>
                <w:color w:val="auto"/>
              </w:rPr>
              <w:t>Net Cash Provided by Financing Activities</w:t>
            </w: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95,928,923</w:t>
            </w:r>
          </w:p>
        </w:tc>
      </w:tr>
      <w:tr>
        <w:trPr>
          <w:trHeight w:val="20"/>
        </w:trPr>
        <w:tc>
          <w:tcPr>
            <w:tcW w:w="53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10"/>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Total Increase (Decrease) in Cash Balance</w:t>
            </w: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(4,500,146)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75,005,349</w:t>
            </w:r>
          </w:p>
        </w:tc>
      </w:tr>
      <w:tr>
        <w:trPr>
          <w:trHeight w:val="216"/>
        </w:trPr>
        <w:tc>
          <w:tcPr>
            <w:tcW w:w="530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Balance at Beginning of Period</w:t>
            </w: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11,318,525</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385,995</w:t>
            </w:r>
          </w:p>
        </w:tc>
      </w:tr>
      <w:tr>
        <w:trPr>
          <w:trHeight w:val="20"/>
        </w:trPr>
        <w:tc>
          <w:tcPr>
            <w:tcW w:w="53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10"/>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Cash Balance at End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6,818,379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75,391,344</w:t>
            </w:r>
          </w:p>
        </w:tc>
      </w:tr>
      <w:tr>
        <w:trPr>
          <w:trHeight w:val="21"/>
        </w:trPr>
        <w:tc>
          <w:tcPr>
            <w:tcW w:w="5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3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Non-Cash Operating Items</w:t>
            </w:r>
          </w:p>
        </w:tc>
        <w:tc>
          <w:tcPr>
            <w:tcW w:w="16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color w:val="auto"/>
              </w:rPr>
              <w:t>Structured notes converted to preferred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674,651</w:t>
            </w:r>
          </w:p>
        </w:tc>
      </w:tr>
      <w:tr>
        <w:trPr>
          <w:trHeight w:val="216"/>
        </w:trPr>
        <w:tc>
          <w:tcPr>
            <w:tcW w:w="5300" w:type="dxa"/>
            <w:vAlign w:val="bottom"/>
            <w:shd w:val="clear" w:color="auto" w:fill="CCFFCC"/>
          </w:tcPr>
          <w:p>
            <w:pPr>
              <w:ind w:left="20"/>
              <w:spacing w:after="0"/>
              <w:rPr>
                <w:sz w:val="20"/>
                <w:szCs w:val="20"/>
                <w:color w:val="auto"/>
              </w:rPr>
            </w:pPr>
            <w:r>
              <w:rPr>
                <w:rFonts w:ascii="Arial" w:cs="Arial" w:eastAsia="Arial" w:hAnsi="Arial"/>
                <w:sz w:val="18"/>
                <w:szCs w:val="18"/>
                <w:color w:val="auto"/>
              </w:rPr>
              <w:t>Warrants exercised for preferred shares</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53,665</w:t>
            </w:r>
          </w:p>
        </w:tc>
      </w:tr>
      <w:tr>
        <w:trPr>
          <w:trHeight w:val="216"/>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Non-Cash Financing Items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30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Increase in deferred offering costs</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(62,536)</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Increase in 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62,536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-1860550</wp:posOffset>
            </wp:positionV>
            <wp:extent cx="521398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-1294765</wp:posOffset>
            </wp:positionV>
            <wp:extent cx="521398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-1011555</wp:posOffset>
            </wp:positionV>
            <wp:extent cx="5213985"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958" w:right="1440" w:bottom="1440" w:gutter="0" w:footer="0" w:header="0"/>
        </w:sectPr>
      </w:pPr>
    </w:p>
    <w:bookmarkStart w:id="6" w:name="page7"/>
    <w:bookmarkEnd w:id="6"/>
    <w:p>
      <w:pPr>
        <w:jc w:val="center"/>
        <w:ind w:right="519"/>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940" w:type="dxa"/>
            <w:vAlign w:val="bottom"/>
            <w:gridSpan w:val="14"/>
          </w:tcPr>
          <w:p>
            <w:pPr>
              <w:spacing w:after="0" w:line="149" w:lineRule="exact"/>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Headquarters/Industry</w:t>
            </w:r>
          </w:p>
        </w:tc>
        <w:tc>
          <w:tcPr>
            <w:tcW w:w="80" w:type="dxa"/>
            <w:vAlign w:val="bottom"/>
          </w:tcPr>
          <w:p>
            <w:pPr>
              <w:spacing w:after="0"/>
              <w:rPr>
                <w:sz w:val="12"/>
                <w:szCs w:val="12"/>
                <w:color w:val="auto"/>
              </w:rPr>
            </w:pPr>
          </w:p>
        </w:tc>
        <w:tc>
          <w:tcPr>
            <w:tcW w:w="92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82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8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 of</w:t>
            </w:r>
          </w:p>
        </w:tc>
      </w:tr>
      <w:tr>
        <w:trPr>
          <w:trHeight w:val="171"/>
        </w:trPr>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8"/>
              </w:rPr>
              <w:t>Net Assets</w:t>
            </w:r>
          </w:p>
        </w:tc>
      </w:tr>
      <w:tr>
        <w:trPr>
          <w:trHeight w:val="176"/>
        </w:trPr>
        <w:tc>
          <w:tcPr>
            <w:tcW w:w="20" w:type="dxa"/>
            <w:vAlign w:val="bottom"/>
            <w:tcBorders>
              <w:bottom w:val="single" w:sz="8" w:color="CCFFCC"/>
            </w:tcBorders>
            <w:shd w:val="clear" w:color="auto" w:fill="CCFFCC"/>
          </w:tcPr>
          <w:p>
            <w:pPr>
              <w:spacing w:after="0"/>
              <w:rPr>
                <w:sz w:val="15"/>
                <w:szCs w:val="15"/>
                <w:color w:val="auto"/>
              </w:rPr>
            </w:pPr>
          </w:p>
        </w:tc>
        <w:tc>
          <w:tcPr>
            <w:tcW w:w="840" w:type="dxa"/>
            <w:vAlign w:val="bottom"/>
            <w:tcBorders>
              <w:bottom w:val="single" w:sz="8" w:color="auto"/>
            </w:tcBorders>
            <w:gridSpan w:val="5"/>
            <w:shd w:val="clear" w:color="auto" w:fill="CCFFCC"/>
          </w:tcPr>
          <w:p>
            <w:pPr>
              <w:spacing w:after="0" w:line="155" w:lineRule="exact"/>
              <w:rPr>
                <w:sz w:val="20"/>
                <w:szCs w:val="20"/>
                <w:color w:val="auto"/>
              </w:rPr>
            </w:pPr>
            <w:r>
              <w:rPr>
                <w:rFonts w:ascii="Arial" w:cs="Arial" w:eastAsia="Arial" w:hAnsi="Arial"/>
                <w:sz w:val="16"/>
                <w:szCs w:val="16"/>
                <w:b w:val="1"/>
                <w:bCs w:val="1"/>
                <w:color w:val="auto"/>
                <w:w w:val="92"/>
              </w:rPr>
              <w:t>Twitter, Inc.</w:t>
            </w:r>
          </w:p>
        </w:tc>
        <w:tc>
          <w:tcPr>
            <w:tcW w:w="1100" w:type="dxa"/>
            <w:vAlign w:val="bottom"/>
            <w:tcBorders>
              <w:bottom w:val="single" w:sz="8" w:color="CCFFCC"/>
            </w:tcBorders>
            <w:gridSpan w:val="9"/>
            <w:shd w:val="clear" w:color="auto" w:fill="CCFFCC"/>
          </w:tcPr>
          <w:p>
            <w:pPr>
              <w:spacing w:after="0"/>
              <w:rPr>
                <w:sz w:val="15"/>
                <w:szCs w:val="15"/>
                <w:color w:val="auto"/>
              </w:rPr>
            </w:pPr>
          </w:p>
        </w:tc>
        <w:tc>
          <w:tcPr>
            <w:tcW w:w="80" w:type="dxa"/>
            <w:vAlign w:val="bottom"/>
            <w:tcBorders>
              <w:bottom w:val="single" w:sz="8" w:color="CCFFCC"/>
            </w:tcBorders>
            <w:shd w:val="clear" w:color="auto" w:fill="CCFFCC"/>
          </w:tcPr>
          <w:p>
            <w:pPr>
              <w:spacing w:after="0"/>
              <w:rPr>
                <w:sz w:val="15"/>
                <w:szCs w:val="15"/>
                <w:color w:val="auto"/>
              </w:rPr>
            </w:pPr>
          </w:p>
        </w:tc>
        <w:tc>
          <w:tcPr>
            <w:tcW w:w="2460" w:type="dxa"/>
            <w:vAlign w:val="bottom"/>
            <w:tcBorders>
              <w:bottom w:val="single" w:sz="8" w:color="CCFFCC"/>
            </w:tcBorders>
            <w:shd w:val="clear" w:color="auto" w:fill="CCFFCC"/>
          </w:tcPr>
          <w:p>
            <w:pPr>
              <w:jc w:val="center"/>
              <w:spacing w:after="0" w:line="155" w:lineRule="exact"/>
              <w:rPr>
                <w:sz w:val="20"/>
                <w:szCs w:val="20"/>
                <w:color w:val="auto"/>
              </w:rPr>
            </w:pPr>
            <w:r>
              <w:rPr>
                <w:rFonts w:ascii="Arial" w:cs="Arial" w:eastAsia="Arial" w:hAnsi="Arial"/>
                <w:sz w:val="16"/>
                <w:szCs w:val="16"/>
                <w:color w:val="auto"/>
                <w:w w:val="91"/>
              </w:rPr>
              <w:t>San Francisco, CA</w:t>
            </w:r>
          </w:p>
        </w:tc>
        <w:tc>
          <w:tcPr>
            <w:tcW w:w="80" w:type="dxa"/>
            <w:vAlign w:val="bottom"/>
            <w:tcBorders>
              <w:bottom w:val="single" w:sz="8" w:color="CCFFCC"/>
            </w:tcBorders>
            <w:shd w:val="clear" w:color="auto" w:fill="CCFFCC"/>
          </w:tcPr>
          <w:p>
            <w:pPr>
              <w:spacing w:after="0"/>
              <w:rPr>
                <w:sz w:val="15"/>
                <w:szCs w:val="15"/>
                <w:color w:val="auto"/>
              </w:rPr>
            </w:pPr>
          </w:p>
        </w:tc>
        <w:tc>
          <w:tcPr>
            <w:tcW w:w="920" w:type="dxa"/>
            <w:vAlign w:val="bottom"/>
            <w:tcBorders>
              <w:bottom w:val="single" w:sz="8" w:color="CCFFCC"/>
            </w:tcBorders>
            <w:shd w:val="clear" w:color="auto" w:fill="CCFFCC"/>
          </w:tcPr>
          <w:p>
            <w:pPr>
              <w:spacing w:after="0"/>
              <w:rPr>
                <w:sz w:val="15"/>
                <w:szCs w:val="15"/>
                <w:color w:val="auto"/>
              </w:rPr>
            </w:pPr>
          </w:p>
        </w:tc>
        <w:tc>
          <w:tcPr>
            <w:tcW w:w="100" w:type="dxa"/>
            <w:vAlign w:val="bottom"/>
            <w:tcBorders>
              <w:bottom w:val="single" w:sz="8" w:color="CCFFCC"/>
            </w:tcBorders>
            <w:shd w:val="clear" w:color="auto" w:fill="CCFFCC"/>
          </w:tcPr>
          <w:p>
            <w:pPr>
              <w:spacing w:after="0"/>
              <w:rPr>
                <w:sz w:val="15"/>
                <w:szCs w:val="15"/>
                <w:color w:val="auto"/>
              </w:rPr>
            </w:pPr>
          </w:p>
        </w:tc>
        <w:tc>
          <w:tcPr>
            <w:tcW w:w="820" w:type="dxa"/>
            <w:vAlign w:val="bottom"/>
            <w:tcBorders>
              <w:bottom w:val="single" w:sz="8" w:color="CCFFCC"/>
            </w:tcBorders>
            <w:shd w:val="clear" w:color="auto" w:fill="CCFFCC"/>
          </w:tcPr>
          <w:p>
            <w:pPr>
              <w:spacing w:after="0"/>
              <w:rPr>
                <w:sz w:val="15"/>
                <w:szCs w:val="15"/>
                <w:color w:val="auto"/>
              </w:rPr>
            </w:pPr>
          </w:p>
        </w:tc>
        <w:tc>
          <w:tcPr>
            <w:tcW w:w="160" w:type="dxa"/>
            <w:vAlign w:val="bottom"/>
            <w:tcBorders>
              <w:left w:val="single" w:sz="8" w:color="CCFFCC"/>
              <w:bottom w:val="single" w:sz="8" w:color="CCFFCC"/>
            </w:tcBorders>
            <w:shd w:val="clear" w:color="auto" w:fill="CCFFCC"/>
          </w:tcPr>
          <w:p>
            <w:pPr>
              <w:spacing w:after="0"/>
              <w:rPr>
                <w:sz w:val="15"/>
                <w:szCs w:val="15"/>
                <w:color w:val="auto"/>
              </w:rPr>
            </w:pPr>
          </w:p>
        </w:tc>
        <w:tc>
          <w:tcPr>
            <w:tcW w:w="820" w:type="dxa"/>
            <w:vAlign w:val="bottom"/>
            <w:tcBorders>
              <w:bottom w:val="single" w:sz="8" w:color="CCFFCC"/>
            </w:tcBorders>
            <w:shd w:val="clear" w:color="auto" w:fill="CCFFCC"/>
          </w:tcPr>
          <w:p>
            <w:pPr>
              <w:spacing w:after="0"/>
              <w:rPr>
                <w:sz w:val="15"/>
                <w:szCs w:val="15"/>
                <w:color w:val="auto"/>
              </w:rPr>
            </w:pPr>
          </w:p>
        </w:tc>
        <w:tc>
          <w:tcPr>
            <w:tcW w:w="140" w:type="dxa"/>
            <w:vAlign w:val="bottom"/>
            <w:tcBorders>
              <w:left w:val="single" w:sz="8" w:color="CCFFCC"/>
              <w:bottom w:val="single" w:sz="8" w:color="CCFFCC"/>
            </w:tcBorders>
            <w:shd w:val="clear" w:color="auto" w:fill="CCFFCC"/>
          </w:tcPr>
          <w:p>
            <w:pPr>
              <w:spacing w:after="0"/>
              <w:rPr>
                <w:sz w:val="15"/>
                <w:szCs w:val="15"/>
                <w:color w:val="auto"/>
              </w:rPr>
            </w:pPr>
          </w:p>
        </w:tc>
        <w:tc>
          <w:tcPr>
            <w:tcW w:w="480" w:type="dxa"/>
            <w:vAlign w:val="bottom"/>
            <w:tcBorders>
              <w:bottom w:val="single" w:sz="8" w:color="CCFFCC"/>
            </w:tcBorders>
            <w:shd w:val="clear" w:color="auto" w:fill="CCFFCC"/>
          </w:tcPr>
          <w:p>
            <w:pPr>
              <w:spacing w:after="0"/>
              <w:rPr>
                <w:sz w:val="15"/>
                <w:szCs w:val="15"/>
                <w:color w:val="auto"/>
              </w:rPr>
            </w:pPr>
          </w:p>
        </w:tc>
        <w:tc>
          <w:tcPr>
            <w:tcW w:w="200" w:type="dxa"/>
            <w:vAlign w:val="bottom"/>
            <w:tcBorders>
              <w:bottom w:val="single" w:sz="8" w:color="CCFFCC"/>
            </w:tcBorders>
            <w:shd w:val="clear" w:color="auto" w:fill="CCFFCC"/>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Social Communication</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1,835,600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$31,755,821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$34,013,669</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13.88%</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spacing w:after="0"/>
              <w:rPr>
                <w:sz w:val="20"/>
                <w:szCs w:val="20"/>
                <w:color w:val="auto"/>
              </w:rPr>
            </w:pPr>
            <w:r>
              <w:rPr>
                <w:rFonts w:ascii="Arial" w:cs="Arial" w:eastAsia="Arial" w:hAnsi="Arial"/>
                <w:sz w:val="16"/>
                <w:szCs w:val="16"/>
                <w:color w:val="auto"/>
              </w:rPr>
              <w:t>Preferred shares, Series A</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65,000</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1,235,290</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1,204,450</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0.49%</w:t>
            </w:r>
          </w:p>
        </w:tc>
      </w:tr>
      <w:tr>
        <w:trPr>
          <w:trHeight w:val="20"/>
        </w:trPr>
        <w:tc>
          <w:tcPr>
            <w:tcW w:w="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32,991,111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35,218,119</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14.37%</w:t>
            </w:r>
          </w:p>
        </w:tc>
      </w:tr>
      <w:tr>
        <w:trPr>
          <w:trHeight w:val="176"/>
        </w:trPr>
        <w:tc>
          <w:tcPr>
            <w:tcW w:w="20" w:type="dxa"/>
            <w:vAlign w:val="bottom"/>
            <w:tcBorders>
              <w:bottom w:val="single" w:sz="8" w:color="CCFFCC"/>
            </w:tcBorders>
            <w:shd w:val="clear" w:color="auto" w:fill="CCFFCC"/>
          </w:tcPr>
          <w:p>
            <w:pPr>
              <w:spacing w:after="0"/>
              <w:rPr>
                <w:sz w:val="15"/>
                <w:szCs w:val="15"/>
                <w:color w:val="auto"/>
              </w:rPr>
            </w:pPr>
          </w:p>
        </w:tc>
        <w:tc>
          <w:tcPr>
            <w:tcW w:w="1840" w:type="dxa"/>
            <w:vAlign w:val="bottom"/>
            <w:tcBorders>
              <w:bottom w:val="single" w:sz="8" w:color="auto"/>
            </w:tcBorders>
            <w:gridSpan w:val="13"/>
            <w:shd w:val="clear" w:color="auto" w:fill="CCFFCC"/>
          </w:tcPr>
          <w:p>
            <w:pPr>
              <w:spacing w:after="0" w:line="155" w:lineRule="exact"/>
              <w:rPr>
                <w:sz w:val="20"/>
                <w:szCs w:val="20"/>
                <w:color w:val="auto"/>
              </w:rPr>
            </w:pPr>
            <w:r>
              <w:rPr>
                <w:rFonts w:ascii="Arial" w:cs="Arial" w:eastAsia="Arial" w:hAnsi="Arial"/>
                <w:sz w:val="16"/>
                <w:szCs w:val="16"/>
                <w:b w:val="1"/>
                <w:bCs w:val="1"/>
                <w:color w:val="auto"/>
                <w:w w:val="89"/>
              </w:rPr>
              <w:t>Palantir Technologies, Inc.</w:t>
            </w:r>
          </w:p>
        </w:tc>
        <w:tc>
          <w:tcPr>
            <w:tcW w:w="100" w:type="dxa"/>
            <w:vAlign w:val="bottom"/>
            <w:tcBorders>
              <w:bottom w:val="single" w:sz="8" w:color="CCFFCC"/>
            </w:tcBorders>
            <w:shd w:val="clear" w:color="auto" w:fill="CCFFCC"/>
          </w:tcPr>
          <w:p>
            <w:pPr>
              <w:spacing w:after="0"/>
              <w:rPr>
                <w:sz w:val="15"/>
                <w:szCs w:val="15"/>
                <w:color w:val="auto"/>
              </w:rPr>
            </w:pPr>
          </w:p>
        </w:tc>
        <w:tc>
          <w:tcPr>
            <w:tcW w:w="80" w:type="dxa"/>
            <w:vAlign w:val="bottom"/>
            <w:tcBorders>
              <w:bottom w:val="single" w:sz="8" w:color="CCFFCC"/>
            </w:tcBorders>
            <w:shd w:val="clear" w:color="auto" w:fill="CCFFCC"/>
          </w:tcPr>
          <w:p>
            <w:pPr>
              <w:spacing w:after="0"/>
              <w:rPr>
                <w:sz w:val="15"/>
                <w:szCs w:val="15"/>
                <w:color w:val="auto"/>
              </w:rPr>
            </w:pPr>
          </w:p>
        </w:tc>
        <w:tc>
          <w:tcPr>
            <w:tcW w:w="2460" w:type="dxa"/>
            <w:vAlign w:val="bottom"/>
            <w:tcBorders>
              <w:bottom w:val="single" w:sz="8" w:color="CCFFCC"/>
            </w:tcBorders>
            <w:shd w:val="clear" w:color="auto" w:fill="CCFFCC"/>
          </w:tcPr>
          <w:p>
            <w:pPr>
              <w:jc w:val="center"/>
              <w:spacing w:after="0" w:line="155" w:lineRule="exact"/>
              <w:rPr>
                <w:sz w:val="20"/>
                <w:szCs w:val="20"/>
                <w:color w:val="auto"/>
              </w:rPr>
            </w:pPr>
            <w:r>
              <w:rPr>
                <w:rFonts w:ascii="Arial" w:cs="Arial" w:eastAsia="Arial" w:hAnsi="Arial"/>
                <w:sz w:val="16"/>
                <w:szCs w:val="16"/>
                <w:color w:val="auto"/>
                <w:w w:val="98"/>
              </w:rPr>
              <w:t>Palo Alto, CA</w:t>
            </w:r>
          </w:p>
        </w:tc>
        <w:tc>
          <w:tcPr>
            <w:tcW w:w="80" w:type="dxa"/>
            <w:vAlign w:val="bottom"/>
            <w:tcBorders>
              <w:bottom w:val="single" w:sz="8" w:color="CCFFCC"/>
            </w:tcBorders>
            <w:shd w:val="clear" w:color="auto" w:fill="CCFFCC"/>
          </w:tcPr>
          <w:p>
            <w:pPr>
              <w:spacing w:after="0"/>
              <w:rPr>
                <w:sz w:val="15"/>
                <w:szCs w:val="15"/>
                <w:color w:val="auto"/>
              </w:rPr>
            </w:pPr>
          </w:p>
        </w:tc>
        <w:tc>
          <w:tcPr>
            <w:tcW w:w="920" w:type="dxa"/>
            <w:vAlign w:val="bottom"/>
            <w:tcBorders>
              <w:bottom w:val="single" w:sz="8" w:color="CCFFCC"/>
            </w:tcBorders>
            <w:shd w:val="clear" w:color="auto" w:fill="CCFFCC"/>
          </w:tcPr>
          <w:p>
            <w:pPr>
              <w:spacing w:after="0"/>
              <w:rPr>
                <w:sz w:val="15"/>
                <w:szCs w:val="15"/>
                <w:color w:val="auto"/>
              </w:rPr>
            </w:pPr>
          </w:p>
        </w:tc>
        <w:tc>
          <w:tcPr>
            <w:tcW w:w="100" w:type="dxa"/>
            <w:vAlign w:val="bottom"/>
            <w:tcBorders>
              <w:bottom w:val="single" w:sz="8" w:color="CCFFCC"/>
            </w:tcBorders>
            <w:shd w:val="clear" w:color="auto" w:fill="CCFFCC"/>
          </w:tcPr>
          <w:p>
            <w:pPr>
              <w:spacing w:after="0"/>
              <w:rPr>
                <w:sz w:val="15"/>
                <w:szCs w:val="15"/>
                <w:color w:val="auto"/>
              </w:rPr>
            </w:pPr>
          </w:p>
        </w:tc>
        <w:tc>
          <w:tcPr>
            <w:tcW w:w="820" w:type="dxa"/>
            <w:vAlign w:val="bottom"/>
            <w:tcBorders>
              <w:top w:val="single" w:sz="8" w:color="auto"/>
              <w:bottom w:val="single" w:sz="8" w:color="CCFFCC"/>
            </w:tcBorders>
            <w:shd w:val="clear" w:color="auto" w:fill="CCFFCC"/>
          </w:tcPr>
          <w:p>
            <w:pPr>
              <w:spacing w:after="0"/>
              <w:rPr>
                <w:sz w:val="15"/>
                <w:szCs w:val="15"/>
                <w:color w:val="auto"/>
              </w:rPr>
            </w:pPr>
          </w:p>
        </w:tc>
        <w:tc>
          <w:tcPr>
            <w:tcW w:w="160" w:type="dxa"/>
            <w:vAlign w:val="bottom"/>
            <w:tcBorders>
              <w:left w:val="single" w:sz="8" w:color="CCFFCC"/>
              <w:bottom w:val="single" w:sz="8" w:color="CCFFCC"/>
            </w:tcBorders>
            <w:shd w:val="clear" w:color="auto" w:fill="CCFFCC"/>
          </w:tcPr>
          <w:p>
            <w:pPr>
              <w:spacing w:after="0"/>
              <w:rPr>
                <w:sz w:val="15"/>
                <w:szCs w:val="15"/>
                <w:color w:val="auto"/>
              </w:rPr>
            </w:pPr>
          </w:p>
        </w:tc>
        <w:tc>
          <w:tcPr>
            <w:tcW w:w="820" w:type="dxa"/>
            <w:vAlign w:val="bottom"/>
            <w:tcBorders>
              <w:top w:val="single" w:sz="8" w:color="auto"/>
              <w:bottom w:val="single" w:sz="8" w:color="CCFFCC"/>
            </w:tcBorders>
            <w:shd w:val="clear" w:color="auto" w:fill="CCFFCC"/>
          </w:tcPr>
          <w:p>
            <w:pPr>
              <w:spacing w:after="0"/>
              <w:rPr>
                <w:sz w:val="15"/>
                <w:szCs w:val="15"/>
                <w:color w:val="auto"/>
              </w:rPr>
            </w:pPr>
          </w:p>
        </w:tc>
        <w:tc>
          <w:tcPr>
            <w:tcW w:w="140" w:type="dxa"/>
            <w:vAlign w:val="bottom"/>
            <w:tcBorders>
              <w:left w:val="single" w:sz="8" w:color="CCFFCC"/>
              <w:bottom w:val="single" w:sz="8" w:color="CCFFCC"/>
            </w:tcBorders>
            <w:shd w:val="clear" w:color="auto" w:fill="CCFFCC"/>
          </w:tcPr>
          <w:p>
            <w:pPr>
              <w:spacing w:after="0"/>
              <w:rPr>
                <w:sz w:val="15"/>
                <w:szCs w:val="15"/>
                <w:color w:val="auto"/>
              </w:rPr>
            </w:pPr>
          </w:p>
        </w:tc>
        <w:tc>
          <w:tcPr>
            <w:tcW w:w="480" w:type="dxa"/>
            <w:vAlign w:val="bottom"/>
            <w:tcBorders>
              <w:top w:val="single" w:sz="8" w:color="auto"/>
              <w:bottom w:val="single" w:sz="8" w:color="CCFFCC"/>
            </w:tcBorders>
            <w:shd w:val="clear" w:color="auto" w:fill="CCFFCC"/>
          </w:tcPr>
          <w:p>
            <w:pPr>
              <w:spacing w:after="0"/>
              <w:rPr>
                <w:sz w:val="15"/>
                <w:szCs w:val="15"/>
                <w:color w:val="auto"/>
              </w:rPr>
            </w:pPr>
          </w:p>
        </w:tc>
        <w:tc>
          <w:tcPr>
            <w:tcW w:w="200" w:type="dxa"/>
            <w:vAlign w:val="bottom"/>
            <w:tcBorders>
              <w:bottom w:val="single" w:sz="8" w:color="CCFFCC"/>
            </w:tcBorders>
            <w:shd w:val="clear" w:color="auto" w:fill="CCFFCC"/>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rPr>
              <w:t>Common shares, Class A</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Cyber Security</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7,145,690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20,051,479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19,650,648</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8.02%</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spacing w:after="0"/>
              <w:rPr>
                <w:sz w:val="20"/>
                <w:szCs w:val="20"/>
                <w:color w:val="auto"/>
              </w:rPr>
            </w:pPr>
            <w:r>
              <w:rPr>
                <w:rFonts w:ascii="Arial" w:cs="Arial" w:eastAsia="Arial" w:hAnsi="Arial"/>
                <w:sz w:val="16"/>
                <w:szCs w:val="16"/>
                <w:color w:val="auto"/>
              </w:rPr>
              <w:t>Preferred shares, Series G</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326,797</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1,008,968</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973,855</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0.40%</w:t>
            </w:r>
          </w:p>
        </w:tc>
      </w:tr>
      <w:tr>
        <w:trPr>
          <w:trHeight w:val="20"/>
        </w:trPr>
        <w:tc>
          <w:tcPr>
            <w:tcW w:w="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21,060,447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20,624,503</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8.42%</w:t>
            </w:r>
          </w:p>
        </w:tc>
      </w:tr>
      <w:tr>
        <w:trPr>
          <w:trHeight w:val="156"/>
        </w:trPr>
        <w:tc>
          <w:tcPr>
            <w:tcW w:w="20" w:type="dxa"/>
            <w:vAlign w:val="bottom"/>
            <w:shd w:val="clear" w:color="auto" w:fill="CCFFCC"/>
          </w:tcPr>
          <w:p>
            <w:pPr>
              <w:spacing w:after="0"/>
              <w:rPr>
                <w:sz w:val="13"/>
                <w:szCs w:val="13"/>
                <w:color w:val="auto"/>
              </w:rPr>
            </w:pPr>
          </w:p>
        </w:tc>
        <w:tc>
          <w:tcPr>
            <w:tcW w:w="1940" w:type="dxa"/>
            <w:vAlign w:val="bottom"/>
            <w:gridSpan w:val="14"/>
            <w:shd w:val="clear" w:color="auto" w:fill="CCFFCC"/>
          </w:tcPr>
          <w:p>
            <w:pPr>
              <w:spacing w:after="0" w:line="155" w:lineRule="exact"/>
              <w:rPr>
                <w:sz w:val="20"/>
                <w:szCs w:val="20"/>
                <w:color w:val="auto"/>
              </w:rPr>
            </w:pPr>
            <w:r>
              <w:rPr>
                <w:rFonts w:ascii="Arial" w:cs="Arial" w:eastAsia="Arial" w:hAnsi="Arial"/>
                <w:sz w:val="16"/>
                <w:szCs w:val="16"/>
                <w:b w:val="1"/>
                <w:bCs w:val="1"/>
                <w:color w:val="auto"/>
              </w:rPr>
              <w:t>Dropbox,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rPr>
              <w:t>Common share</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1"/>
              </w:rPr>
              <w:t>Online Storage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760,000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8,641,153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8,674,133</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3.54%</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spacing w:after="0"/>
              <w:rPr>
                <w:sz w:val="20"/>
                <w:szCs w:val="20"/>
                <w:color w:val="auto"/>
              </w:rPr>
            </w:pPr>
            <w:r>
              <w:rPr>
                <w:rFonts w:ascii="Arial" w:cs="Arial" w:eastAsia="Arial" w:hAnsi="Arial"/>
                <w:sz w:val="16"/>
                <w:szCs w:val="16"/>
                <w:color w:val="auto"/>
                <w:w w:val="94"/>
              </w:rPr>
              <w:t>Preferred shares, Series A-1</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552,486</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5,015,333</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6,305,707</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2.57%</w:t>
            </w:r>
          </w:p>
        </w:tc>
      </w:tr>
      <w:tr>
        <w:trPr>
          <w:trHeight w:val="20"/>
        </w:trPr>
        <w:tc>
          <w:tcPr>
            <w:tcW w:w="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13,656,486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14,979,840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6.11%</w:t>
            </w:r>
          </w:p>
        </w:tc>
      </w:tr>
      <w:tr>
        <w:trPr>
          <w:trHeight w:val="156"/>
        </w:trPr>
        <w:tc>
          <w:tcPr>
            <w:tcW w:w="20" w:type="dxa"/>
            <w:vAlign w:val="bottom"/>
            <w:shd w:val="clear" w:color="auto" w:fill="CCFFCC"/>
          </w:tcPr>
          <w:p>
            <w:pPr>
              <w:spacing w:after="0"/>
              <w:rPr>
                <w:sz w:val="13"/>
                <w:szCs w:val="13"/>
                <w:color w:val="auto"/>
              </w:rPr>
            </w:pPr>
          </w:p>
        </w:tc>
        <w:tc>
          <w:tcPr>
            <w:tcW w:w="1940" w:type="dxa"/>
            <w:vAlign w:val="bottom"/>
            <w:gridSpan w:val="14"/>
            <w:shd w:val="clear" w:color="auto" w:fill="CCFFCC"/>
          </w:tcPr>
          <w:p>
            <w:pPr>
              <w:spacing w:after="0" w:line="155" w:lineRule="exact"/>
              <w:rPr>
                <w:sz w:val="20"/>
                <w:szCs w:val="20"/>
                <w:color w:val="auto"/>
              </w:rPr>
            </w:pPr>
            <w:r>
              <w:rPr>
                <w:rFonts w:ascii="Arial" w:cs="Arial" w:eastAsia="Arial" w:hAnsi="Arial"/>
                <w:sz w:val="16"/>
                <w:szCs w:val="16"/>
                <w:b w:val="1"/>
                <w:bCs w:val="1"/>
                <w:color w:val="auto"/>
              </w:rPr>
              <w:t>Chegg,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1"/>
              </w:rPr>
              <w:t>Santa Clara,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0"/>
              </w:rPr>
              <w:t>Textbook Rental</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1,274,193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10,012,543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9,763,275</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3.98%</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spacing w:after="0"/>
              <w:rPr>
                <w:sz w:val="20"/>
                <w:szCs w:val="20"/>
                <w:color w:val="auto"/>
              </w:rPr>
            </w:pPr>
            <w:r>
              <w:rPr>
                <w:rFonts w:ascii="Arial" w:cs="Arial" w:eastAsia="Arial" w:hAnsi="Arial"/>
                <w:sz w:val="16"/>
                <w:szCs w:val="16"/>
                <w:color w:val="auto"/>
              </w:rPr>
              <w:t>Preferred shares, Series F</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4,008,654</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4,431,600</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1.81%</w:t>
            </w:r>
          </w:p>
        </w:tc>
      </w:tr>
      <w:tr>
        <w:trPr>
          <w:trHeight w:val="20"/>
        </w:trPr>
        <w:tc>
          <w:tcPr>
            <w:tcW w:w="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14,021,197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14,194,875</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5.79%</w:t>
            </w:r>
          </w:p>
        </w:tc>
      </w:tr>
      <w:tr>
        <w:trPr>
          <w:trHeight w:val="156"/>
        </w:trPr>
        <w:tc>
          <w:tcPr>
            <w:tcW w:w="20" w:type="dxa"/>
            <w:vAlign w:val="bottom"/>
            <w:shd w:val="clear" w:color="auto" w:fill="CCFFCC"/>
          </w:tcPr>
          <w:p>
            <w:pPr>
              <w:spacing w:after="0"/>
              <w:rPr>
                <w:sz w:val="13"/>
                <w:szCs w:val="13"/>
                <w:color w:val="auto"/>
              </w:rPr>
            </w:pPr>
          </w:p>
        </w:tc>
        <w:tc>
          <w:tcPr>
            <w:tcW w:w="1940" w:type="dxa"/>
            <w:vAlign w:val="bottom"/>
            <w:gridSpan w:val="14"/>
            <w:shd w:val="clear" w:color="auto" w:fill="CCFFCC"/>
          </w:tcPr>
          <w:p>
            <w:pPr>
              <w:spacing w:after="0" w:line="155" w:lineRule="exact"/>
              <w:rPr>
                <w:sz w:val="20"/>
                <w:szCs w:val="20"/>
                <w:color w:val="auto"/>
              </w:rPr>
            </w:pPr>
            <w:r>
              <w:rPr>
                <w:rFonts w:ascii="Arial" w:cs="Arial" w:eastAsia="Arial" w:hAnsi="Arial"/>
                <w:sz w:val="16"/>
                <w:szCs w:val="16"/>
                <w:b w:val="1"/>
                <w:bCs w:val="1"/>
                <w:color w:val="auto"/>
              </w:rPr>
              <w:t>Violin Memory,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5"/>
              </w:rPr>
              <w:t>Mountain View,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Flash Memory</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800,000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4,800,798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4,189,312</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1.71%</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spacing w:after="0"/>
              <w:rPr>
                <w:sz w:val="20"/>
                <w:szCs w:val="20"/>
                <w:color w:val="auto"/>
              </w:rPr>
            </w:pPr>
            <w:r>
              <w:rPr>
                <w:rFonts w:ascii="Arial" w:cs="Arial" w:eastAsia="Arial" w:hAnsi="Arial"/>
                <w:sz w:val="16"/>
                <w:szCs w:val="16"/>
                <w:color w:val="auto"/>
              </w:rPr>
              <w:t>Preferred shares, Series D</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1,666,666</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9"/>
              </w:rPr>
              <w:t>10,018,370</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9,999,996</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4.08%</w:t>
            </w:r>
          </w:p>
        </w:tc>
      </w:tr>
      <w:tr>
        <w:trPr>
          <w:trHeight w:val="20"/>
        </w:trPr>
        <w:tc>
          <w:tcPr>
            <w:tcW w:w="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14,819,168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14,189,308</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5.79%</w:t>
            </w:r>
          </w:p>
        </w:tc>
      </w:tr>
      <w:tr>
        <w:trPr>
          <w:trHeight w:val="176"/>
        </w:trPr>
        <w:tc>
          <w:tcPr>
            <w:tcW w:w="20" w:type="dxa"/>
            <w:vAlign w:val="bottom"/>
            <w:shd w:val="clear" w:color="auto" w:fill="CCFFCC"/>
          </w:tcPr>
          <w:p>
            <w:pPr>
              <w:spacing w:after="0"/>
              <w:rPr>
                <w:sz w:val="15"/>
                <w:szCs w:val="15"/>
                <w:color w:val="auto"/>
              </w:rPr>
            </w:pPr>
          </w:p>
        </w:tc>
        <w:tc>
          <w:tcPr>
            <w:tcW w:w="1940" w:type="dxa"/>
            <w:vAlign w:val="bottom"/>
            <w:gridSpan w:val="14"/>
            <w:shd w:val="clear" w:color="auto" w:fill="CCFFCC"/>
          </w:tcPr>
          <w:p>
            <w:pPr>
              <w:spacing w:after="0" w:line="155" w:lineRule="exact"/>
              <w:rPr>
                <w:sz w:val="20"/>
                <w:szCs w:val="20"/>
                <w:color w:val="auto"/>
              </w:rPr>
            </w:pPr>
            <w:r>
              <w:rPr>
                <w:rFonts w:ascii="Arial" w:cs="Arial" w:eastAsia="Arial" w:hAnsi="Arial"/>
                <w:sz w:val="16"/>
                <w:szCs w:val="16"/>
                <w:b w:val="1"/>
                <w:bCs w:val="1"/>
                <w:color w:val="auto"/>
              </w:rPr>
              <w:t>2U, Inc. (f/k/a 2tor, Inc.)</w:t>
            </w:r>
          </w:p>
        </w:tc>
        <w:tc>
          <w:tcPr>
            <w:tcW w:w="80" w:type="dxa"/>
            <w:vAlign w:val="bottom"/>
            <w:shd w:val="clear" w:color="auto" w:fill="CCFFCC"/>
          </w:tcPr>
          <w:p>
            <w:pPr>
              <w:spacing w:after="0"/>
              <w:rPr>
                <w:sz w:val="15"/>
                <w:szCs w:val="15"/>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3"/>
              </w:rPr>
              <w:t>Landover, MD</w:t>
            </w:r>
          </w:p>
        </w:tc>
        <w:tc>
          <w:tcPr>
            <w:tcW w:w="80" w:type="dxa"/>
            <w:vAlign w:val="bottom"/>
            <w:shd w:val="clear" w:color="auto" w:fill="CCFFCC"/>
          </w:tcPr>
          <w:p>
            <w:pPr>
              <w:spacing w:after="0"/>
              <w:rPr>
                <w:sz w:val="15"/>
                <w:szCs w:val="15"/>
                <w:color w:val="auto"/>
              </w:rPr>
            </w:pPr>
          </w:p>
        </w:tc>
        <w:tc>
          <w:tcPr>
            <w:tcW w:w="9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20" w:type="dxa"/>
            <w:vAlign w:val="bottom"/>
            <w:tcBorders>
              <w:top w:val="single" w:sz="8" w:color="auto"/>
            </w:tcBorders>
            <w:shd w:val="clear" w:color="auto" w:fill="CCFFCC"/>
          </w:tcPr>
          <w:p>
            <w:pPr>
              <w:spacing w:after="0"/>
              <w:rPr>
                <w:sz w:val="15"/>
                <w:szCs w:val="15"/>
                <w:color w:val="auto"/>
              </w:rPr>
            </w:pPr>
          </w:p>
        </w:tc>
        <w:tc>
          <w:tcPr>
            <w:tcW w:w="160" w:type="dxa"/>
            <w:vAlign w:val="bottom"/>
            <w:tcBorders>
              <w:left w:val="single" w:sz="8" w:color="CCFFCC"/>
            </w:tcBorders>
            <w:shd w:val="clear" w:color="auto" w:fill="CCFFCC"/>
          </w:tcPr>
          <w:p>
            <w:pPr>
              <w:spacing w:after="0"/>
              <w:rPr>
                <w:sz w:val="15"/>
                <w:szCs w:val="15"/>
                <w:color w:val="auto"/>
              </w:rPr>
            </w:pPr>
          </w:p>
        </w:tc>
        <w:tc>
          <w:tcPr>
            <w:tcW w:w="820" w:type="dxa"/>
            <w:vAlign w:val="bottom"/>
            <w:tcBorders>
              <w:top w:val="single" w:sz="8" w:color="auto"/>
            </w:tcBorders>
            <w:shd w:val="clear" w:color="auto" w:fill="CCFFCC"/>
          </w:tcPr>
          <w:p>
            <w:pPr>
              <w:spacing w:after="0"/>
              <w:rPr>
                <w:sz w:val="15"/>
                <w:szCs w:val="15"/>
                <w:color w:val="auto"/>
              </w:rPr>
            </w:pPr>
          </w:p>
        </w:tc>
        <w:tc>
          <w:tcPr>
            <w:tcW w:w="140" w:type="dxa"/>
            <w:vAlign w:val="bottom"/>
            <w:tcBorders>
              <w:left w:val="single" w:sz="8" w:color="CCFFCC"/>
            </w:tcBorders>
            <w:shd w:val="clear" w:color="auto" w:fill="CCFFCC"/>
          </w:tcPr>
          <w:p>
            <w:pPr>
              <w:spacing w:after="0"/>
              <w:rPr>
                <w:sz w:val="15"/>
                <w:szCs w:val="15"/>
                <w:color w:val="auto"/>
              </w:rPr>
            </w:pPr>
          </w:p>
        </w:tc>
        <w:tc>
          <w:tcPr>
            <w:tcW w:w="480" w:type="dxa"/>
            <w:vAlign w:val="bottom"/>
            <w:tcBorders>
              <w:top w:val="single" w:sz="8" w:color="auto"/>
            </w:tcBorders>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r>
      <w:tr>
        <w:trPr>
          <w:trHeight w:val="203"/>
        </w:trPr>
        <w:tc>
          <w:tcPr>
            <w:tcW w:w="20" w:type="dxa"/>
            <w:vAlign w:val="bottom"/>
            <w:tcBorders>
              <w:top w:val="single" w:sz="8" w:color="CCFFCC"/>
            </w:tcBorders>
          </w:tcPr>
          <w:p>
            <w:pPr>
              <w:spacing w:after="0"/>
              <w:rPr>
                <w:sz w:val="17"/>
                <w:szCs w:val="17"/>
                <w:color w:val="auto"/>
              </w:rPr>
            </w:pPr>
          </w:p>
        </w:tc>
        <w:tc>
          <w:tcPr>
            <w:tcW w:w="1660" w:type="dxa"/>
            <w:vAlign w:val="bottom"/>
            <w:tcBorders>
              <w:top w:val="single" w:sz="8" w:color="auto"/>
            </w:tcBorders>
            <w:gridSpan w:val="11"/>
          </w:tcPr>
          <w:p>
            <w:pPr>
              <w:spacing w:after="0"/>
              <w:rPr>
                <w:sz w:val="20"/>
                <w:szCs w:val="20"/>
                <w:color w:val="auto"/>
              </w:rPr>
            </w:pPr>
            <w:r>
              <w:rPr>
                <w:rFonts w:ascii="Arial" w:cs="Arial" w:eastAsia="Arial" w:hAnsi="Arial"/>
                <w:sz w:val="16"/>
                <w:szCs w:val="16"/>
                <w:color w:val="auto"/>
              </w:rPr>
              <w:t>Common shares</w:t>
            </w:r>
          </w:p>
        </w:tc>
        <w:tc>
          <w:tcPr>
            <w:tcW w:w="280" w:type="dxa"/>
            <w:vAlign w:val="bottom"/>
            <w:tcBorders>
              <w:top w:val="single" w:sz="8" w:color="CCFFCC"/>
            </w:tcBorders>
            <w:gridSpan w:val="3"/>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2460" w:type="dxa"/>
            <w:vAlign w:val="bottom"/>
            <w:tcBorders>
              <w:top w:val="single" w:sz="8" w:color="CCFFCC"/>
            </w:tcBorders>
          </w:tcPr>
          <w:p>
            <w:pPr>
              <w:jc w:val="center"/>
              <w:spacing w:after="0"/>
              <w:rPr>
                <w:sz w:val="20"/>
                <w:szCs w:val="20"/>
                <w:color w:val="auto"/>
              </w:rPr>
            </w:pPr>
            <w:r>
              <w:rPr>
                <w:rFonts w:ascii="Arial" w:cs="Arial" w:eastAsia="Arial" w:hAnsi="Arial"/>
                <w:sz w:val="16"/>
                <w:szCs w:val="16"/>
                <w:color w:val="auto"/>
                <w:w w:val="93"/>
              </w:rPr>
              <w:t>Online Education</w:t>
            </w:r>
          </w:p>
        </w:tc>
        <w:tc>
          <w:tcPr>
            <w:tcW w:w="1000" w:type="dxa"/>
            <w:vAlign w:val="bottom"/>
            <w:tcBorders>
              <w:top w:val="single" w:sz="8" w:color="CCFFCC"/>
            </w:tcBorders>
            <w:gridSpan w:val="2"/>
          </w:tcPr>
          <w:p>
            <w:pPr>
              <w:jc w:val="right"/>
              <w:spacing w:after="0"/>
              <w:rPr>
                <w:sz w:val="20"/>
                <w:szCs w:val="20"/>
                <w:color w:val="auto"/>
              </w:rPr>
            </w:pPr>
            <w:r>
              <w:rPr>
                <w:rFonts w:ascii="Arial" w:cs="Arial" w:eastAsia="Arial" w:hAnsi="Arial"/>
                <w:sz w:val="16"/>
                <w:szCs w:val="16"/>
                <w:color w:val="auto"/>
              </w:rPr>
              <w:t>1,151,802</w:t>
            </w:r>
          </w:p>
        </w:tc>
        <w:tc>
          <w:tcPr>
            <w:tcW w:w="920" w:type="dxa"/>
            <w:vAlign w:val="bottom"/>
            <w:tcBorders>
              <w:top w:val="single" w:sz="8" w:color="CCFFCC"/>
            </w:tcBorders>
            <w:gridSpan w:val="2"/>
          </w:tcPr>
          <w:p>
            <w:pPr>
              <w:jc w:val="right"/>
              <w:spacing w:after="0"/>
              <w:rPr>
                <w:sz w:val="20"/>
                <w:szCs w:val="20"/>
                <w:color w:val="auto"/>
              </w:rPr>
            </w:pPr>
            <w:r>
              <w:rPr>
                <w:rFonts w:ascii="Arial" w:cs="Arial" w:eastAsia="Arial" w:hAnsi="Arial"/>
                <w:sz w:val="16"/>
                <w:szCs w:val="16"/>
                <w:color w:val="auto"/>
              </w:rPr>
              <w:t>8,757,599</w:t>
            </w:r>
          </w:p>
        </w:tc>
        <w:tc>
          <w:tcPr>
            <w:tcW w:w="980" w:type="dxa"/>
            <w:vAlign w:val="bottom"/>
            <w:tcBorders>
              <w:top w:val="single" w:sz="8" w:color="CCFFCC"/>
            </w:tcBorders>
            <w:gridSpan w:val="2"/>
          </w:tcPr>
          <w:p>
            <w:pPr>
              <w:jc w:val="right"/>
              <w:spacing w:after="0"/>
              <w:rPr>
                <w:sz w:val="20"/>
                <w:szCs w:val="20"/>
                <w:color w:val="auto"/>
              </w:rPr>
            </w:pPr>
            <w:r>
              <w:rPr>
                <w:rFonts w:ascii="Arial" w:cs="Arial" w:eastAsia="Arial" w:hAnsi="Arial"/>
                <w:sz w:val="16"/>
                <w:szCs w:val="16"/>
                <w:color w:val="auto"/>
              </w:rPr>
              <w:t>8,963,899</w:t>
            </w:r>
          </w:p>
        </w:tc>
        <w:tc>
          <w:tcPr>
            <w:tcW w:w="820" w:type="dxa"/>
            <w:vAlign w:val="bottom"/>
            <w:tcBorders>
              <w:top w:val="single" w:sz="8" w:color="CCFFCC"/>
            </w:tcBorders>
            <w:gridSpan w:val="3"/>
          </w:tcPr>
          <w:p>
            <w:pPr>
              <w:jc w:val="right"/>
              <w:ind w:right="60"/>
              <w:spacing w:after="0"/>
              <w:rPr>
                <w:sz w:val="20"/>
                <w:szCs w:val="20"/>
                <w:color w:val="auto"/>
              </w:rPr>
            </w:pPr>
            <w:r>
              <w:rPr>
                <w:rFonts w:ascii="Arial" w:cs="Arial" w:eastAsia="Arial" w:hAnsi="Arial"/>
                <w:sz w:val="16"/>
                <w:szCs w:val="16"/>
                <w:color w:val="auto"/>
              </w:rPr>
              <w:t>3.66%</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spacing w:after="0"/>
              <w:rPr>
                <w:sz w:val="20"/>
                <w:szCs w:val="20"/>
                <w:color w:val="auto"/>
              </w:rPr>
            </w:pPr>
            <w:r>
              <w:rPr>
                <w:rFonts w:ascii="Arial" w:cs="Arial" w:eastAsia="Arial" w:hAnsi="Arial"/>
                <w:sz w:val="16"/>
                <w:szCs w:val="16"/>
                <w:color w:val="auto"/>
              </w:rPr>
              <w:t>Preferred shares, Series A</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167,431</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1,273,125</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1,303,032</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0.53%</w:t>
            </w:r>
          </w:p>
        </w:tc>
      </w:tr>
      <w:tr>
        <w:trPr>
          <w:trHeight w:val="20"/>
        </w:trPr>
        <w:tc>
          <w:tcPr>
            <w:tcW w:w="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10,030,724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10,266,931</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4.19%</w:t>
            </w:r>
          </w:p>
        </w:tc>
      </w:tr>
      <w:tr>
        <w:trPr>
          <w:trHeight w:val="156"/>
        </w:trPr>
        <w:tc>
          <w:tcPr>
            <w:tcW w:w="20" w:type="dxa"/>
            <w:vAlign w:val="bottom"/>
            <w:tcBorders>
              <w:bottom w:val="single" w:sz="8" w:color="CCFFCC"/>
            </w:tcBorders>
            <w:shd w:val="clear" w:color="auto" w:fill="CCFFCC"/>
          </w:tcPr>
          <w:p>
            <w:pPr>
              <w:spacing w:after="0"/>
              <w:rPr>
                <w:sz w:val="13"/>
                <w:szCs w:val="13"/>
                <w:color w:val="auto"/>
              </w:rPr>
            </w:pPr>
          </w:p>
        </w:tc>
        <w:tc>
          <w:tcPr>
            <w:tcW w:w="1720" w:type="dxa"/>
            <w:vAlign w:val="bottom"/>
            <w:tcBorders>
              <w:bottom w:val="single" w:sz="8" w:color="auto"/>
            </w:tcBorders>
            <w:gridSpan w:val="12"/>
            <w:shd w:val="clear" w:color="auto" w:fill="CCFFCC"/>
          </w:tcPr>
          <w:p>
            <w:pPr>
              <w:spacing w:after="0" w:line="155" w:lineRule="exact"/>
              <w:rPr>
                <w:sz w:val="20"/>
                <w:szCs w:val="20"/>
                <w:color w:val="auto"/>
              </w:rPr>
            </w:pPr>
            <w:r>
              <w:rPr>
                <w:rFonts w:ascii="Arial" w:cs="Arial" w:eastAsia="Arial" w:hAnsi="Arial"/>
                <w:sz w:val="16"/>
                <w:szCs w:val="16"/>
                <w:b w:val="1"/>
                <w:bCs w:val="1"/>
                <w:color w:val="auto"/>
                <w:w w:val="89"/>
              </w:rPr>
              <w:t>Avenues World Holdings</w:t>
            </w:r>
          </w:p>
        </w:tc>
        <w:tc>
          <w:tcPr>
            <w:tcW w:w="220" w:type="dxa"/>
            <w:vAlign w:val="bottom"/>
            <w:tcBorders>
              <w:bottom w:val="single" w:sz="8" w:color="CCFFCC"/>
            </w:tcBorders>
            <w:gridSpan w:val="2"/>
            <w:shd w:val="clear" w:color="auto" w:fill="CCFFCC"/>
          </w:tcPr>
          <w:p>
            <w:pPr>
              <w:spacing w:after="0"/>
              <w:rPr>
                <w:sz w:val="13"/>
                <w:szCs w:val="13"/>
                <w:color w:val="auto"/>
              </w:rPr>
            </w:pPr>
          </w:p>
        </w:tc>
        <w:tc>
          <w:tcPr>
            <w:tcW w:w="80" w:type="dxa"/>
            <w:vAlign w:val="bottom"/>
            <w:tcBorders>
              <w:bottom w:val="single" w:sz="8" w:color="CCFFCC"/>
            </w:tcBorders>
            <w:shd w:val="clear" w:color="auto" w:fill="CCFFCC"/>
          </w:tcPr>
          <w:p>
            <w:pPr>
              <w:spacing w:after="0"/>
              <w:rPr>
                <w:sz w:val="13"/>
                <w:szCs w:val="13"/>
                <w:color w:val="auto"/>
              </w:rPr>
            </w:pPr>
          </w:p>
        </w:tc>
        <w:tc>
          <w:tcPr>
            <w:tcW w:w="2460" w:type="dxa"/>
            <w:vAlign w:val="bottom"/>
            <w:tcBorders>
              <w:bottom w:val="single" w:sz="8" w:color="CCFFCC"/>
            </w:tcBorders>
            <w:shd w:val="clear" w:color="auto" w:fill="CCFFCC"/>
          </w:tcPr>
          <w:p>
            <w:pPr>
              <w:jc w:val="center"/>
              <w:spacing w:after="0" w:line="155" w:lineRule="exact"/>
              <w:rPr>
                <w:sz w:val="20"/>
                <w:szCs w:val="20"/>
                <w:color w:val="auto"/>
              </w:rPr>
            </w:pPr>
            <w:r>
              <w:rPr>
                <w:rFonts w:ascii="Arial" w:cs="Arial" w:eastAsia="Arial" w:hAnsi="Arial"/>
                <w:sz w:val="16"/>
                <w:szCs w:val="16"/>
                <w:color w:val="auto"/>
                <w:w w:val="97"/>
              </w:rPr>
              <w:t>New York, NY</w:t>
            </w:r>
          </w:p>
        </w:tc>
        <w:tc>
          <w:tcPr>
            <w:tcW w:w="80" w:type="dxa"/>
            <w:vAlign w:val="bottom"/>
            <w:tcBorders>
              <w:bottom w:val="single" w:sz="8" w:color="CCFFCC"/>
            </w:tcBorders>
            <w:shd w:val="clear" w:color="auto" w:fill="CCFFCC"/>
          </w:tcPr>
          <w:p>
            <w:pPr>
              <w:spacing w:after="0"/>
              <w:rPr>
                <w:sz w:val="13"/>
                <w:szCs w:val="13"/>
                <w:color w:val="auto"/>
              </w:rPr>
            </w:pPr>
          </w:p>
        </w:tc>
        <w:tc>
          <w:tcPr>
            <w:tcW w:w="920" w:type="dxa"/>
            <w:vAlign w:val="bottom"/>
            <w:tcBorders>
              <w:bottom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820" w:type="dxa"/>
            <w:vAlign w:val="bottom"/>
            <w:tcBorders>
              <w:top w:val="single" w:sz="8" w:color="auto"/>
              <w:bottom w:val="single" w:sz="8" w:color="CCFFCC"/>
            </w:tcBorders>
            <w:shd w:val="clear" w:color="auto" w:fill="CCFFCC"/>
          </w:tcPr>
          <w:p>
            <w:pPr>
              <w:spacing w:after="0"/>
              <w:rPr>
                <w:sz w:val="13"/>
                <w:szCs w:val="13"/>
                <w:color w:val="auto"/>
              </w:rPr>
            </w:pPr>
          </w:p>
        </w:tc>
        <w:tc>
          <w:tcPr>
            <w:tcW w:w="160" w:type="dxa"/>
            <w:vAlign w:val="bottom"/>
            <w:tcBorders>
              <w:left w:val="single" w:sz="8" w:color="CCFFCC"/>
              <w:bottom w:val="single" w:sz="8" w:color="CCFFCC"/>
            </w:tcBorders>
            <w:shd w:val="clear" w:color="auto" w:fill="CCFFCC"/>
          </w:tcPr>
          <w:p>
            <w:pPr>
              <w:spacing w:after="0"/>
              <w:rPr>
                <w:sz w:val="13"/>
                <w:szCs w:val="13"/>
                <w:color w:val="auto"/>
              </w:rPr>
            </w:pPr>
          </w:p>
        </w:tc>
        <w:tc>
          <w:tcPr>
            <w:tcW w:w="820" w:type="dxa"/>
            <w:vAlign w:val="bottom"/>
            <w:tcBorders>
              <w:top w:val="single" w:sz="8" w:color="auto"/>
              <w:bottom w:val="single" w:sz="8" w:color="CCFFCC"/>
            </w:tcBorders>
            <w:shd w:val="clear" w:color="auto" w:fill="CCFFCC"/>
          </w:tcPr>
          <w:p>
            <w:pPr>
              <w:spacing w:after="0"/>
              <w:rPr>
                <w:sz w:val="13"/>
                <w:szCs w:val="13"/>
                <w:color w:val="auto"/>
              </w:rPr>
            </w:pPr>
          </w:p>
        </w:tc>
        <w:tc>
          <w:tcPr>
            <w:tcW w:w="140" w:type="dxa"/>
            <w:vAlign w:val="bottom"/>
            <w:tcBorders>
              <w:left w:val="single" w:sz="8" w:color="CCFFCC"/>
              <w:bottom w:val="single" w:sz="8" w:color="CCFFCC"/>
            </w:tcBorders>
            <w:shd w:val="clear" w:color="auto" w:fill="CCFFCC"/>
          </w:tcPr>
          <w:p>
            <w:pPr>
              <w:spacing w:after="0"/>
              <w:rPr>
                <w:sz w:val="13"/>
                <w:szCs w:val="13"/>
                <w:color w:val="auto"/>
              </w:rPr>
            </w:pPr>
          </w:p>
        </w:tc>
        <w:tc>
          <w:tcPr>
            <w:tcW w:w="480" w:type="dxa"/>
            <w:vAlign w:val="bottom"/>
            <w:tcBorders>
              <w:top w:val="single" w:sz="8" w:color="auto"/>
              <w:bottom w:val="single" w:sz="8" w:color="CCFFCC"/>
            </w:tcBorders>
            <w:shd w:val="clear" w:color="auto" w:fill="CCFFCC"/>
          </w:tcPr>
          <w:p>
            <w:pPr>
              <w:spacing w:after="0"/>
              <w:rPr>
                <w:sz w:val="13"/>
                <w:szCs w:val="13"/>
                <w:color w:val="auto"/>
              </w:rPr>
            </w:pPr>
          </w:p>
        </w:tc>
        <w:tc>
          <w:tcPr>
            <w:tcW w:w="200" w:type="dxa"/>
            <w:vAlign w:val="bottom"/>
            <w:tcBorders>
              <w:bottom w:val="single" w:sz="8" w:color="CCFFCC"/>
            </w:tcBorders>
            <w:shd w:val="clear" w:color="auto" w:fill="CCFFCC"/>
          </w:tcPr>
          <w:p>
            <w:pPr>
              <w:spacing w:after="0"/>
              <w:rPr>
                <w:sz w:val="13"/>
                <w:szCs w:val="13"/>
                <w:color w:val="auto"/>
              </w:rPr>
            </w:pPr>
          </w:p>
        </w:tc>
      </w:tr>
      <w:tr>
        <w:trPr>
          <w:trHeight w:val="223"/>
        </w:trPr>
        <w:tc>
          <w:tcPr>
            <w:tcW w:w="20" w:type="dxa"/>
            <w:vAlign w:val="bottom"/>
            <w:shd w:val="clear" w:color="auto" w:fill="CCFFCC"/>
          </w:tcPr>
          <w:p>
            <w:pPr>
              <w:spacing w:after="0"/>
              <w:rPr>
                <w:sz w:val="19"/>
                <w:szCs w:val="19"/>
                <w:color w:val="auto"/>
              </w:rPr>
            </w:pPr>
          </w:p>
        </w:tc>
        <w:tc>
          <w:tcPr>
            <w:tcW w:w="1940" w:type="dxa"/>
            <w:vAlign w:val="bottom"/>
            <w:gridSpan w:val="14"/>
            <w:shd w:val="clear" w:color="auto" w:fill="CCFFCC"/>
          </w:tcPr>
          <w:p>
            <w:pPr>
              <w:spacing w:after="0" w:line="223" w:lineRule="exact"/>
              <w:rPr>
                <w:sz w:val="20"/>
                <w:szCs w:val="20"/>
                <w:color w:val="auto"/>
              </w:rPr>
            </w:pPr>
            <w:r>
              <w:rPr>
                <w:rFonts w:ascii="Arial" w:cs="Arial" w:eastAsia="Arial" w:hAnsi="Arial"/>
                <w:sz w:val="25"/>
                <w:szCs w:val="25"/>
                <w:b w:val="1"/>
                <w:bCs w:val="1"/>
                <w:color w:val="auto"/>
                <w:vertAlign w:val="subscript"/>
              </w:rPr>
              <w:t>LLC</w:t>
            </w:r>
            <w:r>
              <w:rPr>
                <w:rFonts w:ascii="Arial" w:cs="Arial" w:eastAsia="Arial" w:hAnsi="Arial"/>
                <w:sz w:val="12"/>
                <w:szCs w:val="12"/>
                <w:b w:val="1"/>
                <w:bCs w:val="1"/>
                <w:color w:val="auto"/>
              </w:rPr>
              <w:t>(3)</w:t>
            </w:r>
          </w:p>
        </w:tc>
        <w:tc>
          <w:tcPr>
            <w:tcW w:w="80" w:type="dxa"/>
            <w:vAlign w:val="bottom"/>
            <w:shd w:val="clear" w:color="auto" w:fill="CCFFCC"/>
          </w:tcPr>
          <w:p>
            <w:pPr>
              <w:spacing w:after="0"/>
              <w:rPr>
                <w:sz w:val="19"/>
                <w:szCs w:val="19"/>
                <w:color w:val="auto"/>
              </w:rPr>
            </w:pPr>
          </w:p>
        </w:tc>
        <w:tc>
          <w:tcPr>
            <w:tcW w:w="24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9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160" w:type="dxa"/>
            <w:vAlign w:val="bottom"/>
            <w:tcBorders>
              <w:left w:val="single" w:sz="8" w:color="CCFFCC"/>
            </w:tcBorders>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140" w:type="dxa"/>
            <w:vAlign w:val="bottom"/>
            <w:tcBorders>
              <w:left w:val="single" w:sz="8" w:color="CCFFCC"/>
            </w:tcBorders>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w w:val="97"/>
              </w:rPr>
              <w:t>Preferred shares, Class A-1</w:t>
            </w:r>
          </w:p>
        </w:tc>
        <w:tc>
          <w:tcPr>
            <w:tcW w:w="8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5"/>
              </w:rPr>
              <w:t>Globally-focused</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5,000,000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10,026,005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10,037,500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4.10%</w:t>
            </w: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1"/>
              </w:rPr>
              <w:t>Private School</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65"/>
        </w:trPr>
        <w:tc>
          <w:tcPr>
            <w:tcW w:w="20" w:type="dxa"/>
            <w:vAlign w:val="bottom"/>
            <w:shd w:val="clear" w:color="auto" w:fill="CCFFCC"/>
          </w:tcPr>
          <w:p>
            <w:pPr>
              <w:spacing w:after="0"/>
              <w:rPr>
                <w:sz w:val="14"/>
                <w:szCs w:val="14"/>
                <w:color w:val="auto"/>
              </w:rPr>
            </w:pPr>
          </w:p>
        </w:tc>
        <w:tc>
          <w:tcPr>
            <w:tcW w:w="1940" w:type="dxa"/>
            <w:vAlign w:val="bottom"/>
            <w:gridSpan w:val="14"/>
            <w:shd w:val="clear" w:color="auto" w:fill="CCFFCC"/>
          </w:tcPr>
          <w:p>
            <w:pPr>
              <w:spacing w:after="0" w:line="165" w:lineRule="exact"/>
              <w:rPr>
                <w:sz w:val="20"/>
                <w:szCs w:val="20"/>
                <w:color w:val="auto"/>
              </w:rPr>
            </w:pPr>
            <w:r>
              <w:rPr>
                <w:rFonts w:ascii="Arial" w:cs="Arial" w:eastAsia="Arial" w:hAnsi="Arial"/>
                <w:sz w:val="16"/>
                <w:szCs w:val="16"/>
                <w:b w:val="1"/>
                <w:bCs w:val="1"/>
                <w:color w:val="auto"/>
              </w:rPr>
              <w:t>Solexel,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5" w:lineRule="exact"/>
              <w:rPr>
                <w:sz w:val="20"/>
                <w:szCs w:val="20"/>
                <w:color w:val="auto"/>
              </w:rPr>
            </w:pPr>
            <w:r>
              <w:rPr>
                <w:rFonts w:ascii="Arial" w:cs="Arial" w:eastAsia="Arial" w:hAnsi="Arial"/>
                <w:sz w:val="16"/>
                <w:szCs w:val="16"/>
                <w:color w:val="auto"/>
              </w:rPr>
              <w:t>Milpitas, CA</w:t>
            </w:r>
          </w:p>
        </w:tc>
        <w:tc>
          <w:tcPr>
            <w:tcW w:w="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60" w:type="dxa"/>
            <w:vAlign w:val="bottom"/>
            <w:tcBorders>
              <w:left w:val="single" w:sz="8" w:color="CCFFCC"/>
            </w:tcBorders>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4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rPr>
              <w:t>Preferred shares, Series C</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89"/>
              </w:rPr>
              <w:t>Solar Power</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4,576,659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10,016,559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10,000,000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4.08%</w:t>
            </w:r>
          </w:p>
        </w:tc>
      </w:tr>
      <w:tr>
        <w:trPr>
          <w:trHeight w:val="183"/>
        </w:trPr>
        <w:tc>
          <w:tcPr>
            <w:tcW w:w="20" w:type="dxa"/>
            <w:vAlign w:val="bottom"/>
            <w:tcBorders>
              <w:bottom w:val="single" w:sz="8" w:color="CCFFCC"/>
            </w:tcBorders>
            <w:shd w:val="clear" w:color="auto" w:fill="CCFFCC"/>
          </w:tcPr>
          <w:p>
            <w:pPr>
              <w:spacing w:after="0"/>
              <w:rPr>
                <w:sz w:val="15"/>
                <w:szCs w:val="15"/>
                <w:color w:val="auto"/>
              </w:rPr>
            </w:pPr>
          </w:p>
        </w:tc>
        <w:tc>
          <w:tcPr>
            <w:tcW w:w="640" w:type="dxa"/>
            <w:vAlign w:val="bottom"/>
            <w:tcBorders>
              <w:bottom w:val="single" w:sz="8" w:color="auto"/>
            </w:tcBorders>
            <w:gridSpan w:val="2"/>
            <w:shd w:val="clear" w:color="auto" w:fill="CCFFCC"/>
          </w:tcPr>
          <w:p>
            <w:pPr>
              <w:spacing w:after="0" w:line="162" w:lineRule="exact"/>
              <w:rPr>
                <w:sz w:val="20"/>
                <w:szCs w:val="20"/>
                <w:color w:val="auto"/>
              </w:rPr>
            </w:pPr>
            <w:r>
              <w:rPr>
                <w:rFonts w:ascii="Arial" w:cs="Arial" w:eastAsia="Arial" w:hAnsi="Arial"/>
                <w:sz w:val="16"/>
                <w:szCs w:val="16"/>
                <w:b w:val="1"/>
                <w:bCs w:val="1"/>
                <w:color w:val="auto"/>
                <w:w w:val="91"/>
              </w:rPr>
              <w:t>Kno, Inc.</w:t>
            </w:r>
          </w:p>
        </w:tc>
        <w:tc>
          <w:tcPr>
            <w:tcW w:w="1300" w:type="dxa"/>
            <w:vAlign w:val="bottom"/>
            <w:tcBorders>
              <w:bottom w:val="single" w:sz="8" w:color="CCFFCC"/>
            </w:tcBorders>
            <w:gridSpan w:val="12"/>
            <w:shd w:val="clear" w:color="auto" w:fill="CCFFCC"/>
          </w:tcPr>
          <w:p>
            <w:pPr>
              <w:spacing w:after="0"/>
              <w:rPr>
                <w:sz w:val="15"/>
                <w:szCs w:val="15"/>
                <w:color w:val="auto"/>
              </w:rPr>
            </w:pPr>
          </w:p>
        </w:tc>
        <w:tc>
          <w:tcPr>
            <w:tcW w:w="80" w:type="dxa"/>
            <w:vAlign w:val="bottom"/>
            <w:tcBorders>
              <w:bottom w:val="single" w:sz="8" w:color="CCFFCC"/>
            </w:tcBorders>
            <w:shd w:val="clear" w:color="auto" w:fill="CCFFCC"/>
          </w:tcPr>
          <w:p>
            <w:pPr>
              <w:spacing w:after="0"/>
              <w:rPr>
                <w:sz w:val="15"/>
                <w:szCs w:val="15"/>
                <w:color w:val="auto"/>
              </w:rPr>
            </w:pPr>
          </w:p>
        </w:tc>
        <w:tc>
          <w:tcPr>
            <w:tcW w:w="2460" w:type="dxa"/>
            <w:vAlign w:val="bottom"/>
            <w:tcBorders>
              <w:bottom w:val="single" w:sz="8" w:color="CCFFCC"/>
            </w:tcBorders>
            <w:shd w:val="clear" w:color="auto" w:fill="CCFFCC"/>
          </w:tcPr>
          <w:p>
            <w:pPr>
              <w:jc w:val="center"/>
              <w:spacing w:after="0" w:line="162" w:lineRule="exact"/>
              <w:rPr>
                <w:sz w:val="20"/>
                <w:szCs w:val="20"/>
                <w:color w:val="auto"/>
              </w:rPr>
            </w:pPr>
            <w:r>
              <w:rPr>
                <w:rFonts w:ascii="Arial" w:cs="Arial" w:eastAsia="Arial" w:hAnsi="Arial"/>
                <w:sz w:val="16"/>
                <w:szCs w:val="16"/>
                <w:color w:val="auto"/>
                <w:w w:val="91"/>
              </w:rPr>
              <w:t>Santa Clara, CA</w:t>
            </w:r>
          </w:p>
        </w:tc>
        <w:tc>
          <w:tcPr>
            <w:tcW w:w="80" w:type="dxa"/>
            <w:vAlign w:val="bottom"/>
            <w:tcBorders>
              <w:bottom w:val="single" w:sz="8" w:color="CCFFCC"/>
            </w:tcBorders>
            <w:shd w:val="clear" w:color="auto" w:fill="CCFFCC"/>
          </w:tcPr>
          <w:p>
            <w:pPr>
              <w:spacing w:after="0"/>
              <w:rPr>
                <w:sz w:val="15"/>
                <w:szCs w:val="15"/>
                <w:color w:val="auto"/>
              </w:rPr>
            </w:pPr>
          </w:p>
        </w:tc>
        <w:tc>
          <w:tcPr>
            <w:tcW w:w="920" w:type="dxa"/>
            <w:vAlign w:val="bottom"/>
            <w:tcBorders>
              <w:bottom w:val="single" w:sz="8" w:color="CCFFCC"/>
            </w:tcBorders>
            <w:shd w:val="clear" w:color="auto" w:fill="CCFFCC"/>
          </w:tcPr>
          <w:p>
            <w:pPr>
              <w:spacing w:after="0"/>
              <w:rPr>
                <w:sz w:val="15"/>
                <w:szCs w:val="15"/>
                <w:color w:val="auto"/>
              </w:rPr>
            </w:pPr>
          </w:p>
        </w:tc>
        <w:tc>
          <w:tcPr>
            <w:tcW w:w="100" w:type="dxa"/>
            <w:vAlign w:val="bottom"/>
            <w:tcBorders>
              <w:bottom w:val="single" w:sz="8" w:color="CCFFCC"/>
            </w:tcBorders>
            <w:shd w:val="clear" w:color="auto" w:fill="CCFFCC"/>
          </w:tcPr>
          <w:p>
            <w:pPr>
              <w:spacing w:after="0"/>
              <w:rPr>
                <w:sz w:val="15"/>
                <w:szCs w:val="15"/>
                <w:color w:val="auto"/>
              </w:rPr>
            </w:pPr>
          </w:p>
        </w:tc>
        <w:tc>
          <w:tcPr>
            <w:tcW w:w="820" w:type="dxa"/>
            <w:vAlign w:val="bottom"/>
            <w:tcBorders>
              <w:bottom w:val="single" w:sz="8" w:color="CCFFCC"/>
            </w:tcBorders>
            <w:shd w:val="clear" w:color="auto" w:fill="CCFFCC"/>
          </w:tcPr>
          <w:p>
            <w:pPr>
              <w:spacing w:after="0"/>
              <w:rPr>
                <w:sz w:val="15"/>
                <w:szCs w:val="15"/>
                <w:color w:val="auto"/>
              </w:rPr>
            </w:pPr>
          </w:p>
        </w:tc>
        <w:tc>
          <w:tcPr>
            <w:tcW w:w="160" w:type="dxa"/>
            <w:vAlign w:val="bottom"/>
            <w:tcBorders>
              <w:left w:val="single" w:sz="8" w:color="CCFFCC"/>
              <w:bottom w:val="single" w:sz="8" w:color="CCFFCC"/>
            </w:tcBorders>
            <w:shd w:val="clear" w:color="auto" w:fill="CCFFCC"/>
          </w:tcPr>
          <w:p>
            <w:pPr>
              <w:spacing w:after="0"/>
              <w:rPr>
                <w:sz w:val="15"/>
                <w:szCs w:val="15"/>
                <w:color w:val="auto"/>
              </w:rPr>
            </w:pPr>
          </w:p>
        </w:tc>
        <w:tc>
          <w:tcPr>
            <w:tcW w:w="820" w:type="dxa"/>
            <w:vAlign w:val="bottom"/>
            <w:tcBorders>
              <w:bottom w:val="single" w:sz="8" w:color="CCFFCC"/>
            </w:tcBorders>
            <w:shd w:val="clear" w:color="auto" w:fill="CCFFCC"/>
          </w:tcPr>
          <w:p>
            <w:pPr>
              <w:spacing w:after="0"/>
              <w:rPr>
                <w:sz w:val="15"/>
                <w:szCs w:val="15"/>
                <w:color w:val="auto"/>
              </w:rPr>
            </w:pPr>
          </w:p>
        </w:tc>
        <w:tc>
          <w:tcPr>
            <w:tcW w:w="140" w:type="dxa"/>
            <w:vAlign w:val="bottom"/>
            <w:tcBorders>
              <w:left w:val="single" w:sz="8" w:color="CCFFCC"/>
              <w:bottom w:val="single" w:sz="8" w:color="CCFFCC"/>
            </w:tcBorders>
            <w:shd w:val="clear" w:color="auto" w:fill="CCFFCC"/>
          </w:tcPr>
          <w:p>
            <w:pPr>
              <w:spacing w:after="0"/>
              <w:rPr>
                <w:sz w:val="15"/>
                <w:szCs w:val="15"/>
                <w:color w:val="auto"/>
              </w:rPr>
            </w:pPr>
          </w:p>
        </w:tc>
        <w:tc>
          <w:tcPr>
            <w:tcW w:w="480" w:type="dxa"/>
            <w:vAlign w:val="bottom"/>
            <w:tcBorders>
              <w:bottom w:val="single" w:sz="8" w:color="CCFFCC"/>
            </w:tcBorders>
            <w:shd w:val="clear" w:color="auto" w:fill="CCFFCC"/>
          </w:tcPr>
          <w:p>
            <w:pPr>
              <w:spacing w:after="0"/>
              <w:rPr>
                <w:sz w:val="15"/>
                <w:szCs w:val="15"/>
                <w:color w:val="auto"/>
              </w:rPr>
            </w:pPr>
          </w:p>
        </w:tc>
        <w:tc>
          <w:tcPr>
            <w:tcW w:w="200" w:type="dxa"/>
            <w:vAlign w:val="bottom"/>
            <w:tcBorders>
              <w:bottom w:val="single" w:sz="8" w:color="CCFFCC"/>
            </w:tcBorders>
            <w:shd w:val="clear" w:color="auto" w:fill="CCFFCC"/>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rPr>
              <w:t>Preferred shares, Series C</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6"/>
              </w:rPr>
              <w:t>Digital Textbooks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440,313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2,262,006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2,249,999</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0.92%</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spacing w:after="0"/>
              <w:rPr>
                <w:sz w:val="20"/>
                <w:szCs w:val="20"/>
                <w:color w:val="auto"/>
              </w:rPr>
            </w:pPr>
            <w:r>
              <w:rPr>
                <w:rFonts w:ascii="Arial" w:cs="Arial" w:eastAsia="Arial" w:hAnsi="Arial"/>
                <w:sz w:val="16"/>
                <w:szCs w:val="16"/>
                <w:color w:val="auto"/>
                <w:w w:val="94"/>
              </w:rPr>
              <w:t>Preferred shares, Series C-1</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7,510,334</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7,500,000</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3.06%</w:t>
            </w:r>
          </w:p>
        </w:tc>
      </w:tr>
      <w:tr>
        <w:trPr>
          <w:trHeight w:val="203"/>
        </w:trPr>
        <w:tc>
          <w:tcPr>
            <w:tcW w:w="20" w:type="dxa"/>
            <w:vAlign w:val="bottom"/>
          </w:tcPr>
          <w:p>
            <w:pPr>
              <w:spacing w:after="0"/>
              <w:rPr>
                <w:sz w:val="17"/>
                <w:szCs w:val="17"/>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214,681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162,025</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0.07%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ind w:left="18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9,987,021</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9,912,024</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4.05%</w:t>
            </w:r>
          </w:p>
        </w:tc>
      </w:tr>
      <w:tr>
        <w:trPr>
          <w:trHeight w:val="196"/>
        </w:trPr>
        <w:tc>
          <w:tcPr>
            <w:tcW w:w="20" w:type="dxa"/>
            <w:vAlign w:val="bottom"/>
            <w:tcBorders>
              <w:top w:val="single" w:sz="8" w:color="CCFFCC"/>
            </w:tcBorders>
          </w:tcPr>
          <w:p>
            <w:pPr>
              <w:spacing w:after="0"/>
              <w:rPr>
                <w:sz w:val="17"/>
                <w:szCs w:val="17"/>
                <w:color w:val="auto"/>
              </w:rPr>
            </w:pPr>
          </w:p>
        </w:tc>
        <w:tc>
          <w:tcPr>
            <w:tcW w:w="1940" w:type="dxa"/>
            <w:vAlign w:val="bottom"/>
            <w:tcBorders>
              <w:top w:val="single" w:sz="8" w:color="CCFFCC"/>
            </w:tcBorders>
            <w:gridSpan w:val="14"/>
          </w:tcPr>
          <w:p>
            <w:pPr>
              <w:spacing w:after="0" w:line="197" w:lineRule="exact"/>
              <w:rPr>
                <w:sz w:val="20"/>
                <w:szCs w:val="20"/>
                <w:color w:val="auto"/>
              </w:rPr>
            </w:pPr>
            <w:r>
              <w:rPr>
                <w:rFonts w:ascii="Arial" w:cs="Arial" w:eastAsia="Arial" w:hAnsi="Arial"/>
                <w:sz w:val="14"/>
                <w:szCs w:val="14"/>
                <w:b w:val="1"/>
                <w:bCs w:val="1"/>
                <w:color w:val="auto"/>
              </w:rPr>
              <w:t>Facebook, Inc.</w:t>
            </w:r>
            <w:r>
              <w:rPr>
                <w:rFonts w:ascii="Arial" w:cs="Arial" w:eastAsia="Arial" w:hAnsi="Arial"/>
                <w:sz w:val="22"/>
                <w:szCs w:val="22"/>
                <w:b w:val="1"/>
                <w:bCs w:val="1"/>
                <w:color w:val="auto"/>
                <w:vertAlign w:val="superscript"/>
              </w:rPr>
              <w:t>(8)</w:t>
            </w:r>
          </w:p>
        </w:tc>
        <w:tc>
          <w:tcPr>
            <w:tcW w:w="80" w:type="dxa"/>
            <w:vAlign w:val="bottom"/>
            <w:tcBorders>
              <w:top w:val="single" w:sz="8" w:color="CCFFCC"/>
            </w:tcBorders>
          </w:tcPr>
          <w:p>
            <w:pPr>
              <w:spacing w:after="0"/>
              <w:rPr>
                <w:sz w:val="17"/>
                <w:szCs w:val="17"/>
                <w:color w:val="auto"/>
              </w:rPr>
            </w:pPr>
          </w:p>
        </w:tc>
        <w:tc>
          <w:tcPr>
            <w:tcW w:w="2460" w:type="dxa"/>
            <w:vAlign w:val="bottom"/>
            <w:tcBorders>
              <w:top w:val="single" w:sz="8" w:color="CCFFCC"/>
            </w:tcBorders>
          </w:tcPr>
          <w:p>
            <w:pPr>
              <w:jc w:val="center"/>
              <w:spacing w:after="0"/>
              <w:rPr>
                <w:sz w:val="20"/>
                <w:szCs w:val="20"/>
                <w:color w:val="auto"/>
              </w:rPr>
            </w:pPr>
            <w:r>
              <w:rPr>
                <w:rFonts w:ascii="Arial" w:cs="Arial" w:eastAsia="Arial" w:hAnsi="Arial"/>
                <w:sz w:val="16"/>
                <w:szCs w:val="16"/>
                <w:color w:val="auto"/>
                <w:w w:val="94"/>
              </w:rPr>
              <w:t>Menlo Park, CA</w:t>
            </w:r>
          </w:p>
        </w:tc>
        <w:tc>
          <w:tcPr>
            <w:tcW w:w="80" w:type="dxa"/>
            <w:vAlign w:val="bottom"/>
            <w:tcBorders>
              <w:top w:val="single" w:sz="8" w:color="CCFFCC"/>
            </w:tcBorders>
          </w:tcPr>
          <w:p>
            <w:pPr>
              <w:spacing w:after="0"/>
              <w:rPr>
                <w:sz w:val="17"/>
                <w:szCs w:val="17"/>
                <w:color w:val="auto"/>
              </w:rPr>
            </w:pPr>
          </w:p>
        </w:tc>
        <w:tc>
          <w:tcPr>
            <w:tcW w:w="92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spacing w:after="0"/>
              <w:rPr>
                <w:sz w:val="20"/>
                <w:szCs w:val="20"/>
                <w:color w:val="auto"/>
              </w:rPr>
            </w:pPr>
            <w:r>
              <w:rPr>
                <w:rFonts w:ascii="Arial" w:cs="Arial" w:eastAsia="Arial" w:hAnsi="Arial"/>
                <w:sz w:val="16"/>
                <w:szCs w:val="16"/>
                <w:color w:val="auto"/>
              </w:rPr>
              <w:t>Common shares, Class B</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5"/>
              </w:rPr>
              <w:t>Social Networking</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350,000</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10,472,294</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8,953,000</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3.65%</w:t>
            </w:r>
          </w:p>
        </w:tc>
      </w:tr>
      <w:tr>
        <w:trPr>
          <w:trHeight w:val="162"/>
        </w:trPr>
        <w:tc>
          <w:tcPr>
            <w:tcW w:w="20" w:type="dxa"/>
            <w:vAlign w:val="bottom"/>
          </w:tcPr>
          <w:p>
            <w:pPr>
              <w:spacing w:after="0"/>
              <w:rPr>
                <w:sz w:val="14"/>
                <w:szCs w:val="14"/>
                <w:color w:val="auto"/>
              </w:rPr>
            </w:pPr>
          </w:p>
        </w:tc>
        <w:tc>
          <w:tcPr>
            <w:tcW w:w="1940" w:type="dxa"/>
            <w:vAlign w:val="bottom"/>
            <w:gridSpan w:val="14"/>
          </w:tcPr>
          <w:p>
            <w:pPr>
              <w:spacing w:after="0" w:line="162" w:lineRule="exact"/>
              <w:rPr>
                <w:sz w:val="20"/>
                <w:szCs w:val="20"/>
                <w:color w:val="auto"/>
              </w:rPr>
            </w:pPr>
            <w:r>
              <w:rPr>
                <w:rFonts w:ascii="Arial" w:cs="Arial" w:eastAsia="Arial" w:hAnsi="Arial"/>
                <w:sz w:val="16"/>
                <w:szCs w:val="16"/>
                <w:b w:val="1"/>
                <w:bCs w:val="1"/>
                <w:color w:val="auto"/>
              </w:rPr>
              <w:t>Control4 Corporation</w:t>
            </w:r>
          </w:p>
        </w:tc>
        <w:tc>
          <w:tcPr>
            <w:tcW w:w="80" w:type="dxa"/>
            <w:vAlign w:val="bottom"/>
          </w:tcPr>
          <w:p>
            <w:pPr>
              <w:spacing w:after="0"/>
              <w:rPr>
                <w:sz w:val="14"/>
                <w:szCs w:val="14"/>
                <w:color w:val="auto"/>
              </w:rPr>
            </w:pPr>
          </w:p>
        </w:tc>
        <w:tc>
          <w:tcPr>
            <w:tcW w:w="2460" w:type="dxa"/>
            <w:vAlign w:val="bottom"/>
          </w:tcPr>
          <w:p>
            <w:pPr>
              <w:jc w:val="center"/>
              <w:spacing w:after="0" w:line="162" w:lineRule="exact"/>
              <w:rPr>
                <w:sz w:val="20"/>
                <w:szCs w:val="20"/>
                <w:color w:val="auto"/>
              </w:rPr>
            </w:pPr>
            <w:r>
              <w:rPr>
                <w:rFonts w:ascii="Arial" w:cs="Arial" w:eastAsia="Arial" w:hAnsi="Arial"/>
                <w:sz w:val="16"/>
                <w:szCs w:val="16"/>
                <w:color w:val="auto"/>
                <w:w w:val="94"/>
              </w:rPr>
              <w:t>Salt Lake City, UT</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spacing w:after="0"/>
              <w:rPr>
                <w:sz w:val="20"/>
                <w:szCs w:val="20"/>
                <w:color w:val="auto"/>
              </w:rPr>
            </w:pPr>
            <w:r>
              <w:rPr>
                <w:rFonts w:ascii="Arial" w:cs="Arial" w:eastAsia="Arial" w:hAnsi="Arial"/>
                <w:sz w:val="16"/>
                <w:szCs w:val="16"/>
                <w:color w:val="auto"/>
              </w:rPr>
              <w:t>Common shares</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5"/>
              </w:rPr>
              <w:t>Home Automation</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4,070,667</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7,011,025</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7,261,052</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2.96%</w:t>
            </w:r>
          </w:p>
        </w:tc>
      </w:tr>
      <w:tr>
        <w:trPr>
          <w:trHeight w:val="162"/>
        </w:trPr>
        <w:tc>
          <w:tcPr>
            <w:tcW w:w="20" w:type="dxa"/>
            <w:vAlign w:val="bottom"/>
          </w:tcPr>
          <w:p>
            <w:pPr>
              <w:spacing w:after="0"/>
              <w:rPr>
                <w:sz w:val="14"/>
                <w:szCs w:val="14"/>
                <w:color w:val="auto"/>
              </w:rPr>
            </w:pPr>
          </w:p>
        </w:tc>
        <w:tc>
          <w:tcPr>
            <w:tcW w:w="1940" w:type="dxa"/>
            <w:vAlign w:val="bottom"/>
            <w:gridSpan w:val="14"/>
          </w:tcPr>
          <w:p>
            <w:pPr>
              <w:spacing w:after="0" w:line="162" w:lineRule="exact"/>
              <w:rPr>
                <w:sz w:val="20"/>
                <w:szCs w:val="20"/>
                <w:color w:val="auto"/>
              </w:rPr>
            </w:pPr>
            <w:r>
              <w:rPr>
                <w:rFonts w:ascii="Arial" w:cs="Arial" w:eastAsia="Arial" w:hAnsi="Arial"/>
                <w:sz w:val="16"/>
                <w:szCs w:val="16"/>
                <w:b w:val="1"/>
                <w:bCs w:val="1"/>
                <w:color w:val="auto"/>
              </w:rPr>
              <w:t>SugarCRM, Inc.</w:t>
            </w:r>
          </w:p>
        </w:tc>
        <w:tc>
          <w:tcPr>
            <w:tcW w:w="80" w:type="dxa"/>
            <w:vAlign w:val="bottom"/>
          </w:tcPr>
          <w:p>
            <w:pPr>
              <w:spacing w:after="0"/>
              <w:rPr>
                <w:sz w:val="14"/>
                <w:szCs w:val="14"/>
                <w:color w:val="auto"/>
              </w:rPr>
            </w:pPr>
          </w:p>
        </w:tc>
        <w:tc>
          <w:tcPr>
            <w:tcW w:w="2460" w:type="dxa"/>
            <w:vAlign w:val="bottom"/>
          </w:tcPr>
          <w:p>
            <w:pPr>
              <w:jc w:val="center"/>
              <w:spacing w:after="0" w:line="162" w:lineRule="exact"/>
              <w:rPr>
                <w:sz w:val="20"/>
                <w:szCs w:val="20"/>
                <w:color w:val="auto"/>
              </w:rPr>
            </w:pPr>
            <w:r>
              <w:rPr>
                <w:rFonts w:ascii="Arial" w:cs="Arial" w:eastAsia="Arial" w:hAnsi="Arial"/>
                <w:sz w:val="16"/>
                <w:szCs w:val="16"/>
                <w:color w:val="auto"/>
                <w:w w:val="93"/>
              </w:rPr>
              <w:t>Cupertino, CA</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spacing w:after="0"/>
              <w:rPr>
                <w:sz w:val="20"/>
                <w:szCs w:val="20"/>
                <w:color w:val="auto"/>
              </w:rPr>
            </w:pPr>
            <w:r>
              <w:rPr>
                <w:rFonts w:ascii="Arial" w:cs="Arial" w:eastAsia="Arial" w:hAnsi="Arial"/>
                <w:sz w:val="16"/>
                <w:szCs w:val="16"/>
                <w:color w:val="auto"/>
              </w:rPr>
              <w:t>Common shares</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Customer Relationship Manager</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1,086,047</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3,813,378</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3,801,165</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1.55%</w:t>
            </w:r>
          </w:p>
        </w:tc>
      </w:tr>
      <w:tr>
        <w:trPr>
          <w:trHeight w:val="203"/>
        </w:trPr>
        <w:tc>
          <w:tcPr>
            <w:tcW w:w="20" w:type="dxa"/>
            <w:vAlign w:val="bottom"/>
          </w:tcPr>
          <w:p>
            <w:pPr>
              <w:spacing w:after="0"/>
              <w:rPr>
                <w:sz w:val="17"/>
                <w:szCs w:val="17"/>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rPr>
              <w:t>Preferred shares, Series E</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373,134</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1,500,247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1,499,999</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0.61%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ind w:left="18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5,313,625</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5,301,164</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2.16%</w:t>
            </w:r>
          </w:p>
        </w:tc>
      </w:tr>
      <w:tr>
        <w:trPr>
          <w:trHeight w:val="20"/>
        </w:trPr>
        <w:tc>
          <w:tcPr>
            <w:tcW w:w="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-5333365</wp:posOffset>
            </wp:positionV>
            <wp:extent cx="5213985"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-4801870</wp:posOffset>
            </wp:positionV>
            <wp:extent cx="521398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-4270375</wp:posOffset>
            </wp:positionV>
            <wp:extent cx="521398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-3738245</wp:posOffset>
            </wp:positionV>
            <wp:extent cx="521398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-3206750</wp:posOffset>
            </wp:positionV>
            <wp:extent cx="521398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-2675255</wp:posOffset>
            </wp:positionV>
            <wp:extent cx="521398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-1080135</wp:posOffset>
            </wp:positionV>
            <wp:extent cx="5213985"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958" w:right="1440" w:bottom="1440" w:gutter="0" w:footer="0" w:header="0"/>
        </w:sectPr>
      </w:pPr>
    </w:p>
    <w:bookmarkStart w:id="7" w:name="page8"/>
    <w:bookmarkEnd w:id="7"/>
    <w:p>
      <w:pPr>
        <w:jc w:val="center"/>
        <w:ind w:right="519"/>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940" w:type="dxa"/>
            <w:vAlign w:val="bottom"/>
            <w:gridSpan w:val="14"/>
          </w:tcPr>
          <w:p>
            <w:pPr>
              <w:spacing w:after="0" w:line="149" w:lineRule="exact"/>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Headquarters/Industry</w:t>
            </w:r>
          </w:p>
        </w:tc>
        <w:tc>
          <w:tcPr>
            <w:tcW w:w="80" w:type="dxa"/>
            <w:vAlign w:val="bottom"/>
          </w:tcPr>
          <w:p>
            <w:pPr>
              <w:spacing w:after="0"/>
              <w:rPr>
                <w:sz w:val="12"/>
                <w:szCs w:val="12"/>
                <w:color w:val="auto"/>
              </w:rPr>
            </w:pPr>
          </w:p>
        </w:tc>
        <w:tc>
          <w:tcPr>
            <w:tcW w:w="92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880" w:type="dxa"/>
            <w:vAlign w:val="bottom"/>
          </w:tcPr>
          <w:p>
            <w:pPr>
              <w:jc w:val="right"/>
              <w:ind w:right="221"/>
              <w:spacing w:after="0" w:line="149" w:lineRule="exact"/>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88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217"/>
        </w:trPr>
        <w:tc>
          <w:tcPr>
            <w:tcW w:w="20" w:type="dxa"/>
            <w:vAlign w:val="bottom"/>
            <w:shd w:val="clear" w:color="auto" w:fill="CCFFCC"/>
          </w:tcPr>
          <w:p>
            <w:pPr>
              <w:spacing w:after="0"/>
              <w:rPr>
                <w:sz w:val="18"/>
                <w:szCs w:val="18"/>
                <w:color w:val="auto"/>
              </w:rPr>
            </w:pPr>
          </w:p>
        </w:tc>
        <w:tc>
          <w:tcPr>
            <w:tcW w:w="1940" w:type="dxa"/>
            <w:vAlign w:val="bottom"/>
            <w:gridSpan w:val="14"/>
            <w:shd w:val="clear" w:color="auto" w:fill="CCFFCC"/>
          </w:tcPr>
          <w:p>
            <w:pPr>
              <w:spacing w:after="0" w:line="197" w:lineRule="exact"/>
              <w:rPr>
                <w:sz w:val="20"/>
                <w:szCs w:val="20"/>
                <w:color w:val="auto"/>
              </w:rPr>
            </w:pPr>
            <w:r>
              <w:rPr>
                <w:rFonts w:ascii="Arial" w:cs="Arial" w:eastAsia="Arial" w:hAnsi="Arial"/>
                <w:sz w:val="14"/>
                <w:szCs w:val="14"/>
                <w:b w:val="1"/>
                <w:bCs w:val="1"/>
                <w:color w:val="auto"/>
              </w:rPr>
              <w:t>Totus Solutions, Inc.</w:t>
            </w:r>
            <w:r>
              <w:rPr>
                <w:rFonts w:ascii="Arial" w:cs="Arial" w:eastAsia="Arial" w:hAnsi="Arial"/>
                <w:sz w:val="22"/>
                <w:szCs w:val="22"/>
                <w:b w:val="1"/>
                <w:bCs w:val="1"/>
                <w:color w:val="auto"/>
                <w:vertAlign w:val="superscript"/>
              </w:rPr>
              <w:t>(2)</w:t>
            </w:r>
          </w:p>
        </w:tc>
        <w:tc>
          <w:tcPr>
            <w:tcW w:w="80" w:type="dxa"/>
            <w:vAlign w:val="bottom"/>
            <w:shd w:val="clear" w:color="auto" w:fill="CCFFCC"/>
          </w:tcPr>
          <w:p>
            <w:pPr>
              <w:spacing w:after="0"/>
              <w:rPr>
                <w:sz w:val="18"/>
                <w:szCs w:val="18"/>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9"/>
              </w:rPr>
              <w:t>Carrollton, TX</w:t>
            </w:r>
          </w:p>
        </w:tc>
        <w:tc>
          <w:tcPr>
            <w:tcW w:w="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CCFFCC"/>
            </w:tcBorders>
          </w:tcPr>
          <w:p>
            <w:pPr>
              <w:spacing w:after="0"/>
              <w:rPr>
                <w:sz w:val="17"/>
                <w:szCs w:val="17"/>
                <w:color w:val="auto"/>
              </w:rPr>
            </w:pPr>
          </w:p>
        </w:tc>
        <w:tc>
          <w:tcPr>
            <w:tcW w:w="1400" w:type="dxa"/>
            <w:vAlign w:val="bottom"/>
            <w:tcBorders>
              <w:top w:val="single" w:sz="8" w:color="auto"/>
            </w:tcBorders>
            <w:gridSpan w:val="9"/>
          </w:tcPr>
          <w:p>
            <w:pPr>
              <w:spacing w:after="0"/>
              <w:rPr>
                <w:sz w:val="20"/>
                <w:szCs w:val="20"/>
                <w:color w:val="auto"/>
              </w:rPr>
            </w:pPr>
            <w:r>
              <w:rPr>
                <w:rFonts w:ascii="Arial" w:cs="Arial" w:eastAsia="Arial" w:hAnsi="Arial"/>
                <w:sz w:val="16"/>
                <w:szCs w:val="16"/>
                <w:color w:val="auto"/>
              </w:rPr>
              <w:t>Common shares</w:t>
            </w:r>
          </w:p>
        </w:tc>
        <w:tc>
          <w:tcPr>
            <w:tcW w:w="540" w:type="dxa"/>
            <w:vAlign w:val="bottom"/>
            <w:tcBorders>
              <w:top w:val="single" w:sz="8" w:color="CCFFCC"/>
            </w:tcBorders>
            <w:gridSpan w:val="5"/>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2460" w:type="dxa"/>
            <w:vAlign w:val="bottom"/>
            <w:tcBorders>
              <w:top w:val="single" w:sz="8" w:color="CCFFCC"/>
            </w:tcBorders>
          </w:tcPr>
          <w:p>
            <w:pPr>
              <w:jc w:val="center"/>
              <w:spacing w:after="0"/>
              <w:rPr>
                <w:sz w:val="20"/>
                <w:szCs w:val="20"/>
                <w:color w:val="auto"/>
              </w:rPr>
            </w:pPr>
            <w:r>
              <w:rPr>
                <w:rFonts w:ascii="Arial" w:cs="Arial" w:eastAsia="Arial" w:hAnsi="Arial"/>
                <w:sz w:val="16"/>
                <w:szCs w:val="16"/>
                <w:color w:val="auto"/>
                <w:w w:val="98"/>
              </w:rPr>
              <w:t>LED Lighting</w:t>
            </w:r>
          </w:p>
        </w:tc>
        <w:tc>
          <w:tcPr>
            <w:tcW w:w="1000" w:type="dxa"/>
            <w:vAlign w:val="bottom"/>
            <w:tcBorders>
              <w:top w:val="single" w:sz="8" w:color="CCFFCC"/>
            </w:tcBorders>
            <w:gridSpan w:val="2"/>
          </w:tcPr>
          <w:p>
            <w:pPr>
              <w:jc w:val="right"/>
              <w:spacing w:after="0"/>
              <w:rPr>
                <w:sz w:val="20"/>
                <w:szCs w:val="20"/>
                <w:color w:val="auto"/>
              </w:rPr>
            </w:pPr>
            <w:r>
              <w:rPr>
                <w:rFonts w:ascii="Arial" w:cs="Arial" w:eastAsia="Arial" w:hAnsi="Arial"/>
                <w:sz w:val="16"/>
                <w:szCs w:val="16"/>
                <w:color w:val="auto"/>
              </w:rPr>
              <w:t>20,000,000</w:t>
            </w:r>
          </w:p>
        </w:tc>
        <w:tc>
          <w:tcPr>
            <w:tcW w:w="980" w:type="dxa"/>
            <w:vAlign w:val="bottom"/>
            <w:tcBorders>
              <w:top w:val="single" w:sz="8" w:color="CCFFCC"/>
            </w:tcBorders>
            <w:gridSpan w:val="2"/>
          </w:tcPr>
          <w:p>
            <w:pPr>
              <w:jc w:val="right"/>
              <w:spacing w:after="0"/>
              <w:rPr>
                <w:sz w:val="20"/>
                <w:szCs w:val="20"/>
                <w:color w:val="auto"/>
              </w:rPr>
            </w:pPr>
            <w:r>
              <w:rPr>
                <w:rFonts w:ascii="Arial" w:cs="Arial" w:eastAsia="Arial" w:hAnsi="Arial"/>
                <w:sz w:val="16"/>
                <w:szCs w:val="16"/>
                <w:color w:val="auto"/>
              </w:rPr>
              <w:t>$ 5,023,748</w:t>
            </w:r>
          </w:p>
        </w:tc>
        <w:tc>
          <w:tcPr>
            <w:tcW w:w="980" w:type="dxa"/>
            <w:vAlign w:val="bottom"/>
            <w:tcBorders>
              <w:top w:val="single" w:sz="8" w:color="CCFFCC"/>
            </w:tcBorders>
            <w:gridSpan w:val="2"/>
          </w:tcPr>
          <w:p>
            <w:pPr>
              <w:jc w:val="right"/>
              <w:spacing w:after="0"/>
              <w:rPr>
                <w:sz w:val="20"/>
                <w:szCs w:val="20"/>
                <w:color w:val="auto"/>
              </w:rPr>
            </w:pPr>
            <w:r>
              <w:rPr>
                <w:rFonts w:ascii="Arial" w:cs="Arial" w:eastAsia="Arial" w:hAnsi="Arial"/>
                <w:sz w:val="16"/>
                <w:szCs w:val="16"/>
                <w:color w:val="auto"/>
              </w:rPr>
              <w:t>$ 3,960,000</w:t>
            </w:r>
          </w:p>
        </w:tc>
        <w:tc>
          <w:tcPr>
            <w:tcW w:w="760" w:type="dxa"/>
            <w:vAlign w:val="bottom"/>
            <w:tcBorders>
              <w:top w:val="single" w:sz="8" w:color="CCFFCC"/>
            </w:tcBorders>
            <w:gridSpan w:val="3"/>
          </w:tcPr>
          <w:p>
            <w:pPr>
              <w:jc w:val="center"/>
              <w:ind w:left="59"/>
              <w:spacing w:after="0"/>
              <w:rPr>
                <w:sz w:val="20"/>
                <w:szCs w:val="20"/>
                <w:color w:val="auto"/>
              </w:rPr>
            </w:pPr>
            <w:r>
              <w:rPr>
                <w:rFonts w:ascii="Arial" w:cs="Arial" w:eastAsia="Arial" w:hAnsi="Arial"/>
                <w:sz w:val="16"/>
                <w:szCs w:val="16"/>
                <w:color w:val="auto"/>
                <w:w w:val="92"/>
              </w:rPr>
              <w:t>1.62%</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spacing w:after="0" w:line="202" w:lineRule="exact"/>
              <w:rPr>
                <w:sz w:val="20"/>
                <w:szCs w:val="20"/>
                <w:color w:val="auto"/>
              </w:rPr>
            </w:pPr>
            <w:r>
              <w:rPr>
                <w:rFonts w:ascii="Arial" w:cs="Arial" w:eastAsia="Arial" w:hAnsi="Arial"/>
                <w:sz w:val="14"/>
                <w:szCs w:val="14"/>
                <w:b w:val="1"/>
                <w:bCs w:val="1"/>
                <w:color w:val="auto"/>
              </w:rPr>
              <w:t>Grockit, Inc.</w:t>
            </w:r>
            <w:r>
              <w:rPr>
                <w:rFonts w:ascii="Arial" w:cs="Arial" w:eastAsia="Arial" w:hAnsi="Arial"/>
                <w:sz w:val="23"/>
                <w:szCs w:val="23"/>
                <w:b w:val="1"/>
                <w:bCs w:val="1"/>
                <w:color w:val="auto"/>
                <w:vertAlign w:val="superscript"/>
              </w:rPr>
              <w:t>(2)</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rPr>
              <w:t>Preferred shares, Series D</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1"/>
              </w:rPr>
              <w:t>Online Test Preparation</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2,728,252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2,005,945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2,247,398</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0.92%</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spacing w:after="0"/>
              <w:rPr>
                <w:sz w:val="20"/>
                <w:szCs w:val="20"/>
                <w:color w:val="auto"/>
              </w:rPr>
            </w:pPr>
            <w:r>
              <w:rPr>
                <w:rFonts w:ascii="Arial" w:cs="Arial" w:eastAsia="Arial" w:hAnsi="Arial"/>
                <w:sz w:val="16"/>
                <w:szCs w:val="16"/>
                <w:color w:val="auto"/>
              </w:rPr>
              <w:t>Preferred shares, Series E</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1,731,501</w:t>
            </w: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1,503,670</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1,499,999</w:t>
            </w:r>
          </w:p>
        </w:tc>
        <w:tc>
          <w:tcPr>
            <w:tcW w:w="760" w:type="dxa"/>
            <w:vAlign w:val="bottom"/>
            <w:gridSpan w:val="3"/>
            <w:shd w:val="clear" w:color="auto" w:fill="CCFFCC"/>
          </w:tcPr>
          <w:p>
            <w:pPr>
              <w:jc w:val="center"/>
              <w:ind w:left="59"/>
              <w:spacing w:after="0"/>
              <w:rPr>
                <w:sz w:val="20"/>
                <w:szCs w:val="20"/>
                <w:color w:val="auto"/>
              </w:rPr>
            </w:pPr>
            <w:r>
              <w:rPr>
                <w:rFonts w:ascii="Arial" w:cs="Arial" w:eastAsia="Arial" w:hAnsi="Arial"/>
                <w:sz w:val="16"/>
                <w:szCs w:val="16"/>
                <w:color w:val="auto"/>
                <w:w w:val="92"/>
              </w:rPr>
              <w:t>0.61%</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3,509,615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3,747,397</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1.53%</w:t>
            </w: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spacing w:after="0" w:line="197" w:lineRule="exact"/>
              <w:rPr>
                <w:sz w:val="20"/>
                <w:szCs w:val="20"/>
                <w:color w:val="auto"/>
              </w:rPr>
            </w:pPr>
            <w:r>
              <w:rPr>
                <w:rFonts w:ascii="Arial" w:cs="Arial" w:eastAsia="Arial" w:hAnsi="Arial"/>
                <w:sz w:val="14"/>
                <w:szCs w:val="14"/>
                <w:b w:val="1"/>
                <w:bCs w:val="1"/>
                <w:color w:val="auto"/>
              </w:rPr>
              <w:t>StormWind, LLC</w:t>
            </w:r>
            <w:r>
              <w:rPr>
                <w:rFonts w:ascii="Arial" w:cs="Arial" w:eastAsia="Arial" w:hAnsi="Arial"/>
                <w:sz w:val="22"/>
                <w:szCs w:val="22"/>
                <w:b w:val="1"/>
                <w:bCs w:val="1"/>
                <w:color w:val="auto"/>
                <w:vertAlign w:val="superscript"/>
              </w:rPr>
              <w:t>(2)(5)</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4"/>
              </w:rPr>
              <w:t>Scottsdale, AZ</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top w:val="single" w:sz="8" w:color="auto"/>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top w:val="single" w:sz="8" w:color="auto"/>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tcBorders>
              <w:top w:val="single" w:sz="8" w:color="auto"/>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Interactive Learning Platform</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3,279,629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2,019,687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3,552,931</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1.45%</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FFCC"/>
            </w:tcBorders>
            <w:shd w:val="clear" w:color="auto" w:fill="CCFFCC"/>
          </w:tcPr>
          <w:p>
            <w:pPr>
              <w:spacing w:after="0"/>
              <w:rPr>
                <w:sz w:val="15"/>
                <w:szCs w:val="15"/>
                <w:color w:val="auto"/>
              </w:rPr>
            </w:pPr>
          </w:p>
        </w:tc>
        <w:tc>
          <w:tcPr>
            <w:tcW w:w="1900" w:type="dxa"/>
            <w:vAlign w:val="bottom"/>
            <w:tcBorders>
              <w:bottom w:val="single" w:sz="8" w:color="auto"/>
            </w:tcBorders>
            <w:gridSpan w:val="13"/>
            <w:shd w:val="clear" w:color="auto" w:fill="CCFFCC"/>
          </w:tcPr>
          <w:p>
            <w:pPr>
              <w:spacing w:after="0" w:line="162" w:lineRule="exact"/>
              <w:rPr>
                <w:sz w:val="20"/>
                <w:szCs w:val="20"/>
                <w:color w:val="auto"/>
              </w:rPr>
            </w:pPr>
            <w:r>
              <w:rPr>
                <w:rFonts w:ascii="Arial" w:cs="Arial" w:eastAsia="Arial" w:hAnsi="Arial"/>
                <w:sz w:val="16"/>
                <w:szCs w:val="16"/>
                <w:b w:val="1"/>
                <w:bCs w:val="1"/>
                <w:color w:val="auto"/>
                <w:w w:val="91"/>
              </w:rPr>
              <w:t>Bloom Energy Corporation</w:t>
            </w:r>
          </w:p>
        </w:tc>
        <w:tc>
          <w:tcPr>
            <w:tcW w:w="40" w:type="dxa"/>
            <w:vAlign w:val="bottom"/>
            <w:tcBorders>
              <w:bottom w:val="single" w:sz="8" w:color="CCFFCC"/>
            </w:tcBorders>
            <w:shd w:val="clear" w:color="auto" w:fill="CCFFCC"/>
          </w:tcPr>
          <w:p>
            <w:pPr>
              <w:spacing w:after="0"/>
              <w:rPr>
                <w:sz w:val="15"/>
                <w:szCs w:val="15"/>
                <w:color w:val="auto"/>
              </w:rPr>
            </w:pPr>
          </w:p>
        </w:tc>
        <w:tc>
          <w:tcPr>
            <w:tcW w:w="80" w:type="dxa"/>
            <w:vAlign w:val="bottom"/>
            <w:tcBorders>
              <w:bottom w:val="single" w:sz="8" w:color="CCFFCC"/>
            </w:tcBorders>
            <w:shd w:val="clear" w:color="auto" w:fill="CCFFCC"/>
          </w:tcPr>
          <w:p>
            <w:pPr>
              <w:spacing w:after="0"/>
              <w:rPr>
                <w:sz w:val="15"/>
                <w:szCs w:val="15"/>
                <w:color w:val="auto"/>
              </w:rPr>
            </w:pPr>
          </w:p>
        </w:tc>
        <w:tc>
          <w:tcPr>
            <w:tcW w:w="2460" w:type="dxa"/>
            <w:vAlign w:val="bottom"/>
            <w:tcBorders>
              <w:bottom w:val="single" w:sz="8" w:color="CCFFCC"/>
            </w:tcBorders>
            <w:shd w:val="clear" w:color="auto" w:fill="CCFFCC"/>
          </w:tcPr>
          <w:p>
            <w:pPr>
              <w:jc w:val="center"/>
              <w:spacing w:after="0" w:line="162" w:lineRule="exact"/>
              <w:rPr>
                <w:sz w:val="20"/>
                <w:szCs w:val="20"/>
                <w:color w:val="auto"/>
              </w:rPr>
            </w:pPr>
            <w:r>
              <w:rPr>
                <w:rFonts w:ascii="Arial" w:cs="Arial" w:eastAsia="Arial" w:hAnsi="Arial"/>
                <w:sz w:val="16"/>
                <w:szCs w:val="16"/>
                <w:color w:val="auto"/>
                <w:w w:val="92"/>
              </w:rPr>
              <w:t>Sunnyvale, CA</w:t>
            </w:r>
          </w:p>
        </w:tc>
        <w:tc>
          <w:tcPr>
            <w:tcW w:w="80" w:type="dxa"/>
            <w:vAlign w:val="bottom"/>
            <w:tcBorders>
              <w:bottom w:val="single" w:sz="8" w:color="CCFFCC"/>
            </w:tcBorders>
            <w:shd w:val="clear" w:color="auto" w:fill="CCFFCC"/>
          </w:tcPr>
          <w:p>
            <w:pPr>
              <w:spacing w:after="0"/>
              <w:rPr>
                <w:sz w:val="15"/>
                <w:szCs w:val="15"/>
                <w:color w:val="auto"/>
              </w:rPr>
            </w:pPr>
          </w:p>
        </w:tc>
        <w:tc>
          <w:tcPr>
            <w:tcW w:w="920" w:type="dxa"/>
            <w:vAlign w:val="bottom"/>
            <w:tcBorders>
              <w:bottom w:val="single" w:sz="8" w:color="CCFFCC"/>
            </w:tcBorders>
            <w:shd w:val="clear" w:color="auto" w:fill="CCFFCC"/>
          </w:tcPr>
          <w:p>
            <w:pPr>
              <w:spacing w:after="0"/>
              <w:rPr>
                <w:sz w:val="15"/>
                <w:szCs w:val="15"/>
                <w:color w:val="auto"/>
              </w:rPr>
            </w:pPr>
          </w:p>
        </w:tc>
        <w:tc>
          <w:tcPr>
            <w:tcW w:w="100" w:type="dxa"/>
            <w:vAlign w:val="bottom"/>
            <w:tcBorders>
              <w:bottom w:val="single" w:sz="8" w:color="CCFFCC"/>
            </w:tcBorders>
            <w:shd w:val="clear" w:color="auto" w:fill="CCFFCC"/>
          </w:tcPr>
          <w:p>
            <w:pPr>
              <w:spacing w:after="0"/>
              <w:rPr>
                <w:sz w:val="15"/>
                <w:szCs w:val="15"/>
                <w:color w:val="auto"/>
              </w:rPr>
            </w:pPr>
          </w:p>
        </w:tc>
        <w:tc>
          <w:tcPr>
            <w:tcW w:w="880" w:type="dxa"/>
            <w:vAlign w:val="bottom"/>
            <w:tcBorders>
              <w:bottom w:val="single" w:sz="8" w:color="CCFFCC"/>
              <w:right w:val="single" w:sz="8" w:color="CCFFCC"/>
            </w:tcBorders>
            <w:shd w:val="clear" w:color="auto" w:fill="CCFFCC"/>
          </w:tcPr>
          <w:p>
            <w:pPr>
              <w:spacing w:after="0"/>
              <w:rPr>
                <w:sz w:val="15"/>
                <w:szCs w:val="15"/>
                <w:color w:val="auto"/>
              </w:rPr>
            </w:pPr>
          </w:p>
        </w:tc>
        <w:tc>
          <w:tcPr>
            <w:tcW w:w="100" w:type="dxa"/>
            <w:vAlign w:val="bottom"/>
            <w:tcBorders>
              <w:bottom w:val="single" w:sz="8" w:color="CCFFCC"/>
            </w:tcBorders>
            <w:shd w:val="clear" w:color="auto" w:fill="CCFFCC"/>
          </w:tcPr>
          <w:p>
            <w:pPr>
              <w:spacing w:after="0"/>
              <w:rPr>
                <w:sz w:val="15"/>
                <w:szCs w:val="15"/>
                <w:color w:val="auto"/>
              </w:rPr>
            </w:pPr>
          </w:p>
        </w:tc>
        <w:tc>
          <w:tcPr>
            <w:tcW w:w="880" w:type="dxa"/>
            <w:vAlign w:val="bottom"/>
            <w:tcBorders>
              <w:bottom w:val="single" w:sz="8" w:color="CCFFCC"/>
              <w:right w:val="single" w:sz="8" w:color="CCFFCC"/>
            </w:tcBorders>
            <w:shd w:val="clear" w:color="auto" w:fill="CCFFCC"/>
          </w:tcPr>
          <w:p>
            <w:pPr>
              <w:spacing w:after="0"/>
              <w:rPr>
                <w:sz w:val="15"/>
                <w:szCs w:val="15"/>
                <w:color w:val="auto"/>
              </w:rPr>
            </w:pPr>
          </w:p>
        </w:tc>
        <w:tc>
          <w:tcPr>
            <w:tcW w:w="80" w:type="dxa"/>
            <w:vAlign w:val="bottom"/>
            <w:tcBorders>
              <w:bottom w:val="single" w:sz="8" w:color="CCFFCC"/>
            </w:tcBorders>
            <w:shd w:val="clear" w:color="auto" w:fill="CCFFCC"/>
          </w:tcPr>
          <w:p>
            <w:pPr>
              <w:spacing w:after="0"/>
              <w:rPr>
                <w:sz w:val="15"/>
                <w:szCs w:val="15"/>
                <w:color w:val="auto"/>
              </w:rPr>
            </w:pPr>
          </w:p>
        </w:tc>
        <w:tc>
          <w:tcPr>
            <w:tcW w:w="440" w:type="dxa"/>
            <w:vAlign w:val="bottom"/>
            <w:tcBorders>
              <w:bottom w:val="single" w:sz="8" w:color="CCFFCC"/>
            </w:tcBorders>
            <w:shd w:val="clear" w:color="auto" w:fill="CCFFCC"/>
          </w:tcPr>
          <w:p>
            <w:pPr>
              <w:spacing w:after="0"/>
              <w:rPr>
                <w:sz w:val="15"/>
                <w:szCs w:val="15"/>
                <w:color w:val="auto"/>
              </w:rPr>
            </w:pPr>
          </w:p>
        </w:tc>
        <w:tc>
          <w:tcPr>
            <w:tcW w:w="240" w:type="dxa"/>
            <w:vAlign w:val="bottom"/>
            <w:tcBorders>
              <w:bottom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Fuel Cell Energy</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201,589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3,855,601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3,408,870</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1.39%</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spacing w:after="0" w:line="202" w:lineRule="exact"/>
              <w:rPr>
                <w:sz w:val="20"/>
                <w:szCs w:val="20"/>
                <w:color w:val="auto"/>
              </w:rPr>
            </w:pPr>
            <w:r>
              <w:rPr>
                <w:rFonts w:ascii="Arial" w:cs="Arial" w:eastAsia="Arial" w:hAnsi="Arial"/>
                <w:sz w:val="14"/>
                <w:szCs w:val="14"/>
                <w:b w:val="1"/>
                <w:bCs w:val="1"/>
                <w:color w:val="auto"/>
              </w:rPr>
              <w:t>Fullbridge, Inc.</w:t>
            </w:r>
            <w:r>
              <w:rPr>
                <w:rFonts w:ascii="Arial" w:cs="Arial" w:eastAsia="Arial" w:hAnsi="Arial"/>
                <w:sz w:val="23"/>
                <w:szCs w:val="23"/>
                <w:b w:val="1"/>
                <w:bCs w:val="1"/>
                <w:color w:val="auto"/>
                <w:vertAlign w:val="superscript"/>
              </w:rPr>
              <w:t>(2)</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5"/>
              </w:rPr>
              <w:t>Cambridge, MA</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rPr>
              <w:t>Preferred shares, Series C</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89"/>
              </w:rPr>
              <w:t>Business Education</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1,728,724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3,260,465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3,250,001</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1.33%</w:t>
            </w:r>
          </w:p>
        </w:tc>
        <w:tc>
          <w:tcPr>
            <w:tcW w:w="0" w:type="dxa"/>
            <w:vAlign w:val="bottom"/>
          </w:tcPr>
          <w:p>
            <w:pPr>
              <w:spacing w:after="0"/>
              <w:rPr>
                <w:sz w:val="1"/>
                <w:szCs w:val="1"/>
                <w:color w:val="auto"/>
              </w:rPr>
            </w:pPr>
          </w:p>
        </w:tc>
      </w:tr>
      <w:tr>
        <w:trPr>
          <w:trHeight w:val="223"/>
        </w:trPr>
        <w:tc>
          <w:tcPr>
            <w:tcW w:w="20" w:type="dxa"/>
            <w:vAlign w:val="bottom"/>
            <w:shd w:val="clear" w:color="auto" w:fill="CCFFCC"/>
          </w:tcPr>
          <w:p>
            <w:pPr>
              <w:spacing w:after="0"/>
              <w:rPr>
                <w:sz w:val="19"/>
                <w:szCs w:val="19"/>
                <w:color w:val="auto"/>
              </w:rPr>
            </w:pPr>
          </w:p>
        </w:tc>
        <w:tc>
          <w:tcPr>
            <w:tcW w:w="1940" w:type="dxa"/>
            <w:vAlign w:val="bottom"/>
            <w:gridSpan w:val="14"/>
            <w:shd w:val="clear" w:color="auto" w:fill="CCFFCC"/>
          </w:tcPr>
          <w:p>
            <w:pPr>
              <w:spacing w:after="0" w:line="202" w:lineRule="exact"/>
              <w:rPr>
                <w:sz w:val="20"/>
                <w:szCs w:val="20"/>
                <w:color w:val="auto"/>
              </w:rPr>
            </w:pPr>
            <w:r>
              <w:rPr>
                <w:rFonts w:ascii="Arial" w:cs="Arial" w:eastAsia="Arial" w:hAnsi="Arial"/>
                <w:sz w:val="14"/>
                <w:szCs w:val="14"/>
                <w:b w:val="1"/>
                <w:bCs w:val="1"/>
                <w:color w:val="auto"/>
              </w:rPr>
              <w:t>Spotify Technology S.A.</w:t>
            </w:r>
            <w:r>
              <w:rPr>
                <w:rFonts w:ascii="Arial" w:cs="Arial" w:eastAsia="Arial" w:hAnsi="Arial"/>
                <w:sz w:val="23"/>
                <w:szCs w:val="23"/>
                <w:b w:val="1"/>
                <w:bCs w:val="1"/>
                <w:color w:val="auto"/>
                <w:vertAlign w:val="superscript"/>
              </w:rPr>
              <w:t>(8)</w:t>
            </w:r>
          </w:p>
        </w:tc>
        <w:tc>
          <w:tcPr>
            <w:tcW w:w="80" w:type="dxa"/>
            <w:vAlign w:val="bottom"/>
            <w:shd w:val="clear" w:color="auto" w:fill="CCFFCC"/>
          </w:tcPr>
          <w:p>
            <w:pPr>
              <w:spacing w:after="0"/>
              <w:rPr>
                <w:sz w:val="19"/>
                <w:szCs w:val="19"/>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Stockholm, Sweden</w:t>
            </w:r>
          </w:p>
        </w:tc>
        <w:tc>
          <w:tcPr>
            <w:tcW w:w="80" w:type="dxa"/>
            <w:vAlign w:val="bottom"/>
            <w:shd w:val="clear" w:color="auto" w:fill="CCFFCC"/>
          </w:tcPr>
          <w:p>
            <w:pPr>
              <w:spacing w:after="0"/>
              <w:rPr>
                <w:sz w:val="19"/>
                <w:szCs w:val="19"/>
                <w:color w:val="auto"/>
              </w:rPr>
            </w:pPr>
          </w:p>
        </w:tc>
        <w:tc>
          <w:tcPr>
            <w:tcW w:w="9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80" w:type="dxa"/>
            <w:vAlign w:val="bottom"/>
            <w:tcBorders>
              <w:right w:val="single" w:sz="8" w:color="CCFFCC"/>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80" w:type="dxa"/>
            <w:vAlign w:val="bottom"/>
            <w:tcBorders>
              <w:right w:val="single" w:sz="8" w:color="CCFFCC"/>
            </w:tcBorders>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Borders>
              <w:top w:val="single" w:sz="8" w:color="CCFFCC"/>
            </w:tcBorders>
          </w:tcPr>
          <w:p>
            <w:pPr>
              <w:spacing w:after="0"/>
              <w:rPr>
                <w:sz w:val="16"/>
                <w:szCs w:val="16"/>
                <w:color w:val="auto"/>
              </w:rPr>
            </w:pPr>
          </w:p>
        </w:tc>
        <w:tc>
          <w:tcPr>
            <w:tcW w:w="1640" w:type="dxa"/>
            <w:vAlign w:val="bottom"/>
            <w:tcBorders>
              <w:top w:val="single" w:sz="8" w:color="auto"/>
            </w:tcBorders>
            <w:gridSpan w:val="11"/>
          </w:tcPr>
          <w:p>
            <w:pPr>
              <w:spacing w:after="0"/>
              <w:rPr>
                <w:sz w:val="20"/>
                <w:szCs w:val="20"/>
                <w:color w:val="auto"/>
              </w:rPr>
            </w:pPr>
            <w:r>
              <w:rPr>
                <w:rFonts w:ascii="Arial" w:cs="Arial" w:eastAsia="Arial" w:hAnsi="Arial"/>
                <w:sz w:val="16"/>
                <w:szCs w:val="16"/>
                <w:color w:val="auto"/>
              </w:rPr>
              <w:t>Common shares</w:t>
            </w:r>
          </w:p>
        </w:tc>
        <w:tc>
          <w:tcPr>
            <w:tcW w:w="300" w:type="dxa"/>
            <w:vAlign w:val="bottom"/>
            <w:tcBorders>
              <w:top w:val="single" w:sz="8" w:color="CCFFCC"/>
            </w:tcBorders>
            <w:gridSpan w:val="3"/>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c>
          <w:tcPr>
            <w:tcW w:w="2460" w:type="dxa"/>
            <w:vAlign w:val="bottom"/>
            <w:tcBorders>
              <w:top w:val="single" w:sz="8" w:color="CCFFCC"/>
            </w:tcBorders>
          </w:tcPr>
          <w:p>
            <w:pPr>
              <w:jc w:val="center"/>
              <w:spacing w:after="0"/>
              <w:rPr>
                <w:sz w:val="20"/>
                <w:szCs w:val="20"/>
                <w:color w:val="auto"/>
              </w:rPr>
            </w:pPr>
            <w:r>
              <w:rPr>
                <w:rFonts w:ascii="Arial" w:cs="Arial" w:eastAsia="Arial" w:hAnsi="Arial"/>
                <w:sz w:val="16"/>
                <w:szCs w:val="16"/>
                <w:color w:val="auto"/>
              </w:rPr>
              <w:t>Music</w:t>
            </w:r>
          </w:p>
        </w:tc>
        <w:tc>
          <w:tcPr>
            <w:tcW w:w="1000" w:type="dxa"/>
            <w:vAlign w:val="bottom"/>
            <w:tcBorders>
              <w:top w:val="single" w:sz="8" w:color="CCFFCC"/>
            </w:tcBorders>
            <w:gridSpan w:val="2"/>
          </w:tcPr>
          <w:p>
            <w:pPr>
              <w:jc w:val="right"/>
              <w:spacing w:after="0"/>
              <w:rPr>
                <w:sz w:val="20"/>
                <w:szCs w:val="20"/>
                <w:color w:val="auto"/>
              </w:rPr>
            </w:pPr>
            <w:r>
              <w:rPr>
                <w:rFonts w:ascii="Arial" w:cs="Arial" w:eastAsia="Arial" w:hAnsi="Arial"/>
                <w:sz w:val="16"/>
                <w:szCs w:val="16"/>
                <w:color w:val="auto"/>
              </w:rPr>
              <w:t>3,658</w:t>
            </w:r>
          </w:p>
        </w:tc>
        <w:tc>
          <w:tcPr>
            <w:tcW w:w="980" w:type="dxa"/>
            <w:vAlign w:val="bottom"/>
            <w:tcBorders>
              <w:top w:val="single" w:sz="8" w:color="CCFFCC"/>
            </w:tcBorders>
            <w:gridSpan w:val="2"/>
          </w:tcPr>
          <w:p>
            <w:pPr>
              <w:jc w:val="right"/>
              <w:spacing w:after="0"/>
              <w:rPr>
                <w:sz w:val="20"/>
                <w:szCs w:val="20"/>
                <w:color w:val="auto"/>
              </w:rPr>
            </w:pPr>
            <w:r>
              <w:rPr>
                <w:rFonts w:ascii="Arial" w:cs="Arial" w:eastAsia="Arial" w:hAnsi="Arial"/>
                <w:sz w:val="16"/>
                <w:szCs w:val="16"/>
                <w:color w:val="auto"/>
              </w:rPr>
              <w:t>3,598,472</w:t>
            </w:r>
          </w:p>
        </w:tc>
        <w:tc>
          <w:tcPr>
            <w:tcW w:w="980" w:type="dxa"/>
            <w:vAlign w:val="bottom"/>
            <w:tcBorders>
              <w:top w:val="single" w:sz="8" w:color="CCFFCC"/>
            </w:tcBorders>
            <w:gridSpan w:val="2"/>
          </w:tcPr>
          <w:p>
            <w:pPr>
              <w:jc w:val="right"/>
              <w:spacing w:after="0"/>
              <w:rPr>
                <w:sz w:val="20"/>
                <w:szCs w:val="20"/>
                <w:color w:val="auto"/>
              </w:rPr>
            </w:pPr>
            <w:r>
              <w:rPr>
                <w:rFonts w:ascii="Arial" w:cs="Arial" w:eastAsia="Arial" w:hAnsi="Arial"/>
                <w:sz w:val="16"/>
                <w:szCs w:val="16"/>
                <w:color w:val="auto"/>
              </w:rPr>
              <w:t>3,164,575</w:t>
            </w:r>
          </w:p>
        </w:tc>
        <w:tc>
          <w:tcPr>
            <w:tcW w:w="760" w:type="dxa"/>
            <w:vAlign w:val="bottom"/>
            <w:tcBorders>
              <w:top w:val="single" w:sz="8" w:color="CCFFCC"/>
            </w:tcBorders>
            <w:gridSpan w:val="3"/>
          </w:tcPr>
          <w:p>
            <w:pPr>
              <w:jc w:val="center"/>
              <w:ind w:left="59"/>
              <w:spacing w:after="0"/>
              <w:rPr>
                <w:sz w:val="20"/>
                <w:szCs w:val="20"/>
                <w:color w:val="auto"/>
              </w:rPr>
            </w:pPr>
            <w:r>
              <w:rPr>
                <w:rFonts w:ascii="Arial" w:cs="Arial" w:eastAsia="Arial" w:hAnsi="Arial"/>
                <w:sz w:val="16"/>
                <w:szCs w:val="16"/>
                <w:color w:val="auto"/>
                <w:w w:val="92"/>
              </w:rPr>
              <w:t>1.29%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0"/>
              </w:rPr>
              <w:t>Streaming Service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FFCC"/>
            </w:tcBorders>
            <w:shd w:val="clear" w:color="auto" w:fill="CCFFCC"/>
          </w:tcPr>
          <w:p>
            <w:pPr>
              <w:spacing w:after="0"/>
              <w:rPr>
                <w:sz w:val="16"/>
                <w:szCs w:val="16"/>
                <w:color w:val="auto"/>
              </w:rPr>
            </w:pPr>
          </w:p>
        </w:tc>
        <w:tc>
          <w:tcPr>
            <w:tcW w:w="1180" w:type="dxa"/>
            <w:vAlign w:val="bottom"/>
            <w:tcBorders>
              <w:bottom w:val="single" w:sz="8" w:color="auto"/>
            </w:tcBorders>
            <w:gridSpan w:val="7"/>
            <w:shd w:val="clear" w:color="auto" w:fill="CCFFCC"/>
          </w:tcPr>
          <w:p>
            <w:pPr>
              <w:spacing w:after="0" w:line="165" w:lineRule="exact"/>
              <w:rPr>
                <w:sz w:val="20"/>
                <w:szCs w:val="20"/>
                <w:color w:val="auto"/>
              </w:rPr>
            </w:pPr>
            <w:r>
              <w:rPr>
                <w:rFonts w:ascii="Arial" w:cs="Arial" w:eastAsia="Arial" w:hAnsi="Arial"/>
                <w:sz w:val="16"/>
                <w:szCs w:val="16"/>
                <w:b w:val="1"/>
                <w:bCs w:val="1"/>
                <w:color w:val="auto"/>
                <w:w w:val="93"/>
              </w:rPr>
              <w:t>Gilt Groupe, Inc.</w:t>
            </w:r>
          </w:p>
        </w:tc>
        <w:tc>
          <w:tcPr>
            <w:tcW w:w="760" w:type="dxa"/>
            <w:vAlign w:val="bottom"/>
            <w:tcBorders>
              <w:bottom w:val="single" w:sz="8" w:color="CCFFCC"/>
            </w:tcBorders>
            <w:gridSpan w:val="7"/>
            <w:shd w:val="clear" w:color="auto" w:fill="CCFFCC"/>
          </w:tcPr>
          <w:p>
            <w:pPr>
              <w:spacing w:after="0"/>
              <w:rPr>
                <w:sz w:val="16"/>
                <w:szCs w:val="16"/>
                <w:color w:val="auto"/>
              </w:rPr>
            </w:pPr>
          </w:p>
        </w:tc>
        <w:tc>
          <w:tcPr>
            <w:tcW w:w="80" w:type="dxa"/>
            <w:vAlign w:val="bottom"/>
            <w:tcBorders>
              <w:bottom w:val="single" w:sz="8" w:color="CCFFCC"/>
            </w:tcBorders>
            <w:shd w:val="clear" w:color="auto" w:fill="CCFFCC"/>
          </w:tcPr>
          <w:p>
            <w:pPr>
              <w:spacing w:after="0"/>
              <w:rPr>
                <w:sz w:val="16"/>
                <w:szCs w:val="16"/>
                <w:color w:val="auto"/>
              </w:rPr>
            </w:pPr>
          </w:p>
        </w:tc>
        <w:tc>
          <w:tcPr>
            <w:tcW w:w="2460" w:type="dxa"/>
            <w:vAlign w:val="bottom"/>
            <w:tcBorders>
              <w:bottom w:val="single" w:sz="8" w:color="CCFFCC"/>
            </w:tcBorders>
            <w:shd w:val="clear" w:color="auto" w:fill="CCFFCC"/>
          </w:tcPr>
          <w:p>
            <w:pPr>
              <w:jc w:val="center"/>
              <w:spacing w:after="0" w:line="165" w:lineRule="exact"/>
              <w:rPr>
                <w:sz w:val="20"/>
                <w:szCs w:val="20"/>
                <w:color w:val="auto"/>
              </w:rPr>
            </w:pPr>
            <w:r>
              <w:rPr>
                <w:rFonts w:ascii="Arial" w:cs="Arial" w:eastAsia="Arial" w:hAnsi="Arial"/>
                <w:sz w:val="16"/>
                <w:szCs w:val="16"/>
                <w:color w:val="auto"/>
                <w:w w:val="97"/>
              </w:rPr>
              <w:t>New York, NY</w:t>
            </w:r>
          </w:p>
        </w:tc>
        <w:tc>
          <w:tcPr>
            <w:tcW w:w="80" w:type="dxa"/>
            <w:vAlign w:val="bottom"/>
            <w:tcBorders>
              <w:bottom w:val="single" w:sz="8" w:color="CCFFCC"/>
            </w:tcBorders>
            <w:shd w:val="clear" w:color="auto" w:fill="CCFFCC"/>
          </w:tcPr>
          <w:p>
            <w:pPr>
              <w:spacing w:after="0"/>
              <w:rPr>
                <w:sz w:val="16"/>
                <w:szCs w:val="16"/>
                <w:color w:val="auto"/>
              </w:rPr>
            </w:pPr>
          </w:p>
        </w:tc>
        <w:tc>
          <w:tcPr>
            <w:tcW w:w="920" w:type="dxa"/>
            <w:vAlign w:val="bottom"/>
            <w:tcBorders>
              <w:bottom w:val="single" w:sz="8" w:color="CCFFCC"/>
            </w:tcBorders>
            <w:shd w:val="clear" w:color="auto" w:fill="CCFFCC"/>
          </w:tcPr>
          <w:p>
            <w:pPr>
              <w:spacing w:after="0"/>
              <w:rPr>
                <w:sz w:val="16"/>
                <w:szCs w:val="16"/>
                <w:color w:val="auto"/>
              </w:rPr>
            </w:pPr>
          </w:p>
        </w:tc>
        <w:tc>
          <w:tcPr>
            <w:tcW w:w="100" w:type="dxa"/>
            <w:vAlign w:val="bottom"/>
            <w:tcBorders>
              <w:bottom w:val="single" w:sz="8" w:color="CCFFCC"/>
            </w:tcBorders>
            <w:shd w:val="clear" w:color="auto" w:fill="CCFFCC"/>
          </w:tcPr>
          <w:p>
            <w:pPr>
              <w:spacing w:after="0"/>
              <w:rPr>
                <w:sz w:val="16"/>
                <w:szCs w:val="16"/>
                <w:color w:val="auto"/>
              </w:rPr>
            </w:pPr>
          </w:p>
        </w:tc>
        <w:tc>
          <w:tcPr>
            <w:tcW w:w="880" w:type="dxa"/>
            <w:vAlign w:val="bottom"/>
            <w:tcBorders>
              <w:bottom w:val="single" w:sz="8" w:color="CCFFCC"/>
              <w:right w:val="single" w:sz="8" w:color="CCFFCC"/>
            </w:tcBorders>
            <w:shd w:val="clear" w:color="auto" w:fill="CCFFCC"/>
          </w:tcPr>
          <w:p>
            <w:pPr>
              <w:spacing w:after="0"/>
              <w:rPr>
                <w:sz w:val="16"/>
                <w:szCs w:val="16"/>
                <w:color w:val="auto"/>
              </w:rPr>
            </w:pPr>
          </w:p>
        </w:tc>
        <w:tc>
          <w:tcPr>
            <w:tcW w:w="100" w:type="dxa"/>
            <w:vAlign w:val="bottom"/>
            <w:tcBorders>
              <w:bottom w:val="single" w:sz="8" w:color="CCFFCC"/>
            </w:tcBorders>
            <w:shd w:val="clear" w:color="auto" w:fill="CCFFCC"/>
          </w:tcPr>
          <w:p>
            <w:pPr>
              <w:spacing w:after="0"/>
              <w:rPr>
                <w:sz w:val="16"/>
                <w:szCs w:val="16"/>
                <w:color w:val="auto"/>
              </w:rPr>
            </w:pPr>
          </w:p>
        </w:tc>
        <w:tc>
          <w:tcPr>
            <w:tcW w:w="880" w:type="dxa"/>
            <w:vAlign w:val="bottom"/>
            <w:tcBorders>
              <w:bottom w:val="single" w:sz="8" w:color="CCFFCC"/>
              <w:right w:val="single" w:sz="8" w:color="CCFFCC"/>
            </w:tcBorders>
            <w:shd w:val="clear" w:color="auto" w:fill="CCFFCC"/>
          </w:tcPr>
          <w:p>
            <w:pPr>
              <w:spacing w:after="0"/>
              <w:rPr>
                <w:sz w:val="16"/>
                <w:szCs w:val="16"/>
                <w:color w:val="auto"/>
              </w:rPr>
            </w:pPr>
          </w:p>
        </w:tc>
        <w:tc>
          <w:tcPr>
            <w:tcW w:w="80" w:type="dxa"/>
            <w:vAlign w:val="bottom"/>
            <w:tcBorders>
              <w:bottom w:val="single" w:sz="8" w:color="CCFFCC"/>
            </w:tcBorders>
            <w:shd w:val="clear" w:color="auto" w:fill="CCFFCC"/>
          </w:tcPr>
          <w:p>
            <w:pPr>
              <w:spacing w:after="0"/>
              <w:rPr>
                <w:sz w:val="16"/>
                <w:szCs w:val="16"/>
                <w:color w:val="auto"/>
              </w:rPr>
            </w:pPr>
          </w:p>
        </w:tc>
        <w:tc>
          <w:tcPr>
            <w:tcW w:w="440" w:type="dxa"/>
            <w:vAlign w:val="bottom"/>
            <w:tcBorders>
              <w:bottom w:val="single" w:sz="8" w:color="CCFFCC"/>
            </w:tcBorders>
            <w:shd w:val="clear" w:color="auto" w:fill="CCFFCC"/>
          </w:tcPr>
          <w:p>
            <w:pPr>
              <w:spacing w:after="0"/>
              <w:rPr>
                <w:sz w:val="16"/>
                <w:szCs w:val="16"/>
                <w:color w:val="auto"/>
              </w:rPr>
            </w:pPr>
          </w:p>
        </w:tc>
        <w:tc>
          <w:tcPr>
            <w:tcW w:w="24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89"/>
              </w:rPr>
              <w:t>e-Commerce Flash Sales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248,600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6,594,346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3,115,269</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1.27%</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FFCC"/>
            </w:tcBorders>
            <w:shd w:val="clear" w:color="auto" w:fill="CCFFCC"/>
          </w:tcPr>
          <w:p>
            <w:pPr>
              <w:spacing w:after="0"/>
              <w:rPr>
                <w:sz w:val="15"/>
                <w:szCs w:val="15"/>
                <w:color w:val="auto"/>
              </w:rPr>
            </w:pPr>
          </w:p>
        </w:tc>
        <w:tc>
          <w:tcPr>
            <w:tcW w:w="840" w:type="dxa"/>
            <w:vAlign w:val="bottom"/>
            <w:tcBorders>
              <w:bottom w:val="single" w:sz="8" w:color="auto"/>
            </w:tcBorders>
            <w:shd w:val="clear" w:color="auto" w:fill="CCFFCC"/>
          </w:tcPr>
          <w:p>
            <w:pPr>
              <w:spacing w:after="0" w:line="162" w:lineRule="exact"/>
              <w:rPr>
                <w:sz w:val="20"/>
                <w:szCs w:val="20"/>
                <w:color w:val="auto"/>
              </w:rPr>
            </w:pPr>
            <w:r>
              <w:rPr>
                <w:rFonts w:ascii="Arial" w:cs="Arial" w:eastAsia="Arial" w:hAnsi="Arial"/>
                <w:sz w:val="16"/>
                <w:szCs w:val="16"/>
                <w:b w:val="1"/>
                <w:bCs w:val="1"/>
                <w:color w:val="auto"/>
                <w:w w:val="90"/>
              </w:rPr>
              <w:t>ZocDoc Inc.</w:t>
            </w:r>
          </w:p>
        </w:tc>
        <w:tc>
          <w:tcPr>
            <w:tcW w:w="1100" w:type="dxa"/>
            <w:vAlign w:val="bottom"/>
            <w:tcBorders>
              <w:bottom w:val="single" w:sz="8" w:color="CCFFCC"/>
            </w:tcBorders>
            <w:gridSpan w:val="13"/>
            <w:shd w:val="clear" w:color="auto" w:fill="CCFFCC"/>
          </w:tcPr>
          <w:p>
            <w:pPr>
              <w:spacing w:after="0"/>
              <w:rPr>
                <w:sz w:val="15"/>
                <w:szCs w:val="15"/>
                <w:color w:val="auto"/>
              </w:rPr>
            </w:pPr>
          </w:p>
        </w:tc>
        <w:tc>
          <w:tcPr>
            <w:tcW w:w="80" w:type="dxa"/>
            <w:vAlign w:val="bottom"/>
            <w:tcBorders>
              <w:bottom w:val="single" w:sz="8" w:color="CCFFCC"/>
            </w:tcBorders>
            <w:shd w:val="clear" w:color="auto" w:fill="CCFFCC"/>
          </w:tcPr>
          <w:p>
            <w:pPr>
              <w:spacing w:after="0"/>
              <w:rPr>
                <w:sz w:val="15"/>
                <w:szCs w:val="15"/>
                <w:color w:val="auto"/>
              </w:rPr>
            </w:pPr>
          </w:p>
        </w:tc>
        <w:tc>
          <w:tcPr>
            <w:tcW w:w="2460" w:type="dxa"/>
            <w:vAlign w:val="bottom"/>
            <w:tcBorders>
              <w:bottom w:val="single" w:sz="8" w:color="CCFFCC"/>
            </w:tcBorders>
            <w:shd w:val="clear" w:color="auto" w:fill="CCFFCC"/>
          </w:tcPr>
          <w:p>
            <w:pPr>
              <w:jc w:val="center"/>
              <w:spacing w:after="0" w:line="162" w:lineRule="exact"/>
              <w:rPr>
                <w:sz w:val="20"/>
                <w:szCs w:val="20"/>
                <w:color w:val="auto"/>
              </w:rPr>
            </w:pPr>
            <w:r>
              <w:rPr>
                <w:rFonts w:ascii="Arial" w:cs="Arial" w:eastAsia="Arial" w:hAnsi="Arial"/>
                <w:sz w:val="16"/>
                <w:szCs w:val="16"/>
                <w:color w:val="auto"/>
                <w:w w:val="97"/>
              </w:rPr>
              <w:t>New York, NY</w:t>
            </w:r>
          </w:p>
        </w:tc>
        <w:tc>
          <w:tcPr>
            <w:tcW w:w="80" w:type="dxa"/>
            <w:vAlign w:val="bottom"/>
            <w:tcBorders>
              <w:bottom w:val="single" w:sz="8" w:color="CCFFCC"/>
            </w:tcBorders>
            <w:shd w:val="clear" w:color="auto" w:fill="CCFFCC"/>
          </w:tcPr>
          <w:p>
            <w:pPr>
              <w:spacing w:after="0"/>
              <w:rPr>
                <w:sz w:val="15"/>
                <w:szCs w:val="15"/>
                <w:color w:val="auto"/>
              </w:rPr>
            </w:pPr>
          </w:p>
        </w:tc>
        <w:tc>
          <w:tcPr>
            <w:tcW w:w="920" w:type="dxa"/>
            <w:vAlign w:val="bottom"/>
            <w:tcBorders>
              <w:bottom w:val="single" w:sz="8" w:color="CCFFCC"/>
            </w:tcBorders>
            <w:shd w:val="clear" w:color="auto" w:fill="CCFFCC"/>
          </w:tcPr>
          <w:p>
            <w:pPr>
              <w:spacing w:after="0"/>
              <w:rPr>
                <w:sz w:val="15"/>
                <w:szCs w:val="15"/>
                <w:color w:val="auto"/>
              </w:rPr>
            </w:pPr>
          </w:p>
        </w:tc>
        <w:tc>
          <w:tcPr>
            <w:tcW w:w="100" w:type="dxa"/>
            <w:vAlign w:val="bottom"/>
            <w:tcBorders>
              <w:bottom w:val="single" w:sz="8" w:color="CCFFCC"/>
            </w:tcBorders>
            <w:shd w:val="clear" w:color="auto" w:fill="CCFFCC"/>
          </w:tcPr>
          <w:p>
            <w:pPr>
              <w:spacing w:after="0"/>
              <w:rPr>
                <w:sz w:val="15"/>
                <w:szCs w:val="15"/>
                <w:color w:val="auto"/>
              </w:rPr>
            </w:pPr>
          </w:p>
        </w:tc>
        <w:tc>
          <w:tcPr>
            <w:tcW w:w="880" w:type="dxa"/>
            <w:vAlign w:val="bottom"/>
            <w:tcBorders>
              <w:bottom w:val="single" w:sz="8" w:color="CCFFCC"/>
              <w:right w:val="single" w:sz="8" w:color="CCFFCC"/>
            </w:tcBorders>
            <w:shd w:val="clear" w:color="auto" w:fill="CCFFCC"/>
          </w:tcPr>
          <w:p>
            <w:pPr>
              <w:spacing w:after="0"/>
              <w:rPr>
                <w:sz w:val="15"/>
                <w:szCs w:val="15"/>
                <w:color w:val="auto"/>
              </w:rPr>
            </w:pPr>
          </w:p>
        </w:tc>
        <w:tc>
          <w:tcPr>
            <w:tcW w:w="100" w:type="dxa"/>
            <w:vAlign w:val="bottom"/>
            <w:tcBorders>
              <w:bottom w:val="single" w:sz="8" w:color="CCFFCC"/>
            </w:tcBorders>
            <w:shd w:val="clear" w:color="auto" w:fill="CCFFCC"/>
          </w:tcPr>
          <w:p>
            <w:pPr>
              <w:spacing w:after="0"/>
              <w:rPr>
                <w:sz w:val="15"/>
                <w:szCs w:val="15"/>
                <w:color w:val="auto"/>
              </w:rPr>
            </w:pPr>
          </w:p>
        </w:tc>
        <w:tc>
          <w:tcPr>
            <w:tcW w:w="880" w:type="dxa"/>
            <w:vAlign w:val="bottom"/>
            <w:tcBorders>
              <w:bottom w:val="single" w:sz="8" w:color="CCFFCC"/>
              <w:right w:val="single" w:sz="8" w:color="CCFFCC"/>
            </w:tcBorders>
            <w:shd w:val="clear" w:color="auto" w:fill="CCFFCC"/>
          </w:tcPr>
          <w:p>
            <w:pPr>
              <w:spacing w:after="0"/>
              <w:rPr>
                <w:sz w:val="15"/>
                <w:szCs w:val="15"/>
                <w:color w:val="auto"/>
              </w:rPr>
            </w:pPr>
          </w:p>
        </w:tc>
        <w:tc>
          <w:tcPr>
            <w:tcW w:w="80" w:type="dxa"/>
            <w:vAlign w:val="bottom"/>
            <w:tcBorders>
              <w:bottom w:val="single" w:sz="8" w:color="CCFFCC"/>
            </w:tcBorders>
            <w:shd w:val="clear" w:color="auto" w:fill="CCFFCC"/>
          </w:tcPr>
          <w:p>
            <w:pPr>
              <w:spacing w:after="0"/>
              <w:rPr>
                <w:sz w:val="15"/>
                <w:szCs w:val="15"/>
                <w:color w:val="auto"/>
              </w:rPr>
            </w:pPr>
          </w:p>
        </w:tc>
        <w:tc>
          <w:tcPr>
            <w:tcW w:w="440" w:type="dxa"/>
            <w:vAlign w:val="bottom"/>
            <w:tcBorders>
              <w:bottom w:val="single" w:sz="8" w:color="CCFFCC"/>
            </w:tcBorders>
            <w:shd w:val="clear" w:color="auto" w:fill="CCFFCC"/>
          </w:tcPr>
          <w:p>
            <w:pPr>
              <w:spacing w:after="0"/>
              <w:rPr>
                <w:sz w:val="15"/>
                <w:szCs w:val="15"/>
                <w:color w:val="auto"/>
              </w:rPr>
            </w:pPr>
          </w:p>
        </w:tc>
        <w:tc>
          <w:tcPr>
            <w:tcW w:w="240" w:type="dxa"/>
            <w:vAlign w:val="bottom"/>
            <w:tcBorders>
              <w:bottom w:val="single" w:sz="8" w:color="CCFFCC"/>
            </w:tcBorders>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6"/>
              </w:rPr>
              <w:t>Online Medical</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3,563,178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3,100,000</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1.26%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Scheduling</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CCFFCC"/>
            </w:tcBorders>
            <w:shd w:val="clear" w:color="auto" w:fill="CCFFCC"/>
          </w:tcPr>
          <w:p>
            <w:pPr>
              <w:spacing w:after="0"/>
              <w:rPr>
                <w:sz w:val="14"/>
                <w:szCs w:val="14"/>
                <w:color w:val="auto"/>
              </w:rPr>
            </w:pPr>
          </w:p>
        </w:tc>
        <w:tc>
          <w:tcPr>
            <w:tcW w:w="1900" w:type="dxa"/>
            <w:vAlign w:val="bottom"/>
            <w:tcBorders>
              <w:bottom w:val="single" w:sz="8" w:color="auto"/>
            </w:tcBorders>
            <w:gridSpan w:val="13"/>
            <w:shd w:val="clear" w:color="auto" w:fill="CCFFCC"/>
          </w:tcPr>
          <w:p>
            <w:pPr>
              <w:spacing w:after="0" w:line="165" w:lineRule="exact"/>
              <w:rPr>
                <w:sz w:val="20"/>
                <w:szCs w:val="20"/>
                <w:color w:val="auto"/>
              </w:rPr>
            </w:pPr>
            <w:r>
              <w:rPr>
                <w:rFonts w:ascii="Arial" w:cs="Arial" w:eastAsia="Arial" w:hAnsi="Arial"/>
                <w:sz w:val="16"/>
                <w:szCs w:val="16"/>
                <w:b w:val="1"/>
                <w:bCs w:val="1"/>
                <w:color w:val="auto"/>
                <w:w w:val="92"/>
              </w:rPr>
              <w:t>Global Education Learning</w:t>
            </w:r>
          </w:p>
        </w:tc>
        <w:tc>
          <w:tcPr>
            <w:tcW w:w="4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2460" w:type="dxa"/>
            <w:vAlign w:val="bottom"/>
            <w:tcBorders>
              <w:bottom w:val="single" w:sz="8" w:color="CCFFCC"/>
            </w:tcBorders>
            <w:shd w:val="clear" w:color="auto" w:fill="CCFFCC"/>
          </w:tcPr>
          <w:p>
            <w:pPr>
              <w:jc w:val="center"/>
              <w:spacing w:after="0" w:line="165" w:lineRule="exact"/>
              <w:rPr>
                <w:sz w:val="20"/>
                <w:szCs w:val="20"/>
                <w:color w:val="auto"/>
              </w:rPr>
            </w:pPr>
            <w:r>
              <w:rPr>
                <w:rFonts w:ascii="Arial" w:cs="Arial" w:eastAsia="Arial" w:hAnsi="Arial"/>
                <w:sz w:val="16"/>
                <w:szCs w:val="16"/>
                <w:color w:val="auto"/>
                <w:w w:val="94"/>
              </w:rPr>
              <w:t>Hong Kong</w:t>
            </w:r>
          </w:p>
        </w:tc>
        <w:tc>
          <w:tcPr>
            <w:tcW w:w="80" w:type="dxa"/>
            <w:vAlign w:val="bottom"/>
            <w:tcBorders>
              <w:bottom w:val="single" w:sz="8" w:color="CCFFCC"/>
            </w:tcBorders>
            <w:shd w:val="clear" w:color="auto" w:fill="CCFFCC"/>
          </w:tcPr>
          <w:p>
            <w:pPr>
              <w:spacing w:after="0"/>
              <w:rPr>
                <w:sz w:val="14"/>
                <w:szCs w:val="14"/>
                <w:color w:val="auto"/>
              </w:rPr>
            </w:pPr>
          </w:p>
        </w:tc>
        <w:tc>
          <w:tcPr>
            <w:tcW w:w="92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880" w:type="dxa"/>
            <w:vAlign w:val="bottom"/>
            <w:tcBorders>
              <w:bottom w:val="single" w:sz="8" w:color="CCFFCC"/>
              <w:right w:val="single" w:sz="8" w:color="CCFFCC"/>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880" w:type="dxa"/>
            <w:vAlign w:val="bottom"/>
            <w:tcBorders>
              <w:bottom w:val="single" w:sz="8" w:color="CCFFCC"/>
              <w:right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440" w:type="dxa"/>
            <w:vAlign w:val="bottom"/>
            <w:tcBorders>
              <w:bottom w:val="single" w:sz="8" w:color="CCFFCC"/>
            </w:tcBorders>
            <w:shd w:val="clear" w:color="auto" w:fill="CCFFCC"/>
          </w:tcPr>
          <w:p>
            <w:pPr>
              <w:spacing w:after="0"/>
              <w:rPr>
                <w:sz w:val="14"/>
                <w:szCs w:val="14"/>
                <w:color w:val="auto"/>
              </w:rPr>
            </w:pPr>
          </w:p>
        </w:tc>
        <w:tc>
          <w:tcPr>
            <w:tcW w:w="240" w:type="dxa"/>
            <w:vAlign w:val="bottom"/>
            <w:tcBorders>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FFCC"/>
          </w:tcPr>
          <w:p>
            <w:pPr>
              <w:spacing w:after="0"/>
              <w:rPr>
                <w:sz w:val="19"/>
                <w:szCs w:val="19"/>
                <w:color w:val="auto"/>
              </w:rPr>
            </w:pPr>
          </w:p>
        </w:tc>
        <w:tc>
          <w:tcPr>
            <w:tcW w:w="1940" w:type="dxa"/>
            <w:vAlign w:val="bottom"/>
            <w:gridSpan w:val="14"/>
            <w:shd w:val="clear" w:color="auto" w:fill="CCFFCC"/>
          </w:tcPr>
          <w:p>
            <w:pPr>
              <w:spacing w:after="0" w:line="223" w:lineRule="exact"/>
              <w:rPr>
                <w:sz w:val="20"/>
                <w:szCs w:val="20"/>
                <w:color w:val="auto"/>
              </w:rPr>
            </w:pPr>
            <w:r>
              <w:rPr>
                <w:rFonts w:ascii="Arial" w:cs="Arial" w:eastAsia="Arial" w:hAnsi="Arial"/>
                <w:sz w:val="15"/>
                <w:szCs w:val="15"/>
                <w:b w:val="1"/>
                <w:bCs w:val="1"/>
                <w:color w:val="auto"/>
              </w:rPr>
              <w:t>(Holdings) Ltd.</w:t>
            </w:r>
            <w:r>
              <w:rPr>
                <w:rFonts w:ascii="Arial" w:cs="Arial" w:eastAsia="Arial" w:hAnsi="Arial"/>
                <w:sz w:val="25"/>
                <w:szCs w:val="25"/>
                <w:b w:val="1"/>
                <w:bCs w:val="1"/>
                <w:color w:val="auto"/>
                <w:vertAlign w:val="superscript"/>
              </w:rPr>
              <w:t>(2)(8)</w:t>
            </w:r>
          </w:p>
        </w:tc>
        <w:tc>
          <w:tcPr>
            <w:tcW w:w="80" w:type="dxa"/>
            <w:vAlign w:val="bottom"/>
            <w:shd w:val="clear" w:color="auto" w:fill="CCFFCC"/>
          </w:tcPr>
          <w:p>
            <w:pPr>
              <w:spacing w:after="0"/>
              <w:rPr>
                <w:sz w:val="19"/>
                <w:szCs w:val="19"/>
                <w:color w:val="auto"/>
              </w:rPr>
            </w:pPr>
          </w:p>
        </w:tc>
        <w:tc>
          <w:tcPr>
            <w:tcW w:w="24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9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80" w:type="dxa"/>
            <w:vAlign w:val="bottom"/>
            <w:tcBorders>
              <w:right w:val="single" w:sz="8" w:color="CCFFCC"/>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80" w:type="dxa"/>
            <w:vAlign w:val="bottom"/>
            <w:tcBorders>
              <w:right w:val="single" w:sz="8" w:color="CCFFCC"/>
            </w:tcBorders>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Education</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1,472,175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2,999,998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3,076,110</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1.26%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Technology</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FFCC"/>
          </w:tcPr>
          <w:p>
            <w:pPr>
              <w:spacing w:after="0"/>
              <w:rPr>
                <w:sz w:val="14"/>
                <w:szCs w:val="14"/>
                <w:color w:val="auto"/>
              </w:rPr>
            </w:pPr>
          </w:p>
        </w:tc>
        <w:tc>
          <w:tcPr>
            <w:tcW w:w="1940" w:type="dxa"/>
            <w:vAlign w:val="bottom"/>
            <w:gridSpan w:val="14"/>
            <w:shd w:val="clear" w:color="auto" w:fill="CCFFCC"/>
          </w:tcPr>
          <w:p>
            <w:pPr>
              <w:spacing w:after="0" w:line="165" w:lineRule="exact"/>
              <w:rPr>
                <w:sz w:val="20"/>
                <w:szCs w:val="20"/>
                <w:color w:val="auto"/>
              </w:rPr>
            </w:pPr>
            <w:r>
              <w:rPr>
                <w:rFonts w:ascii="Arial" w:cs="Arial" w:eastAsia="Arial" w:hAnsi="Arial"/>
                <w:sz w:val="16"/>
                <w:szCs w:val="16"/>
                <w:b w:val="1"/>
                <w:bCs w:val="1"/>
                <w:color w:val="auto"/>
              </w:rPr>
              <w:t>Parchment,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5" w:lineRule="exact"/>
              <w:rPr>
                <w:sz w:val="20"/>
                <w:szCs w:val="20"/>
                <w:color w:val="auto"/>
              </w:rPr>
            </w:pPr>
            <w:r>
              <w:rPr>
                <w:rFonts w:ascii="Arial" w:cs="Arial" w:eastAsia="Arial" w:hAnsi="Arial"/>
                <w:sz w:val="16"/>
                <w:szCs w:val="16"/>
                <w:color w:val="auto"/>
                <w:w w:val="94"/>
              </w:rPr>
              <w:t>Scottsdale, AZ</w:t>
            </w:r>
          </w:p>
        </w:tc>
        <w:tc>
          <w:tcPr>
            <w:tcW w:w="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760" w:type="dxa"/>
            <w:vAlign w:val="bottom"/>
            <w:gridSpan w:val="3"/>
            <w:vMerge w:val="restart"/>
          </w:tcPr>
          <w:p>
            <w:pPr>
              <w:jc w:val="center"/>
              <w:ind w:left="59"/>
              <w:spacing w:after="0"/>
              <w:rPr>
                <w:sz w:val="20"/>
                <w:szCs w:val="20"/>
                <w:color w:val="auto"/>
              </w:rPr>
            </w:pPr>
            <w:r>
              <w:rPr>
                <w:rFonts w:ascii="Arial" w:cs="Arial" w:eastAsia="Arial" w:hAnsi="Arial"/>
                <w:sz w:val="16"/>
                <w:szCs w:val="16"/>
                <w:color w:val="auto"/>
                <w:w w:val="92"/>
              </w:rPr>
              <w:t>1.24%</w:t>
            </w: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rPr>
              <w:t>Preferred shares, Series D</w:t>
            </w:r>
          </w:p>
        </w:tc>
        <w:tc>
          <w:tcPr>
            <w:tcW w:w="8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E-Transcript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2,400,384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3,036,486</w:t>
            </w:r>
          </w:p>
        </w:tc>
        <w:tc>
          <w:tcPr>
            <w:tcW w:w="7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89"/>
              </w:rPr>
              <w:t>Exchange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spacing w:after="0" w:line="205" w:lineRule="exact"/>
              <w:rPr>
                <w:sz w:val="20"/>
                <w:szCs w:val="20"/>
                <w:color w:val="auto"/>
              </w:rPr>
            </w:pPr>
            <w:r>
              <w:rPr>
                <w:rFonts w:ascii="Arial" w:cs="Arial" w:eastAsia="Arial" w:hAnsi="Arial"/>
                <w:sz w:val="14"/>
                <w:szCs w:val="14"/>
                <w:b w:val="1"/>
                <w:bCs w:val="1"/>
                <w:color w:val="auto"/>
              </w:rPr>
              <w:t>Whittle Schools, LLC</w:t>
            </w:r>
            <w:r>
              <w:rPr>
                <w:rFonts w:ascii="Arial" w:cs="Arial" w:eastAsia="Arial" w:hAnsi="Arial"/>
                <w:sz w:val="23"/>
                <w:szCs w:val="23"/>
                <w:b w:val="1"/>
                <w:bCs w:val="1"/>
                <w:color w:val="auto"/>
                <w:vertAlign w:val="superscript"/>
              </w:rPr>
              <w:t>(2)(4)</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7"/>
              </w:rPr>
              <w:t>New York, NY</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5"/>
              </w:rPr>
              <w:t>Globally-focused</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1.22%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1"/>
              </w:rPr>
              <w:t>Private School</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FFCC"/>
          </w:tcPr>
          <w:p>
            <w:pPr>
              <w:spacing w:after="0"/>
              <w:rPr>
                <w:sz w:val="19"/>
                <w:szCs w:val="19"/>
                <w:color w:val="auto"/>
              </w:rPr>
            </w:pPr>
          </w:p>
        </w:tc>
        <w:tc>
          <w:tcPr>
            <w:tcW w:w="1940" w:type="dxa"/>
            <w:vAlign w:val="bottom"/>
            <w:gridSpan w:val="14"/>
            <w:shd w:val="clear" w:color="auto" w:fill="CCFFCC"/>
          </w:tcPr>
          <w:p>
            <w:pPr>
              <w:spacing w:after="0" w:line="205" w:lineRule="exact"/>
              <w:rPr>
                <w:sz w:val="20"/>
                <w:szCs w:val="20"/>
                <w:color w:val="auto"/>
              </w:rPr>
            </w:pPr>
            <w:r>
              <w:rPr>
                <w:rFonts w:ascii="Arial" w:cs="Arial" w:eastAsia="Arial" w:hAnsi="Arial"/>
                <w:sz w:val="14"/>
                <w:szCs w:val="14"/>
                <w:b w:val="1"/>
                <w:bCs w:val="1"/>
                <w:color w:val="auto"/>
              </w:rPr>
              <w:t>CUX, Inc. (d/b/a CorpU)</w:t>
            </w:r>
            <w:r>
              <w:rPr>
                <w:rFonts w:ascii="Arial" w:cs="Arial" w:eastAsia="Arial" w:hAnsi="Arial"/>
                <w:sz w:val="23"/>
                <w:szCs w:val="23"/>
                <w:b w:val="1"/>
                <w:bCs w:val="1"/>
                <w:color w:val="auto"/>
                <w:vertAlign w:val="superscript"/>
              </w:rPr>
              <w:t>(2)</w:t>
            </w:r>
          </w:p>
        </w:tc>
        <w:tc>
          <w:tcPr>
            <w:tcW w:w="80" w:type="dxa"/>
            <w:vAlign w:val="bottom"/>
            <w:shd w:val="clear" w:color="auto" w:fill="CCFFCC"/>
          </w:tcPr>
          <w:p>
            <w:pPr>
              <w:spacing w:after="0"/>
              <w:rPr>
                <w:sz w:val="19"/>
                <w:szCs w:val="19"/>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FFCC"/>
          </w:tcPr>
          <w:p>
            <w:pPr>
              <w:spacing w:after="0"/>
              <w:rPr>
                <w:sz w:val="19"/>
                <w:szCs w:val="19"/>
                <w:color w:val="auto"/>
              </w:rPr>
            </w:pPr>
          </w:p>
        </w:tc>
        <w:tc>
          <w:tcPr>
            <w:tcW w:w="9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80" w:type="dxa"/>
            <w:vAlign w:val="bottom"/>
            <w:tcBorders>
              <w:right w:val="single" w:sz="8" w:color="CCFFCC"/>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80" w:type="dxa"/>
            <w:vAlign w:val="bottom"/>
            <w:tcBorders>
              <w:right w:val="single" w:sz="8" w:color="CCFFCC"/>
            </w:tcBorders>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CCFFCC"/>
            </w:tcBorders>
          </w:tcPr>
          <w:p>
            <w:pPr>
              <w:spacing w:after="0"/>
              <w:rPr>
                <w:sz w:val="17"/>
                <w:szCs w:val="17"/>
                <w:color w:val="auto"/>
              </w:rPr>
            </w:pPr>
          </w:p>
        </w:tc>
        <w:tc>
          <w:tcPr>
            <w:tcW w:w="1700" w:type="dxa"/>
            <w:vAlign w:val="bottom"/>
            <w:tcBorders>
              <w:top w:val="single" w:sz="8" w:color="auto"/>
            </w:tcBorders>
            <w:gridSpan w:val="12"/>
          </w:tcPr>
          <w:p>
            <w:pPr>
              <w:spacing w:after="0"/>
              <w:rPr>
                <w:sz w:val="20"/>
                <w:szCs w:val="20"/>
                <w:color w:val="auto"/>
              </w:rPr>
            </w:pPr>
            <w:r>
              <w:rPr>
                <w:rFonts w:ascii="Arial" w:cs="Arial" w:eastAsia="Arial" w:hAnsi="Arial"/>
                <w:sz w:val="16"/>
                <w:szCs w:val="16"/>
                <w:color w:val="auto"/>
                <w:w w:val="88"/>
              </w:rPr>
              <w:t>Preferred shares, Series C</w:t>
            </w:r>
          </w:p>
        </w:tc>
        <w:tc>
          <w:tcPr>
            <w:tcW w:w="240" w:type="dxa"/>
            <w:vAlign w:val="bottom"/>
            <w:tcBorders>
              <w:top w:val="single" w:sz="8" w:color="CCFFCC"/>
            </w:tcBorders>
            <w:gridSpan w:val="2"/>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2460" w:type="dxa"/>
            <w:vAlign w:val="bottom"/>
            <w:tcBorders>
              <w:top w:val="single" w:sz="8" w:color="CCFFCC"/>
            </w:tcBorders>
          </w:tcPr>
          <w:p>
            <w:pPr>
              <w:jc w:val="center"/>
              <w:spacing w:after="0"/>
              <w:rPr>
                <w:sz w:val="20"/>
                <w:szCs w:val="20"/>
                <w:color w:val="auto"/>
              </w:rPr>
            </w:pPr>
            <w:r>
              <w:rPr>
                <w:rFonts w:ascii="Arial" w:cs="Arial" w:eastAsia="Arial" w:hAnsi="Arial"/>
                <w:sz w:val="16"/>
                <w:szCs w:val="16"/>
                <w:color w:val="auto"/>
                <w:w w:val="91"/>
              </w:rPr>
              <w:t>Corporate Education</w:t>
            </w:r>
          </w:p>
        </w:tc>
        <w:tc>
          <w:tcPr>
            <w:tcW w:w="1000" w:type="dxa"/>
            <w:vAlign w:val="bottom"/>
            <w:tcBorders>
              <w:top w:val="single" w:sz="8" w:color="CCFFCC"/>
            </w:tcBorders>
            <w:gridSpan w:val="2"/>
          </w:tcPr>
          <w:p>
            <w:pPr>
              <w:jc w:val="right"/>
              <w:spacing w:after="0"/>
              <w:rPr>
                <w:sz w:val="20"/>
                <w:szCs w:val="20"/>
                <w:color w:val="auto"/>
              </w:rPr>
            </w:pPr>
            <w:r>
              <w:rPr>
                <w:rFonts w:ascii="Arial" w:cs="Arial" w:eastAsia="Arial" w:hAnsi="Arial"/>
                <w:sz w:val="16"/>
                <w:szCs w:val="16"/>
                <w:color w:val="auto"/>
              </w:rPr>
              <w:t>246,305</w:t>
            </w:r>
          </w:p>
        </w:tc>
        <w:tc>
          <w:tcPr>
            <w:tcW w:w="980" w:type="dxa"/>
            <w:vAlign w:val="bottom"/>
            <w:tcBorders>
              <w:top w:val="single" w:sz="8" w:color="CCFFCC"/>
            </w:tcBorders>
            <w:gridSpan w:val="2"/>
          </w:tcPr>
          <w:p>
            <w:pPr>
              <w:jc w:val="right"/>
              <w:spacing w:after="0"/>
              <w:rPr>
                <w:sz w:val="20"/>
                <w:szCs w:val="20"/>
                <w:color w:val="auto"/>
              </w:rPr>
            </w:pPr>
            <w:r>
              <w:rPr>
                <w:rFonts w:ascii="Arial" w:cs="Arial" w:eastAsia="Arial" w:hAnsi="Arial"/>
                <w:sz w:val="16"/>
                <w:szCs w:val="16"/>
                <w:color w:val="auto"/>
              </w:rPr>
              <w:t>2,006,077</w:t>
            </w:r>
          </w:p>
        </w:tc>
        <w:tc>
          <w:tcPr>
            <w:tcW w:w="980" w:type="dxa"/>
            <w:vAlign w:val="bottom"/>
            <w:tcBorders>
              <w:top w:val="single" w:sz="8" w:color="CCFFCC"/>
            </w:tcBorders>
            <w:gridSpan w:val="2"/>
          </w:tcPr>
          <w:p>
            <w:pPr>
              <w:jc w:val="right"/>
              <w:spacing w:after="0"/>
              <w:rPr>
                <w:sz w:val="20"/>
                <w:szCs w:val="20"/>
                <w:color w:val="auto"/>
              </w:rPr>
            </w:pPr>
            <w:r>
              <w:rPr>
                <w:rFonts w:ascii="Arial" w:cs="Arial" w:eastAsia="Arial" w:hAnsi="Arial"/>
                <w:sz w:val="16"/>
                <w:szCs w:val="16"/>
                <w:color w:val="auto"/>
              </w:rPr>
              <w:t>1,999,997</w:t>
            </w:r>
          </w:p>
        </w:tc>
        <w:tc>
          <w:tcPr>
            <w:tcW w:w="760" w:type="dxa"/>
            <w:vAlign w:val="bottom"/>
            <w:tcBorders>
              <w:top w:val="single" w:sz="8" w:color="CCFFCC"/>
            </w:tcBorders>
            <w:gridSpan w:val="3"/>
          </w:tcPr>
          <w:p>
            <w:pPr>
              <w:jc w:val="center"/>
              <w:ind w:left="59"/>
              <w:spacing w:after="0"/>
              <w:rPr>
                <w:sz w:val="20"/>
                <w:szCs w:val="20"/>
                <w:color w:val="auto"/>
              </w:rPr>
            </w:pPr>
            <w:r>
              <w:rPr>
                <w:rFonts w:ascii="Arial" w:cs="Arial" w:eastAsia="Arial" w:hAnsi="Arial"/>
                <w:sz w:val="16"/>
                <w:szCs w:val="16"/>
                <w:color w:val="auto"/>
                <w:w w:val="92"/>
              </w:rPr>
              <w:t>0.82%</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spacing w:after="0"/>
              <w:rPr>
                <w:sz w:val="20"/>
                <w:szCs w:val="20"/>
                <w:color w:val="auto"/>
              </w:rPr>
            </w:pPr>
            <w:r>
              <w:rPr>
                <w:rFonts w:ascii="Arial" w:cs="Arial" w:eastAsia="Arial" w:hAnsi="Arial"/>
                <w:sz w:val="16"/>
                <w:szCs w:val="16"/>
                <w:color w:val="auto"/>
                <w:w w:val="94"/>
              </w:rPr>
              <w:t>Preferred shares, Series C-1</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50,960</w:t>
            </w: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519,989</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517,244</w:t>
            </w:r>
          </w:p>
        </w:tc>
        <w:tc>
          <w:tcPr>
            <w:tcW w:w="760" w:type="dxa"/>
            <w:vAlign w:val="bottom"/>
            <w:gridSpan w:val="3"/>
            <w:shd w:val="clear" w:color="auto" w:fill="CCFFCC"/>
          </w:tcPr>
          <w:p>
            <w:pPr>
              <w:jc w:val="center"/>
              <w:ind w:left="59"/>
              <w:spacing w:after="0"/>
              <w:rPr>
                <w:sz w:val="20"/>
                <w:szCs w:val="20"/>
                <w:color w:val="auto"/>
              </w:rPr>
            </w:pPr>
            <w:r>
              <w:rPr>
                <w:rFonts w:ascii="Arial" w:cs="Arial" w:eastAsia="Arial" w:hAnsi="Arial"/>
                <w:sz w:val="16"/>
                <w:szCs w:val="16"/>
                <w:color w:val="auto"/>
                <w:w w:val="92"/>
              </w:rPr>
              <w:t>0.21%</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2,526,066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2,517,241</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1.03%</w:t>
            </w:r>
          </w:p>
        </w:tc>
        <w:tc>
          <w:tcPr>
            <w:tcW w:w="0" w:type="dxa"/>
            <w:vAlign w:val="bottom"/>
          </w:tcPr>
          <w:p>
            <w:pPr>
              <w:spacing w:after="0"/>
              <w:rPr>
                <w:sz w:val="1"/>
                <w:szCs w:val="1"/>
                <w:color w:val="auto"/>
              </w:rPr>
            </w:pPr>
          </w:p>
        </w:tc>
      </w:tr>
      <w:tr>
        <w:trPr>
          <w:trHeight w:val="156"/>
        </w:trPr>
        <w:tc>
          <w:tcPr>
            <w:tcW w:w="20" w:type="dxa"/>
            <w:vAlign w:val="bottom"/>
            <w:shd w:val="clear" w:color="auto" w:fill="CCFFCC"/>
          </w:tcPr>
          <w:p>
            <w:pPr>
              <w:spacing w:after="0"/>
              <w:rPr>
                <w:sz w:val="13"/>
                <w:szCs w:val="13"/>
                <w:color w:val="auto"/>
              </w:rPr>
            </w:pPr>
          </w:p>
        </w:tc>
        <w:tc>
          <w:tcPr>
            <w:tcW w:w="1940" w:type="dxa"/>
            <w:vAlign w:val="bottom"/>
            <w:gridSpan w:val="14"/>
            <w:shd w:val="clear" w:color="auto" w:fill="CCFFCC"/>
          </w:tcPr>
          <w:p>
            <w:pPr>
              <w:spacing w:after="0" w:line="155" w:lineRule="exact"/>
              <w:rPr>
                <w:sz w:val="20"/>
                <w:szCs w:val="20"/>
                <w:color w:val="auto"/>
              </w:rPr>
            </w:pPr>
            <w:r>
              <w:rPr>
                <w:rFonts w:ascii="Arial" w:cs="Arial" w:eastAsia="Arial" w:hAnsi="Arial"/>
                <w:sz w:val="16"/>
                <w:szCs w:val="16"/>
                <w:b w:val="1"/>
                <w:bCs w:val="1"/>
                <w:color w:val="auto"/>
              </w:rPr>
              <w:t>SharesPost,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1"/>
              </w:rPr>
              <w:t>San Bruno,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80" w:type="dxa"/>
            <w:vAlign w:val="bottom"/>
            <w:tcBorders>
              <w:top w:val="single" w:sz="8" w:color="auto"/>
              <w:right w:val="single" w:sz="8" w:color="CCFFCC"/>
            </w:tcBorders>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80" w:type="dxa"/>
            <w:vAlign w:val="bottom"/>
            <w:tcBorders>
              <w:top w:val="single" w:sz="8" w:color="auto"/>
              <w:right w:val="single" w:sz="8" w:color="CCFFCC"/>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440" w:type="dxa"/>
            <w:vAlign w:val="bottom"/>
            <w:tcBorders>
              <w:top w:val="single" w:sz="8" w:color="auto"/>
            </w:tcBorders>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Online Marketplace (Finance)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1,771,653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2,257,984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2,232,283</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0.91%</w:t>
            </w:r>
          </w:p>
        </w:tc>
        <w:tc>
          <w:tcPr>
            <w:tcW w:w="0" w:type="dxa"/>
            <w:vAlign w:val="bottom"/>
          </w:tcPr>
          <w:p>
            <w:pPr>
              <w:spacing w:after="0"/>
              <w:rPr>
                <w:sz w:val="1"/>
                <w:szCs w:val="1"/>
                <w:color w:val="auto"/>
              </w:rPr>
            </w:pPr>
          </w:p>
        </w:tc>
      </w:tr>
      <w:tr>
        <w:trPr>
          <w:trHeight w:val="193"/>
        </w:trPr>
        <w:tc>
          <w:tcPr>
            <w:tcW w:w="20" w:type="dxa"/>
            <w:vAlign w:val="bottom"/>
            <w:shd w:val="clear" w:color="auto" w:fill="CCFFCC"/>
          </w:tcPr>
          <w:p>
            <w:pPr>
              <w:spacing w:after="0"/>
              <w:rPr>
                <w:sz w:val="16"/>
                <w:szCs w:val="16"/>
                <w:color w:val="auto"/>
              </w:rPr>
            </w:pPr>
          </w:p>
        </w:tc>
        <w:tc>
          <w:tcPr>
            <w:tcW w:w="1940" w:type="dxa"/>
            <w:vAlign w:val="bottom"/>
            <w:gridSpan w:val="14"/>
            <w:shd w:val="clear" w:color="auto" w:fill="CCFFCC"/>
          </w:tcPr>
          <w:p>
            <w:pPr>
              <w:spacing w:after="0"/>
              <w:rPr>
                <w:sz w:val="20"/>
                <w:szCs w:val="20"/>
                <w:color w:val="auto"/>
              </w:rPr>
            </w:pPr>
            <w:r>
              <w:rPr>
                <w:rFonts w:ascii="Arial" w:cs="Arial" w:eastAsia="Arial" w:hAnsi="Arial"/>
                <w:sz w:val="16"/>
                <w:szCs w:val="16"/>
                <w:color w:val="auto"/>
              </w:rPr>
              <w:t>Common warrants, $0.13</w:t>
            </w:r>
          </w:p>
        </w:tc>
        <w:tc>
          <w:tcPr>
            <w:tcW w:w="80" w:type="dxa"/>
            <w:vAlign w:val="bottom"/>
            <w:shd w:val="clear" w:color="auto" w:fill="CCFFCC"/>
          </w:tcPr>
          <w:p>
            <w:pPr>
              <w:spacing w:after="0"/>
              <w:rPr>
                <w:sz w:val="16"/>
                <w:szCs w:val="16"/>
                <w:color w:val="auto"/>
              </w:rPr>
            </w:pPr>
          </w:p>
        </w:tc>
        <w:tc>
          <w:tcPr>
            <w:tcW w:w="246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770,934</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23,128</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146,477</w:t>
            </w:r>
          </w:p>
        </w:tc>
        <w:tc>
          <w:tcPr>
            <w:tcW w:w="760" w:type="dxa"/>
            <w:vAlign w:val="bottom"/>
            <w:gridSpan w:val="3"/>
            <w:shd w:val="clear" w:color="auto" w:fill="CCFFCC"/>
          </w:tcPr>
          <w:p>
            <w:pPr>
              <w:jc w:val="center"/>
              <w:ind w:left="59"/>
              <w:spacing w:after="0"/>
              <w:rPr>
                <w:sz w:val="20"/>
                <w:szCs w:val="20"/>
                <w:color w:val="auto"/>
              </w:rPr>
            </w:pPr>
            <w:r>
              <w:rPr>
                <w:rFonts w:ascii="Arial" w:cs="Arial" w:eastAsia="Arial" w:hAnsi="Arial"/>
                <w:sz w:val="16"/>
                <w:szCs w:val="16"/>
                <w:color w:val="auto"/>
                <w:w w:val="92"/>
              </w:rPr>
              <w:t>0.06%</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ind w:left="180"/>
              <w:spacing w:after="0"/>
              <w:rPr>
                <w:sz w:val="20"/>
                <w:szCs w:val="20"/>
                <w:color w:val="auto"/>
              </w:rPr>
            </w:pPr>
            <w:r>
              <w:rPr>
                <w:rFonts w:ascii="Arial" w:cs="Arial" w:eastAsia="Arial" w:hAnsi="Arial"/>
                <w:sz w:val="16"/>
                <w:szCs w:val="16"/>
                <w:color w:val="auto"/>
              </w:rPr>
              <w:t>strike price, expire</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00" w:type="dxa"/>
            <w:vAlign w:val="bottom"/>
            <w:tcBorders>
              <w:bottom w:val="single" w:sz="8" w:color="CCFFCC"/>
            </w:tcBorders>
            <w:gridSpan w:val="3"/>
            <w:shd w:val="clear" w:color="auto" w:fill="CCFFCC"/>
          </w:tcPr>
          <w:p>
            <w:pPr>
              <w:ind w:left="200"/>
              <w:spacing w:after="0"/>
              <w:rPr>
                <w:sz w:val="20"/>
                <w:szCs w:val="20"/>
                <w:color w:val="auto"/>
              </w:rPr>
            </w:pPr>
            <w:r>
              <w:rPr>
                <w:rFonts w:ascii="Arial" w:cs="Arial" w:eastAsia="Arial" w:hAnsi="Arial"/>
                <w:sz w:val="16"/>
                <w:szCs w:val="16"/>
                <w:color w:val="auto"/>
                <w:w w:val="95"/>
              </w:rPr>
              <w:t>6/15/2018</w:t>
            </w:r>
          </w:p>
        </w:tc>
        <w:tc>
          <w:tcPr>
            <w:tcW w:w="4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4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auto"/>
              <w:right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auto"/>
              <w:right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94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2,281,112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2,378,760</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0.97%</w:t>
            </w:r>
          </w:p>
        </w:tc>
        <w:tc>
          <w:tcPr>
            <w:tcW w:w="0" w:type="dxa"/>
            <w:vAlign w:val="bottom"/>
          </w:tcPr>
          <w:p>
            <w:pPr>
              <w:spacing w:after="0"/>
              <w:rPr>
                <w:sz w:val="1"/>
                <w:szCs w:val="1"/>
                <w:color w:val="auto"/>
              </w:rPr>
            </w:pPr>
          </w:p>
        </w:tc>
      </w:tr>
      <w:tr>
        <w:trPr>
          <w:trHeight w:val="156"/>
        </w:trPr>
        <w:tc>
          <w:tcPr>
            <w:tcW w:w="20" w:type="dxa"/>
            <w:vAlign w:val="bottom"/>
            <w:shd w:val="clear" w:color="auto" w:fill="CCFFCC"/>
          </w:tcPr>
          <w:p>
            <w:pPr>
              <w:spacing w:after="0"/>
              <w:rPr>
                <w:sz w:val="13"/>
                <w:szCs w:val="13"/>
                <w:color w:val="auto"/>
              </w:rPr>
            </w:pPr>
          </w:p>
        </w:tc>
        <w:tc>
          <w:tcPr>
            <w:tcW w:w="1940" w:type="dxa"/>
            <w:vAlign w:val="bottom"/>
            <w:gridSpan w:val="14"/>
            <w:shd w:val="clear" w:color="auto" w:fill="CCFFCC"/>
          </w:tcPr>
          <w:p>
            <w:pPr>
              <w:spacing w:after="0" w:line="155" w:lineRule="exact"/>
              <w:rPr>
                <w:sz w:val="20"/>
                <w:szCs w:val="20"/>
                <w:color w:val="auto"/>
              </w:rPr>
            </w:pPr>
            <w:r>
              <w:rPr>
                <w:rFonts w:ascii="Arial" w:cs="Arial" w:eastAsia="Arial" w:hAnsi="Arial"/>
                <w:sz w:val="16"/>
                <w:szCs w:val="16"/>
                <w:b w:val="1"/>
                <w:bCs w:val="1"/>
                <w:color w:val="auto"/>
              </w:rPr>
              <w:t>TrueCar,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4"/>
              </w:rPr>
              <w:t>Santa Monica,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80" w:type="dxa"/>
            <w:vAlign w:val="bottom"/>
            <w:tcBorders>
              <w:top w:val="single" w:sz="8" w:color="auto"/>
              <w:right w:val="single" w:sz="8" w:color="CCFFCC"/>
            </w:tcBorders>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80" w:type="dxa"/>
            <w:vAlign w:val="bottom"/>
            <w:tcBorders>
              <w:top w:val="single" w:sz="8" w:color="auto"/>
              <w:right w:val="single" w:sz="8" w:color="CCFFCC"/>
            </w:tcBorders>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440" w:type="dxa"/>
            <w:vAlign w:val="bottom"/>
            <w:tcBorders>
              <w:top w:val="single" w:sz="8" w:color="auto"/>
            </w:tcBorders>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Online Marketplace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377,358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2,014,863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2,307,922</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0.94%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(Cars)</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-5089525</wp:posOffset>
            </wp:positionV>
            <wp:extent cx="521398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-1316355</wp:posOffset>
            </wp:positionV>
            <wp:extent cx="5213985"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-527050</wp:posOffset>
            </wp:positionV>
            <wp:extent cx="5213985"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958" w:right="1440" w:bottom="1440" w:gutter="0" w:footer="0" w:header="0"/>
        </w:sectPr>
      </w:pPr>
    </w:p>
    <w:bookmarkStart w:id="8" w:name="page9"/>
    <w:bookmarkEnd w:id="8"/>
    <w:p>
      <w:pPr>
        <w:jc w:val="center"/>
        <w:ind w:right="519"/>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940" w:type="dxa"/>
            <w:vAlign w:val="bottom"/>
            <w:gridSpan w:val="15"/>
          </w:tcPr>
          <w:p>
            <w:pPr>
              <w:spacing w:after="0" w:line="149" w:lineRule="exact"/>
              <w:rPr>
                <w:sz w:val="20"/>
                <w:szCs w:val="20"/>
                <w:color w:val="auto"/>
              </w:rPr>
            </w:pPr>
            <w:r>
              <w:rPr>
                <w:rFonts w:ascii="Arial" w:cs="Arial" w:eastAsia="Arial" w:hAnsi="Arial"/>
                <w:sz w:val="14"/>
                <w:szCs w:val="14"/>
                <w:b w:val="1"/>
                <w:bCs w:val="1"/>
                <w:color w:val="auto"/>
              </w:rPr>
              <w:t>Portfolio Investments*</w:t>
            </w:r>
          </w:p>
        </w:tc>
        <w:tc>
          <w:tcPr>
            <w:tcW w:w="120" w:type="dxa"/>
            <w:vAlign w:val="bottom"/>
          </w:tcPr>
          <w:p>
            <w:pPr>
              <w:spacing w:after="0"/>
              <w:rPr>
                <w:sz w:val="12"/>
                <w:szCs w:val="12"/>
                <w:color w:val="auto"/>
              </w:rPr>
            </w:pPr>
          </w:p>
        </w:tc>
        <w:tc>
          <w:tcPr>
            <w:tcW w:w="2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Headquarters/ Industry</w:t>
            </w:r>
          </w:p>
        </w:tc>
        <w:tc>
          <w:tcPr>
            <w:tcW w:w="100" w:type="dxa"/>
            <w:vAlign w:val="bottom"/>
          </w:tcPr>
          <w:p>
            <w:pPr>
              <w:spacing w:after="0"/>
              <w:rPr>
                <w:sz w:val="12"/>
                <w:szCs w:val="12"/>
                <w:color w:val="auto"/>
              </w:rPr>
            </w:pPr>
          </w:p>
        </w:tc>
        <w:tc>
          <w:tcPr>
            <w:tcW w:w="90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860" w:type="dxa"/>
            <w:vAlign w:val="bottom"/>
          </w:tcPr>
          <w:p>
            <w:pPr>
              <w:jc w:val="right"/>
              <w:ind w:right="201"/>
              <w:spacing w:after="0" w:line="149" w:lineRule="exact"/>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880" w:type="dxa"/>
            <w:vAlign w:val="bottom"/>
          </w:tcPr>
          <w:p>
            <w:pPr>
              <w:jc w:val="right"/>
              <w:ind w:right="43"/>
              <w:spacing w:after="0" w:line="149"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 of</w:t>
            </w:r>
          </w:p>
        </w:tc>
      </w:tr>
      <w:tr>
        <w:trPr>
          <w:trHeight w:val="171"/>
        </w:trPr>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Net Assets</w:t>
            </w:r>
          </w:p>
        </w:tc>
      </w:tr>
      <w:tr>
        <w:trPr>
          <w:trHeight w:val="196"/>
        </w:trPr>
        <w:tc>
          <w:tcPr>
            <w:tcW w:w="20" w:type="dxa"/>
            <w:vAlign w:val="bottom"/>
            <w:shd w:val="clear" w:color="auto" w:fill="CCFFCC"/>
          </w:tcPr>
          <w:p>
            <w:pPr>
              <w:spacing w:after="0"/>
              <w:rPr>
                <w:sz w:val="17"/>
                <w:szCs w:val="17"/>
                <w:color w:val="auto"/>
              </w:rPr>
            </w:pPr>
          </w:p>
        </w:tc>
        <w:tc>
          <w:tcPr>
            <w:tcW w:w="1940" w:type="dxa"/>
            <w:vAlign w:val="bottom"/>
            <w:gridSpan w:val="15"/>
            <w:shd w:val="clear" w:color="auto" w:fill="CCFFCC"/>
          </w:tcPr>
          <w:p>
            <w:pPr>
              <w:spacing w:after="0" w:line="197" w:lineRule="exact"/>
              <w:rPr>
                <w:sz w:val="20"/>
                <w:szCs w:val="20"/>
                <w:color w:val="auto"/>
              </w:rPr>
            </w:pPr>
            <w:r>
              <w:rPr>
                <w:rFonts w:ascii="Arial" w:cs="Arial" w:eastAsia="Arial" w:hAnsi="Arial"/>
                <w:sz w:val="14"/>
                <w:szCs w:val="14"/>
                <w:b w:val="1"/>
                <w:bCs w:val="1"/>
                <w:color w:val="auto"/>
              </w:rPr>
              <w:t>Maven Research, Inc.</w:t>
            </w:r>
            <w:r>
              <w:rPr>
                <w:rFonts w:ascii="Arial" w:cs="Arial" w:eastAsia="Arial" w:hAnsi="Arial"/>
                <w:sz w:val="22"/>
                <w:szCs w:val="22"/>
                <w:b w:val="1"/>
                <w:bCs w:val="1"/>
                <w:color w:val="auto"/>
                <w:vertAlign w:val="superscript"/>
              </w:rPr>
              <w:t>(2)</w:t>
            </w:r>
          </w:p>
        </w:tc>
        <w:tc>
          <w:tcPr>
            <w:tcW w:w="120" w:type="dxa"/>
            <w:vAlign w:val="bottom"/>
            <w:shd w:val="clear" w:color="auto" w:fill="CCFFCC"/>
          </w:tcPr>
          <w:p>
            <w:pPr>
              <w:spacing w:after="0"/>
              <w:rPr>
                <w:sz w:val="17"/>
                <w:szCs w:val="17"/>
                <w:color w:val="auto"/>
              </w:rPr>
            </w:pPr>
          </w:p>
        </w:tc>
        <w:tc>
          <w:tcPr>
            <w:tcW w:w="242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San Francisco, CA</w:t>
            </w: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46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5"/>
          </w:tcPr>
          <w:p>
            <w:pPr>
              <w:spacing w:after="0"/>
              <w:rPr>
                <w:sz w:val="20"/>
                <w:szCs w:val="20"/>
                <w:color w:val="auto"/>
              </w:rPr>
            </w:pPr>
            <w:r>
              <w:rPr>
                <w:rFonts w:ascii="Arial" w:cs="Arial" w:eastAsia="Arial" w:hAnsi="Arial"/>
                <w:sz w:val="16"/>
                <w:szCs w:val="16"/>
                <w:color w:val="auto"/>
              </w:rPr>
              <w:t>Preferred shares, Series B</w:t>
            </w:r>
          </w:p>
        </w:tc>
        <w:tc>
          <w:tcPr>
            <w:tcW w:w="12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w w:val="94"/>
              </w:rPr>
              <w:t>Knowledge Networks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49,505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217,206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293,713</w:t>
            </w: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0.12%</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5"/>
            <w:shd w:val="clear" w:color="auto" w:fill="CCFFCC"/>
          </w:tcPr>
          <w:p>
            <w:pPr>
              <w:spacing w:after="0"/>
              <w:rPr>
                <w:sz w:val="20"/>
                <w:szCs w:val="20"/>
                <w:color w:val="auto"/>
              </w:rPr>
            </w:pPr>
            <w:r>
              <w:rPr>
                <w:rFonts w:ascii="Arial" w:cs="Arial" w:eastAsia="Arial" w:hAnsi="Arial"/>
                <w:sz w:val="16"/>
                <w:szCs w:val="16"/>
                <w:color w:val="auto"/>
              </w:rPr>
              <w:t>Preferred shares, Series C</w:t>
            </w:r>
          </w:p>
        </w:tc>
        <w:tc>
          <w:tcPr>
            <w:tcW w:w="120" w:type="dxa"/>
            <w:vAlign w:val="bottom"/>
            <w:shd w:val="clear" w:color="auto" w:fill="CCFFCC"/>
          </w:tcPr>
          <w:p>
            <w:pPr>
              <w:spacing w:after="0"/>
              <w:rPr>
                <w:sz w:val="17"/>
                <w:szCs w:val="17"/>
                <w:color w:val="auto"/>
              </w:rPr>
            </w:pPr>
          </w:p>
        </w:tc>
        <w:tc>
          <w:tcPr>
            <w:tcW w:w="242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318,979</w:t>
            </w:r>
          </w:p>
        </w:tc>
        <w:tc>
          <w:tcPr>
            <w:tcW w:w="12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1,999,998</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1,892,501</w:t>
            </w:r>
          </w:p>
        </w:tc>
        <w:tc>
          <w:tcPr>
            <w:tcW w:w="76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0.77%</w:t>
            </w:r>
          </w:p>
        </w:tc>
      </w:tr>
      <w:tr>
        <w:trPr>
          <w:trHeight w:val="20"/>
        </w:trPr>
        <w:tc>
          <w:tcPr>
            <w:tcW w:w="20" w:type="dxa"/>
            <w:vAlign w:val="bottom"/>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46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4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6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2,217,204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2,186,214</w:t>
            </w: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0.89%</w:t>
            </w:r>
          </w:p>
        </w:tc>
      </w:tr>
      <w:tr>
        <w:trPr>
          <w:trHeight w:val="196"/>
        </w:trPr>
        <w:tc>
          <w:tcPr>
            <w:tcW w:w="20" w:type="dxa"/>
            <w:vAlign w:val="bottom"/>
            <w:shd w:val="clear" w:color="auto" w:fill="CCFFCC"/>
          </w:tcPr>
          <w:p>
            <w:pPr>
              <w:spacing w:after="0"/>
              <w:rPr>
                <w:sz w:val="17"/>
                <w:szCs w:val="17"/>
                <w:color w:val="auto"/>
              </w:rPr>
            </w:pPr>
          </w:p>
        </w:tc>
        <w:tc>
          <w:tcPr>
            <w:tcW w:w="1940" w:type="dxa"/>
            <w:vAlign w:val="bottom"/>
            <w:gridSpan w:val="15"/>
            <w:shd w:val="clear" w:color="auto" w:fill="CCFFCC"/>
          </w:tcPr>
          <w:p>
            <w:pPr>
              <w:spacing w:after="0" w:line="197" w:lineRule="exact"/>
              <w:rPr>
                <w:sz w:val="20"/>
                <w:szCs w:val="20"/>
                <w:color w:val="auto"/>
              </w:rPr>
            </w:pPr>
            <w:r>
              <w:rPr>
                <w:rFonts w:ascii="Arial" w:cs="Arial" w:eastAsia="Arial" w:hAnsi="Arial"/>
                <w:sz w:val="14"/>
                <w:szCs w:val="14"/>
                <w:b w:val="1"/>
                <w:bCs w:val="1"/>
                <w:color w:val="auto"/>
              </w:rPr>
              <w:t>Dailybreak, Inc.</w:t>
            </w:r>
            <w:r>
              <w:rPr>
                <w:rFonts w:ascii="Arial" w:cs="Arial" w:eastAsia="Arial" w:hAnsi="Arial"/>
                <w:sz w:val="22"/>
                <w:szCs w:val="22"/>
                <w:b w:val="1"/>
                <w:bCs w:val="1"/>
                <w:color w:val="auto"/>
                <w:vertAlign w:val="superscript"/>
              </w:rPr>
              <w:t>(2)</w:t>
            </w:r>
          </w:p>
        </w:tc>
        <w:tc>
          <w:tcPr>
            <w:tcW w:w="120" w:type="dxa"/>
            <w:vAlign w:val="bottom"/>
            <w:shd w:val="clear" w:color="auto" w:fill="CCFFCC"/>
          </w:tcPr>
          <w:p>
            <w:pPr>
              <w:spacing w:after="0"/>
              <w:rPr>
                <w:sz w:val="17"/>
                <w:szCs w:val="17"/>
                <w:color w:val="auto"/>
              </w:rPr>
            </w:pPr>
          </w:p>
        </w:tc>
        <w:tc>
          <w:tcPr>
            <w:tcW w:w="242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9"/>
              </w:rPr>
              <w:t>Boston, MA</w:t>
            </w: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60" w:type="dxa"/>
            <w:vAlign w:val="bottom"/>
            <w:tcBorders>
              <w:top w:val="single" w:sz="8" w:color="auto"/>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top w:val="single" w:sz="8" w:color="auto"/>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40" w:type="dxa"/>
            <w:vAlign w:val="bottom"/>
            <w:tcBorders>
              <w:top w:val="single" w:sz="8" w:color="auto"/>
            </w:tcBorders>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46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5"/>
          </w:tcPr>
          <w:p>
            <w:pPr>
              <w:spacing w:after="0"/>
              <w:rPr>
                <w:sz w:val="20"/>
                <w:szCs w:val="20"/>
                <w:color w:val="auto"/>
              </w:rPr>
            </w:pPr>
            <w:r>
              <w:rPr>
                <w:rFonts w:ascii="Arial" w:cs="Arial" w:eastAsia="Arial" w:hAnsi="Arial"/>
                <w:sz w:val="16"/>
                <w:szCs w:val="16"/>
                <w:color w:val="auto"/>
                <w:w w:val="94"/>
              </w:rPr>
              <w:t>Preferred shares, Series A-1</w:t>
            </w:r>
          </w:p>
        </w:tc>
        <w:tc>
          <w:tcPr>
            <w:tcW w:w="12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w w:val="95"/>
              </w:rPr>
              <w:t>Social Advertising</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1,545,181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2,097,583</w:t>
            </w: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0.86%</w:t>
            </w:r>
          </w:p>
        </w:tc>
      </w:tr>
      <w:tr>
        <w:trPr>
          <w:trHeight w:val="162"/>
        </w:trPr>
        <w:tc>
          <w:tcPr>
            <w:tcW w:w="20" w:type="dxa"/>
            <w:vAlign w:val="bottom"/>
            <w:shd w:val="clear" w:color="auto" w:fill="CCFFCC"/>
          </w:tcPr>
          <w:p>
            <w:pPr>
              <w:spacing w:after="0"/>
              <w:rPr>
                <w:sz w:val="14"/>
                <w:szCs w:val="14"/>
                <w:color w:val="auto"/>
              </w:rPr>
            </w:pPr>
          </w:p>
        </w:tc>
        <w:tc>
          <w:tcPr>
            <w:tcW w:w="1940" w:type="dxa"/>
            <w:vAlign w:val="bottom"/>
            <w:gridSpan w:val="15"/>
            <w:shd w:val="clear" w:color="auto" w:fill="CCFFCC"/>
          </w:tcPr>
          <w:p>
            <w:pPr>
              <w:spacing w:after="0" w:line="162" w:lineRule="exact"/>
              <w:rPr>
                <w:sz w:val="20"/>
                <w:szCs w:val="20"/>
                <w:color w:val="auto"/>
              </w:rPr>
            </w:pPr>
            <w:r>
              <w:rPr>
                <w:rFonts w:ascii="Arial" w:cs="Arial" w:eastAsia="Arial" w:hAnsi="Arial"/>
                <w:sz w:val="16"/>
                <w:szCs w:val="16"/>
                <w:b w:val="1"/>
                <w:bCs w:val="1"/>
                <w:color w:val="auto"/>
              </w:rPr>
              <w:t>Dataminr, Inc.</w:t>
            </w:r>
          </w:p>
        </w:tc>
        <w:tc>
          <w:tcPr>
            <w:tcW w:w="120" w:type="dxa"/>
            <w:vAlign w:val="bottom"/>
            <w:shd w:val="clear" w:color="auto" w:fill="CCFFCC"/>
          </w:tcPr>
          <w:p>
            <w:pPr>
              <w:spacing w:after="0"/>
              <w:rPr>
                <w:sz w:val="14"/>
                <w:szCs w:val="14"/>
                <w:color w:val="auto"/>
              </w:rPr>
            </w:pPr>
          </w:p>
        </w:tc>
        <w:tc>
          <w:tcPr>
            <w:tcW w:w="242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7"/>
              </w:rPr>
              <w:t>New York, NY</w:t>
            </w:r>
          </w:p>
        </w:tc>
        <w:tc>
          <w:tcPr>
            <w:tcW w:w="10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6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46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gridSpan w:val="15"/>
          </w:tcPr>
          <w:p>
            <w:pPr>
              <w:spacing w:after="0"/>
              <w:rPr>
                <w:sz w:val="20"/>
                <w:szCs w:val="20"/>
                <w:color w:val="auto"/>
              </w:rPr>
            </w:pPr>
            <w:r>
              <w:rPr>
                <w:rFonts w:ascii="Arial" w:cs="Arial" w:eastAsia="Arial" w:hAnsi="Arial"/>
                <w:sz w:val="16"/>
                <w:szCs w:val="16"/>
                <w:color w:val="auto"/>
              </w:rPr>
              <w:t>Preferred shares, Series B</w:t>
            </w:r>
          </w:p>
        </w:tc>
        <w:tc>
          <w:tcPr>
            <w:tcW w:w="12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w w:val="93"/>
              </w:rPr>
              <w:t>Social Media</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904,977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2,060,791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2,036,198</w:t>
            </w: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0.83%</w:t>
            </w: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w w:val="96"/>
              </w:rPr>
              <w:t>Analytics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6"/>
        </w:trPr>
        <w:tc>
          <w:tcPr>
            <w:tcW w:w="20" w:type="dxa"/>
            <w:vAlign w:val="bottom"/>
            <w:shd w:val="clear" w:color="auto" w:fill="CCFFCC"/>
          </w:tcPr>
          <w:p>
            <w:pPr>
              <w:spacing w:after="0"/>
              <w:rPr>
                <w:sz w:val="17"/>
                <w:szCs w:val="17"/>
                <w:color w:val="auto"/>
              </w:rPr>
            </w:pPr>
          </w:p>
        </w:tc>
        <w:tc>
          <w:tcPr>
            <w:tcW w:w="1940" w:type="dxa"/>
            <w:vAlign w:val="bottom"/>
            <w:gridSpan w:val="15"/>
            <w:shd w:val="clear" w:color="auto" w:fill="CCFFCC"/>
          </w:tcPr>
          <w:p>
            <w:pPr>
              <w:spacing w:after="0" w:line="205" w:lineRule="exact"/>
              <w:rPr>
                <w:sz w:val="20"/>
                <w:szCs w:val="20"/>
                <w:color w:val="auto"/>
              </w:rPr>
            </w:pPr>
            <w:r>
              <w:rPr>
                <w:rFonts w:ascii="Arial" w:cs="Arial" w:eastAsia="Arial" w:hAnsi="Arial"/>
                <w:sz w:val="14"/>
                <w:szCs w:val="14"/>
                <w:b w:val="1"/>
                <w:bCs w:val="1"/>
                <w:color w:val="auto"/>
                <w:w w:val="98"/>
              </w:rPr>
              <w:t>The Echo System Corp.</w:t>
            </w:r>
            <w:r>
              <w:rPr>
                <w:rFonts w:ascii="Arial" w:cs="Arial" w:eastAsia="Arial" w:hAnsi="Arial"/>
                <w:sz w:val="23"/>
                <w:szCs w:val="23"/>
                <w:b w:val="1"/>
                <w:bCs w:val="1"/>
                <w:color w:val="auto"/>
                <w:w w:val="98"/>
                <w:vertAlign w:val="superscript"/>
              </w:rPr>
              <w:t>(1)(2)</w:t>
            </w:r>
          </w:p>
        </w:tc>
        <w:tc>
          <w:tcPr>
            <w:tcW w:w="120" w:type="dxa"/>
            <w:vAlign w:val="bottom"/>
            <w:shd w:val="clear" w:color="auto" w:fill="CCFFCC"/>
          </w:tcPr>
          <w:p>
            <w:pPr>
              <w:spacing w:after="0"/>
              <w:rPr>
                <w:sz w:val="17"/>
                <w:szCs w:val="17"/>
                <w:color w:val="auto"/>
              </w:rPr>
            </w:pPr>
          </w:p>
        </w:tc>
        <w:tc>
          <w:tcPr>
            <w:tcW w:w="242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7"/>
              </w:rPr>
              <w:t>New York, NY</w:t>
            </w: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46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5"/>
          </w:tcPr>
          <w:p>
            <w:pPr>
              <w:spacing w:after="0"/>
              <w:rPr>
                <w:sz w:val="20"/>
                <w:szCs w:val="20"/>
                <w:color w:val="auto"/>
              </w:rPr>
            </w:pPr>
            <w:r>
              <w:rPr>
                <w:rFonts w:ascii="Arial" w:cs="Arial" w:eastAsia="Arial" w:hAnsi="Arial"/>
                <w:sz w:val="16"/>
                <w:szCs w:val="16"/>
                <w:color w:val="auto"/>
              </w:rPr>
              <w:t>Preferred shares, Series A</w:t>
            </w:r>
          </w:p>
        </w:tc>
        <w:tc>
          <w:tcPr>
            <w:tcW w:w="12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w w:val="94"/>
              </w:rPr>
              <w:t>Social Analytics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512,365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1,436,404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1,607,545</w:t>
            </w: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0.66%</w:t>
            </w:r>
          </w:p>
        </w:tc>
      </w:tr>
      <w:tr>
        <w:trPr>
          <w:trHeight w:val="193"/>
        </w:trPr>
        <w:tc>
          <w:tcPr>
            <w:tcW w:w="20" w:type="dxa"/>
            <w:vAlign w:val="bottom"/>
            <w:shd w:val="clear" w:color="auto" w:fill="CCFFCC"/>
          </w:tcPr>
          <w:p>
            <w:pPr>
              <w:spacing w:after="0"/>
              <w:rPr>
                <w:sz w:val="16"/>
                <w:szCs w:val="16"/>
                <w:color w:val="auto"/>
              </w:rPr>
            </w:pPr>
          </w:p>
        </w:tc>
        <w:tc>
          <w:tcPr>
            <w:tcW w:w="1940" w:type="dxa"/>
            <w:vAlign w:val="bottom"/>
            <w:gridSpan w:val="15"/>
            <w:shd w:val="clear" w:color="auto" w:fill="CCFFCC"/>
          </w:tcPr>
          <w:p>
            <w:pPr>
              <w:spacing w:after="0"/>
              <w:rPr>
                <w:sz w:val="20"/>
                <w:szCs w:val="20"/>
                <w:color w:val="auto"/>
              </w:rPr>
            </w:pPr>
            <w:r>
              <w:rPr>
                <w:rFonts w:ascii="Arial" w:cs="Arial" w:eastAsia="Arial" w:hAnsi="Arial"/>
                <w:sz w:val="16"/>
                <w:szCs w:val="16"/>
                <w:color w:val="auto"/>
              </w:rPr>
              <w:t>Preferred warrants, $0.20</w:t>
            </w:r>
          </w:p>
        </w:tc>
        <w:tc>
          <w:tcPr>
            <w:tcW w:w="120" w:type="dxa"/>
            <w:vAlign w:val="bottom"/>
            <w:shd w:val="clear" w:color="auto" w:fill="CCFFCC"/>
          </w:tcPr>
          <w:p>
            <w:pPr>
              <w:spacing w:after="0"/>
              <w:rPr>
                <w:sz w:val="16"/>
                <w:szCs w:val="16"/>
                <w:color w:val="auto"/>
              </w:rPr>
            </w:pPr>
          </w:p>
        </w:tc>
        <w:tc>
          <w:tcPr>
            <w:tcW w:w="242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68,359</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75,988</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60,156</w:t>
            </w:r>
          </w:p>
        </w:tc>
        <w:tc>
          <w:tcPr>
            <w:tcW w:w="76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0.02%</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5"/>
            <w:shd w:val="clear" w:color="auto" w:fill="CCFFCC"/>
          </w:tcPr>
          <w:p>
            <w:pPr>
              <w:ind w:left="180"/>
              <w:spacing w:after="0"/>
              <w:rPr>
                <w:sz w:val="20"/>
                <w:szCs w:val="20"/>
                <w:color w:val="auto"/>
              </w:rPr>
            </w:pPr>
            <w:r>
              <w:rPr>
                <w:rFonts w:ascii="Arial" w:cs="Arial" w:eastAsia="Arial" w:hAnsi="Arial"/>
                <w:sz w:val="16"/>
                <w:szCs w:val="16"/>
                <w:color w:val="auto"/>
              </w:rPr>
              <w:t>strike price, expire</w:t>
            </w:r>
          </w:p>
        </w:tc>
        <w:tc>
          <w:tcPr>
            <w:tcW w:w="120" w:type="dxa"/>
            <w:vAlign w:val="bottom"/>
            <w:shd w:val="clear" w:color="auto" w:fill="CCFFCC"/>
          </w:tcPr>
          <w:p>
            <w:pPr>
              <w:spacing w:after="0"/>
              <w:rPr>
                <w:sz w:val="17"/>
                <w:szCs w:val="17"/>
                <w:color w:val="auto"/>
              </w:rPr>
            </w:pPr>
          </w:p>
        </w:tc>
        <w:tc>
          <w:tcPr>
            <w:tcW w:w="24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r>
      <w:tr>
        <w:trPr>
          <w:trHeight w:val="209"/>
        </w:trPr>
        <w:tc>
          <w:tcPr>
            <w:tcW w:w="980" w:type="dxa"/>
            <w:vAlign w:val="bottom"/>
            <w:tcBorders>
              <w:bottom w:val="single" w:sz="8" w:color="CCFFCC"/>
            </w:tcBorders>
            <w:gridSpan w:val="5"/>
            <w:shd w:val="clear" w:color="auto" w:fill="CCFFCC"/>
          </w:tcPr>
          <w:p>
            <w:pPr>
              <w:ind w:left="200"/>
              <w:spacing w:after="0"/>
              <w:rPr>
                <w:sz w:val="20"/>
                <w:szCs w:val="20"/>
                <w:color w:val="auto"/>
              </w:rPr>
            </w:pPr>
            <w:r>
              <w:rPr>
                <w:rFonts w:ascii="Arial" w:cs="Arial" w:eastAsia="Arial" w:hAnsi="Arial"/>
                <w:sz w:val="16"/>
                <w:szCs w:val="16"/>
                <w:color w:val="auto"/>
                <w:w w:val="94"/>
              </w:rPr>
              <w:t>11/14/2016</w:t>
            </w:r>
          </w:p>
        </w:tc>
        <w:tc>
          <w:tcPr>
            <w:tcW w:w="4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24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90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860" w:type="dxa"/>
            <w:vAlign w:val="bottom"/>
            <w:tcBorders>
              <w:bottom w:val="single" w:sz="8" w:color="auto"/>
              <w:right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auto"/>
              <w:right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194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1,512,392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1,667,701</w:t>
            </w: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0.68%</w:t>
            </w:r>
          </w:p>
        </w:tc>
      </w:tr>
      <w:tr>
        <w:trPr>
          <w:trHeight w:val="156"/>
        </w:trPr>
        <w:tc>
          <w:tcPr>
            <w:tcW w:w="20" w:type="dxa"/>
            <w:vAlign w:val="bottom"/>
            <w:tcBorders>
              <w:bottom w:val="single" w:sz="8" w:color="CCFFCC"/>
            </w:tcBorders>
            <w:shd w:val="clear" w:color="auto" w:fill="CCFFCC"/>
          </w:tcPr>
          <w:p>
            <w:pPr>
              <w:spacing w:after="0"/>
              <w:rPr>
                <w:sz w:val="13"/>
                <w:szCs w:val="13"/>
                <w:color w:val="auto"/>
              </w:rPr>
            </w:pPr>
          </w:p>
        </w:tc>
        <w:tc>
          <w:tcPr>
            <w:tcW w:w="1660" w:type="dxa"/>
            <w:vAlign w:val="bottom"/>
            <w:tcBorders>
              <w:bottom w:val="single" w:sz="8" w:color="auto"/>
            </w:tcBorders>
            <w:gridSpan w:val="13"/>
            <w:shd w:val="clear" w:color="auto" w:fill="CCFFCC"/>
          </w:tcPr>
          <w:p>
            <w:pPr>
              <w:spacing w:after="0" w:line="155" w:lineRule="exact"/>
              <w:rPr>
                <w:sz w:val="20"/>
                <w:szCs w:val="20"/>
                <w:color w:val="auto"/>
              </w:rPr>
            </w:pPr>
            <w:r>
              <w:rPr>
                <w:rFonts w:ascii="Arial" w:cs="Arial" w:eastAsia="Arial" w:hAnsi="Arial"/>
                <w:sz w:val="16"/>
                <w:szCs w:val="16"/>
                <w:b w:val="1"/>
                <w:bCs w:val="1"/>
                <w:color w:val="auto"/>
                <w:w w:val="91"/>
              </w:rPr>
              <w:t>Silver Spring Networks,</w:t>
            </w:r>
          </w:p>
        </w:tc>
        <w:tc>
          <w:tcPr>
            <w:tcW w:w="280" w:type="dxa"/>
            <w:vAlign w:val="bottom"/>
            <w:tcBorders>
              <w:bottom w:val="single" w:sz="8" w:color="CCFFCC"/>
            </w:tcBorders>
            <w:gridSpan w:val="2"/>
            <w:shd w:val="clear" w:color="auto" w:fill="CCFFCC"/>
          </w:tcPr>
          <w:p>
            <w:pPr>
              <w:spacing w:after="0"/>
              <w:rPr>
                <w:sz w:val="13"/>
                <w:szCs w:val="13"/>
                <w:color w:val="auto"/>
              </w:rPr>
            </w:pPr>
          </w:p>
        </w:tc>
        <w:tc>
          <w:tcPr>
            <w:tcW w:w="120" w:type="dxa"/>
            <w:vAlign w:val="bottom"/>
            <w:tcBorders>
              <w:bottom w:val="single" w:sz="8" w:color="CCFFCC"/>
            </w:tcBorders>
            <w:shd w:val="clear" w:color="auto" w:fill="CCFFCC"/>
          </w:tcPr>
          <w:p>
            <w:pPr>
              <w:spacing w:after="0"/>
              <w:rPr>
                <w:sz w:val="13"/>
                <w:szCs w:val="13"/>
                <w:color w:val="auto"/>
              </w:rPr>
            </w:pPr>
          </w:p>
        </w:tc>
        <w:tc>
          <w:tcPr>
            <w:tcW w:w="2420" w:type="dxa"/>
            <w:vAlign w:val="bottom"/>
            <w:tcBorders>
              <w:bottom w:val="single" w:sz="8" w:color="CCFFCC"/>
            </w:tcBorders>
            <w:shd w:val="clear" w:color="auto" w:fill="CCFFCC"/>
          </w:tcPr>
          <w:p>
            <w:pPr>
              <w:jc w:val="center"/>
              <w:spacing w:after="0" w:line="155" w:lineRule="exact"/>
              <w:rPr>
                <w:sz w:val="20"/>
                <w:szCs w:val="20"/>
                <w:color w:val="auto"/>
              </w:rPr>
            </w:pPr>
            <w:r>
              <w:rPr>
                <w:rFonts w:ascii="Arial" w:cs="Arial" w:eastAsia="Arial" w:hAnsi="Arial"/>
                <w:sz w:val="16"/>
                <w:szCs w:val="16"/>
                <w:color w:val="auto"/>
                <w:w w:val="93"/>
              </w:rPr>
              <w:t>Redwood City, CA</w:t>
            </w:r>
          </w:p>
        </w:tc>
        <w:tc>
          <w:tcPr>
            <w:tcW w:w="100" w:type="dxa"/>
            <w:vAlign w:val="bottom"/>
            <w:tcBorders>
              <w:bottom w:val="single" w:sz="8" w:color="CCFFCC"/>
            </w:tcBorders>
            <w:shd w:val="clear" w:color="auto" w:fill="CCFFCC"/>
          </w:tcPr>
          <w:p>
            <w:pPr>
              <w:spacing w:after="0"/>
              <w:rPr>
                <w:sz w:val="13"/>
                <w:szCs w:val="13"/>
                <w:color w:val="auto"/>
              </w:rPr>
            </w:pPr>
          </w:p>
        </w:tc>
        <w:tc>
          <w:tcPr>
            <w:tcW w:w="900" w:type="dxa"/>
            <w:vAlign w:val="bottom"/>
            <w:tcBorders>
              <w:bottom w:val="single" w:sz="8" w:color="CCFFCC"/>
            </w:tcBorders>
            <w:shd w:val="clear" w:color="auto" w:fill="CCFFCC"/>
          </w:tcPr>
          <w:p>
            <w:pPr>
              <w:spacing w:after="0"/>
              <w:rPr>
                <w:sz w:val="13"/>
                <w:szCs w:val="13"/>
                <w:color w:val="auto"/>
              </w:rPr>
            </w:pPr>
          </w:p>
        </w:tc>
        <w:tc>
          <w:tcPr>
            <w:tcW w:w="120" w:type="dxa"/>
            <w:vAlign w:val="bottom"/>
            <w:tcBorders>
              <w:bottom w:val="single" w:sz="8" w:color="CCFFCC"/>
            </w:tcBorders>
            <w:shd w:val="clear" w:color="auto" w:fill="CCFFCC"/>
          </w:tcPr>
          <w:p>
            <w:pPr>
              <w:spacing w:after="0"/>
              <w:rPr>
                <w:sz w:val="13"/>
                <w:szCs w:val="13"/>
                <w:color w:val="auto"/>
              </w:rPr>
            </w:pPr>
          </w:p>
        </w:tc>
        <w:tc>
          <w:tcPr>
            <w:tcW w:w="860" w:type="dxa"/>
            <w:vAlign w:val="bottom"/>
            <w:tcBorders>
              <w:top w:val="single" w:sz="8" w:color="auto"/>
              <w:bottom w:val="single" w:sz="8" w:color="CCFFCC"/>
              <w:right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880" w:type="dxa"/>
            <w:vAlign w:val="bottom"/>
            <w:tcBorders>
              <w:top w:val="single" w:sz="8" w:color="auto"/>
              <w:bottom w:val="single" w:sz="8" w:color="CCFFCC"/>
              <w:right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440" w:type="dxa"/>
            <w:vAlign w:val="bottom"/>
            <w:tcBorders>
              <w:top w:val="single" w:sz="8" w:color="auto"/>
              <w:bottom w:val="single" w:sz="8" w:color="CCFFCC"/>
            </w:tcBorders>
            <w:shd w:val="clear" w:color="auto" w:fill="CCFFCC"/>
          </w:tcPr>
          <w:p>
            <w:pPr>
              <w:spacing w:after="0"/>
              <w:rPr>
                <w:sz w:val="13"/>
                <w:szCs w:val="13"/>
                <w:color w:val="auto"/>
              </w:rPr>
            </w:pPr>
          </w:p>
        </w:tc>
        <w:tc>
          <w:tcPr>
            <w:tcW w:w="220" w:type="dxa"/>
            <w:vAlign w:val="bottom"/>
            <w:tcBorders>
              <w:bottom w:val="single" w:sz="8" w:color="CCFFCC"/>
            </w:tcBorders>
            <w:shd w:val="clear" w:color="auto" w:fill="CCFFCC"/>
          </w:tcPr>
          <w:p>
            <w:pPr>
              <w:spacing w:after="0"/>
              <w:rPr>
                <w:sz w:val="13"/>
                <w:szCs w:val="13"/>
                <w:color w:val="auto"/>
              </w:rPr>
            </w:pPr>
          </w:p>
        </w:tc>
      </w:tr>
      <w:tr>
        <w:trPr>
          <w:trHeight w:val="223"/>
        </w:trPr>
        <w:tc>
          <w:tcPr>
            <w:tcW w:w="20" w:type="dxa"/>
            <w:vAlign w:val="bottom"/>
            <w:shd w:val="clear" w:color="auto" w:fill="CCFFCC"/>
          </w:tcPr>
          <w:p>
            <w:pPr>
              <w:spacing w:after="0"/>
              <w:rPr>
                <w:sz w:val="19"/>
                <w:szCs w:val="19"/>
                <w:color w:val="auto"/>
              </w:rPr>
            </w:pPr>
          </w:p>
        </w:tc>
        <w:tc>
          <w:tcPr>
            <w:tcW w:w="1940" w:type="dxa"/>
            <w:vAlign w:val="bottom"/>
            <w:gridSpan w:val="15"/>
            <w:shd w:val="clear" w:color="auto" w:fill="CCFFCC"/>
          </w:tcPr>
          <w:p>
            <w:pPr>
              <w:spacing w:after="0" w:line="223" w:lineRule="exact"/>
              <w:rPr>
                <w:sz w:val="20"/>
                <w:szCs w:val="20"/>
                <w:color w:val="auto"/>
              </w:rPr>
            </w:pPr>
            <w:r>
              <w:rPr>
                <w:rFonts w:ascii="Arial" w:cs="Arial" w:eastAsia="Arial" w:hAnsi="Arial"/>
                <w:sz w:val="15"/>
                <w:szCs w:val="15"/>
                <w:b w:val="1"/>
                <w:bCs w:val="1"/>
                <w:color w:val="auto"/>
              </w:rPr>
              <w:t>Inc.</w:t>
            </w:r>
            <w:r>
              <w:rPr>
                <w:rFonts w:ascii="Arial" w:cs="Arial" w:eastAsia="Arial" w:hAnsi="Arial"/>
                <w:sz w:val="25"/>
                <w:szCs w:val="25"/>
                <w:b w:val="1"/>
                <w:bCs w:val="1"/>
                <w:color w:val="auto"/>
                <w:vertAlign w:val="superscript"/>
              </w:rPr>
              <w:t>(9)</w:t>
            </w:r>
          </w:p>
        </w:tc>
        <w:tc>
          <w:tcPr>
            <w:tcW w:w="120" w:type="dxa"/>
            <w:vAlign w:val="bottom"/>
            <w:shd w:val="clear" w:color="auto" w:fill="CCFFCC"/>
          </w:tcPr>
          <w:p>
            <w:pPr>
              <w:spacing w:after="0"/>
              <w:rPr>
                <w:sz w:val="19"/>
                <w:szCs w:val="19"/>
                <w:color w:val="auto"/>
              </w:rPr>
            </w:pPr>
          </w:p>
        </w:tc>
        <w:tc>
          <w:tcPr>
            <w:tcW w:w="24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9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860" w:type="dxa"/>
            <w:vAlign w:val="bottom"/>
            <w:tcBorders>
              <w:right w:val="single" w:sz="8" w:color="CCFFCC"/>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80" w:type="dxa"/>
            <w:vAlign w:val="bottom"/>
            <w:tcBorders>
              <w:right w:val="single" w:sz="8" w:color="CCFFCC"/>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5"/>
          </w:tcPr>
          <w:p>
            <w:pPr>
              <w:spacing w:after="0"/>
              <w:rPr>
                <w:sz w:val="20"/>
                <w:szCs w:val="20"/>
                <w:color w:val="auto"/>
              </w:rPr>
            </w:pPr>
            <w:r>
              <w:rPr>
                <w:rFonts w:ascii="Arial" w:cs="Arial" w:eastAsia="Arial" w:hAnsi="Arial"/>
                <w:sz w:val="16"/>
                <w:szCs w:val="16"/>
                <w:color w:val="auto"/>
              </w:rPr>
              <w:t>Common shares</w:t>
            </w:r>
          </w:p>
        </w:tc>
        <w:tc>
          <w:tcPr>
            <w:tcW w:w="12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w w:val="95"/>
              </w:rPr>
              <w:t>Smart Grid</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102,028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5,145,271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1,591,331</w:t>
            </w: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0.65%</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5"/>
            <w:shd w:val="clear" w:color="auto" w:fill="CCFFCC"/>
          </w:tcPr>
          <w:p>
            <w:pPr>
              <w:spacing w:after="0" w:line="202" w:lineRule="exact"/>
              <w:rPr>
                <w:sz w:val="20"/>
                <w:szCs w:val="20"/>
                <w:color w:val="auto"/>
              </w:rPr>
            </w:pPr>
            <w:r>
              <w:rPr>
                <w:rFonts w:ascii="Arial" w:cs="Arial" w:eastAsia="Arial" w:hAnsi="Arial"/>
                <w:sz w:val="14"/>
                <w:szCs w:val="14"/>
                <w:b w:val="1"/>
                <w:bCs w:val="1"/>
                <w:color w:val="auto"/>
              </w:rPr>
              <w:t>AltEgo, LLC</w:t>
            </w:r>
            <w:r>
              <w:rPr>
                <w:rFonts w:ascii="Arial" w:cs="Arial" w:eastAsia="Arial" w:hAnsi="Arial"/>
                <w:sz w:val="23"/>
                <w:szCs w:val="23"/>
                <w:b w:val="1"/>
                <w:bCs w:val="1"/>
                <w:color w:val="auto"/>
                <w:vertAlign w:val="superscript"/>
              </w:rPr>
              <w:t>(2)(6)</w:t>
            </w:r>
          </w:p>
        </w:tc>
        <w:tc>
          <w:tcPr>
            <w:tcW w:w="120" w:type="dxa"/>
            <w:vAlign w:val="bottom"/>
            <w:shd w:val="clear" w:color="auto" w:fill="CCFFCC"/>
          </w:tcPr>
          <w:p>
            <w:pPr>
              <w:spacing w:after="0"/>
              <w:rPr>
                <w:sz w:val="17"/>
                <w:szCs w:val="17"/>
                <w:color w:val="auto"/>
              </w:rPr>
            </w:pPr>
          </w:p>
        </w:tc>
        <w:tc>
          <w:tcPr>
            <w:tcW w:w="242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4"/>
              </w:rPr>
              <w:t>Santa Monica, CA</w:t>
            </w: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46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gridSpan w:val="15"/>
          </w:tcPr>
          <w:p>
            <w:pPr>
              <w:spacing w:after="0"/>
              <w:rPr>
                <w:sz w:val="20"/>
                <w:szCs w:val="20"/>
                <w:color w:val="auto"/>
              </w:rPr>
            </w:pPr>
            <w:r>
              <w:rPr>
                <w:rFonts w:ascii="Arial" w:cs="Arial" w:eastAsia="Arial" w:hAnsi="Arial"/>
                <w:sz w:val="16"/>
                <w:szCs w:val="16"/>
                <w:color w:val="auto"/>
                <w:w w:val="94"/>
              </w:rPr>
              <w:t>Preferred shares, Series B-2</w:t>
            </w:r>
          </w:p>
        </w:tc>
        <w:tc>
          <w:tcPr>
            <w:tcW w:w="12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w w:val="93"/>
              </w:rPr>
              <w:t>Social Media</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1,400,000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1,420,406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1,194,200</w:t>
            </w: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0.49%</w:t>
            </w:r>
          </w:p>
        </w:tc>
      </w:tr>
      <w:tr>
        <w:trPr>
          <w:trHeight w:val="203"/>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w w:val="93"/>
              </w:rPr>
              <w:t>Customer Acquisition</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w w:val="97"/>
              </w:rPr>
              <w:t>Platform</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65"/>
        </w:trPr>
        <w:tc>
          <w:tcPr>
            <w:tcW w:w="20" w:type="dxa"/>
            <w:vAlign w:val="bottom"/>
            <w:tcBorders>
              <w:bottom w:val="single" w:sz="8" w:color="CCFFCC"/>
            </w:tcBorders>
            <w:shd w:val="clear" w:color="auto" w:fill="CCFFCC"/>
          </w:tcPr>
          <w:p>
            <w:pPr>
              <w:spacing w:after="0"/>
              <w:rPr>
                <w:sz w:val="14"/>
                <w:szCs w:val="14"/>
                <w:color w:val="auto"/>
              </w:rPr>
            </w:pPr>
          </w:p>
        </w:tc>
        <w:tc>
          <w:tcPr>
            <w:tcW w:w="1120" w:type="dxa"/>
            <w:vAlign w:val="bottom"/>
            <w:tcBorders>
              <w:bottom w:val="single" w:sz="8" w:color="auto"/>
            </w:tcBorders>
            <w:gridSpan w:val="8"/>
            <w:shd w:val="clear" w:color="auto" w:fill="CCFFCC"/>
          </w:tcPr>
          <w:p>
            <w:pPr>
              <w:spacing w:after="0" w:line="165" w:lineRule="exact"/>
              <w:rPr>
                <w:sz w:val="20"/>
                <w:szCs w:val="20"/>
                <w:color w:val="auto"/>
              </w:rPr>
            </w:pPr>
            <w:r>
              <w:rPr>
                <w:rFonts w:ascii="Arial" w:cs="Arial" w:eastAsia="Arial" w:hAnsi="Arial"/>
                <w:sz w:val="16"/>
                <w:szCs w:val="16"/>
                <w:b w:val="1"/>
                <w:bCs w:val="1"/>
                <w:color w:val="auto"/>
                <w:w w:val="92"/>
              </w:rPr>
              <w:t>S3 Digital Corp.</w:t>
            </w:r>
          </w:p>
        </w:tc>
        <w:tc>
          <w:tcPr>
            <w:tcW w:w="820" w:type="dxa"/>
            <w:vAlign w:val="bottom"/>
            <w:tcBorders>
              <w:bottom w:val="single" w:sz="8" w:color="CCFFCC"/>
            </w:tcBorders>
            <w:gridSpan w:val="7"/>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2420" w:type="dxa"/>
            <w:vAlign w:val="bottom"/>
            <w:tcBorders>
              <w:bottom w:val="single" w:sz="8" w:color="CCFFCC"/>
            </w:tcBorders>
            <w:shd w:val="clear" w:color="auto" w:fill="CCFFCC"/>
          </w:tcPr>
          <w:p>
            <w:pPr>
              <w:jc w:val="center"/>
              <w:spacing w:after="0" w:line="165" w:lineRule="exact"/>
              <w:rPr>
                <w:sz w:val="20"/>
                <w:szCs w:val="20"/>
                <w:color w:val="auto"/>
              </w:rPr>
            </w:pPr>
            <w:r>
              <w:rPr>
                <w:rFonts w:ascii="Arial" w:cs="Arial" w:eastAsia="Arial" w:hAnsi="Arial"/>
                <w:sz w:val="16"/>
                <w:szCs w:val="16"/>
                <w:color w:val="auto"/>
                <w:w w:val="97"/>
              </w:rPr>
              <w:t>New York, NY</w:t>
            </w:r>
          </w:p>
        </w:tc>
        <w:tc>
          <w:tcPr>
            <w:tcW w:w="100" w:type="dxa"/>
            <w:vAlign w:val="bottom"/>
            <w:tcBorders>
              <w:bottom w:val="single" w:sz="8" w:color="CCFFCC"/>
            </w:tcBorders>
            <w:shd w:val="clear" w:color="auto" w:fill="CCFFCC"/>
          </w:tcPr>
          <w:p>
            <w:pPr>
              <w:spacing w:after="0"/>
              <w:rPr>
                <w:sz w:val="14"/>
                <w:szCs w:val="14"/>
                <w:color w:val="auto"/>
              </w:rPr>
            </w:pPr>
          </w:p>
        </w:tc>
        <w:tc>
          <w:tcPr>
            <w:tcW w:w="900" w:type="dxa"/>
            <w:vAlign w:val="bottom"/>
            <w:tcBorders>
              <w:bottom w:val="single" w:sz="8" w:color="CCFFCC"/>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860" w:type="dxa"/>
            <w:vAlign w:val="bottom"/>
            <w:tcBorders>
              <w:bottom w:val="single" w:sz="8" w:color="CCFFCC"/>
              <w:right w:val="single" w:sz="8" w:color="CCFFCC"/>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880" w:type="dxa"/>
            <w:vAlign w:val="bottom"/>
            <w:tcBorders>
              <w:bottom w:val="single" w:sz="8" w:color="CCFFCC"/>
              <w:right w:val="single" w:sz="8" w:color="CCFFCC"/>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440" w:type="dxa"/>
            <w:vAlign w:val="bottom"/>
            <w:tcBorders>
              <w:bottom w:val="single" w:sz="8" w:color="CCFFCC"/>
            </w:tcBorders>
            <w:shd w:val="clear" w:color="auto" w:fill="CCFFCC"/>
          </w:tcPr>
          <w:p>
            <w:pPr>
              <w:spacing w:after="0"/>
              <w:rPr>
                <w:sz w:val="14"/>
                <w:szCs w:val="14"/>
                <w:color w:val="auto"/>
              </w:rPr>
            </w:pPr>
          </w:p>
        </w:tc>
        <w:tc>
          <w:tcPr>
            <w:tcW w:w="220" w:type="dxa"/>
            <w:vAlign w:val="bottom"/>
            <w:tcBorders>
              <w:bottom w:val="single" w:sz="8" w:color="CCFFCC"/>
            </w:tcBorders>
            <w:shd w:val="clear" w:color="auto" w:fill="CCFFCC"/>
          </w:tcPr>
          <w:p>
            <w:pPr>
              <w:spacing w:after="0"/>
              <w:rPr>
                <w:sz w:val="14"/>
                <w:szCs w:val="14"/>
                <w:color w:val="auto"/>
              </w:rPr>
            </w:pPr>
          </w:p>
        </w:tc>
      </w:tr>
      <w:tr>
        <w:trPr>
          <w:trHeight w:val="223"/>
        </w:trPr>
        <w:tc>
          <w:tcPr>
            <w:tcW w:w="20" w:type="dxa"/>
            <w:vAlign w:val="bottom"/>
            <w:shd w:val="clear" w:color="auto" w:fill="CCFFCC"/>
          </w:tcPr>
          <w:p>
            <w:pPr>
              <w:spacing w:after="0"/>
              <w:rPr>
                <w:sz w:val="19"/>
                <w:szCs w:val="19"/>
                <w:color w:val="auto"/>
              </w:rPr>
            </w:pPr>
          </w:p>
        </w:tc>
        <w:tc>
          <w:tcPr>
            <w:tcW w:w="1940" w:type="dxa"/>
            <w:vAlign w:val="bottom"/>
            <w:gridSpan w:val="15"/>
            <w:shd w:val="clear" w:color="auto" w:fill="CCFFCC"/>
          </w:tcPr>
          <w:p>
            <w:pPr>
              <w:spacing w:after="0" w:line="223" w:lineRule="exact"/>
              <w:rPr>
                <w:sz w:val="20"/>
                <w:szCs w:val="20"/>
                <w:color w:val="auto"/>
              </w:rPr>
            </w:pPr>
            <w:r>
              <w:rPr>
                <w:rFonts w:ascii="Arial" w:cs="Arial" w:eastAsia="Arial" w:hAnsi="Arial"/>
                <w:sz w:val="15"/>
                <w:szCs w:val="15"/>
                <w:b w:val="1"/>
                <w:bCs w:val="1"/>
                <w:color w:val="auto"/>
              </w:rPr>
              <w:t>(d/b/a S3i)</w:t>
            </w:r>
            <w:r>
              <w:rPr>
                <w:rFonts w:ascii="Arial" w:cs="Arial" w:eastAsia="Arial" w:hAnsi="Arial"/>
                <w:sz w:val="25"/>
                <w:szCs w:val="25"/>
                <w:b w:val="1"/>
                <w:bCs w:val="1"/>
                <w:color w:val="auto"/>
                <w:vertAlign w:val="superscript"/>
              </w:rPr>
              <w:t>(2)</w:t>
            </w:r>
          </w:p>
        </w:tc>
        <w:tc>
          <w:tcPr>
            <w:tcW w:w="120" w:type="dxa"/>
            <w:vAlign w:val="bottom"/>
            <w:shd w:val="clear" w:color="auto" w:fill="CCFFCC"/>
          </w:tcPr>
          <w:p>
            <w:pPr>
              <w:spacing w:after="0"/>
              <w:rPr>
                <w:sz w:val="19"/>
                <w:szCs w:val="19"/>
                <w:color w:val="auto"/>
              </w:rPr>
            </w:pPr>
          </w:p>
        </w:tc>
        <w:tc>
          <w:tcPr>
            <w:tcW w:w="24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9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860" w:type="dxa"/>
            <w:vAlign w:val="bottom"/>
            <w:tcBorders>
              <w:right w:val="single" w:sz="8" w:color="CCFFCC"/>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80" w:type="dxa"/>
            <w:vAlign w:val="bottom"/>
            <w:tcBorders>
              <w:right w:val="single" w:sz="8" w:color="CCFFCC"/>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46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5"/>
          </w:tcPr>
          <w:p>
            <w:pPr>
              <w:spacing w:after="0"/>
              <w:rPr>
                <w:sz w:val="20"/>
                <w:szCs w:val="20"/>
                <w:color w:val="auto"/>
              </w:rPr>
            </w:pPr>
            <w:r>
              <w:rPr>
                <w:rFonts w:ascii="Arial" w:cs="Arial" w:eastAsia="Arial" w:hAnsi="Arial"/>
                <w:sz w:val="16"/>
                <w:szCs w:val="16"/>
                <w:color w:val="auto"/>
                <w:w w:val="99"/>
              </w:rPr>
              <w:t>Preferred shares, Class A1</w:t>
            </w:r>
          </w:p>
        </w:tc>
        <w:tc>
          <w:tcPr>
            <w:tcW w:w="12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w w:val="92"/>
              </w:rPr>
              <w:t>Sports Analytics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1,033,452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989,058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1,050,504</w:t>
            </w: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0.43%</w:t>
            </w:r>
          </w:p>
        </w:tc>
      </w:tr>
      <w:tr>
        <w:trPr>
          <w:trHeight w:val="193"/>
        </w:trPr>
        <w:tc>
          <w:tcPr>
            <w:tcW w:w="20" w:type="dxa"/>
            <w:vAlign w:val="bottom"/>
            <w:shd w:val="clear" w:color="auto" w:fill="CCFFCC"/>
          </w:tcPr>
          <w:p>
            <w:pPr>
              <w:spacing w:after="0"/>
              <w:rPr>
                <w:sz w:val="16"/>
                <w:szCs w:val="16"/>
                <w:color w:val="auto"/>
              </w:rPr>
            </w:pPr>
          </w:p>
        </w:tc>
        <w:tc>
          <w:tcPr>
            <w:tcW w:w="1940" w:type="dxa"/>
            <w:vAlign w:val="bottom"/>
            <w:gridSpan w:val="15"/>
            <w:shd w:val="clear" w:color="auto" w:fill="CCFFCC"/>
          </w:tcPr>
          <w:p>
            <w:pPr>
              <w:spacing w:after="0"/>
              <w:rPr>
                <w:sz w:val="20"/>
                <w:szCs w:val="20"/>
                <w:color w:val="auto"/>
              </w:rPr>
            </w:pPr>
            <w:r>
              <w:rPr>
                <w:rFonts w:ascii="Arial" w:cs="Arial" w:eastAsia="Arial" w:hAnsi="Arial"/>
                <w:sz w:val="16"/>
                <w:szCs w:val="16"/>
                <w:color w:val="auto"/>
              </w:rPr>
              <w:t>Preferred warrants, $1.00</w:t>
            </w:r>
          </w:p>
        </w:tc>
        <w:tc>
          <w:tcPr>
            <w:tcW w:w="120" w:type="dxa"/>
            <w:vAlign w:val="bottom"/>
            <w:shd w:val="clear" w:color="auto" w:fill="CCFFCC"/>
          </w:tcPr>
          <w:p>
            <w:pPr>
              <w:spacing w:after="0"/>
              <w:rPr>
                <w:sz w:val="16"/>
                <w:szCs w:val="16"/>
                <w:color w:val="auto"/>
              </w:rPr>
            </w:pPr>
          </w:p>
        </w:tc>
        <w:tc>
          <w:tcPr>
            <w:tcW w:w="242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500,000</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31,354</w:t>
            </w:r>
          </w:p>
        </w:tc>
        <w:tc>
          <w:tcPr>
            <w:tcW w:w="100" w:type="dxa"/>
            <w:vAlign w:val="bottom"/>
            <w:shd w:val="clear" w:color="auto" w:fill="CCFFCC"/>
          </w:tcPr>
          <w:p>
            <w:pPr>
              <w:spacing w:after="0"/>
              <w:rPr>
                <w:sz w:val="16"/>
                <w:szCs w:val="16"/>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6"/>
                <w:szCs w:val="16"/>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5"/>
            <w:shd w:val="clear" w:color="auto" w:fill="CCFFCC"/>
          </w:tcPr>
          <w:p>
            <w:pPr>
              <w:ind w:left="180"/>
              <w:spacing w:after="0"/>
              <w:rPr>
                <w:sz w:val="20"/>
                <w:szCs w:val="20"/>
                <w:color w:val="auto"/>
              </w:rPr>
            </w:pPr>
            <w:r>
              <w:rPr>
                <w:rFonts w:ascii="Arial" w:cs="Arial" w:eastAsia="Arial" w:hAnsi="Arial"/>
                <w:sz w:val="16"/>
                <w:szCs w:val="16"/>
                <w:color w:val="auto"/>
              </w:rPr>
              <w:t>strike price, expire</w:t>
            </w:r>
          </w:p>
        </w:tc>
        <w:tc>
          <w:tcPr>
            <w:tcW w:w="120" w:type="dxa"/>
            <w:vAlign w:val="bottom"/>
            <w:shd w:val="clear" w:color="auto" w:fill="CCFFCC"/>
          </w:tcPr>
          <w:p>
            <w:pPr>
              <w:spacing w:after="0"/>
              <w:rPr>
                <w:sz w:val="17"/>
                <w:szCs w:val="17"/>
                <w:color w:val="auto"/>
              </w:rPr>
            </w:pPr>
          </w:p>
        </w:tc>
        <w:tc>
          <w:tcPr>
            <w:tcW w:w="24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r>
      <w:tr>
        <w:trPr>
          <w:trHeight w:val="209"/>
        </w:trPr>
        <w:tc>
          <w:tcPr>
            <w:tcW w:w="980" w:type="dxa"/>
            <w:vAlign w:val="bottom"/>
            <w:tcBorders>
              <w:bottom w:val="single" w:sz="8" w:color="CCFFCC"/>
            </w:tcBorders>
            <w:gridSpan w:val="5"/>
            <w:shd w:val="clear" w:color="auto" w:fill="CCFFCC"/>
          </w:tcPr>
          <w:p>
            <w:pPr>
              <w:ind w:left="200"/>
              <w:spacing w:after="0"/>
              <w:rPr>
                <w:sz w:val="20"/>
                <w:szCs w:val="20"/>
                <w:color w:val="auto"/>
              </w:rPr>
            </w:pPr>
            <w:r>
              <w:rPr>
                <w:rFonts w:ascii="Arial" w:cs="Arial" w:eastAsia="Arial" w:hAnsi="Arial"/>
                <w:sz w:val="16"/>
                <w:szCs w:val="16"/>
                <w:color w:val="auto"/>
                <w:w w:val="94"/>
              </w:rPr>
              <w:t>11/21/2017</w:t>
            </w:r>
          </w:p>
        </w:tc>
        <w:tc>
          <w:tcPr>
            <w:tcW w:w="4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24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90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860" w:type="dxa"/>
            <w:vAlign w:val="bottom"/>
            <w:tcBorders>
              <w:bottom w:val="single" w:sz="8" w:color="auto"/>
              <w:right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auto"/>
              <w:right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18"/>
                <w:szCs w:val="18"/>
                <w:color w:val="auto"/>
              </w:rPr>
            </w:pPr>
          </w:p>
        </w:tc>
        <w:tc>
          <w:tcPr>
            <w:tcW w:w="220" w:type="dxa"/>
            <w:vAlign w:val="bottom"/>
            <w:tcBorders>
              <w:bottom w:val="single" w:sz="8" w:color="CCFFCC"/>
            </w:tcBorders>
            <w:shd w:val="clear" w:color="auto" w:fill="CCFFC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194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1,020,412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1,050,504</w:t>
            </w: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0.43%</w:t>
            </w:r>
          </w:p>
        </w:tc>
      </w:tr>
      <w:tr>
        <w:trPr>
          <w:trHeight w:val="196"/>
        </w:trPr>
        <w:tc>
          <w:tcPr>
            <w:tcW w:w="20" w:type="dxa"/>
            <w:vAlign w:val="bottom"/>
            <w:shd w:val="clear" w:color="auto" w:fill="CCFFCC"/>
          </w:tcPr>
          <w:p>
            <w:pPr>
              <w:spacing w:after="0"/>
              <w:rPr>
                <w:sz w:val="17"/>
                <w:szCs w:val="17"/>
                <w:color w:val="auto"/>
              </w:rPr>
            </w:pPr>
          </w:p>
        </w:tc>
        <w:tc>
          <w:tcPr>
            <w:tcW w:w="1940" w:type="dxa"/>
            <w:vAlign w:val="bottom"/>
            <w:gridSpan w:val="15"/>
            <w:shd w:val="clear" w:color="auto" w:fill="CCFFCC"/>
          </w:tcPr>
          <w:p>
            <w:pPr>
              <w:spacing w:after="0" w:line="197" w:lineRule="exact"/>
              <w:rPr>
                <w:sz w:val="20"/>
                <w:szCs w:val="20"/>
                <w:color w:val="auto"/>
              </w:rPr>
            </w:pPr>
            <w:r>
              <w:rPr>
                <w:rFonts w:ascii="Arial" w:cs="Arial" w:eastAsia="Arial" w:hAnsi="Arial"/>
                <w:sz w:val="14"/>
                <w:szCs w:val="14"/>
                <w:b w:val="1"/>
                <w:bCs w:val="1"/>
                <w:color w:val="auto"/>
              </w:rPr>
              <w:t>NestGSV, Inc.</w:t>
            </w:r>
            <w:r>
              <w:rPr>
                <w:rFonts w:ascii="Arial" w:cs="Arial" w:eastAsia="Arial" w:hAnsi="Arial"/>
                <w:sz w:val="22"/>
                <w:szCs w:val="22"/>
                <w:b w:val="1"/>
                <w:bCs w:val="1"/>
                <w:color w:val="auto"/>
                <w:vertAlign w:val="superscript"/>
              </w:rPr>
              <w:t>(2)</w:t>
            </w:r>
          </w:p>
        </w:tc>
        <w:tc>
          <w:tcPr>
            <w:tcW w:w="120" w:type="dxa"/>
            <w:vAlign w:val="bottom"/>
            <w:shd w:val="clear" w:color="auto" w:fill="CCFFCC"/>
          </w:tcPr>
          <w:p>
            <w:pPr>
              <w:spacing w:after="0"/>
              <w:rPr>
                <w:sz w:val="17"/>
                <w:szCs w:val="17"/>
                <w:color w:val="auto"/>
              </w:rPr>
            </w:pPr>
          </w:p>
        </w:tc>
        <w:tc>
          <w:tcPr>
            <w:tcW w:w="242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3"/>
              </w:rPr>
              <w:t>Redwood City, CA</w:t>
            </w: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60" w:type="dxa"/>
            <w:vAlign w:val="bottom"/>
            <w:tcBorders>
              <w:top w:val="single" w:sz="8" w:color="auto"/>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top w:val="single" w:sz="8" w:color="auto"/>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40" w:type="dxa"/>
            <w:vAlign w:val="bottom"/>
            <w:tcBorders>
              <w:top w:val="single" w:sz="8" w:color="auto"/>
            </w:tcBorders>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46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5"/>
          </w:tcPr>
          <w:p>
            <w:pPr>
              <w:spacing w:after="0"/>
              <w:rPr>
                <w:sz w:val="20"/>
                <w:szCs w:val="20"/>
                <w:color w:val="auto"/>
              </w:rPr>
            </w:pPr>
            <w:r>
              <w:rPr>
                <w:rFonts w:ascii="Arial" w:cs="Arial" w:eastAsia="Arial" w:hAnsi="Arial"/>
                <w:sz w:val="16"/>
                <w:szCs w:val="16"/>
                <w:color w:val="auto"/>
              </w:rPr>
              <w:t>Preferred shares, Series A</w:t>
            </w:r>
          </w:p>
        </w:tc>
        <w:tc>
          <w:tcPr>
            <w:tcW w:w="12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w w:val="92"/>
              </w:rPr>
              <w:t>Incubator</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1,021,778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976,000</w:t>
            </w: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0.40%</w:t>
            </w:r>
          </w:p>
        </w:tc>
      </w:tr>
      <w:tr>
        <w:trPr>
          <w:trHeight w:val="183"/>
        </w:trPr>
        <w:tc>
          <w:tcPr>
            <w:tcW w:w="20" w:type="dxa"/>
            <w:vAlign w:val="bottom"/>
            <w:tcBorders>
              <w:bottom w:val="single" w:sz="8" w:color="CCFFCC"/>
            </w:tcBorders>
            <w:shd w:val="clear" w:color="auto" w:fill="CCFFCC"/>
          </w:tcPr>
          <w:p>
            <w:pPr>
              <w:spacing w:after="0"/>
              <w:rPr>
                <w:sz w:val="15"/>
                <w:szCs w:val="15"/>
                <w:color w:val="auto"/>
              </w:rPr>
            </w:pPr>
          </w:p>
        </w:tc>
        <w:tc>
          <w:tcPr>
            <w:tcW w:w="1660" w:type="dxa"/>
            <w:vAlign w:val="bottom"/>
            <w:tcBorders>
              <w:bottom w:val="single" w:sz="8" w:color="auto"/>
            </w:tcBorders>
            <w:gridSpan w:val="13"/>
            <w:shd w:val="clear" w:color="auto" w:fill="CCFFCC"/>
          </w:tcPr>
          <w:p>
            <w:pPr>
              <w:spacing w:after="0" w:line="162" w:lineRule="exact"/>
              <w:rPr>
                <w:sz w:val="20"/>
                <w:szCs w:val="20"/>
                <w:color w:val="auto"/>
              </w:rPr>
            </w:pPr>
            <w:r>
              <w:rPr>
                <w:rFonts w:ascii="Arial" w:cs="Arial" w:eastAsia="Arial" w:hAnsi="Arial"/>
                <w:sz w:val="16"/>
                <w:szCs w:val="16"/>
                <w:b w:val="1"/>
                <w:bCs w:val="1"/>
                <w:color w:val="auto"/>
                <w:w w:val="94"/>
              </w:rPr>
              <w:t>The rSmart Group, Inc.</w:t>
            </w:r>
          </w:p>
        </w:tc>
        <w:tc>
          <w:tcPr>
            <w:tcW w:w="280" w:type="dxa"/>
            <w:vAlign w:val="bottom"/>
            <w:tcBorders>
              <w:bottom w:val="single" w:sz="8" w:color="CCFFCC"/>
            </w:tcBorders>
            <w:gridSpan w:val="2"/>
            <w:shd w:val="clear" w:color="auto" w:fill="CCFFCC"/>
          </w:tcPr>
          <w:p>
            <w:pPr>
              <w:spacing w:after="0"/>
              <w:rPr>
                <w:sz w:val="15"/>
                <w:szCs w:val="15"/>
                <w:color w:val="auto"/>
              </w:rPr>
            </w:pPr>
          </w:p>
        </w:tc>
        <w:tc>
          <w:tcPr>
            <w:tcW w:w="120" w:type="dxa"/>
            <w:vAlign w:val="bottom"/>
            <w:tcBorders>
              <w:bottom w:val="single" w:sz="8" w:color="CCFFCC"/>
            </w:tcBorders>
            <w:shd w:val="clear" w:color="auto" w:fill="CCFFCC"/>
          </w:tcPr>
          <w:p>
            <w:pPr>
              <w:spacing w:after="0"/>
              <w:rPr>
                <w:sz w:val="15"/>
                <w:szCs w:val="15"/>
                <w:color w:val="auto"/>
              </w:rPr>
            </w:pPr>
          </w:p>
        </w:tc>
        <w:tc>
          <w:tcPr>
            <w:tcW w:w="2420" w:type="dxa"/>
            <w:vAlign w:val="bottom"/>
            <w:tcBorders>
              <w:bottom w:val="single" w:sz="8" w:color="CCFFCC"/>
            </w:tcBorders>
            <w:shd w:val="clear" w:color="auto" w:fill="CCFFCC"/>
          </w:tcPr>
          <w:p>
            <w:pPr>
              <w:jc w:val="center"/>
              <w:spacing w:after="0" w:line="162" w:lineRule="exact"/>
              <w:rPr>
                <w:sz w:val="20"/>
                <w:szCs w:val="20"/>
                <w:color w:val="auto"/>
              </w:rPr>
            </w:pPr>
            <w:r>
              <w:rPr>
                <w:rFonts w:ascii="Arial" w:cs="Arial" w:eastAsia="Arial" w:hAnsi="Arial"/>
                <w:sz w:val="16"/>
                <w:szCs w:val="16"/>
                <w:color w:val="auto"/>
                <w:w w:val="94"/>
              </w:rPr>
              <w:t>Scottsdale, AZ</w:t>
            </w:r>
          </w:p>
        </w:tc>
        <w:tc>
          <w:tcPr>
            <w:tcW w:w="100" w:type="dxa"/>
            <w:vAlign w:val="bottom"/>
            <w:tcBorders>
              <w:bottom w:val="single" w:sz="8" w:color="CCFFCC"/>
            </w:tcBorders>
            <w:shd w:val="clear" w:color="auto" w:fill="CCFFCC"/>
          </w:tcPr>
          <w:p>
            <w:pPr>
              <w:spacing w:after="0"/>
              <w:rPr>
                <w:sz w:val="15"/>
                <w:szCs w:val="15"/>
                <w:color w:val="auto"/>
              </w:rPr>
            </w:pPr>
          </w:p>
        </w:tc>
        <w:tc>
          <w:tcPr>
            <w:tcW w:w="900" w:type="dxa"/>
            <w:vAlign w:val="bottom"/>
            <w:tcBorders>
              <w:bottom w:val="single" w:sz="8" w:color="CCFFCC"/>
            </w:tcBorders>
            <w:shd w:val="clear" w:color="auto" w:fill="CCFFCC"/>
          </w:tcPr>
          <w:p>
            <w:pPr>
              <w:spacing w:after="0"/>
              <w:rPr>
                <w:sz w:val="15"/>
                <w:szCs w:val="15"/>
                <w:color w:val="auto"/>
              </w:rPr>
            </w:pPr>
          </w:p>
        </w:tc>
        <w:tc>
          <w:tcPr>
            <w:tcW w:w="120" w:type="dxa"/>
            <w:vAlign w:val="bottom"/>
            <w:tcBorders>
              <w:bottom w:val="single" w:sz="8" w:color="CCFFCC"/>
            </w:tcBorders>
            <w:shd w:val="clear" w:color="auto" w:fill="CCFFCC"/>
          </w:tcPr>
          <w:p>
            <w:pPr>
              <w:spacing w:after="0"/>
              <w:rPr>
                <w:sz w:val="15"/>
                <w:szCs w:val="15"/>
                <w:color w:val="auto"/>
              </w:rPr>
            </w:pPr>
          </w:p>
        </w:tc>
        <w:tc>
          <w:tcPr>
            <w:tcW w:w="860" w:type="dxa"/>
            <w:vAlign w:val="bottom"/>
            <w:tcBorders>
              <w:bottom w:val="single" w:sz="8" w:color="CCFFCC"/>
              <w:right w:val="single" w:sz="8" w:color="CCFFCC"/>
            </w:tcBorders>
            <w:shd w:val="clear" w:color="auto" w:fill="CCFFCC"/>
          </w:tcPr>
          <w:p>
            <w:pPr>
              <w:spacing w:after="0"/>
              <w:rPr>
                <w:sz w:val="15"/>
                <w:szCs w:val="15"/>
                <w:color w:val="auto"/>
              </w:rPr>
            </w:pPr>
          </w:p>
        </w:tc>
        <w:tc>
          <w:tcPr>
            <w:tcW w:w="100" w:type="dxa"/>
            <w:vAlign w:val="bottom"/>
            <w:tcBorders>
              <w:bottom w:val="single" w:sz="8" w:color="CCFFCC"/>
            </w:tcBorders>
            <w:shd w:val="clear" w:color="auto" w:fill="CCFFCC"/>
          </w:tcPr>
          <w:p>
            <w:pPr>
              <w:spacing w:after="0"/>
              <w:rPr>
                <w:sz w:val="15"/>
                <w:szCs w:val="15"/>
                <w:color w:val="auto"/>
              </w:rPr>
            </w:pPr>
          </w:p>
        </w:tc>
        <w:tc>
          <w:tcPr>
            <w:tcW w:w="880" w:type="dxa"/>
            <w:vAlign w:val="bottom"/>
            <w:tcBorders>
              <w:bottom w:val="single" w:sz="8" w:color="CCFFCC"/>
              <w:right w:val="single" w:sz="8" w:color="CCFFCC"/>
            </w:tcBorders>
            <w:shd w:val="clear" w:color="auto" w:fill="CCFFCC"/>
          </w:tcPr>
          <w:p>
            <w:pPr>
              <w:spacing w:after="0"/>
              <w:rPr>
                <w:sz w:val="15"/>
                <w:szCs w:val="15"/>
                <w:color w:val="auto"/>
              </w:rPr>
            </w:pPr>
          </w:p>
        </w:tc>
        <w:tc>
          <w:tcPr>
            <w:tcW w:w="100" w:type="dxa"/>
            <w:vAlign w:val="bottom"/>
            <w:tcBorders>
              <w:bottom w:val="single" w:sz="8" w:color="CCFFCC"/>
            </w:tcBorders>
            <w:shd w:val="clear" w:color="auto" w:fill="CCFFCC"/>
          </w:tcPr>
          <w:p>
            <w:pPr>
              <w:spacing w:after="0"/>
              <w:rPr>
                <w:sz w:val="15"/>
                <w:szCs w:val="15"/>
                <w:color w:val="auto"/>
              </w:rPr>
            </w:pPr>
          </w:p>
        </w:tc>
        <w:tc>
          <w:tcPr>
            <w:tcW w:w="440" w:type="dxa"/>
            <w:vAlign w:val="bottom"/>
            <w:tcBorders>
              <w:bottom w:val="single" w:sz="8" w:color="CCFFCC"/>
            </w:tcBorders>
            <w:shd w:val="clear" w:color="auto" w:fill="CCFFCC"/>
          </w:tcPr>
          <w:p>
            <w:pPr>
              <w:spacing w:after="0"/>
              <w:rPr>
                <w:sz w:val="15"/>
                <w:szCs w:val="15"/>
                <w:color w:val="auto"/>
              </w:rPr>
            </w:pPr>
          </w:p>
        </w:tc>
        <w:tc>
          <w:tcPr>
            <w:tcW w:w="220" w:type="dxa"/>
            <w:vAlign w:val="bottom"/>
            <w:tcBorders>
              <w:bottom w:val="single" w:sz="8" w:color="CCFFCC"/>
            </w:tcBorders>
            <w:shd w:val="clear" w:color="auto" w:fill="CCFFCC"/>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1940" w:type="dxa"/>
            <w:vAlign w:val="bottom"/>
            <w:gridSpan w:val="15"/>
          </w:tcPr>
          <w:p>
            <w:pPr>
              <w:spacing w:after="0"/>
              <w:rPr>
                <w:sz w:val="20"/>
                <w:szCs w:val="20"/>
                <w:color w:val="auto"/>
              </w:rPr>
            </w:pPr>
            <w:r>
              <w:rPr>
                <w:rFonts w:ascii="Arial" w:cs="Arial" w:eastAsia="Arial" w:hAnsi="Arial"/>
                <w:sz w:val="16"/>
                <w:szCs w:val="16"/>
                <w:color w:val="auto"/>
              </w:rPr>
              <w:t>Preferred shares, Series B</w:t>
            </w:r>
          </w:p>
        </w:tc>
        <w:tc>
          <w:tcPr>
            <w:tcW w:w="12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w w:val="93"/>
              </w:rPr>
              <w:t>Higher Education Learning</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1,201,923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1,266,940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911,058</w:t>
            </w: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0.37%</w:t>
            </w: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w w:val="97"/>
              </w:rPr>
              <w:t>Platform</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86"/>
        </w:trPr>
        <w:tc>
          <w:tcPr>
            <w:tcW w:w="20" w:type="dxa"/>
            <w:vAlign w:val="bottom"/>
            <w:shd w:val="clear" w:color="auto" w:fill="CCFFCC"/>
          </w:tcPr>
          <w:p>
            <w:pPr>
              <w:spacing w:after="0"/>
              <w:rPr>
                <w:sz w:val="16"/>
                <w:szCs w:val="16"/>
                <w:color w:val="auto"/>
              </w:rPr>
            </w:pPr>
          </w:p>
        </w:tc>
        <w:tc>
          <w:tcPr>
            <w:tcW w:w="1940" w:type="dxa"/>
            <w:vAlign w:val="bottom"/>
            <w:gridSpan w:val="15"/>
            <w:shd w:val="clear" w:color="auto" w:fill="CCFFCC"/>
          </w:tcPr>
          <w:p>
            <w:pPr>
              <w:spacing w:after="0" w:line="165" w:lineRule="exact"/>
              <w:rPr>
                <w:sz w:val="20"/>
                <w:szCs w:val="20"/>
                <w:color w:val="auto"/>
              </w:rPr>
            </w:pPr>
            <w:r>
              <w:rPr>
                <w:rFonts w:ascii="Arial" w:cs="Arial" w:eastAsia="Arial" w:hAnsi="Arial"/>
                <w:sz w:val="16"/>
                <w:szCs w:val="16"/>
                <w:b w:val="1"/>
                <w:bCs w:val="1"/>
                <w:color w:val="auto"/>
              </w:rPr>
              <w:t>DreamBox Learning, Inc.</w:t>
            </w:r>
          </w:p>
        </w:tc>
        <w:tc>
          <w:tcPr>
            <w:tcW w:w="120" w:type="dxa"/>
            <w:vAlign w:val="bottom"/>
            <w:shd w:val="clear" w:color="auto" w:fill="CCFFCC"/>
          </w:tcPr>
          <w:p>
            <w:pPr>
              <w:spacing w:after="0"/>
              <w:rPr>
                <w:sz w:val="16"/>
                <w:szCs w:val="16"/>
                <w:color w:val="auto"/>
              </w:rPr>
            </w:pPr>
          </w:p>
        </w:tc>
        <w:tc>
          <w:tcPr>
            <w:tcW w:w="2420" w:type="dxa"/>
            <w:vAlign w:val="bottom"/>
            <w:shd w:val="clear" w:color="auto" w:fill="CCFFCC"/>
          </w:tcPr>
          <w:p>
            <w:pPr>
              <w:jc w:val="center"/>
              <w:spacing w:after="0" w:line="165" w:lineRule="exact"/>
              <w:rPr>
                <w:sz w:val="20"/>
                <w:szCs w:val="20"/>
                <w:color w:val="auto"/>
              </w:rPr>
            </w:pPr>
            <w:r>
              <w:rPr>
                <w:rFonts w:ascii="Arial" w:cs="Arial" w:eastAsia="Arial" w:hAnsi="Arial"/>
                <w:sz w:val="16"/>
                <w:szCs w:val="16"/>
                <w:color w:val="auto"/>
                <w:w w:val="93"/>
              </w:rPr>
              <w:t>Bellevue, WA</w:t>
            </w:r>
          </w:p>
        </w:tc>
        <w:tc>
          <w:tcPr>
            <w:tcW w:w="100" w:type="dxa"/>
            <w:vAlign w:val="bottom"/>
            <w:shd w:val="clear" w:color="auto" w:fill="CCFFCC"/>
          </w:tcPr>
          <w:p>
            <w:pPr>
              <w:spacing w:after="0"/>
              <w:rPr>
                <w:sz w:val="16"/>
                <w:szCs w:val="16"/>
                <w:color w:val="auto"/>
              </w:rPr>
            </w:pPr>
          </w:p>
        </w:tc>
        <w:tc>
          <w:tcPr>
            <w:tcW w:w="9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60" w:type="dxa"/>
            <w:vAlign w:val="bottom"/>
            <w:tcBorders>
              <w:right w:val="single" w:sz="8" w:color="CCFFCC"/>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80" w:type="dxa"/>
            <w:vAlign w:val="bottom"/>
            <w:tcBorders>
              <w:right w:val="single" w:sz="8" w:color="CCFFCC"/>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r>
      <w:tr>
        <w:trPr>
          <w:trHeight w:val="203"/>
        </w:trPr>
        <w:tc>
          <w:tcPr>
            <w:tcW w:w="20" w:type="dxa"/>
            <w:vAlign w:val="bottom"/>
            <w:tcBorders>
              <w:top w:val="single" w:sz="8" w:color="CCFFCC"/>
            </w:tcBorders>
          </w:tcPr>
          <w:p>
            <w:pPr>
              <w:spacing w:after="0"/>
              <w:rPr>
                <w:sz w:val="17"/>
                <w:szCs w:val="17"/>
                <w:color w:val="auto"/>
              </w:rPr>
            </w:pPr>
          </w:p>
        </w:tc>
        <w:tc>
          <w:tcPr>
            <w:tcW w:w="1760" w:type="dxa"/>
            <w:vAlign w:val="bottom"/>
            <w:tcBorders>
              <w:top w:val="single" w:sz="8" w:color="auto"/>
            </w:tcBorders>
            <w:gridSpan w:val="14"/>
          </w:tcPr>
          <w:p>
            <w:pPr>
              <w:spacing w:after="0"/>
              <w:rPr>
                <w:sz w:val="20"/>
                <w:szCs w:val="20"/>
                <w:color w:val="auto"/>
              </w:rPr>
            </w:pPr>
            <w:r>
              <w:rPr>
                <w:rFonts w:ascii="Arial" w:cs="Arial" w:eastAsia="Arial" w:hAnsi="Arial"/>
                <w:sz w:val="16"/>
                <w:szCs w:val="16"/>
                <w:color w:val="auto"/>
                <w:w w:val="92"/>
              </w:rPr>
              <w:t>Preferred shares, Series A</w:t>
            </w:r>
          </w:p>
        </w:tc>
        <w:tc>
          <w:tcPr>
            <w:tcW w:w="180" w:type="dxa"/>
            <w:vAlign w:val="bottom"/>
            <w:tcBorders>
              <w:top w:val="single" w:sz="8" w:color="CCFFCC"/>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2420" w:type="dxa"/>
            <w:vAlign w:val="bottom"/>
            <w:tcBorders>
              <w:top w:val="single" w:sz="8" w:color="CCFFCC"/>
            </w:tcBorders>
          </w:tcPr>
          <w:p>
            <w:pPr>
              <w:jc w:val="center"/>
              <w:spacing w:after="0"/>
              <w:rPr>
                <w:sz w:val="20"/>
                <w:szCs w:val="20"/>
                <w:color w:val="auto"/>
              </w:rPr>
            </w:pPr>
            <w:r>
              <w:rPr>
                <w:rFonts w:ascii="Arial" w:cs="Arial" w:eastAsia="Arial" w:hAnsi="Arial"/>
                <w:sz w:val="16"/>
                <w:szCs w:val="16"/>
                <w:color w:val="auto"/>
                <w:w w:val="92"/>
              </w:rPr>
              <w:t>Education Technology</w:t>
            </w:r>
          </w:p>
        </w:tc>
        <w:tc>
          <w:tcPr>
            <w:tcW w:w="1000" w:type="dxa"/>
            <w:vAlign w:val="bottom"/>
            <w:tcBorders>
              <w:top w:val="single" w:sz="8" w:color="CCFFCC"/>
            </w:tcBorders>
            <w:gridSpan w:val="2"/>
          </w:tcPr>
          <w:p>
            <w:pPr>
              <w:jc w:val="right"/>
              <w:spacing w:after="0"/>
              <w:rPr>
                <w:sz w:val="20"/>
                <w:szCs w:val="20"/>
                <w:color w:val="auto"/>
              </w:rPr>
            </w:pPr>
            <w:r>
              <w:rPr>
                <w:rFonts w:ascii="Arial" w:cs="Arial" w:eastAsia="Arial" w:hAnsi="Arial"/>
                <w:sz w:val="16"/>
                <w:szCs w:val="16"/>
                <w:color w:val="auto"/>
              </w:rPr>
              <w:t>3,579,610</w:t>
            </w:r>
          </w:p>
        </w:tc>
        <w:tc>
          <w:tcPr>
            <w:tcW w:w="980" w:type="dxa"/>
            <w:vAlign w:val="bottom"/>
            <w:tcBorders>
              <w:top w:val="single" w:sz="8" w:color="CCFFCC"/>
            </w:tcBorders>
            <w:gridSpan w:val="2"/>
          </w:tcPr>
          <w:p>
            <w:pPr>
              <w:jc w:val="right"/>
              <w:spacing w:after="0"/>
              <w:rPr>
                <w:sz w:val="20"/>
                <w:szCs w:val="20"/>
                <w:color w:val="auto"/>
              </w:rPr>
            </w:pPr>
            <w:r>
              <w:rPr>
                <w:rFonts w:ascii="Arial" w:cs="Arial" w:eastAsia="Arial" w:hAnsi="Arial"/>
                <w:sz w:val="16"/>
                <w:szCs w:val="16"/>
                <w:color w:val="auto"/>
              </w:rPr>
              <w:t>758,017</w:t>
            </w:r>
          </w:p>
        </w:tc>
        <w:tc>
          <w:tcPr>
            <w:tcW w:w="980" w:type="dxa"/>
            <w:vAlign w:val="bottom"/>
            <w:tcBorders>
              <w:top w:val="single" w:sz="8" w:color="CCFFCC"/>
            </w:tcBorders>
            <w:gridSpan w:val="2"/>
          </w:tcPr>
          <w:p>
            <w:pPr>
              <w:jc w:val="right"/>
              <w:spacing w:after="0"/>
              <w:rPr>
                <w:sz w:val="20"/>
                <w:szCs w:val="20"/>
                <w:color w:val="auto"/>
              </w:rPr>
            </w:pPr>
            <w:r>
              <w:rPr>
                <w:rFonts w:ascii="Arial" w:cs="Arial" w:eastAsia="Arial" w:hAnsi="Arial"/>
                <w:sz w:val="16"/>
                <w:szCs w:val="16"/>
                <w:color w:val="auto"/>
              </w:rPr>
              <w:t>787,514</w:t>
            </w:r>
          </w:p>
        </w:tc>
        <w:tc>
          <w:tcPr>
            <w:tcW w:w="760" w:type="dxa"/>
            <w:vAlign w:val="bottom"/>
            <w:tcBorders>
              <w:top w:val="single" w:sz="8" w:color="CCFFCC"/>
            </w:tcBorders>
            <w:gridSpan w:val="3"/>
          </w:tcPr>
          <w:p>
            <w:pPr>
              <w:jc w:val="right"/>
              <w:ind w:right="80"/>
              <w:spacing w:after="0"/>
              <w:rPr>
                <w:sz w:val="20"/>
                <w:szCs w:val="20"/>
                <w:color w:val="auto"/>
              </w:rPr>
            </w:pPr>
            <w:r>
              <w:rPr>
                <w:rFonts w:ascii="Arial" w:cs="Arial" w:eastAsia="Arial" w:hAnsi="Arial"/>
                <w:sz w:val="16"/>
                <w:szCs w:val="16"/>
                <w:color w:val="auto"/>
              </w:rPr>
              <w:t>0.32%</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5"/>
            <w:shd w:val="clear" w:color="auto" w:fill="CCFFCC"/>
          </w:tcPr>
          <w:p>
            <w:pPr>
              <w:spacing w:after="0" w:line="202" w:lineRule="exact"/>
              <w:rPr>
                <w:sz w:val="20"/>
                <w:szCs w:val="20"/>
                <w:color w:val="auto"/>
              </w:rPr>
            </w:pPr>
            <w:r>
              <w:rPr>
                <w:rFonts w:ascii="Arial" w:cs="Arial" w:eastAsia="Arial" w:hAnsi="Arial"/>
                <w:sz w:val="14"/>
                <w:szCs w:val="14"/>
                <w:b w:val="1"/>
                <w:bCs w:val="1"/>
                <w:color w:val="auto"/>
              </w:rPr>
              <w:t>AlwaysOn, Inc.</w:t>
            </w:r>
            <w:r>
              <w:rPr>
                <w:rFonts w:ascii="Arial" w:cs="Arial" w:eastAsia="Arial" w:hAnsi="Arial"/>
                <w:sz w:val="23"/>
                <w:szCs w:val="23"/>
                <w:b w:val="1"/>
                <w:bCs w:val="1"/>
                <w:color w:val="auto"/>
                <w:vertAlign w:val="superscript"/>
              </w:rPr>
              <w:t>(1)(2)</w:t>
            </w:r>
          </w:p>
        </w:tc>
        <w:tc>
          <w:tcPr>
            <w:tcW w:w="120" w:type="dxa"/>
            <w:vAlign w:val="bottom"/>
            <w:shd w:val="clear" w:color="auto" w:fill="CCFFCC"/>
          </w:tcPr>
          <w:p>
            <w:pPr>
              <w:spacing w:after="0"/>
              <w:rPr>
                <w:sz w:val="17"/>
                <w:szCs w:val="17"/>
                <w:color w:val="auto"/>
              </w:rPr>
            </w:pPr>
          </w:p>
        </w:tc>
        <w:tc>
          <w:tcPr>
            <w:tcW w:w="242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Woodside, CA</w:t>
            </w: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46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5"/>
          </w:tcPr>
          <w:p>
            <w:pPr>
              <w:spacing w:after="0"/>
              <w:rPr>
                <w:sz w:val="20"/>
                <w:szCs w:val="20"/>
                <w:color w:val="auto"/>
              </w:rPr>
            </w:pPr>
            <w:r>
              <w:rPr>
                <w:rFonts w:ascii="Arial" w:cs="Arial" w:eastAsia="Arial" w:hAnsi="Arial"/>
                <w:sz w:val="16"/>
                <w:szCs w:val="16"/>
                <w:color w:val="auto"/>
              </w:rPr>
              <w:t>Preferred shares, Series A</w:t>
            </w:r>
          </w:p>
        </w:tc>
        <w:tc>
          <w:tcPr>
            <w:tcW w:w="12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w w:val="93"/>
              </w:rPr>
              <w:t>Social Media</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1,066,626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1,027,391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203,011</w:t>
            </w: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0.08%</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5"/>
            <w:shd w:val="clear" w:color="auto" w:fill="CCFFCC"/>
          </w:tcPr>
          <w:p>
            <w:pPr>
              <w:spacing w:after="0"/>
              <w:rPr>
                <w:sz w:val="20"/>
                <w:szCs w:val="20"/>
                <w:color w:val="auto"/>
              </w:rPr>
            </w:pPr>
            <w:r>
              <w:rPr>
                <w:rFonts w:ascii="Arial" w:cs="Arial" w:eastAsia="Arial" w:hAnsi="Arial"/>
                <w:sz w:val="16"/>
                <w:szCs w:val="16"/>
                <w:color w:val="auto"/>
                <w:w w:val="94"/>
              </w:rPr>
              <w:t>Preferred shares, Series A-1</w:t>
            </w:r>
          </w:p>
        </w:tc>
        <w:tc>
          <w:tcPr>
            <w:tcW w:w="120" w:type="dxa"/>
            <w:vAlign w:val="bottom"/>
            <w:shd w:val="clear" w:color="auto" w:fill="CCFFCC"/>
          </w:tcPr>
          <w:p>
            <w:pPr>
              <w:spacing w:after="0"/>
              <w:rPr>
                <w:sz w:val="17"/>
                <w:szCs w:val="17"/>
                <w:color w:val="auto"/>
              </w:rPr>
            </w:pPr>
          </w:p>
        </w:tc>
        <w:tc>
          <w:tcPr>
            <w:tcW w:w="242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2,101,612</w:t>
            </w:r>
          </w:p>
        </w:tc>
        <w:tc>
          <w:tcPr>
            <w:tcW w:w="12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416,706</w:t>
            </w:r>
          </w:p>
        </w:tc>
        <w:tc>
          <w:tcPr>
            <w:tcW w:w="9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400,000</w:t>
            </w:r>
          </w:p>
        </w:tc>
        <w:tc>
          <w:tcPr>
            <w:tcW w:w="76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0.16%</w:t>
            </w:r>
          </w:p>
        </w:tc>
      </w:tr>
      <w:tr>
        <w:trPr>
          <w:trHeight w:val="20"/>
        </w:trPr>
        <w:tc>
          <w:tcPr>
            <w:tcW w:w="20" w:type="dxa"/>
            <w:vAlign w:val="bottom"/>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46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4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6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1,444,097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603,011</w:t>
            </w: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0.24%</w:t>
            </w:r>
          </w:p>
        </w:tc>
      </w:tr>
      <w:tr>
        <w:trPr>
          <w:trHeight w:val="156"/>
        </w:trPr>
        <w:tc>
          <w:tcPr>
            <w:tcW w:w="20" w:type="dxa"/>
            <w:vAlign w:val="bottom"/>
            <w:shd w:val="clear" w:color="auto" w:fill="CCFFCC"/>
          </w:tcPr>
          <w:p>
            <w:pPr>
              <w:spacing w:after="0"/>
              <w:rPr>
                <w:sz w:val="13"/>
                <w:szCs w:val="13"/>
                <w:color w:val="auto"/>
              </w:rPr>
            </w:pPr>
          </w:p>
        </w:tc>
        <w:tc>
          <w:tcPr>
            <w:tcW w:w="1940" w:type="dxa"/>
            <w:vAlign w:val="bottom"/>
            <w:gridSpan w:val="15"/>
            <w:shd w:val="clear" w:color="auto" w:fill="CCFFCC"/>
          </w:tcPr>
          <w:p>
            <w:pPr>
              <w:spacing w:after="0" w:line="155" w:lineRule="exact"/>
              <w:rPr>
                <w:sz w:val="20"/>
                <w:szCs w:val="20"/>
                <w:color w:val="auto"/>
              </w:rPr>
            </w:pPr>
            <w:r>
              <w:rPr>
                <w:rFonts w:ascii="Arial" w:cs="Arial" w:eastAsia="Arial" w:hAnsi="Arial"/>
                <w:sz w:val="16"/>
                <w:szCs w:val="16"/>
                <w:b w:val="1"/>
                <w:bCs w:val="1"/>
                <w:color w:val="auto"/>
              </w:rPr>
              <w:t>Ozy Media, Inc.</w:t>
            </w:r>
          </w:p>
        </w:tc>
        <w:tc>
          <w:tcPr>
            <w:tcW w:w="120" w:type="dxa"/>
            <w:vAlign w:val="bottom"/>
            <w:shd w:val="clear" w:color="auto" w:fill="CCFFCC"/>
          </w:tcPr>
          <w:p>
            <w:pPr>
              <w:spacing w:after="0"/>
              <w:rPr>
                <w:sz w:val="13"/>
                <w:szCs w:val="13"/>
                <w:color w:val="auto"/>
              </w:rPr>
            </w:pPr>
          </w:p>
        </w:tc>
        <w:tc>
          <w:tcPr>
            <w:tcW w:w="242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5"/>
              </w:rPr>
              <w:t>Mountain View, CA</w:t>
            </w:r>
          </w:p>
        </w:tc>
        <w:tc>
          <w:tcPr>
            <w:tcW w:w="100" w:type="dxa"/>
            <w:vAlign w:val="bottom"/>
            <w:shd w:val="clear" w:color="auto" w:fill="CCFFCC"/>
          </w:tcPr>
          <w:p>
            <w:pPr>
              <w:spacing w:after="0"/>
              <w:rPr>
                <w:sz w:val="13"/>
                <w:szCs w:val="13"/>
                <w:color w:val="auto"/>
              </w:rPr>
            </w:pPr>
          </w:p>
        </w:tc>
        <w:tc>
          <w:tcPr>
            <w:tcW w:w="90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860" w:type="dxa"/>
            <w:vAlign w:val="bottom"/>
            <w:tcBorders>
              <w:top w:val="single" w:sz="8" w:color="auto"/>
              <w:right w:val="single" w:sz="8" w:color="CCFFCC"/>
            </w:tcBorders>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80" w:type="dxa"/>
            <w:vAlign w:val="bottom"/>
            <w:tcBorders>
              <w:top w:val="single" w:sz="8" w:color="auto"/>
              <w:right w:val="single" w:sz="8" w:color="CCFFCC"/>
            </w:tcBorders>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440" w:type="dxa"/>
            <w:vAlign w:val="bottom"/>
            <w:tcBorders>
              <w:top w:val="single" w:sz="8" w:color="auto"/>
            </w:tcBorders>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46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5"/>
          </w:tcPr>
          <w:p>
            <w:pPr>
              <w:spacing w:after="0"/>
              <w:rPr>
                <w:sz w:val="20"/>
                <w:szCs w:val="20"/>
                <w:color w:val="auto"/>
              </w:rPr>
            </w:pPr>
            <w:r>
              <w:rPr>
                <w:rFonts w:ascii="Arial" w:cs="Arial" w:eastAsia="Arial" w:hAnsi="Arial"/>
                <w:sz w:val="16"/>
                <w:szCs w:val="16"/>
                <w:color w:val="auto"/>
                <w:w w:val="89"/>
              </w:rPr>
              <w:t>Preferred shares, Series Seed</w:t>
            </w:r>
          </w:p>
        </w:tc>
        <w:tc>
          <w:tcPr>
            <w:tcW w:w="12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w w:val="93"/>
              </w:rPr>
              <w:t>Social Media</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512,250</w:t>
            </w: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0.21%</w:t>
            </w:r>
          </w:p>
        </w:tc>
      </w:tr>
      <w:tr>
        <w:trPr>
          <w:trHeight w:val="162"/>
        </w:trPr>
        <w:tc>
          <w:tcPr>
            <w:tcW w:w="20" w:type="dxa"/>
            <w:vAlign w:val="bottom"/>
            <w:tcBorders>
              <w:bottom w:val="single" w:sz="8" w:color="CCFFCC"/>
            </w:tcBorders>
            <w:shd w:val="clear" w:color="auto" w:fill="CCFFCC"/>
          </w:tcPr>
          <w:p>
            <w:pPr>
              <w:spacing w:after="0"/>
              <w:rPr>
                <w:sz w:val="14"/>
                <w:szCs w:val="14"/>
                <w:color w:val="auto"/>
              </w:rPr>
            </w:pPr>
          </w:p>
        </w:tc>
        <w:tc>
          <w:tcPr>
            <w:tcW w:w="1560" w:type="dxa"/>
            <w:vAlign w:val="bottom"/>
            <w:tcBorders>
              <w:bottom w:val="single" w:sz="8" w:color="auto"/>
            </w:tcBorders>
            <w:gridSpan w:val="11"/>
            <w:shd w:val="clear" w:color="auto" w:fill="CCFFCC"/>
          </w:tcPr>
          <w:p>
            <w:pPr>
              <w:spacing w:after="0" w:line="162" w:lineRule="exact"/>
              <w:rPr>
                <w:sz w:val="20"/>
                <w:szCs w:val="20"/>
                <w:color w:val="auto"/>
              </w:rPr>
            </w:pPr>
            <w:r>
              <w:rPr>
                <w:rFonts w:ascii="Arial" w:cs="Arial" w:eastAsia="Arial" w:hAnsi="Arial"/>
                <w:sz w:val="16"/>
                <w:szCs w:val="16"/>
                <w:b w:val="1"/>
                <w:bCs w:val="1"/>
                <w:color w:val="auto"/>
                <w:w w:val="91"/>
              </w:rPr>
              <w:t>Starfish Holdings, Inc.</w:t>
            </w:r>
          </w:p>
        </w:tc>
        <w:tc>
          <w:tcPr>
            <w:tcW w:w="380" w:type="dxa"/>
            <w:vAlign w:val="bottom"/>
            <w:tcBorders>
              <w:bottom w:val="single" w:sz="8" w:color="CCFFCC"/>
            </w:tcBorders>
            <w:gridSpan w:val="4"/>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2420" w:type="dxa"/>
            <w:vAlign w:val="bottom"/>
            <w:tcBorders>
              <w:bottom w:val="single" w:sz="8" w:color="CCFFCC"/>
            </w:tcBorders>
            <w:shd w:val="clear" w:color="auto" w:fill="CCFFCC"/>
          </w:tcPr>
          <w:p>
            <w:pPr>
              <w:jc w:val="center"/>
              <w:spacing w:after="0" w:line="162" w:lineRule="exact"/>
              <w:rPr>
                <w:sz w:val="20"/>
                <w:szCs w:val="20"/>
                <w:color w:val="auto"/>
              </w:rPr>
            </w:pPr>
            <w:r>
              <w:rPr>
                <w:rFonts w:ascii="Arial" w:cs="Arial" w:eastAsia="Arial" w:hAnsi="Arial"/>
                <w:sz w:val="16"/>
                <w:szCs w:val="16"/>
                <w:color w:val="auto"/>
                <w:w w:val="99"/>
              </w:rPr>
              <w:t>Beverly Hills, CA</w:t>
            </w:r>
          </w:p>
        </w:tc>
        <w:tc>
          <w:tcPr>
            <w:tcW w:w="100" w:type="dxa"/>
            <w:vAlign w:val="bottom"/>
            <w:tcBorders>
              <w:bottom w:val="single" w:sz="8" w:color="CCFFCC"/>
            </w:tcBorders>
            <w:shd w:val="clear" w:color="auto" w:fill="CCFFCC"/>
          </w:tcPr>
          <w:p>
            <w:pPr>
              <w:spacing w:after="0"/>
              <w:rPr>
                <w:sz w:val="14"/>
                <w:szCs w:val="14"/>
                <w:color w:val="auto"/>
              </w:rPr>
            </w:pPr>
          </w:p>
        </w:tc>
        <w:tc>
          <w:tcPr>
            <w:tcW w:w="900" w:type="dxa"/>
            <w:vAlign w:val="bottom"/>
            <w:tcBorders>
              <w:bottom w:val="single" w:sz="8" w:color="CCFFCC"/>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860" w:type="dxa"/>
            <w:vAlign w:val="bottom"/>
            <w:tcBorders>
              <w:bottom w:val="single" w:sz="8" w:color="CCFFCC"/>
              <w:right w:val="single" w:sz="8" w:color="CCFFCC"/>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880" w:type="dxa"/>
            <w:vAlign w:val="bottom"/>
            <w:tcBorders>
              <w:bottom w:val="single" w:sz="8" w:color="CCFFCC"/>
              <w:right w:val="single" w:sz="8" w:color="CCFFCC"/>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440" w:type="dxa"/>
            <w:vAlign w:val="bottom"/>
            <w:tcBorders>
              <w:bottom w:val="single" w:sz="8" w:color="CCFFCC"/>
            </w:tcBorders>
            <w:shd w:val="clear" w:color="auto" w:fill="CCFFCC"/>
          </w:tcPr>
          <w:p>
            <w:pPr>
              <w:spacing w:after="0"/>
              <w:rPr>
                <w:sz w:val="14"/>
                <w:szCs w:val="14"/>
                <w:color w:val="auto"/>
              </w:rPr>
            </w:pPr>
          </w:p>
        </w:tc>
        <w:tc>
          <w:tcPr>
            <w:tcW w:w="220" w:type="dxa"/>
            <w:vAlign w:val="bottom"/>
            <w:tcBorders>
              <w:bottom w:val="single" w:sz="8" w:color="CCFFCC"/>
            </w:tcBorders>
            <w:shd w:val="clear" w:color="auto" w:fill="CCFFCC"/>
          </w:tcPr>
          <w:p>
            <w:pPr>
              <w:spacing w:after="0"/>
              <w:rPr>
                <w:sz w:val="14"/>
                <w:szCs w:val="14"/>
                <w:color w:val="auto"/>
              </w:rPr>
            </w:pPr>
          </w:p>
        </w:tc>
      </w:tr>
      <w:tr>
        <w:trPr>
          <w:trHeight w:val="223"/>
        </w:trPr>
        <w:tc>
          <w:tcPr>
            <w:tcW w:w="20" w:type="dxa"/>
            <w:vAlign w:val="bottom"/>
            <w:shd w:val="clear" w:color="auto" w:fill="CCFFCC"/>
          </w:tcPr>
          <w:p>
            <w:pPr>
              <w:spacing w:after="0"/>
              <w:rPr>
                <w:sz w:val="19"/>
                <w:szCs w:val="19"/>
                <w:color w:val="auto"/>
              </w:rPr>
            </w:pPr>
          </w:p>
        </w:tc>
        <w:tc>
          <w:tcPr>
            <w:tcW w:w="1940" w:type="dxa"/>
            <w:vAlign w:val="bottom"/>
            <w:gridSpan w:val="15"/>
            <w:shd w:val="clear" w:color="auto" w:fill="CCFFCC"/>
          </w:tcPr>
          <w:p>
            <w:pPr>
              <w:spacing w:after="0" w:line="223" w:lineRule="exact"/>
              <w:rPr>
                <w:sz w:val="20"/>
                <w:szCs w:val="20"/>
                <w:color w:val="auto"/>
              </w:rPr>
            </w:pPr>
            <w:r>
              <w:rPr>
                <w:rFonts w:ascii="Arial" w:cs="Arial" w:eastAsia="Arial" w:hAnsi="Arial"/>
                <w:sz w:val="15"/>
                <w:szCs w:val="15"/>
                <w:b w:val="1"/>
                <w:bCs w:val="1"/>
                <w:color w:val="auto"/>
              </w:rPr>
              <w:t>(d/b/a YourOffers)</w:t>
            </w:r>
            <w:r>
              <w:rPr>
                <w:rFonts w:ascii="Arial" w:cs="Arial" w:eastAsia="Arial" w:hAnsi="Arial"/>
                <w:sz w:val="25"/>
                <w:szCs w:val="25"/>
                <w:b w:val="1"/>
                <w:bCs w:val="1"/>
                <w:color w:val="auto"/>
                <w:vertAlign w:val="superscript"/>
              </w:rPr>
              <w:t>(2)</w:t>
            </w:r>
          </w:p>
        </w:tc>
        <w:tc>
          <w:tcPr>
            <w:tcW w:w="120" w:type="dxa"/>
            <w:vAlign w:val="bottom"/>
            <w:shd w:val="clear" w:color="auto" w:fill="CCFFCC"/>
          </w:tcPr>
          <w:p>
            <w:pPr>
              <w:spacing w:after="0"/>
              <w:rPr>
                <w:sz w:val="19"/>
                <w:szCs w:val="19"/>
                <w:color w:val="auto"/>
              </w:rPr>
            </w:pPr>
          </w:p>
        </w:tc>
        <w:tc>
          <w:tcPr>
            <w:tcW w:w="24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9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860" w:type="dxa"/>
            <w:vAlign w:val="bottom"/>
            <w:tcBorders>
              <w:right w:val="single" w:sz="8" w:color="CCFFCC"/>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80" w:type="dxa"/>
            <w:vAlign w:val="bottom"/>
            <w:tcBorders>
              <w:right w:val="single" w:sz="8" w:color="CCFFCC"/>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46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gridSpan w:val="15"/>
          </w:tcPr>
          <w:p>
            <w:pPr>
              <w:spacing w:after="0"/>
              <w:rPr>
                <w:sz w:val="20"/>
                <w:szCs w:val="20"/>
                <w:color w:val="auto"/>
              </w:rPr>
            </w:pPr>
            <w:r>
              <w:rPr>
                <w:rFonts w:ascii="Arial" w:cs="Arial" w:eastAsia="Arial" w:hAnsi="Arial"/>
                <w:sz w:val="16"/>
                <w:szCs w:val="16"/>
                <w:color w:val="auto"/>
                <w:w w:val="99"/>
              </w:rPr>
              <w:t>Preferred shares, Series A,</w:t>
            </w:r>
          </w:p>
        </w:tc>
        <w:tc>
          <w:tcPr>
            <w:tcW w:w="12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6"/>
                <w:szCs w:val="16"/>
                <w:color w:val="auto"/>
                <w:w w:val="96"/>
              </w:rPr>
              <w:t>Marketing Platform</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43,878,894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2,029,695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500,000</w:t>
            </w: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0.20%</w:t>
            </w:r>
          </w:p>
        </w:tc>
      </w:tr>
      <w:tr>
        <w:trPr>
          <w:trHeight w:val="203"/>
        </w:trPr>
        <w:tc>
          <w:tcPr>
            <w:tcW w:w="20" w:type="dxa"/>
            <w:vAlign w:val="bottom"/>
          </w:tcPr>
          <w:p>
            <w:pPr>
              <w:spacing w:after="0"/>
              <w:rPr>
                <w:sz w:val="17"/>
                <w:szCs w:val="17"/>
                <w:color w:val="auto"/>
              </w:rPr>
            </w:pPr>
          </w:p>
        </w:tc>
        <w:tc>
          <w:tcPr>
            <w:tcW w:w="1940" w:type="dxa"/>
            <w:vAlign w:val="bottom"/>
            <w:gridSpan w:val="15"/>
          </w:tcPr>
          <w:p>
            <w:pPr>
              <w:ind w:left="180"/>
              <w:spacing w:after="0"/>
              <w:rPr>
                <w:sz w:val="20"/>
                <w:szCs w:val="20"/>
                <w:color w:val="auto"/>
              </w:rPr>
            </w:pPr>
            <w:r>
              <w:rPr>
                <w:rFonts w:ascii="Arial" w:cs="Arial" w:eastAsia="Arial" w:hAnsi="Arial"/>
                <w:sz w:val="16"/>
                <w:szCs w:val="16"/>
                <w:color w:val="auto"/>
              </w:rPr>
              <w:t>and common warrants,</w:t>
            </w:r>
          </w:p>
        </w:tc>
        <w:tc>
          <w:tcPr>
            <w:tcW w:w="1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40" w:type="dxa"/>
            <w:vAlign w:val="bottom"/>
            <w:gridSpan w:val="15"/>
          </w:tcPr>
          <w:p>
            <w:pPr>
              <w:ind w:left="180"/>
              <w:spacing w:after="0"/>
              <w:rPr>
                <w:sz w:val="20"/>
                <w:szCs w:val="20"/>
                <w:color w:val="auto"/>
              </w:rPr>
            </w:pPr>
            <w:r>
              <w:rPr>
                <w:rFonts w:ascii="Arial" w:cs="Arial" w:eastAsia="Arial" w:hAnsi="Arial"/>
                <w:sz w:val="16"/>
                <w:szCs w:val="16"/>
                <w:color w:val="auto"/>
              </w:rPr>
              <w:t>$0.00001 strike price,</w:t>
            </w:r>
          </w:p>
        </w:tc>
        <w:tc>
          <w:tcPr>
            <w:tcW w:w="1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940" w:type="dxa"/>
            <w:vAlign w:val="bottom"/>
            <w:gridSpan w:val="15"/>
          </w:tcPr>
          <w:p>
            <w:pPr>
              <w:ind w:left="180"/>
              <w:spacing w:after="0"/>
              <w:rPr>
                <w:sz w:val="20"/>
                <w:szCs w:val="20"/>
                <w:color w:val="auto"/>
              </w:rPr>
            </w:pPr>
            <w:r>
              <w:rPr>
                <w:rFonts w:ascii="Arial" w:cs="Arial" w:eastAsia="Arial" w:hAnsi="Arial"/>
                <w:sz w:val="16"/>
                <w:szCs w:val="16"/>
                <w:color w:val="auto"/>
              </w:rPr>
              <w:t>expire 11/13/2019</w:t>
            </w:r>
          </w:p>
        </w:tc>
        <w:tc>
          <w:tcPr>
            <w:tcW w:w="1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-6058535</wp:posOffset>
            </wp:positionV>
            <wp:extent cx="521398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-4575175</wp:posOffset>
            </wp:positionV>
            <wp:extent cx="521398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-2679700</wp:posOffset>
            </wp:positionV>
            <wp:extent cx="521398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-1196340</wp:posOffset>
            </wp:positionV>
            <wp:extent cx="5213985"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958" w:right="1440" w:bottom="1440" w:gutter="0" w:footer="0" w:header="0"/>
        </w:sectPr>
      </w:pPr>
    </w:p>
    <w:bookmarkStart w:id="9" w:name="page10"/>
    <w:bookmarkEnd w:id="9"/>
    <w:p>
      <w:pPr>
        <w:jc w:val="center"/>
        <w:ind w:right="499"/>
        <w:spacing w:after="0"/>
        <w:rPr>
          <w:sz w:val="20"/>
          <w:szCs w:val="20"/>
          <w:color w:val="auto"/>
        </w:rPr>
      </w:pPr>
      <w:r>
        <w:rPr>
          <w:rFonts w:ascii="Arial" w:cs="Arial" w:eastAsia="Arial" w:hAnsi="Arial"/>
          <w:sz w:val="18"/>
          <w:szCs w:val="18"/>
          <w:b w:val="1"/>
          <w:bCs w:val="1"/>
          <w:color w:val="auto"/>
        </w:rPr>
        <w:t>GSV CAPITAL CORP. AND SUBSIDIARY</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940" w:type="dxa"/>
            <w:vAlign w:val="bottom"/>
            <w:gridSpan w:val="9"/>
          </w:tcPr>
          <w:p>
            <w:pPr>
              <w:spacing w:after="0" w:line="149" w:lineRule="exact"/>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Headquarters/ Industry</w:t>
            </w:r>
          </w:p>
        </w:tc>
        <w:tc>
          <w:tcPr>
            <w:tcW w:w="8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Shares/Capital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 of</w:t>
            </w:r>
          </w:p>
        </w:tc>
      </w:tr>
      <w:tr>
        <w:trPr>
          <w:trHeight w:val="171"/>
        </w:trPr>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Contribution</w:t>
            </w: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8"/>
              </w:rPr>
              <w:t>Net Assets</w:t>
            </w:r>
          </w:p>
        </w:tc>
      </w:tr>
      <w:tr>
        <w:trPr>
          <w:trHeight w:val="156"/>
        </w:trPr>
        <w:tc>
          <w:tcPr>
            <w:tcW w:w="20" w:type="dxa"/>
            <w:vAlign w:val="bottom"/>
            <w:shd w:val="clear" w:color="auto" w:fill="CCFFCC"/>
          </w:tcPr>
          <w:p>
            <w:pPr>
              <w:spacing w:after="0"/>
              <w:rPr>
                <w:sz w:val="13"/>
                <w:szCs w:val="13"/>
                <w:color w:val="auto"/>
              </w:rPr>
            </w:pPr>
          </w:p>
        </w:tc>
        <w:tc>
          <w:tcPr>
            <w:tcW w:w="1940" w:type="dxa"/>
            <w:vAlign w:val="bottom"/>
            <w:gridSpan w:val="9"/>
            <w:shd w:val="clear" w:color="auto" w:fill="CCFFCC"/>
          </w:tcPr>
          <w:p>
            <w:pPr>
              <w:spacing w:after="0" w:line="155" w:lineRule="exact"/>
              <w:rPr>
                <w:sz w:val="20"/>
                <w:szCs w:val="20"/>
                <w:color w:val="auto"/>
              </w:rPr>
            </w:pPr>
            <w:r>
              <w:rPr>
                <w:rFonts w:ascii="Arial" w:cs="Arial" w:eastAsia="Arial" w:hAnsi="Arial"/>
                <w:sz w:val="16"/>
                <w:szCs w:val="16"/>
                <w:b w:val="1"/>
                <w:bCs w:val="1"/>
                <w:color w:val="auto"/>
              </w:rPr>
              <w:t>NestGSV Silicon Valley,</w:t>
            </w:r>
          </w:p>
        </w:tc>
        <w:tc>
          <w:tcPr>
            <w:tcW w:w="60" w:type="dxa"/>
            <w:vAlign w:val="bottom"/>
            <w:shd w:val="clear" w:color="auto" w:fill="CCFFCC"/>
          </w:tcPr>
          <w:p>
            <w:pPr>
              <w:spacing w:after="0"/>
              <w:rPr>
                <w:sz w:val="13"/>
                <w:szCs w:val="13"/>
                <w:color w:val="auto"/>
              </w:rPr>
            </w:pPr>
          </w:p>
        </w:tc>
        <w:tc>
          <w:tcPr>
            <w:tcW w:w="244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4"/>
              </w:rPr>
              <w:t>Redwood City, CA</w:t>
            </w:r>
          </w:p>
        </w:tc>
        <w:tc>
          <w:tcPr>
            <w:tcW w:w="8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78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20" w:type="dxa"/>
            <w:vAlign w:val="bottom"/>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00" w:type="dxa"/>
            <w:vAlign w:val="bottom"/>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480" w:type="dxa"/>
            <w:vAlign w:val="bottom"/>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23"/>
        </w:trPr>
        <w:tc>
          <w:tcPr>
            <w:tcW w:w="20" w:type="dxa"/>
            <w:vAlign w:val="bottom"/>
            <w:tcBorders>
              <w:top w:val="single" w:sz="8" w:color="CCFFCC"/>
            </w:tcBorders>
            <w:shd w:val="clear" w:color="auto" w:fill="CCFFCC"/>
          </w:tcPr>
          <w:p>
            <w:pPr>
              <w:spacing w:after="0"/>
              <w:rPr>
                <w:sz w:val="19"/>
                <w:szCs w:val="19"/>
                <w:color w:val="auto"/>
              </w:rPr>
            </w:pPr>
          </w:p>
        </w:tc>
        <w:tc>
          <w:tcPr>
            <w:tcW w:w="1640" w:type="dxa"/>
            <w:vAlign w:val="bottom"/>
            <w:tcBorders>
              <w:top w:val="single" w:sz="8" w:color="auto"/>
            </w:tcBorders>
            <w:gridSpan w:val="8"/>
            <w:shd w:val="clear" w:color="auto" w:fill="CCFFCC"/>
          </w:tcPr>
          <w:p>
            <w:pPr>
              <w:spacing w:after="0" w:line="223" w:lineRule="exact"/>
              <w:rPr>
                <w:sz w:val="20"/>
                <w:szCs w:val="20"/>
                <w:color w:val="auto"/>
              </w:rPr>
            </w:pPr>
            <w:r>
              <w:rPr>
                <w:rFonts w:ascii="Arial" w:cs="Arial" w:eastAsia="Arial" w:hAnsi="Arial"/>
                <w:sz w:val="25"/>
                <w:szCs w:val="25"/>
                <w:b w:val="1"/>
                <w:bCs w:val="1"/>
                <w:color w:val="auto"/>
                <w:vertAlign w:val="subscript"/>
              </w:rPr>
              <w:t>LLC</w:t>
            </w:r>
            <w:r>
              <w:rPr>
                <w:rFonts w:ascii="Arial" w:cs="Arial" w:eastAsia="Arial" w:hAnsi="Arial"/>
                <w:sz w:val="12"/>
                <w:szCs w:val="12"/>
                <w:b w:val="1"/>
                <w:bCs w:val="1"/>
                <w:color w:val="auto"/>
              </w:rPr>
              <w:t>(2)(7)</w:t>
            </w:r>
          </w:p>
        </w:tc>
        <w:tc>
          <w:tcPr>
            <w:tcW w:w="300" w:type="dxa"/>
            <w:vAlign w:val="bottom"/>
            <w:tcBorders>
              <w:top w:val="single" w:sz="8" w:color="CCFFCC"/>
            </w:tcBorders>
            <w:shd w:val="clear" w:color="auto" w:fill="CCFFCC"/>
          </w:tcPr>
          <w:p>
            <w:pPr>
              <w:spacing w:after="0"/>
              <w:rPr>
                <w:sz w:val="19"/>
                <w:szCs w:val="19"/>
                <w:color w:val="auto"/>
              </w:rPr>
            </w:pPr>
          </w:p>
        </w:tc>
        <w:tc>
          <w:tcPr>
            <w:tcW w:w="60" w:type="dxa"/>
            <w:vAlign w:val="bottom"/>
            <w:tcBorders>
              <w:top w:val="single" w:sz="8" w:color="CCFFCC"/>
            </w:tcBorders>
            <w:shd w:val="clear" w:color="auto" w:fill="CCFFCC"/>
          </w:tcPr>
          <w:p>
            <w:pPr>
              <w:spacing w:after="0"/>
              <w:rPr>
                <w:sz w:val="19"/>
                <w:szCs w:val="19"/>
                <w:color w:val="auto"/>
              </w:rPr>
            </w:pPr>
          </w:p>
        </w:tc>
        <w:tc>
          <w:tcPr>
            <w:tcW w:w="244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140" w:type="dxa"/>
            <w:vAlign w:val="bottom"/>
            <w:tcBorders>
              <w:top w:val="single" w:sz="8" w:color="CCFFCC"/>
            </w:tcBorders>
            <w:shd w:val="clear" w:color="auto" w:fill="CCFFCC"/>
          </w:tcPr>
          <w:p>
            <w:pPr>
              <w:spacing w:after="0"/>
              <w:rPr>
                <w:sz w:val="19"/>
                <w:szCs w:val="19"/>
                <w:color w:val="auto"/>
              </w:rPr>
            </w:pPr>
          </w:p>
        </w:tc>
        <w:tc>
          <w:tcPr>
            <w:tcW w:w="780" w:type="dxa"/>
            <w:vAlign w:val="bottom"/>
            <w:tcBorders>
              <w:top w:val="single" w:sz="8" w:color="CCFFCC"/>
            </w:tcBorders>
            <w:shd w:val="clear" w:color="auto" w:fill="CCFFCC"/>
          </w:tcPr>
          <w:p>
            <w:pPr>
              <w:spacing w:after="0"/>
              <w:rPr>
                <w:sz w:val="19"/>
                <w:szCs w:val="19"/>
                <w:color w:val="auto"/>
              </w:rPr>
            </w:pPr>
          </w:p>
        </w:tc>
        <w:tc>
          <w:tcPr>
            <w:tcW w:w="6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820" w:type="dxa"/>
            <w:vAlign w:val="bottom"/>
            <w:tcBorders>
              <w:top w:val="single" w:sz="8" w:color="CCFFCC"/>
            </w:tcBorders>
            <w:shd w:val="clear" w:color="auto" w:fill="CCFFCC"/>
          </w:tcPr>
          <w:p>
            <w:pPr>
              <w:spacing w:after="0"/>
              <w:rPr>
                <w:sz w:val="19"/>
                <w:szCs w:val="19"/>
                <w:color w:val="auto"/>
              </w:rPr>
            </w:pPr>
          </w:p>
        </w:tc>
        <w:tc>
          <w:tcPr>
            <w:tcW w:w="4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800" w:type="dxa"/>
            <w:vAlign w:val="bottom"/>
            <w:tcBorders>
              <w:top w:val="single" w:sz="8" w:color="CCFFCC"/>
            </w:tcBorders>
            <w:shd w:val="clear" w:color="auto" w:fill="CCFFCC"/>
          </w:tcPr>
          <w:p>
            <w:pPr>
              <w:spacing w:after="0"/>
              <w:rPr>
                <w:sz w:val="19"/>
                <w:szCs w:val="19"/>
                <w:color w:val="auto"/>
              </w:rPr>
            </w:pPr>
          </w:p>
        </w:tc>
        <w:tc>
          <w:tcPr>
            <w:tcW w:w="4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480" w:type="dxa"/>
            <w:vAlign w:val="bottom"/>
            <w:tcBorders>
              <w:top w:val="single" w:sz="8" w:color="CCFFCC"/>
            </w:tcBorders>
            <w:shd w:val="clear" w:color="auto" w:fill="CCFFCC"/>
          </w:tcPr>
          <w:p>
            <w:pPr>
              <w:spacing w:after="0"/>
              <w:rPr>
                <w:sz w:val="19"/>
                <w:szCs w:val="19"/>
                <w:color w:val="auto"/>
              </w:rPr>
            </w:pPr>
          </w:p>
        </w:tc>
        <w:tc>
          <w:tcPr>
            <w:tcW w:w="200" w:type="dxa"/>
            <w:vAlign w:val="bottom"/>
            <w:tcBorders>
              <w:top w:val="single" w:sz="8" w:color="CCFFCC"/>
            </w:tcBorders>
            <w:shd w:val="clear" w:color="auto" w:fill="CCFFCC"/>
          </w:tcPr>
          <w:p>
            <w:pPr>
              <w:spacing w:after="0"/>
              <w:rPr>
                <w:sz w:val="19"/>
                <w:szCs w:val="19"/>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gridSpan w:val="9"/>
          </w:tcPr>
          <w:p>
            <w:pPr>
              <w:spacing w:after="0"/>
              <w:rPr>
                <w:sz w:val="20"/>
                <w:szCs w:val="20"/>
                <w:color w:val="auto"/>
              </w:rPr>
            </w:pPr>
            <w:r>
              <w:rPr>
                <w:rFonts w:ascii="Arial" w:cs="Arial" w:eastAsia="Arial" w:hAnsi="Arial"/>
                <w:sz w:val="16"/>
                <w:szCs w:val="16"/>
                <w:color w:val="auto"/>
              </w:rPr>
              <w:t>Common membership</w:t>
            </w:r>
          </w:p>
        </w:tc>
        <w:tc>
          <w:tcPr>
            <w:tcW w:w="60" w:type="dxa"/>
            <w:vAlign w:val="bottom"/>
          </w:tcPr>
          <w:p>
            <w:pPr>
              <w:spacing w:after="0"/>
              <w:rPr>
                <w:sz w:val="16"/>
                <w:szCs w:val="16"/>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2"/>
              </w:rPr>
              <w:t>Incubator</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500,000</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500,000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500,000</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0.20%</w:t>
            </w:r>
          </w:p>
        </w:tc>
      </w:tr>
      <w:tr>
        <w:trPr>
          <w:trHeight w:val="209"/>
        </w:trPr>
        <w:tc>
          <w:tcPr>
            <w:tcW w:w="20" w:type="dxa"/>
            <w:vAlign w:val="bottom"/>
          </w:tcPr>
          <w:p>
            <w:pPr>
              <w:spacing w:after="0"/>
              <w:rPr>
                <w:sz w:val="18"/>
                <w:szCs w:val="18"/>
                <w:color w:val="auto"/>
              </w:rPr>
            </w:pPr>
          </w:p>
        </w:tc>
        <w:tc>
          <w:tcPr>
            <w:tcW w:w="1940" w:type="dxa"/>
            <w:vAlign w:val="bottom"/>
            <w:gridSpan w:val="9"/>
          </w:tcPr>
          <w:p>
            <w:pPr>
              <w:ind w:left="180"/>
              <w:spacing w:after="0"/>
              <w:rPr>
                <w:sz w:val="20"/>
                <w:szCs w:val="20"/>
                <w:color w:val="auto"/>
              </w:rPr>
            </w:pPr>
            <w:r>
              <w:rPr>
                <w:rFonts w:ascii="Arial" w:cs="Arial" w:eastAsia="Arial" w:hAnsi="Arial"/>
                <w:sz w:val="16"/>
                <w:szCs w:val="16"/>
                <w:color w:val="auto"/>
              </w:rPr>
              <w:t>interest</w:t>
            </w:r>
          </w:p>
        </w:tc>
        <w:tc>
          <w:tcPr>
            <w:tcW w:w="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6"/>
        </w:trPr>
        <w:tc>
          <w:tcPr>
            <w:tcW w:w="20" w:type="dxa"/>
            <w:vAlign w:val="bottom"/>
            <w:shd w:val="clear" w:color="auto" w:fill="CCFFCC"/>
          </w:tcPr>
          <w:p>
            <w:pPr>
              <w:spacing w:after="0"/>
              <w:rPr>
                <w:sz w:val="17"/>
                <w:szCs w:val="17"/>
                <w:color w:val="auto"/>
              </w:rPr>
            </w:pPr>
          </w:p>
        </w:tc>
        <w:tc>
          <w:tcPr>
            <w:tcW w:w="1940" w:type="dxa"/>
            <w:vAlign w:val="bottom"/>
            <w:gridSpan w:val="9"/>
            <w:shd w:val="clear" w:color="auto" w:fill="CCFFCC"/>
          </w:tcPr>
          <w:p>
            <w:pPr>
              <w:spacing w:after="0" w:line="205" w:lineRule="exact"/>
              <w:rPr>
                <w:sz w:val="20"/>
                <w:szCs w:val="20"/>
                <w:color w:val="auto"/>
              </w:rPr>
            </w:pPr>
            <w:r>
              <w:rPr>
                <w:rFonts w:ascii="Arial" w:cs="Arial" w:eastAsia="Arial" w:hAnsi="Arial"/>
                <w:sz w:val="14"/>
                <w:szCs w:val="14"/>
                <w:b w:val="1"/>
                <w:bCs w:val="1"/>
                <w:color w:val="auto"/>
              </w:rPr>
              <w:t>SinoLending Ltd.</w:t>
            </w:r>
            <w:r>
              <w:rPr>
                <w:rFonts w:ascii="Arial" w:cs="Arial" w:eastAsia="Arial" w:hAnsi="Arial"/>
                <w:sz w:val="23"/>
                <w:szCs w:val="23"/>
                <w:b w:val="1"/>
                <w:bCs w:val="1"/>
                <w:color w:val="auto"/>
                <w:vertAlign w:val="superscript"/>
              </w:rPr>
              <w:t>(2)(8)</w:t>
            </w:r>
          </w:p>
        </w:tc>
        <w:tc>
          <w:tcPr>
            <w:tcW w:w="60" w:type="dxa"/>
            <w:vAlign w:val="bottom"/>
            <w:shd w:val="clear" w:color="auto" w:fill="CCFFCC"/>
          </w:tcPr>
          <w:p>
            <w:pPr>
              <w:spacing w:after="0"/>
              <w:rPr>
                <w:sz w:val="17"/>
                <w:szCs w:val="17"/>
                <w:color w:val="auto"/>
              </w:rPr>
            </w:pPr>
          </w:p>
        </w:tc>
        <w:tc>
          <w:tcPr>
            <w:tcW w:w="24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Shanghai, China</w:t>
            </w: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9"/>
          </w:tcPr>
          <w:p>
            <w:pPr>
              <w:spacing w:after="0"/>
              <w:rPr>
                <w:sz w:val="20"/>
                <w:szCs w:val="20"/>
                <w:color w:val="auto"/>
              </w:rPr>
            </w:pPr>
            <w:r>
              <w:rPr>
                <w:rFonts w:ascii="Arial" w:cs="Arial" w:eastAsia="Arial" w:hAnsi="Arial"/>
                <w:sz w:val="16"/>
                <w:szCs w:val="16"/>
                <w:color w:val="auto"/>
              </w:rPr>
              <w:t>Preferred shares, Class A</w:t>
            </w:r>
          </w:p>
        </w:tc>
        <w:tc>
          <w:tcPr>
            <w:tcW w:w="6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0"/>
              </w:rPr>
              <w:t>Chinese P2P Lending</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6,414,368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501,998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474,663</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0.19%</w:t>
            </w:r>
          </w:p>
        </w:tc>
      </w:tr>
      <w:tr>
        <w:trPr>
          <w:trHeight w:val="162"/>
        </w:trPr>
        <w:tc>
          <w:tcPr>
            <w:tcW w:w="20" w:type="dxa"/>
            <w:vAlign w:val="bottom"/>
            <w:tcBorders>
              <w:bottom w:val="single" w:sz="8" w:color="CCFFCC"/>
            </w:tcBorders>
            <w:shd w:val="clear" w:color="auto" w:fill="CCFFCC"/>
          </w:tcPr>
          <w:p>
            <w:pPr>
              <w:spacing w:after="0"/>
              <w:rPr>
                <w:sz w:val="14"/>
                <w:szCs w:val="14"/>
                <w:color w:val="auto"/>
              </w:rPr>
            </w:pPr>
          </w:p>
        </w:tc>
        <w:tc>
          <w:tcPr>
            <w:tcW w:w="1060" w:type="dxa"/>
            <w:vAlign w:val="bottom"/>
            <w:tcBorders>
              <w:bottom w:val="single" w:sz="8" w:color="auto"/>
            </w:tcBorders>
            <w:gridSpan w:val="3"/>
            <w:shd w:val="clear" w:color="auto" w:fill="CCFFCC"/>
          </w:tcPr>
          <w:p>
            <w:pPr>
              <w:spacing w:after="0" w:line="162" w:lineRule="exact"/>
              <w:rPr>
                <w:sz w:val="20"/>
                <w:szCs w:val="20"/>
                <w:color w:val="auto"/>
              </w:rPr>
            </w:pPr>
            <w:r>
              <w:rPr>
                <w:rFonts w:ascii="Arial" w:cs="Arial" w:eastAsia="Arial" w:hAnsi="Arial"/>
                <w:sz w:val="16"/>
                <w:szCs w:val="16"/>
                <w:b w:val="1"/>
                <w:bCs w:val="1"/>
                <w:color w:val="auto"/>
                <w:w w:val="92"/>
              </w:rPr>
              <w:t>NewZoom, Inc.</w:t>
            </w:r>
          </w:p>
        </w:tc>
        <w:tc>
          <w:tcPr>
            <w:tcW w:w="880" w:type="dxa"/>
            <w:vAlign w:val="bottom"/>
            <w:tcBorders>
              <w:bottom w:val="single" w:sz="8" w:color="CCFFCC"/>
            </w:tcBorders>
            <w:gridSpan w:val="6"/>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2440" w:type="dxa"/>
            <w:vAlign w:val="bottom"/>
            <w:tcBorders>
              <w:bottom w:val="single" w:sz="8" w:color="CCFFCC"/>
            </w:tcBorders>
            <w:shd w:val="clear" w:color="auto" w:fill="CCFFCC"/>
          </w:tcPr>
          <w:p>
            <w:pPr>
              <w:jc w:val="center"/>
              <w:spacing w:after="0" w:line="162" w:lineRule="exact"/>
              <w:rPr>
                <w:sz w:val="20"/>
                <w:szCs w:val="20"/>
                <w:color w:val="auto"/>
              </w:rPr>
            </w:pPr>
            <w:r>
              <w:rPr>
                <w:rFonts w:ascii="Arial" w:cs="Arial" w:eastAsia="Arial" w:hAnsi="Arial"/>
                <w:sz w:val="16"/>
                <w:szCs w:val="16"/>
                <w:color w:val="auto"/>
                <w:w w:val="91"/>
              </w:rPr>
              <w:t>San Francisco, CA</w:t>
            </w:r>
          </w:p>
        </w:tc>
        <w:tc>
          <w:tcPr>
            <w:tcW w:w="80" w:type="dxa"/>
            <w:vAlign w:val="bottom"/>
            <w:tcBorders>
              <w:bottom w:val="single" w:sz="8" w:color="CCFFCC"/>
            </w:tcBorders>
            <w:shd w:val="clear" w:color="auto" w:fill="CCFFCC"/>
          </w:tcPr>
          <w:p>
            <w:pPr>
              <w:spacing w:after="0"/>
              <w:rPr>
                <w:sz w:val="14"/>
                <w:szCs w:val="14"/>
                <w:color w:val="auto"/>
              </w:rPr>
            </w:pPr>
          </w:p>
        </w:tc>
        <w:tc>
          <w:tcPr>
            <w:tcW w:w="140" w:type="dxa"/>
            <w:vAlign w:val="bottom"/>
            <w:tcBorders>
              <w:bottom w:val="single" w:sz="8" w:color="CCFFCC"/>
            </w:tcBorders>
            <w:shd w:val="clear" w:color="auto" w:fill="CCFFCC"/>
          </w:tcPr>
          <w:p>
            <w:pPr>
              <w:spacing w:after="0"/>
              <w:rPr>
                <w:sz w:val="14"/>
                <w:szCs w:val="14"/>
                <w:color w:val="auto"/>
              </w:rPr>
            </w:pPr>
          </w:p>
        </w:tc>
        <w:tc>
          <w:tcPr>
            <w:tcW w:w="780" w:type="dxa"/>
            <w:vAlign w:val="bottom"/>
            <w:tcBorders>
              <w:bottom w:val="single" w:sz="8" w:color="CCFFCC"/>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820" w:type="dxa"/>
            <w:vAlign w:val="bottom"/>
            <w:tcBorders>
              <w:bottom w:val="single" w:sz="8" w:color="CCFFCC"/>
            </w:tcBorders>
            <w:shd w:val="clear" w:color="auto" w:fill="CCFFCC"/>
          </w:tcPr>
          <w:p>
            <w:pPr>
              <w:spacing w:after="0"/>
              <w:rPr>
                <w:sz w:val="14"/>
                <w:szCs w:val="14"/>
                <w:color w:val="auto"/>
              </w:rPr>
            </w:pPr>
          </w:p>
        </w:tc>
        <w:tc>
          <w:tcPr>
            <w:tcW w:w="4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800" w:type="dxa"/>
            <w:vAlign w:val="bottom"/>
            <w:tcBorders>
              <w:bottom w:val="single" w:sz="8" w:color="CCFFCC"/>
            </w:tcBorders>
            <w:shd w:val="clear" w:color="auto" w:fill="CCFFCC"/>
          </w:tcPr>
          <w:p>
            <w:pPr>
              <w:spacing w:after="0"/>
              <w:rPr>
                <w:sz w:val="14"/>
                <w:szCs w:val="14"/>
                <w:color w:val="auto"/>
              </w:rPr>
            </w:pPr>
          </w:p>
        </w:tc>
        <w:tc>
          <w:tcPr>
            <w:tcW w:w="4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480" w:type="dxa"/>
            <w:vAlign w:val="bottom"/>
            <w:tcBorders>
              <w:bottom w:val="single" w:sz="8" w:color="CCFFCC"/>
            </w:tcBorders>
            <w:shd w:val="clear" w:color="auto" w:fill="CCFFCC"/>
          </w:tcPr>
          <w:p>
            <w:pPr>
              <w:spacing w:after="0"/>
              <w:rPr>
                <w:sz w:val="14"/>
                <w:szCs w:val="14"/>
                <w:color w:val="auto"/>
              </w:rPr>
            </w:pPr>
          </w:p>
        </w:tc>
        <w:tc>
          <w:tcPr>
            <w:tcW w:w="200" w:type="dxa"/>
            <w:vAlign w:val="bottom"/>
            <w:tcBorders>
              <w:bottom w:val="single" w:sz="8" w:color="CCFFCC"/>
            </w:tcBorders>
            <w:shd w:val="clear" w:color="auto" w:fill="CCFFCC"/>
          </w:tcPr>
          <w:p>
            <w:pPr>
              <w:spacing w:after="0"/>
              <w:rPr>
                <w:sz w:val="14"/>
                <w:szCs w:val="14"/>
                <w:color w:val="auto"/>
              </w:rPr>
            </w:pPr>
          </w:p>
        </w:tc>
      </w:tr>
      <w:tr>
        <w:trPr>
          <w:trHeight w:val="203"/>
        </w:trPr>
        <w:tc>
          <w:tcPr>
            <w:tcW w:w="20" w:type="dxa"/>
            <w:vAlign w:val="bottom"/>
            <w:tcBorders>
              <w:bottom w:val="single" w:sz="8" w:color="CCFFCC"/>
            </w:tcBorders>
            <w:shd w:val="clear" w:color="auto" w:fill="CCFFCC"/>
          </w:tcPr>
          <w:p>
            <w:pPr>
              <w:spacing w:after="0"/>
              <w:rPr>
                <w:sz w:val="17"/>
                <w:szCs w:val="17"/>
                <w:color w:val="auto"/>
              </w:rPr>
            </w:pPr>
          </w:p>
        </w:tc>
        <w:tc>
          <w:tcPr>
            <w:tcW w:w="1460" w:type="dxa"/>
            <w:vAlign w:val="bottom"/>
            <w:tcBorders>
              <w:bottom w:val="single" w:sz="8" w:color="auto"/>
            </w:tcBorders>
            <w:gridSpan w:val="6"/>
            <w:shd w:val="clear" w:color="auto" w:fill="CCFFCC"/>
          </w:tcPr>
          <w:p>
            <w:pPr>
              <w:spacing w:after="0" w:line="183" w:lineRule="exact"/>
              <w:rPr>
                <w:sz w:val="20"/>
                <w:szCs w:val="20"/>
                <w:color w:val="auto"/>
              </w:rPr>
            </w:pPr>
            <w:r>
              <w:rPr>
                <w:rFonts w:ascii="Arial" w:cs="Arial" w:eastAsia="Arial" w:hAnsi="Arial"/>
                <w:sz w:val="16"/>
                <w:szCs w:val="16"/>
                <w:b w:val="1"/>
                <w:bCs w:val="1"/>
                <w:color w:val="auto"/>
                <w:w w:val="88"/>
              </w:rPr>
              <w:t>(d/b/a ZoomSystems)</w:t>
            </w:r>
          </w:p>
        </w:tc>
        <w:tc>
          <w:tcPr>
            <w:tcW w:w="480" w:type="dxa"/>
            <w:vAlign w:val="bottom"/>
            <w:tcBorders>
              <w:bottom w:val="single" w:sz="8" w:color="CCFFCC"/>
            </w:tcBorders>
            <w:gridSpan w:val="3"/>
            <w:shd w:val="clear" w:color="auto" w:fill="CCFFCC"/>
          </w:tcPr>
          <w:p>
            <w:pPr>
              <w:spacing w:after="0"/>
              <w:rPr>
                <w:sz w:val="17"/>
                <w:szCs w:val="17"/>
                <w:color w:val="auto"/>
              </w:rPr>
            </w:pPr>
          </w:p>
        </w:tc>
        <w:tc>
          <w:tcPr>
            <w:tcW w:w="60" w:type="dxa"/>
            <w:vAlign w:val="bottom"/>
            <w:tcBorders>
              <w:bottom w:val="single" w:sz="8" w:color="CCFFCC"/>
            </w:tcBorders>
            <w:shd w:val="clear" w:color="auto" w:fill="CCFFCC"/>
          </w:tcPr>
          <w:p>
            <w:pPr>
              <w:spacing w:after="0"/>
              <w:rPr>
                <w:sz w:val="17"/>
                <w:szCs w:val="17"/>
                <w:color w:val="auto"/>
              </w:rPr>
            </w:pPr>
          </w:p>
        </w:tc>
        <w:tc>
          <w:tcPr>
            <w:tcW w:w="244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CCFFCC"/>
            </w:tcBorders>
            <w:shd w:val="clear" w:color="auto" w:fill="CCFFCC"/>
          </w:tcPr>
          <w:p>
            <w:pPr>
              <w:spacing w:after="0"/>
              <w:rPr>
                <w:sz w:val="17"/>
                <w:szCs w:val="17"/>
                <w:color w:val="auto"/>
              </w:rPr>
            </w:pPr>
          </w:p>
        </w:tc>
        <w:tc>
          <w:tcPr>
            <w:tcW w:w="780" w:type="dxa"/>
            <w:vAlign w:val="bottom"/>
            <w:tcBorders>
              <w:bottom w:val="single" w:sz="8" w:color="CCFFCC"/>
            </w:tcBorders>
            <w:shd w:val="clear" w:color="auto" w:fill="CCFFCC"/>
          </w:tcPr>
          <w:p>
            <w:pPr>
              <w:spacing w:after="0"/>
              <w:rPr>
                <w:sz w:val="17"/>
                <w:szCs w:val="17"/>
                <w:color w:val="auto"/>
              </w:rPr>
            </w:pPr>
          </w:p>
        </w:tc>
        <w:tc>
          <w:tcPr>
            <w:tcW w:w="6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820" w:type="dxa"/>
            <w:vAlign w:val="bottom"/>
            <w:tcBorders>
              <w:bottom w:val="single" w:sz="8" w:color="CCFFCC"/>
            </w:tcBorders>
            <w:shd w:val="clear" w:color="auto" w:fill="CCFFCC"/>
          </w:tcPr>
          <w:p>
            <w:pPr>
              <w:spacing w:after="0"/>
              <w:rPr>
                <w:sz w:val="17"/>
                <w:szCs w:val="17"/>
                <w:color w:val="auto"/>
              </w:rPr>
            </w:pPr>
          </w:p>
        </w:tc>
        <w:tc>
          <w:tcPr>
            <w:tcW w:w="4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800" w:type="dxa"/>
            <w:vAlign w:val="bottom"/>
            <w:tcBorders>
              <w:bottom w:val="single" w:sz="8" w:color="CCFFCC"/>
            </w:tcBorders>
            <w:shd w:val="clear" w:color="auto" w:fill="CCFFCC"/>
          </w:tcPr>
          <w:p>
            <w:pPr>
              <w:spacing w:after="0"/>
              <w:rPr>
                <w:sz w:val="17"/>
                <w:szCs w:val="17"/>
                <w:color w:val="auto"/>
              </w:rPr>
            </w:pPr>
          </w:p>
        </w:tc>
        <w:tc>
          <w:tcPr>
            <w:tcW w:w="4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48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40" w:type="dxa"/>
            <w:vAlign w:val="bottom"/>
            <w:gridSpan w:val="9"/>
          </w:tcPr>
          <w:p>
            <w:pPr>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4"/>
              </w:rPr>
              <w:t>Smart e-tail (Retail)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1,250,000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260,476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262,500</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0.12%</w:t>
            </w:r>
          </w:p>
        </w:tc>
      </w:tr>
      <w:tr>
        <w:trPr>
          <w:trHeight w:val="162"/>
        </w:trPr>
        <w:tc>
          <w:tcPr>
            <w:tcW w:w="20" w:type="dxa"/>
            <w:vAlign w:val="bottom"/>
            <w:shd w:val="clear" w:color="auto" w:fill="CCFFCC"/>
          </w:tcPr>
          <w:p>
            <w:pPr>
              <w:spacing w:after="0"/>
              <w:rPr>
                <w:sz w:val="14"/>
                <w:szCs w:val="14"/>
                <w:color w:val="auto"/>
              </w:rPr>
            </w:pPr>
          </w:p>
        </w:tc>
        <w:tc>
          <w:tcPr>
            <w:tcW w:w="1940" w:type="dxa"/>
            <w:vAlign w:val="bottom"/>
            <w:gridSpan w:val="9"/>
            <w:shd w:val="clear" w:color="auto" w:fill="CCFFCC"/>
          </w:tcPr>
          <w:p>
            <w:pPr>
              <w:spacing w:after="0" w:line="162" w:lineRule="exact"/>
              <w:rPr>
                <w:sz w:val="20"/>
                <w:szCs w:val="20"/>
                <w:color w:val="auto"/>
              </w:rPr>
            </w:pPr>
            <w:r>
              <w:rPr>
                <w:rFonts w:ascii="Arial" w:cs="Arial" w:eastAsia="Arial" w:hAnsi="Arial"/>
                <w:sz w:val="16"/>
                <w:szCs w:val="16"/>
                <w:b w:val="1"/>
                <w:bCs w:val="1"/>
                <w:color w:val="auto"/>
              </w:rPr>
              <w:t>Neuron Fuel, Inc.</w:t>
            </w:r>
          </w:p>
        </w:tc>
        <w:tc>
          <w:tcPr>
            <w:tcW w:w="60" w:type="dxa"/>
            <w:vAlign w:val="bottom"/>
            <w:shd w:val="clear" w:color="auto" w:fill="CCFFCC"/>
          </w:tcPr>
          <w:p>
            <w:pPr>
              <w:spacing w:after="0"/>
              <w:rPr>
                <w:sz w:val="14"/>
                <w:szCs w:val="14"/>
                <w:color w:val="auto"/>
              </w:rPr>
            </w:pPr>
          </w:p>
        </w:tc>
        <w:tc>
          <w:tcPr>
            <w:tcW w:w="244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89"/>
              </w:rPr>
              <w:t>San Jose, CA</w:t>
            </w:r>
          </w:p>
        </w:tc>
        <w:tc>
          <w:tcPr>
            <w:tcW w:w="8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9"/>
          </w:tcPr>
          <w:p>
            <w:pPr>
              <w:spacing w:after="0"/>
              <w:rPr>
                <w:sz w:val="20"/>
                <w:szCs w:val="20"/>
                <w:color w:val="auto"/>
              </w:rPr>
            </w:pPr>
            <w:r>
              <w:rPr>
                <w:rFonts w:ascii="Arial" w:cs="Arial" w:eastAsia="Arial" w:hAnsi="Arial"/>
                <w:sz w:val="16"/>
                <w:szCs w:val="16"/>
                <w:color w:val="auto"/>
                <w:w w:val="94"/>
              </w:rPr>
              <w:t>Preferred shares, Series AAI</w:t>
            </w:r>
          </w:p>
        </w:tc>
        <w:tc>
          <w:tcPr>
            <w:tcW w:w="6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2"/>
              </w:rPr>
              <w:t>Computer Software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250,000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262,530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250,000</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0.10%</w:t>
            </w:r>
          </w:p>
        </w:tc>
      </w:tr>
      <w:tr>
        <w:trPr>
          <w:trHeight w:val="223"/>
        </w:trPr>
        <w:tc>
          <w:tcPr>
            <w:tcW w:w="20" w:type="dxa"/>
            <w:vAlign w:val="bottom"/>
            <w:shd w:val="clear" w:color="auto" w:fill="CCFFCC"/>
          </w:tcPr>
          <w:p>
            <w:pPr>
              <w:spacing w:after="0"/>
              <w:rPr>
                <w:sz w:val="19"/>
                <w:szCs w:val="19"/>
                <w:color w:val="auto"/>
              </w:rPr>
            </w:pPr>
          </w:p>
        </w:tc>
        <w:tc>
          <w:tcPr>
            <w:tcW w:w="1940" w:type="dxa"/>
            <w:vAlign w:val="bottom"/>
            <w:gridSpan w:val="9"/>
            <w:shd w:val="clear" w:color="auto" w:fill="CCFFCC"/>
          </w:tcPr>
          <w:p>
            <w:pPr>
              <w:spacing w:after="0" w:line="202" w:lineRule="exact"/>
              <w:rPr>
                <w:sz w:val="20"/>
                <w:szCs w:val="20"/>
                <w:color w:val="auto"/>
              </w:rPr>
            </w:pPr>
            <w:r>
              <w:rPr>
                <w:rFonts w:ascii="Arial" w:cs="Arial" w:eastAsia="Arial" w:hAnsi="Arial"/>
                <w:sz w:val="14"/>
                <w:szCs w:val="14"/>
                <w:b w:val="1"/>
                <w:bCs w:val="1"/>
                <w:color w:val="auto"/>
              </w:rPr>
              <w:t>Serious Energy, Inc.</w:t>
            </w:r>
            <w:r>
              <w:rPr>
                <w:rFonts w:ascii="Arial" w:cs="Arial" w:eastAsia="Arial" w:hAnsi="Arial"/>
                <w:sz w:val="23"/>
                <w:szCs w:val="23"/>
                <w:b w:val="1"/>
                <w:bCs w:val="1"/>
                <w:color w:val="auto"/>
                <w:vertAlign w:val="superscript"/>
              </w:rPr>
              <w:t>(8)</w:t>
            </w:r>
          </w:p>
        </w:tc>
        <w:tc>
          <w:tcPr>
            <w:tcW w:w="60" w:type="dxa"/>
            <w:vAlign w:val="bottom"/>
            <w:shd w:val="clear" w:color="auto" w:fill="CCFFCC"/>
          </w:tcPr>
          <w:p>
            <w:pPr>
              <w:spacing w:after="0"/>
              <w:rPr>
                <w:sz w:val="19"/>
                <w:szCs w:val="19"/>
                <w:color w:val="auto"/>
              </w:rPr>
            </w:pPr>
          </w:p>
        </w:tc>
        <w:tc>
          <w:tcPr>
            <w:tcW w:w="24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4"/>
              </w:rPr>
              <w:t>Sunnyvale, CA</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r>
      <w:tr>
        <w:trPr>
          <w:trHeight w:val="203"/>
        </w:trPr>
        <w:tc>
          <w:tcPr>
            <w:tcW w:w="20" w:type="dxa"/>
            <w:vAlign w:val="bottom"/>
            <w:tcBorders>
              <w:top w:val="single" w:sz="8" w:color="CCFFCC"/>
            </w:tcBorders>
          </w:tcPr>
          <w:p>
            <w:pPr>
              <w:spacing w:after="0"/>
              <w:rPr>
                <w:sz w:val="17"/>
                <w:szCs w:val="17"/>
                <w:color w:val="auto"/>
              </w:rPr>
            </w:pPr>
          </w:p>
        </w:tc>
        <w:tc>
          <w:tcPr>
            <w:tcW w:w="1380" w:type="dxa"/>
            <w:vAlign w:val="bottom"/>
            <w:tcBorders>
              <w:top w:val="single" w:sz="8" w:color="auto"/>
            </w:tcBorders>
            <w:gridSpan w:val="5"/>
          </w:tcPr>
          <w:p>
            <w:pPr>
              <w:spacing w:after="0"/>
              <w:rPr>
                <w:sz w:val="20"/>
                <w:szCs w:val="20"/>
                <w:color w:val="auto"/>
              </w:rPr>
            </w:pPr>
            <w:r>
              <w:rPr>
                <w:rFonts w:ascii="Arial" w:cs="Arial" w:eastAsia="Arial" w:hAnsi="Arial"/>
                <w:sz w:val="16"/>
                <w:szCs w:val="16"/>
                <w:color w:val="auto"/>
              </w:rPr>
              <w:t>Common shares</w:t>
            </w:r>
          </w:p>
        </w:tc>
        <w:tc>
          <w:tcPr>
            <w:tcW w:w="560" w:type="dxa"/>
            <w:vAlign w:val="bottom"/>
            <w:tcBorders>
              <w:top w:val="single" w:sz="8" w:color="CCFFCC"/>
            </w:tcBorders>
            <w:gridSpan w:val="4"/>
          </w:tcPr>
          <w:p>
            <w:pPr>
              <w:spacing w:after="0"/>
              <w:rPr>
                <w:sz w:val="17"/>
                <w:szCs w:val="17"/>
                <w:color w:val="auto"/>
              </w:rPr>
            </w:pPr>
          </w:p>
        </w:tc>
        <w:tc>
          <w:tcPr>
            <w:tcW w:w="60" w:type="dxa"/>
            <w:vAlign w:val="bottom"/>
            <w:tcBorders>
              <w:top w:val="single" w:sz="8" w:color="CCFFCC"/>
            </w:tcBorders>
          </w:tcPr>
          <w:p>
            <w:pPr>
              <w:spacing w:after="0"/>
              <w:rPr>
                <w:sz w:val="17"/>
                <w:szCs w:val="17"/>
                <w:color w:val="auto"/>
              </w:rPr>
            </w:pPr>
          </w:p>
        </w:tc>
        <w:tc>
          <w:tcPr>
            <w:tcW w:w="2440" w:type="dxa"/>
            <w:vAlign w:val="bottom"/>
            <w:tcBorders>
              <w:top w:val="single" w:sz="8" w:color="CCFFCC"/>
            </w:tcBorders>
          </w:tcPr>
          <w:p>
            <w:pPr>
              <w:jc w:val="center"/>
              <w:spacing w:after="0"/>
              <w:rPr>
                <w:sz w:val="20"/>
                <w:szCs w:val="20"/>
                <w:color w:val="auto"/>
              </w:rPr>
            </w:pPr>
            <w:r>
              <w:rPr>
                <w:rFonts w:ascii="Arial" w:cs="Arial" w:eastAsia="Arial" w:hAnsi="Arial"/>
                <w:sz w:val="16"/>
                <w:szCs w:val="16"/>
                <w:color w:val="auto"/>
                <w:w w:val="91"/>
              </w:rPr>
              <w:t>Green Materials</w:t>
            </w:r>
          </w:p>
        </w:tc>
        <w:tc>
          <w:tcPr>
            <w:tcW w:w="80" w:type="dxa"/>
            <w:vAlign w:val="bottom"/>
            <w:tcBorders>
              <w:top w:val="single" w:sz="8" w:color="CCFFCC"/>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780" w:type="dxa"/>
            <w:vAlign w:val="bottom"/>
            <w:tcBorders>
              <w:top w:val="single" w:sz="8" w:color="CCFFCC"/>
            </w:tcBorders>
          </w:tcPr>
          <w:p>
            <w:pPr>
              <w:jc w:val="right"/>
              <w:spacing w:after="0"/>
              <w:rPr>
                <w:sz w:val="20"/>
                <w:szCs w:val="20"/>
                <w:color w:val="auto"/>
              </w:rPr>
            </w:pPr>
            <w:r>
              <w:rPr>
                <w:rFonts w:ascii="Arial" w:cs="Arial" w:eastAsia="Arial" w:hAnsi="Arial"/>
                <w:sz w:val="16"/>
                <w:szCs w:val="16"/>
                <w:color w:val="auto"/>
              </w:rPr>
              <w:t>178,095</w:t>
            </w:r>
          </w:p>
        </w:tc>
        <w:tc>
          <w:tcPr>
            <w:tcW w:w="6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860" w:type="dxa"/>
            <w:vAlign w:val="bottom"/>
            <w:tcBorders>
              <w:top w:val="single" w:sz="8" w:color="CCFFCC"/>
            </w:tcBorders>
            <w:gridSpan w:val="2"/>
          </w:tcPr>
          <w:p>
            <w:pPr>
              <w:jc w:val="right"/>
              <w:ind w:right="40"/>
              <w:spacing w:after="0"/>
              <w:rPr>
                <w:sz w:val="20"/>
                <w:szCs w:val="20"/>
                <w:color w:val="auto"/>
              </w:rPr>
            </w:pPr>
            <w:r>
              <w:rPr>
                <w:rFonts w:ascii="Arial" w:cs="Arial" w:eastAsia="Arial" w:hAnsi="Arial"/>
                <w:sz w:val="16"/>
                <w:szCs w:val="16"/>
                <w:color w:val="auto"/>
              </w:rPr>
              <w:t>739,130</w:t>
            </w:r>
          </w:p>
        </w:tc>
        <w:tc>
          <w:tcPr>
            <w:tcW w:w="8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840" w:type="dxa"/>
            <w:vAlign w:val="bottom"/>
            <w:tcBorders>
              <w:top w:val="single" w:sz="8" w:color="CCFFCC"/>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FFCC"/>
            </w:tcBorders>
          </w:tcPr>
          <w:p>
            <w:pPr>
              <w:spacing w:after="0"/>
              <w:rPr>
                <w:sz w:val="17"/>
                <w:szCs w:val="17"/>
                <w:color w:val="auto"/>
              </w:rPr>
            </w:pPr>
          </w:p>
        </w:tc>
        <w:tc>
          <w:tcPr>
            <w:tcW w:w="680" w:type="dxa"/>
            <w:vAlign w:val="bottom"/>
            <w:tcBorders>
              <w:top w:val="single" w:sz="8" w:color="CCFFCC"/>
            </w:tcBorders>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9"/>
            <w:shd w:val="clear" w:color="auto" w:fill="CCFFCC"/>
          </w:tcPr>
          <w:p>
            <w:pPr>
              <w:spacing w:after="0" w:line="202" w:lineRule="exact"/>
              <w:rPr>
                <w:sz w:val="20"/>
                <w:szCs w:val="20"/>
                <w:color w:val="auto"/>
              </w:rPr>
            </w:pPr>
            <w:r>
              <w:rPr>
                <w:rFonts w:ascii="Arial" w:cs="Arial" w:eastAsia="Arial" w:hAnsi="Arial"/>
                <w:sz w:val="14"/>
                <w:szCs w:val="14"/>
                <w:b w:val="1"/>
                <w:bCs w:val="1"/>
                <w:color w:val="auto"/>
              </w:rPr>
              <w:t>Top Hat 430, Inc.</w:t>
            </w:r>
            <w:r>
              <w:rPr>
                <w:rFonts w:ascii="Arial" w:cs="Arial" w:eastAsia="Arial" w:hAnsi="Arial"/>
                <w:sz w:val="23"/>
                <w:szCs w:val="23"/>
                <w:b w:val="1"/>
                <w:bCs w:val="1"/>
                <w:color w:val="auto"/>
                <w:vertAlign w:val="superscript"/>
              </w:rPr>
              <w:t>(2)(8)(10)</w:t>
            </w:r>
          </w:p>
        </w:tc>
        <w:tc>
          <w:tcPr>
            <w:tcW w:w="60" w:type="dxa"/>
            <w:vAlign w:val="bottom"/>
            <w:shd w:val="clear" w:color="auto" w:fill="CCFFCC"/>
          </w:tcPr>
          <w:p>
            <w:pPr>
              <w:spacing w:after="0"/>
              <w:rPr>
                <w:sz w:val="17"/>
                <w:szCs w:val="17"/>
                <w:color w:val="auto"/>
              </w:rPr>
            </w:pPr>
          </w:p>
        </w:tc>
        <w:tc>
          <w:tcPr>
            <w:tcW w:w="24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0"/>
              </w:rPr>
              <w:t>Shakopee, MN</w:t>
            </w: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9"/>
          </w:tcPr>
          <w:p>
            <w:pPr>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3"/>
              </w:rPr>
              <w:t>Jewelry Retailing Technology</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1,844,444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4,167,943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3"/>
        </w:trPr>
        <w:tc>
          <w:tcPr>
            <w:tcW w:w="20" w:type="dxa"/>
            <w:vAlign w:val="bottom"/>
            <w:shd w:val="clear" w:color="auto" w:fill="CCFFCC"/>
          </w:tcPr>
          <w:p>
            <w:pPr>
              <w:spacing w:after="0"/>
              <w:rPr>
                <w:sz w:val="16"/>
                <w:szCs w:val="16"/>
                <w:color w:val="auto"/>
              </w:rPr>
            </w:pPr>
          </w:p>
        </w:tc>
        <w:tc>
          <w:tcPr>
            <w:tcW w:w="1940" w:type="dxa"/>
            <w:vAlign w:val="bottom"/>
            <w:gridSpan w:val="9"/>
            <w:shd w:val="clear" w:color="auto" w:fill="CCFFCC"/>
          </w:tcPr>
          <w:p>
            <w:pPr>
              <w:spacing w:after="0"/>
              <w:rPr>
                <w:sz w:val="20"/>
                <w:szCs w:val="20"/>
                <w:color w:val="auto"/>
              </w:rPr>
            </w:pPr>
            <w:r>
              <w:rPr>
                <w:rFonts w:ascii="Arial" w:cs="Arial" w:eastAsia="Arial" w:hAnsi="Arial"/>
                <w:sz w:val="16"/>
                <w:szCs w:val="16"/>
                <w:color w:val="auto"/>
              </w:rPr>
              <w:t>Preferred warrants, $2.25</w:t>
            </w:r>
          </w:p>
        </w:tc>
        <w:tc>
          <w:tcPr>
            <w:tcW w:w="60" w:type="dxa"/>
            <w:vAlign w:val="bottom"/>
            <w:shd w:val="clear" w:color="auto" w:fill="CCFFCC"/>
          </w:tcPr>
          <w:p>
            <w:pPr>
              <w:spacing w:after="0"/>
              <w:rPr>
                <w:sz w:val="16"/>
                <w:szCs w:val="16"/>
                <w:color w:val="auto"/>
              </w:rPr>
            </w:pPr>
          </w:p>
        </w:tc>
        <w:tc>
          <w:tcPr>
            <w:tcW w:w="24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13,333</w:t>
            </w:r>
          </w:p>
        </w:tc>
        <w:tc>
          <w:tcPr>
            <w:tcW w:w="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6"/>
                <w:szCs w:val="16"/>
                <w:color w:val="auto"/>
              </w:rPr>
            </w:pPr>
          </w:p>
        </w:tc>
        <w:tc>
          <w:tcPr>
            <w:tcW w:w="68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9"/>
            <w:shd w:val="clear" w:color="auto" w:fill="CCFFCC"/>
          </w:tcPr>
          <w:p>
            <w:pPr>
              <w:ind w:left="180"/>
              <w:spacing w:after="0"/>
              <w:rPr>
                <w:sz w:val="20"/>
                <w:szCs w:val="20"/>
                <w:color w:val="auto"/>
              </w:rPr>
            </w:pPr>
            <w:r>
              <w:rPr>
                <w:rFonts w:ascii="Arial" w:cs="Arial" w:eastAsia="Arial" w:hAnsi="Arial"/>
                <w:sz w:val="16"/>
                <w:szCs w:val="16"/>
                <w:color w:val="auto"/>
              </w:rPr>
              <w:t>strike price, expire</w:t>
            </w:r>
          </w:p>
        </w:tc>
        <w:tc>
          <w:tcPr>
            <w:tcW w:w="60" w:type="dxa"/>
            <w:vAlign w:val="bottom"/>
            <w:shd w:val="clear" w:color="auto" w:fill="CCFFCC"/>
          </w:tcPr>
          <w:p>
            <w:pPr>
              <w:spacing w:after="0"/>
              <w:rPr>
                <w:sz w:val="17"/>
                <w:szCs w:val="17"/>
                <w:color w:val="auto"/>
              </w:rPr>
            </w:pPr>
          </w:p>
        </w:tc>
        <w:tc>
          <w:tcPr>
            <w:tcW w:w="24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09"/>
        </w:trPr>
        <w:tc>
          <w:tcPr>
            <w:tcW w:w="1000" w:type="dxa"/>
            <w:vAlign w:val="bottom"/>
            <w:tcBorders>
              <w:bottom w:val="single" w:sz="8" w:color="CCFFCC"/>
            </w:tcBorders>
            <w:gridSpan w:val="3"/>
            <w:shd w:val="clear" w:color="auto" w:fill="CCFFCC"/>
          </w:tcPr>
          <w:p>
            <w:pPr>
              <w:ind w:left="200"/>
              <w:spacing w:after="0"/>
              <w:rPr>
                <w:sz w:val="20"/>
                <w:szCs w:val="20"/>
                <w:color w:val="auto"/>
              </w:rPr>
            </w:pPr>
            <w:r>
              <w:rPr>
                <w:rFonts w:ascii="Arial" w:cs="Arial" w:eastAsia="Arial" w:hAnsi="Arial"/>
                <w:sz w:val="16"/>
                <w:szCs w:val="16"/>
                <w:color w:val="auto"/>
              </w:rPr>
              <w:t>11/2/2017</w:t>
            </w:r>
          </w:p>
        </w:tc>
        <w:tc>
          <w:tcPr>
            <w:tcW w:w="8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24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78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80" w:type="dxa"/>
            <w:vAlign w:val="bottom"/>
            <w:tcBorders>
              <w:bottom w:val="single" w:sz="8" w:color="auto"/>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8"/>
          </w:tcPr>
          <w:p>
            <w:pPr>
              <w:ind w:left="4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4,167,943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1940" w:type="dxa"/>
            <w:vAlign w:val="bottom"/>
            <w:gridSpan w:val="9"/>
            <w:shd w:val="clear" w:color="auto" w:fill="CCFFCC"/>
          </w:tcPr>
          <w:p>
            <w:pPr>
              <w:spacing w:after="0"/>
              <w:rPr>
                <w:sz w:val="20"/>
                <w:szCs w:val="20"/>
                <w:color w:val="auto"/>
              </w:rPr>
            </w:pPr>
            <w:r>
              <w:rPr>
                <w:rFonts w:ascii="Arial" w:cs="Arial" w:eastAsia="Arial" w:hAnsi="Arial"/>
                <w:sz w:val="16"/>
                <w:szCs w:val="16"/>
                <w:b w:val="1"/>
                <w:bCs w:val="1"/>
                <w:color w:val="auto"/>
                <w:w w:val="93"/>
              </w:rPr>
              <w:t>Total Portfolio Investments</w:t>
            </w:r>
          </w:p>
        </w:tc>
        <w:tc>
          <w:tcPr>
            <w:tcW w:w="60" w:type="dxa"/>
            <w:vAlign w:val="bottom"/>
            <w:shd w:val="clear" w:color="auto" w:fill="CCFFCC"/>
          </w:tcPr>
          <w:p>
            <w:pPr>
              <w:spacing w:after="0"/>
              <w:rPr>
                <w:sz w:val="17"/>
                <w:szCs w:val="17"/>
                <w:color w:val="auto"/>
              </w:rPr>
            </w:pPr>
          </w:p>
        </w:tc>
        <w:tc>
          <w:tcPr>
            <w:tcW w:w="24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235,481,893</w:t>
            </w: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87"/>
              </w:rPr>
              <w:t>222,154,605</w:t>
            </w:r>
          </w:p>
        </w:tc>
        <w:tc>
          <w:tcPr>
            <w:tcW w:w="76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90.65%</w:t>
            </w:r>
          </w:p>
        </w:tc>
      </w:tr>
      <w:tr>
        <w:trPr>
          <w:trHeight w:val="196"/>
        </w:trPr>
        <w:tc>
          <w:tcPr>
            <w:tcW w:w="20" w:type="dxa"/>
            <w:vAlign w:val="bottom"/>
            <w:tcBorders>
              <w:top w:val="single" w:sz="8" w:color="CCFFCC"/>
            </w:tcBorders>
          </w:tcPr>
          <w:p>
            <w:pPr>
              <w:spacing w:after="0"/>
              <w:rPr>
                <w:sz w:val="17"/>
                <w:szCs w:val="17"/>
                <w:color w:val="auto"/>
              </w:rPr>
            </w:pPr>
          </w:p>
        </w:tc>
        <w:tc>
          <w:tcPr>
            <w:tcW w:w="1940" w:type="dxa"/>
            <w:vAlign w:val="bottom"/>
            <w:tcBorders>
              <w:top w:val="single" w:sz="8" w:color="CCFFCC"/>
            </w:tcBorders>
            <w:gridSpan w:val="9"/>
          </w:tcPr>
          <w:p>
            <w:pPr>
              <w:spacing w:after="0" w:line="197" w:lineRule="exact"/>
              <w:rPr>
                <w:sz w:val="20"/>
                <w:szCs w:val="20"/>
                <w:color w:val="auto"/>
              </w:rPr>
            </w:pPr>
            <w:r>
              <w:rPr>
                <w:rFonts w:ascii="Arial" w:cs="Arial" w:eastAsia="Arial" w:hAnsi="Arial"/>
                <w:sz w:val="14"/>
                <w:szCs w:val="14"/>
                <w:b w:val="1"/>
                <w:bCs w:val="1"/>
                <w:color w:val="auto"/>
              </w:rPr>
              <w:t>Money Market Funds</w:t>
            </w:r>
            <w:r>
              <w:rPr>
                <w:rFonts w:ascii="Arial" w:cs="Arial" w:eastAsia="Arial" w:hAnsi="Arial"/>
                <w:sz w:val="22"/>
                <w:szCs w:val="22"/>
                <w:b w:val="1"/>
                <w:bCs w:val="1"/>
                <w:color w:val="auto"/>
                <w:vertAlign w:val="superscript"/>
              </w:rPr>
              <w:t>(1)</w:t>
            </w:r>
          </w:p>
        </w:tc>
        <w:tc>
          <w:tcPr>
            <w:tcW w:w="60" w:type="dxa"/>
            <w:vAlign w:val="bottom"/>
            <w:tcBorders>
              <w:top w:val="single" w:sz="8" w:color="CCFFCC"/>
            </w:tcBorders>
          </w:tcPr>
          <w:p>
            <w:pPr>
              <w:spacing w:after="0"/>
              <w:rPr>
                <w:sz w:val="17"/>
                <w:szCs w:val="17"/>
                <w:color w:val="auto"/>
              </w:rPr>
            </w:pPr>
          </w:p>
        </w:tc>
        <w:tc>
          <w:tcPr>
            <w:tcW w:w="244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780" w:type="dxa"/>
            <w:vAlign w:val="bottom"/>
            <w:tcBorders>
              <w:top w:val="single" w:sz="8" w:color="CCFFCC"/>
            </w:tcBorders>
          </w:tcPr>
          <w:p>
            <w:pPr>
              <w:spacing w:after="0"/>
              <w:rPr>
                <w:sz w:val="17"/>
                <w:szCs w:val="17"/>
                <w:color w:val="auto"/>
              </w:rPr>
            </w:pPr>
          </w:p>
        </w:tc>
        <w:tc>
          <w:tcPr>
            <w:tcW w:w="60" w:type="dxa"/>
            <w:vAlign w:val="bottom"/>
            <w:tcBorders>
              <w:top w:val="single" w:sz="8" w:color="CCFFC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3"/>
        </w:trPr>
        <w:tc>
          <w:tcPr>
            <w:tcW w:w="20" w:type="dxa"/>
            <w:vAlign w:val="bottom"/>
            <w:shd w:val="clear" w:color="auto" w:fill="CCFFCC"/>
          </w:tcPr>
          <w:p>
            <w:pPr>
              <w:spacing w:after="0"/>
              <w:rPr>
                <w:sz w:val="16"/>
                <w:szCs w:val="16"/>
                <w:color w:val="auto"/>
              </w:rPr>
            </w:pPr>
          </w:p>
        </w:tc>
        <w:tc>
          <w:tcPr>
            <w:tcW w:w="1940" w:type="dxa"/>
            <w:vAlign w:val="bottom"/>
            <w:gridSpan w:val="9"/>
            <w:shd w:val="clear" w:color="auto" w:fill="CCFFCC"/>
          </w:tcPr>
          <w:p>
            <w:pPr>
              <w:spacing w:after="0"/>
              <w:rPr>
                <w:sz w:val="20"/>
                <w:szCs w:val="20"/>
                <w:color w:val="auto"/>
              </w:rPr>
            </w:pPr>
            <w:r>
              <w:rPr>
                <w:rFonts w:ascii="Arial" w:cs="Arial" w:eastAsia="Arial" w:hAnsi="Arial"/>
                <w:sz w:val="16"/>
                <w:szCs w:val="16"/>
                <w:color w:val="auto"/>
              </w:rPr>
              <w:t>Fidelity Institutional Money</w:t>
            </w:r>
          </w:p>
        </w:tc>
        <w:tc>
          <w:tcPr>
            <w:tcW w:w="60" w:type="dxa"/>
            <w:vAlign w:val="bottom"/>
            <w:shd w:val="clear" w:color="auto" w:fill="CCFFCC"/>
          </w:tcPr>
          <w:p>
            <w:pPr>
              <w:spacing w:after="0"/>
              <w:rPr>
                <w:sz w:val="16"/>
                <w:szCs w:val="16"/>
                <w:color w:val="auto"/>
              </w:rPr>
            </w:pPr>
          </w:p>
        </w:tc>
        <w:tc>
          <w:tcPr>
            <w:tcW w:w="24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78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0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4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r>
      <w:tr>
        <w:trPr>
          <w:trHeight w:val="212"/>
        </w:trPr>
        <w:tc>
          <w:tcPr>
            <w:tcW w:w="20" w:type="dxa"/>
            <w:vAlign w:val="bottom"/>
            <w:shd w:val="clear" w:color="auto" w:fill="CCFFCC"/>
          </w:tcPr>
          <w:p>
            <w:pPr>
              <w:spacing w:after="0"/>
              <w:rPr>
                <w:sz w:val="18"/>
                <w:szCs w:val="18"/>
                <w:color w:val="auto"/>
              </w:rPr>
            </w:pPr>
          </w:p>
        </w:tc>
        <w:tc>
          <w:tcPr>
            <w:tcW w:w="1940" w:type="dxa"/>
            <w:vAlign w:val="bottom"/>
            <w:gridSpan w:val="9"/>
            <w:shd w:val="clear" w:color="auto" w:fill="CCFFCC"/>
          </w:tcPr>
          <w:p>
            <w:pPr>
              <w:ind w:left="180"/>
              <w:spacing w:after="0"/>
              <w:rPr>
                <w:sz w:val="20"/>
                <w:szCs w:val="20"/>
                <w:color w:val="auto"/>
              </w:rPr>
            </w:pPr>
            <w:r>
              <w:rPr>
                <w:rFonts w:ascii="Arial" w:cs="Arial" w:eastAsia="Arial" w:hAnsi="Arial"/>
                <w:sz w:val="16"/>
                <w:szCs w:val="16"/>
                <w:color w:val="auto"/>
              </w:rPr>
              <w:t>Market Funds</w:t>
            </w:r>
          </w:p>
        </w:tc>
        <w:tc>
          <w:tcPr>
            <w:tcW w:w="60" w:type="dxa"/>
            <w:vAlign w:val="bottom"/>
            <w:shd w:val="clear" w:color="auto" w:fill="CCFFCC"/>
          </w:tcPr>
          <w:p>
            <w:pPr>
              <w:spacing w:after="0"/>
              <w:rPr>
                <w:sz w:val="18"/>
                <w:szCs w:val="18"/>
                <w:color w:val="auto"/>
              </w:rPr>
            </w:pPr>
          </w:p>
        </w:tc>
        <w:tc>
          <w:tcPr>
            <w:tcW w:w="24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1940" w:type="dxa"/>
            <w:vAlign w:val="bottom"/>
            <w:gridSpan w:val="9"/>
          </w:tcPr>
          <w:p>
            <w:pPr>
              <w:ind w:left="180"/>
              <w:spacing w:after="0"/>
              <w:rPr>
                <w:sz w:val="20"/>
                <w:szCs w:val="20"/>
                <w:color w:val="auto"/>
              </w:rPr>
            </w:pPr>
            <w:r>
              <w:rPr>
                <w:rFonts w:ascii="Arial" w:cs="Arial" w:eastAsia="Arial" w:hAnsi="Arial"/>
                <w:sz w:val="16"/>
                <w:szCs w:val="16"/>
                <w:color w:val="auto"/>
              </w:rPr>
              <w:t>Money Market Portfolio</w:t>
            </w:r>
          </w:p>
        </w:tc>
        <w:tc>
          <w:tcPr>
            <w:tcW w:w="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8,000,000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8,000,000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8,000,000</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3.26%</w:t>
            </w:r>
          </w:p>
        </w:tc>
      </w:tr>
      <w:tr>
        <w:trPr>
          <w:trHeight w:val="193"/>
        </w:trPr>
        <w:tc>
          <w:tcPr>
            <w:tcW w:w="20" w:type="dxa"/>
            <w:vAlign w:val="bottom"/>
            <w:shd w:val="clear" w:color="auto" w:fill="CCFFCC"/>
          </w:tcPr>
          <w:p>
            <w:pPr>
              <w:spacing w:after="0"/>
              <w:rPr>
                <w:sz w:val="16"/>
                <w:szCs w:val="16"/>
                <w:color w:val="auto"/>
              </w:rPr>
            </w:pPr>
          </w:p>
        </w:tc>
        <w:tc>
          <w:tcPr>
            <w:tcW w:w="1940" w:type="dxa"/>
            <w:vAlign w:val="bottom"/>
            <w:gridSpan w:val="9"/>
            <w:shd w:val="clear" w:color="auto" w:fill="CCFFCC"/>
          </w:tcPr>
          <w:p>
            <w:pPr>
              <w:ind w:left="180"/>
              <w:spacing w:after="0"/>
              <w:rPr>
                <w:sz w:val="20"/>
                <w:szCs w:val="20"/>
                <w:color w:val="auto"/>
              </w:rPr>
            </w:pPr>
            <w:r>
              <w:rPr>
                <w:rFonts w:ascii="Arial" w:cs="Arial" w:eastAsia="Arial" w:hAnsi="Arial"/>
                <w:sz w:val="16"/>
                <w:szCs w:val="16"/>
                <w:color w:val="auto"/>
              </w:rPr>
              <w:t>Prime Money Market</w:t>
            </w:r>
          </w:p>
        </w:tc>
        <w:tc>
          <w:tcPr>
            <w:tcW w:w="60" w:type="dxa"/>
            <w:vAlign w:val="bottom"/>
            <w:shd w:val="clear" w:color="auto" w:fill="CCFFCC"/>
          </w:tcPr>
          <w:p>
            <w:pPr>
              <w:spacing w:after="0"/>
              <w:rPr>
                <w:sz w:val="16"/>
                <w:szCs w:val="16"/>
                <w:color w:val="auto"/>
              </w:rPr>
            </w:pPr>
          </w:p>
        </w:tc>
        <w:tc>
          <w:tcPr>
            <w:tcW w:w="24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8"/>
              </w:rPr>
              <w:t>8,000,000</w:t>
            </w:r>
          </w:p>
        </w:tc>
        <w:tc>
          <w:tcPr>
            <w:tcW w:w="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8,000,000</w:t>
            </w:r>
          </w:p>
        </w:tc>
        <w:tc>
          <w:tcPr>
            <w:tcW w:w="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8,000,000</w:t>
            </w:r>
          </w:p>
        </w:tc>
        <w:tc>
          <w:tcPr>
            <w:tcW w:w="76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3.26%</w:t>
            </w:r>
          </w:p>
        </w:tc>
      </w:tr>
      <w:tr>
        <w:trPr>
          <w:trHeight w:val="209"/>
        </w:trPr>
        <w:tc>
          <w:tcPr>
            <w:tcW w:w="20" w:type="dxa"/>
            <w:vAlign w:val="bottom"/>
            <w:tcBorders>
              <w:bottom w:val="single" w:sz="8" w:color="CCFFCC"/>
            </w:tcBorders>
            <w:shd w:val="clear" w:color="auto" w:fill="CCFFCC"/>
          </w:tcPr>
          <w:p>
            <w:pPr>
              <w:spacing w:after="0"/>
              <w:rPr>
                <w:sz w:val="18"/>
                <w:szCs w:val="18"/>
                <w:color w:val="auto"/>
              </w:rPr>
            </w:pPr>
          </w:p>
        </w:tc>
        <w:tc>
          <w:tcPr>
            <w:tcW w:w="320" w:type="dxa"/>
            <w:vAlign w:val="bottom"/>
            <w:tcBorders>
              <w:bottom w:val="single" w:sz="8" w:color="CCFFCC"/>
            </w:tcBorders>
            <w:shd w:val="clear" w:color="auto" w:fill="CCFFCC"/>
          </w:tcPr>
          <w:p>
            <w:pPr>
              <w:spacing w:after="0"/>
              <w:rPr>
                <w:sz w:val="18"/>
                <w:szCs w:val="18"/>
                <w:color w:val="auto"/>
              </w:rPr>
            </w:pPr>
          </w:p>
        </w:tc>
        <w:tc>
          <w:tcPr>
            <w:tcW w:w="1620" w:type="dxa"/>
            <w:vAlign w:val="bottom"/>
            <w:tcBorders>
              <w:bottom w:val="single" w:sz="8" w:color="CCFFCC"/>
            </w:tcBorders>
            <w:gridSpan w:val="8"/>
            <w:shd w:val="clear" w:color="auto" w:fill="CCFFCC"/>
          </w:tcPr>
          <w:p>
            <w:pPr>
              <w:ind w:left="40"/>
              <w:spacing w:after="0"/>
              <w:rPr>
                <w:sz w:val="20"/>
                <w:szCs w:val="20"/>
                <w:color w:val="auto"/>
              </w:rPr>
            </w:pPr>
            <w:r>
              <w:rPr>
                <w:rFonts w:ascii="Arial" w:cs="Arial" w:eastAsia="Arial" w:hAnsi="Arial"/>
                <w:sz w:val="16"/>
                <w:szCs w:val="16"/>
                <w:color w:val="auto"/>
              </w:rPr>
              <w:t>Portfolio</w:t>
            </w:r>
          </w:p>
        </w:tc>
        <w:tc>
          <w:tcPr>
            <w:tcW w:w="60" w:type="dxa"/>
            <w:vAlign w:val="bottom"/>
            <w:tcBorders>
              <w:bottom w:val="single" w:sz="8" w:color="CCFFCC"/>
            </w:tcBorders>
            <w:shd w:val="clear" w:color="auto" w:fill="CCFFCC"/>
          </w:tcPr>
          <w:p>
            <w:pPr>
              <w:spacing w:after="0"/>
              <w:rPr>
                <w:sz w:val="18"/>
                <w:szCs w:val="18"/>
                <w:color w:val="auto"/>
              </w:rPr>
            </w:pPr>
          </w:p>
        </w:tc>
        <w:tc>
          <w:tcPr>
            <w:tcW w:w="24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78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80" w:type="dxa"/>
            <w:vAlign w:val="bottom"/>
            <w:tcBorders>
              <w:bottom w:val="single" w:sz="8" w:color="auto"/>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1940" w:type="dxa"/>
            <w:vAlign w:val="bottom"/>
            <w:gridSpan w:val="9"/>
          </w:tcPr>
          <w:p>
            <w:pPr>
              <w:spacing w:after="0"/>
              <w:rPr>
                <w:sz w:val="20"/>
                <w:szCs w:val="20"/>
                <w:color w:val="auto"/>
              </w:rPr>
            </w:pPr>
            <w:r>
              <w:rPr>
                <w:rFonts w:ascii="Arial" w:cs="Arial" w:eastAsia="Arial" w:hAnsi="Arial"/>
                <w:sz w:val="16"/>
                <w:szCs w:val="16"/>
                <w:color w:val="auto"/>
              </w:rPr>
              <w:t>Total Money Market Funds</w:t>
            </w:r>
          </w:p>
        </w:tc>
        <w:tc>
          <w:tcPr>
            <w:tcW w:w="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16,000,000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w w:val="97"/>
              </w:rPr>
              <w:t>16,000,000</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6.52%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20" w:type="dxa"/>
            <w:vAlign w:val="bottom"/>
            <w:shd w:val="clear" w:color="auto" w:fill="CCFFCC"/>
          </w:tcPr>
          <w:p>
            <w:pPr>
              <w:spacing w:after="0"/>
              <w:rPr>
                <w:sz w:val="20"/>
                <w:szCs w:val="20"/>
                <w:color w:val="auto"/>
              </w:rPr>
            </w:pPr>
          </w:p>
        </w:tc>
        <w:tc>
          <w:tcPr>
            <w:tcW w:w="1940" w:type="dxa"/>
            <w:vAlign w:val="bottom"/>
            <w:gridSpan w:val="9"/>
            <w:shd w:val="clear" w:color="auto" w:fill="CCFFCC"/>
          </w:tcPr>
          <w:p>
            <w:pPr>
              <w:spacing w:after="0"/>
              <w:rPr>
                <w:sz w:val="20"/>
                <w:szCs w:val="20"/>
                <w:color w:val="auto"/>
              </w:rPr>
            </w:pPr>
            <w:r>
              <w:rPr>
                <w:rFonts w:ascii="Arial" w:cs="Arial" w:eastAsia="Arial" w:hAnsi="Arial"/>
                <w:sz w:val="16"/>
                <w:szCs w:val="16"/>
                <w:b w:val="1"/>
                <w:bCs w:val="1"/>
                <w:color w:val="auto"/>
              </w:rPr>
              <w:t>Total Investments</w:t>
            </w:r>
          </w:p>
        </w:tc>
        <w:tc>
          <w:tcPr>
            <w:tcW w:w="60" w:type="dxa"/>
            <w:vAlign w:val="bottom"/>
            <w:shd w:val="clear" w:color="auto" w:fill="CCFFCC"/>
          </w:tcPr>
          <w:p>
            <w:pPr>
              <w:spacing w:after="0"/>
              <w:rPr>
                <w:sz w:val="20"/>
                <w:szCs w:val="20"/>
                <w:color w:val="auto"/>
              </w:rPr>
            </w:pPr>
          </w:p>
        </w:tc>
        <w:tc>
          <w:tcPr>
            <w:tcW w:w="24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251,481,893</w:t>
            </w:r>
          </w:p>
        </w:tc>
        <w:tc>
          <w:tcPr>
            <w:tcW w:w="40" w:type="dxa"/>
            <w:vAlign w:val="bottom"/>
            <w:shd w:val="clear" w:color="auto" w:fill="CCFFCC"/>
          </w:tcPr>
          <w:p>
            <w:pPr>
              <w:spacing w:after="0"/>
              <w:rPr>
                <w:sz w:val="20"/>
                <w:szCs w:val="20"/>
                <w:color w:val="auto"/>
              </w:rPr>
            </w:pP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6"/>
                <w:szCs w:val="16"/>
                <w:u w:val="single" w:color="auto"/>
                <w:color w:val="auto"/>
              </w:rPr>
              <w:t>$</w:t>
            </w: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87"/>
              </w:rPr>
              <w:t>238,154,605</w:t>
            </w:r>
          </w:p>
        </w:tc>
        <w:tc>
          <w:tcPr>
            <w:tcW w:w="76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97.17%</w:t>
            </w:r>
          </w:p>
        </w:tc>
      </w:tr>
      <w:tr>
        <w:trPr>
          <w:trHeight w:val="264"/>
        </w:trPr>
        <w:tc>
          <w:tcPr>
            <w:tcW w:w="20" w:type="dxa"/>
            <w:vAlign w:val="bottom"/>
            <w:tcBorders>
              <w:top w:val="single" w:sz="8" w:color="CCFFCC"/>
            </w:tcBorders>
          </w:tcPr>
          <w:p>
            <w:pPr>
              <w:spacing w:after="0"/>
              <w:rPr>
                <w:sz w:val="22"/>
                <w:szCs w:val="22"/>
                <w:color w:val="auto"/>
              </w:rPr>
            </w:pPr>
          </w:p>
        </w:tc>
        <w:tc>
          <w:tcPr>
            <w:tcW w:w="320" w:type="dxa"/>
            <w:vAlign w:val="bottom"/>
            <w:tcBorders>
              <w:top w:val="single" w:sz="8" w:color="CCFFCC"/>
              <w:bottom w:val="single" w:sz="8" w:color="auto"/>
            </w:tcBorders>
          </w:tcPr>
          <w:p>
            <w:pPr>
              <w:spacing w:after="0"/>
              <w:rPr>
                <w:sz w:val="22"/>
                <w:szCs w:val="22"/>
                <w:color w:val="auto"/>
              </w:rPr>
            </w:pPr>
          </w:p>
        </w:tc>
        <w:tc>
          <w:tcPr>
            <w:tcW w:w="660" w:type="dxa"/>
            <w:vAlign w:val="bottom"/>
            <w:tcBorders>
              <w:top w:val="single" w:sz="8" w:color="CCFFCC"/>
              <w:bottom w:val="single" w:sz="8" w:color="auto"/>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140" w:type="dxa"/>
            <w:vAlign w:val="bottom"/>
            <w:tcBorders>
              <w:top w:val="single" w:sz="8" w:color="CCFFCC"/>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40" w:type="dxa"/>
            <w:vAlign w:val="bottom"/>
            <w:tcBorders>
              <w:top w:val="single" w:sz="8" w:color="CCFFCC"/>
            </w:tcBorders>
          </w:tcPr>
          <w:p>
            <w:pPr>
              <w:spacing w:after="0"/>
              <w:rPr>
                <w:sz w:val="22"/>
                <w:szCs w:val="22"/>
                <w:color w:val="auto"/>
              </w:rPr>
            </w:pPr>
          </w:p>
        </w:tc>
        <w:tc>
          <w:tcPr>
            <w:tcW w:w="140" w:type="dxa"/>
            <w:vAlign w:val="bottom"/>
            <w:tcBorders>
              <w:top w:val="single" w:sz="8" w:color="CCFFCC"/>
            </w:tcBorders>
          </w:tcPr>
          <w:p>
            <w:pPr>
              <w:spacing w:after="0"/>
              <w:rPr>
                <w:sz w:val="22"/>
                <w:szCs w:val="22"/>
                <w:color w:val="auto"/>
              </w:rPr>
            </w:pPr>
          </w:p>
        </w:tc>
        <w:tc>
          <w:tcPr>
            <w:tcW w:w="300" w:type="dxa"/>
            <w:vAlign w:val="bottom"/>
            <w:tcBorders>
              <w:top w:val="single" w:sz="8" w:color="CCFFCC"/>
            </w:tcBorders>
          </w:tcPr>
          <w:p>
            <w:pPr>
              <w:spacing w:after="0"/>
              <w:rPr>
                <w:sz w:val="22"/>
                <w:szCs w:val="22"/>
                <w:color w:val="auto"/>
              </w:rPr>
            </w:pPr>
          </w:p>
        </w:tc>
        <w:tc>
          <w:tcPr>
            <w:tcW w:w="60" w:type="dxa"/>
            <w:vAlign w:val="bottom"/>
            <w:tcBorders>
              <w:top w:val="single" w:sz="8" w:color="CCFFCC"/>
            </w:tcBorders>
          </w:tcPr>
          <w:p>
            <w:pPr>
              <w:spacing w:after="0"/>
              <w:rPr>
                <w:sz w:val="22"/>
                <w:szCs w:val="22"/>
                <w:color w:val="auto"/>
              </w:rPr>
            </w:pPr>
          </w:p>
        </w:tc>
        <w:tc>
          <w:tcPr>
            <w:tcW w:w="244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140" w:type="dxa"/>
            <w:vAlign w:val="bottom"/>
            <w:tcBorders>
              <w:top w:val="single" w:sz="8" w:color="CCFFCC"/>
            </w:tcBorders>
          </w:tcPr>
          <w:p>
            <w:pPr>
              <w:spacing w:after="0"/>
              <w:rPr>
                <w:sz w:val="22"/>
                <w:szCs w:val="22"/>
                <w:color w:val="auto"/>
              </w:rPr>
            </w:pPr>
          </w:p>
        </w:tc>
        <w:tc>
          <w:tcPr>
            <w:tcW w:w="780" w:type="dxa"/>
            <w:vAlign w:val="bottom"/>
            <w:tcBorders>
              <w:top w:val="single" w:sz="8" w:color="CCFFCC"/>
            </w:tcBorders>
          </w:tcPr>
          <w:p>
            <w:pPr>
              <w:spacing w:after="0"/>
              <w:rPr>
                <w:sz w:val="22"/>
                <w:szCs w:val="22"/>
                <w:color w:val="auto"/>
              </w:rPr>
            </w:pPr>
          </w:p>
        </w:tc>
        <w:tc>
          <w:tcPr>
            <w:tcW w:w="60" w:type="dxa"/>
            <w:vAlign w:val="bottom"/>
            <w:tcBorders>
              <w:top w:val="single" w:sz="8" w:color="CCFFCC"/>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4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4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00" w:type="dxa"/>
            <w:vAlign w:val="bottom"/>
            <w:tcBorders>
              <w:top w:val="single" w:sz="8" w:color="CCFFCC"/>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-1568450</wp:posOffset>
            </wp:positionV>
            <wp:extent cx="5213985"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-1294130</wp:posOffset>
            </wp:positionV>
            <wp:extent cx="5213985"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-488315</wp:posOffset>
            </wp:positionV>
            <wp:extent cx="521398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300" w:hanging="27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 is income producing.</w:t>
      </w:r>
    </w:p>
    <w:p>
      <w:pPr>
        <w:spacing w:after="0" w:line="117" w:lineRule="exact"/>
        <w:rPr>
          <w:rFonts w:ascii="Arial" w:cs="Arial" w:eastAsia="Arial" w:hAnsi="Arial"/>
          <w:sz w:val="18"/>
          <w:szCs w:val="18"/>
          <w:color w:val="auto"/>
        </w:rPr>
      </w:pPr>
    </w:p>
    <w:p>
      <w:pPr>
        <w:jc w:val="both"/>
        <w:ind w:left="300" w:right="519" w:hanging="272"/>
        <w:spacing w:after="0" w:line="264"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Denotes an Affiliate Investment. “Affiliate Investments” are investments in those companies that are “Affiliated Companies” of GSV Capital Corp., as defined in the Investment Company Act of 1940. A company is deemed to be an “Affiliate” of GSV Capital Corp. if GSV Capital Corp. owns 5% or more of the voting securities of such company.</w:t>
      </w:r>
    </w:p>
    <w:p>
      <w:pPr>
        <w:spacing w:after="0" w:line="73" w:lineRule="exact"/>
        <w:rPr>
          <w:rFonts w:ascii="Arial" w:cs="Arial" w:eastAsia="Arial" w:hAnsi="Arial"/>
          <w:sz w:val="18"/>
          <w:szCs w:val="18"/>
          <w:color w:val="auto"/>
        </w:rPr>
      </w:pPr>
    </w:p>
    <w:p>
      <w:pPr>
        <w:ind w:left="300" w:right="519" w:hanging="272"/>
        <w:spacing w:after="0" w:line="277"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GSV Capital Corp.’s investment in Avenues World Holdings LLC is held through its wholly-owned subsidiary GSVC AV Holdings, Inc.</w:t>
      </w:r>
    </w:p>
    <w:p>
      <w:pPr>
        <w:spacing w:after="0" w:line="62" w:lineRule="exact"/>
        <w:rPr>
          <w:rFonts w:ascii="Arial" w:cs="Arial" w:eastAsia="Arial" w:hAnsi="Arial"/>
          <w:sz w:val="18"/>
          <w:szCs w:val="18"/>
          <w:color w:val="auto"/>
        </w:rPr>
      </w:pPr>
    </w:p>
    <w:p>
      <w:pPr>
        <w:ind w:left="300" w:hanging="272"/>
        <w:spacing w:after="0"/>
        <w:tabs>
          <w:tab w:leader="none" w:pos="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GSV Capital Corp.’s investment in Whittle Schools, LLC is held through its wholly-owned subsidiary GSVC WS Holdings, Inc.</w:t>
      </w:r>
    </w:p>
    <w:p>
      <w:pPr>
        <w:spacing w:after="0" w:line="140" w:lineRule="exact"/>
        <w:rPr>
          <w:rFonts w:ascii="Arial" w:cs="Arial" w:eastAsia="Arial" w:hAnsi="Arial"/>
          <w:sz w:val="16"/>
          <w:szCs w:val="16"/>
          <w:color w:val="auto"/>
        </w:rPr>
      </w:pPr>
    </w:p>
    <w:p>
      <w:pPr>
        <w:ind w:left="300" w:hanging="27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wholly-owned subsidiary GSVC SW Holdings, Inc.</w:t>
      </w:r>
    </w:p>
    <w:p>
      <w:pPr>
        <w:spacing w:after="0" w:line="128" w:lineRule="exact"/>
        <w:rPr>
          <w:rFonts w:ascii="Arial" w:cs="Arial" w:eastAsia="Arial" w:hAnsi="Arial"/>
          <w:sz w:val="17"/>
          <w:szCs w:val="17"/>
          <w:color w:val="auto"/>
        </w:rPr>
      </w:pPr>
    </w:p>
    <w:p>
      <w:pPr>
        <w:ind w:left="300" w:hanging="27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GSV Capital Corp.’s investment in AltEgo, LLC is held through its wholly-owned subsidiary GSVC AE Holdings, Inc.</w:t>
      </w:r>
    </w:p>
    <w:p>
      <w:pPr>
        <w:spacing w:after="0" w:line="117"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GSV Capital Corp.’s investment in NestGSV Silicon Valley, LLC is held through its wholly-owned subsidiary GSVC NG Holdings, Inc.</w:t>
      </w:r>
    </w:p>
    <w:p>
      <w:pPr>
        <w:spacing w:after="0" w:line="62" w:lineRule="exact"/>
        <w:rPr>
          <w:rFonts w:ascii="Arial" w:cs="Arial" w:eastAsia="Arial" w:hAnsi="Arial"/>
          <w:sz w:val="18"/>
          <w:szCs w:val="18"/>
          <w:color w:val="auto"/>
        </w:rPr>
      </w:pPr>
    </w:p>
    <w:p>
      <w:pPr>
        <w:ind w:left="300" w:hanging="27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w:t>
      </w:r>
    </w:p>
    <w:p>
      <w:pPr>
        <w:spacing w:after="0" w:line="200" w:lineRule="exact"/>
        <w:rPr>
          <w:sz w:val="20"/>
          <w:szCs w:val="20"/>
          <w:color w:val="auto"/>
        </w:rPr>
      </w:pPr>
    </w:p>
    <w:p>
      <w:pPr>
        <w:spacing w:after="0" w:line="349"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7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958" w:right="1440" w:bottom="1440" w:gutter="0" w:footer="0" w:header="0"/>
        </w:sectPr>
      </w:pPr>
    </w:p>
    <w:bookmarkStart w:id="10" w:name="page11"/>
    <w:bookmarkEnd w:id="10"/>
    <w:p>
      <w:pPr>
        <w:ind w:left="272" w:right="519"/>
        <w:spacing w:after="0" w:line="277" w:lineRule="auto"/>
        <w:rPr>
          <w:sz w:val="20"/>
          <w:szCs w:val="20"/>
          <w:color w:val="auto"/>
        </w:rPr>
      </w:pPr>
      <w:r>
        <w:rPr>
          <w:rFonts w:ascii="Arial" w:cs="Arial" w:eastAsia="Arial" w:hAnsi="Arial"/>
          <w:sz w:val="18"/>
          <w:szCs w:val="18"/>
          <w:color w:val="auto"/>
        </w:rPr>
        <w:t>of the Investment Company Act of 1940, as amended. Qualifying assets must represent at least 70% of GSV Capital Corp.’s total assets at the time of acquisition of any additional non-qualifying assets.</w:t>
      </w:r>
    </w:p>
    <w:p>
      <w:pPr>
        <w:spacing w:after="0" w:line="62" w:lineRule="exact"/>
        <w:rPr>
          <w:sz w:val="20"/>
          <w:szCs w:val="20"/>
          <w:color w:val="auto"/>
        </w:rPr>
      </w:pPr>
    </w:p>
    <w:p>
      <w:pPr>
        <w:jc w:val="both"/>
        <w:ind w:left="272" w:right="519" w:hanging="272"/>
        <w:spacing w:after="0" w:line="312" w:lineRule="auto"/>
        <w:tabs>
          <w:tab w:leader="none" w:pos="272"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March 12, 2013, Silver Spring Networks, Inc. priced its initial public offering, selling 4,750,000 shares at a price of $17 per share. GSV Capital Corp.’s shares in Silver Spring Networks, Inc. are subject to a lock-up agreement that expires on September 8, 2013. At March 31, 2013, GSV Capital Corp. valued Silver Spring Networks, Inc. based on its March 31, 2013 closing price.</w:t>
      </w:r>
    </w:p>
    <w:p>
      <w:pPr>
        <w:spacing w:after="0" w:line="38" w:lineRule="exact"/>
        <w:rPr>
          <w:rFonts w:ascii="Arial" w:cs="Arial" w:eastAsia="Arial" w:hAnsi="Arial"/>
          <w:sz w:val="16"/>
          <w:szCs w:val="16"/>
          <w:color w:val="auto"/>
        </w:rPr>
      </w:pPr>
    </w:p>
    <w:p>
      <w:pPr>
        <w:ind w:left="312" w:right="539" w:hanging="312"/>
        <w:spacing w:after="0" w:line="277" w:lineRule="auto"/>
        <w:tabs>
          <w:tab w:leader="none" w:pos="412"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March 25, 2013, Top Hat 430, Inc. filed for Chapter 7 bankruptcy after filing for Chapter 11 bankruptcy in February 2013 and failing to reach a reorganization agreement.</w:t>
      </w:r>
    </w:p>
    <w:p>
      <w:pPr>
        <w:spacing w:after="0" w:line="200" w:lineRule="exact"/>
        <w:rPr>
          <w:sz w:val="20"/>
          <w:szCs w:val="20"/>
          <w:color w:val="auto"/>
        </w:rPr>
      </w:pPr>
    </w:p>
    <w:p>
      <w:pPr>
        <w:spacing w:after="0" w:line="295" w:lineRule="exact"/>
        <w:rPr>
          <w:sz w:val="20"/>
          <w:szCs w:val="20"/>
          <w:color w:val="auto"/>
        </w:rPr>
      </w:pPr>
    </w:p>
    <w:p>
      <w:pPr>
        <w:ind w:left="2912"/>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52"/>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105410</wp:posOffset>
            </wp:positionV>
            <wp:extent cx="6114415"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2"/>
          </w:cols>
          <w:pgMar w:left="388" w:top="854" w:right="1440" w:bottom="1440" w:gutter="0" w:footer="0" w:header="0"/>
        </w:sectPr>
      </w:pPr>
    </w:p>
    <w:bookmarkStart w:id="11" w:name="page12"/>
    <w:bookmarkEnd w:id="11"/>
    <w:p>
      <w:pPr>
        <w:jc w:val="center"/>
        <w:ind w:left="1720" w:right="1360"/>
        <w:spacing w:after="0" w:line="257" w:lineRule="auto"/>
        <w:rPr>
          <w:sz w:val="20"/>
          <w:szCs w:val="20"/>
          <w:color w:val="auto"/>
        </w:rPr>
      </w:pPr>
      <w:r>
        <w:rPr>
          <w:rFonts w:ascii="Arial" w:cs="Arial" w:eastAsia="Arial" w:hAnsi="Arial"/>
          <w:sz w:val="18"/>
          <w:szCs w:val="18"/>
          <w:b w:val="1"/>
          <w:bCs w:val="1"/>
          <w:color w:val="auto"/>
        </w:rPr>
        <w:t>GSV CAPITAL CORP. AND SUBSIDIARY CONSOLIDATED SCHEDULE OF INVESTMENTS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52139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940" w:type="dxa"/>
            <w:vAlign w:val="bottom"/>
            <w:gridSpan w:val="14"/>
          </w:tcPr>
          <w:p>
            <w:pPr>
              <w:spacing w:after="0" w:line="141" w:lineRule="exact"/>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2"/>
                <w:szCs w:val="12"/>
                <w:color w:val="auto"/>
              </w:rPr>
            </w:pPr>
          </w:p>
        </w:tc>
        <w:tc>
          <w:tcPr>
            <w:tcW w:w="24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6"/>
              </w:rPr>
              <w:t>Headquarters/Industry</w:t>
            </w:r>
          </w:p>
        </w:tc>
        <w:tc>
          <w:tcPr>
            <w:tcW w:w="80" w:type="dxa"/>
            <w:vAlign w:val="bottom"/>
          </w:tcPr>
          <w:p>
            <w:pPr>
              <w:spacing w:after="0"/>
              <w:rPr>
                <w:sz w:val="12"/>
                <w:szCs w:val="12"/>
                <w:color w:val="auto"/>
              </w:rPr>
            </w:pPr>
          </w:p>
        </w:tc>
        <w:tc>
          <w:tcPr>
            <w:tcW w:w="920" w:type="dxa"/>
            <w:vAlign w:val="bottom"/>
          </w:tcPr>
          <w:p>
            <w:pPr>
              <w:jc w:val="right"/>
              <w:ind w:right="168"/>
              <w:spacing w:after="0" w:line="141"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820" w:type="dxa"/>
            <w:vAlign w:val="bottom"/>
          </w:tcPr>
          <w:p>
            <w:pPr>
              <w:ind w:left="300"/>
              <w:spacing w:after="0" w:line="141" w:lineRule="exact"/>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820" w:type="dxa"/>
            <w:vAlign w:val="bottom"/>
          </w:tcPr>
          <w:p>
            <w:pPr>
              <w:ind w:left="120"/>
              <w:spacing w:after="0" w:line="141" w:lineRule="exact"/>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2"/>
                <w:szCs w:val="12"/>
                <w:color w:val="auto"/>
              </w:rPr>
            </w:pPr>
          </w:p>
        </w:tc>
        <w:tc>
          <w:tcPr>
            <w:tcW w:w="680" w:type="dxa"/>
            <w:vAlign w:val="bottom"/>
            <w:gridSpan w:val="2"/>
          </w:tcPr>
          <w:p>
            <w:pPr>
              <w:jc w:val="right"/>
              <w:ind w:right="180"/>
              <w:spacing w:after="0" w:line="141" w:lineRule="exact"/>
              <w:rPr>
                <w:sz w:val="20"/>
                <w:szCs w:val="20"/>
                <w:color w:val="auto"/>
              </w:rPr>
            </w:pPr>
            <w:r>
              <w:rPr>
                <w:rFonts w:ascii="Arial" w:cs="Arial" w:eastAsia="Arial" w:hAnsi="Arial"/>
                <w:sz w:val="14"/>
                <w:szCs w:val="14"/>
                <w:b w:val="1"/>
                <w:bCs w:val="1"/>
                <w:color w:val="auto"/>
              </w:rPr>
              <w:t>% of</w:t>
            </w:r>
          </w:p>
        </w:tc>
      </w:tr>
      <w:tr>
        <w:trPr>
          <w:trHeight w:val="171"/>
        </w:trPr>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8"/>
              </w:rPr>
              <w:t>Net Assets</w:t>
            </w:r>
          </w:p>
        </w:tc>
      </w:tr>
      <w:tr>
        <w:trPr>
          <w:trHeight w:val="176"/>
        </w:trPr>
        <w:tc>
          <w:tcPr>
            <w:tcW w:w="20" w:type="dxa"/>
            <w:vAlign w:val="bottom"/>
            <w:tcBorders>
              <w:bottom w:val="single" w:sz="8" w:color="CCFFCC"/>
            </w:tcBorders>
            <w:shd w:val="clear" w:color="auto" w:fill="CCFFCC"/>
          </w:tcPr>
          <w:p>
            <w:pPr>
              <w:spacing w:after="0"/>
              <w:rPr>
                <w:sz w:val="15"/>
                <w:szCs w:val="15"/>
                <w:color w:val="auto"/>
              </w:rPr>
            </w:pPr>
          </w:p>
        </w:tc>
        <w:tc>
          <w:tcPr>
            <w:tcW w:w="840" w:type="dxa"/>
            <w:vAlign w:val="bottom"/>
            <w:tcBorders>
              <w:bottom w:val="single" w:sz="8" w:color="auto"/>
            </w:tcBorders>
            <w:gridSpan w:val="5"/>
            <w:shd w:val="clear" w:color="auto" w:fill="CCFFCC"/>
          </w:tcPr>
          <w:p>
            <w:pPr>
              <w:spacing w:after="0" w:line="155" w:lineRule="exact"/>
              <w:rPr>
                <w:sz w:val="20"/>
                <w:szCs w:val="20"/>
                <w:color w:val="auto"/>
              </w:rPr>
            </w:pPr>
            <w:r>
              <w:rPr>
                <w:rFonts w:ascii="Arial" w:cs="Arial" w:eastAsia="Arial" w:hAnsi="Arial"/>
                <w:sz w:val="16"/>
                <w:szCs w:val="16"/>
                <w:b w:val="1"/>
                <w:bCs w:val="1"/>
                <w:color w:val="auto"/>
                <w:w w:val="92"/>
              </w:rPr>
              <w:t>Twitter, Inc.</w:t>
            </w:r>
          </w:p>
        </w:tc>
        <w:tc>
          <w:tcPr>
            <w:tcW w:w="1100" w:type="dxa"/>
            <w:vAlign w:val="bottom"/>
            <w:tcBorders>
              <w:bottom w:val="single" w:sz="8" w:color="CCFFCC"/>
            </w:tcBorders>
            <w:gridSpan w:val="9"/>
            <w:shd w:val="clear" w:color="auto" w:fill="CCFFCC"/>
          </w:tcPr>
          <w:p>
            <w:pPr>
              <w:spacing w:after="0"/>
              <w:rPr>
                <w:sz w:val="15"/>
                <w:szCs w:val="15"/>
                <w:color w:val="auto"/>
              </w:rPr>
            </w:pPr>
          </w:p>
        </w:tc>
        <w:tc>
          <w:tcPr>
            <w:tcW w:w="80" w:type="dxa"/>
            <w:vAlign w:val="bottom"/>
            <w:tcBorders>
              <w:bottom w:val="single" w:sz="8" w:color="CCFFCC"/>
            </w:tcBorders>
            <w:shd w:val="clear" w:color="auto" w:fill="CCFFCC"/>
          </w:tcPr>
          <w:p>
            <w:pPr>
              <w:spacing w:after="0"/>
              <w:rPr>
                <w:sz w:val="15"/>
                <w:szCs w:val="15"/>
                <w:color w:val="auto"/>
              </w:rPr>
            </w:pPr>
          </w:p>
        </w:tc>
        <w:tc>
          <w:tcPr>
            <w:tcW w:w="2460" w:type="dxa"/>
            <w:vAlign w:val="bottom"/>
            <w:tcBorders>
              <w:bottom w:val="single" w:sz="8" w:color="CCFFCC"/>
            </w:tcBorders>
            <w:shd w:val="clear" w:color="auto" w:fill="CCFFCC"/>
          </w:tcPr>
          <w:p>
            <w:pPr>
              <w:jc w:val="center"/>
              <w:spacing w:after="0" w:line="155" w:lineRule="exact"/>
              <w:rPr>
                <w:sz w:val="20"/>
                <w:szCs w:val="20"/>
                <w:color w:val="auto"/>
              </w:rPr>
            </w:pPr>
            <w:r>
              <w:rPr>
                <w:rFonts w:ascii="Arial" w:cs="Arial" w:eastAsia="Arial" w:hAnsi="Arial"/>
                <w:sz w:val="16"/>
                <w:szCs w:val="16"/>
                <w:color w:val="auto"/>
                <w:w w:val="91"/>
              </w:rPr>
              <w:t>San Francisco, CA</w:t>
            </w:r>
          </w:p>
        </w:tc>
        <w:tc>
          <w:tcPr>
            <w:tcW w:w="80" w:type="dxa"/>
            <w:vAlign w:val="bottom"/>
            <w:tcBorders>
              <w:bottom w:val="single" w:sz="8" w:color="CCFFCC"/>
            </w:tcBorders>
            <w:shd w:val="clear" w:color="auto" w:fill="CCFFCC"/>
          </w:tcPr>
          <w:p>
            <w:pPr>
              <w:spacing w:after="0"/>
              <w:rPr>
                <w:sz w:val="15"/>
                <w:szCs w:val="15"/>
                <w:color w:val="auto"/>
              </w:rPr>
            </w:pPr>
          </w:p>
        </w:tc>
        <w:tc>
          <w:tcPr>
            <w:tcW w:w="920" w:type="dxa"/>
            <w:vAlign w:val="bottom"/>
            <w:tcBorders>
              <w:bottom w:val="single" w:sz="8" w:color="CCFFCC"/>
            </w:tcBorders>
            <w:shd w:val="clear" w:color="auto" w:fill="CCFFCC"/>
          </w:tcPr>
          <w:p>
            <w:pPr>
              <w:spacing w:after="0"/>
              <w:rPr>
                <w:sz w:val="15"/>
                <w:szCs w:val="15"/>
                <w:color w:val="auto"/>
              </w:rPr>
            </w:pPr>
          </w:p>
        </w:tc>
        <w:tc>
          <w:tcPr>
            <w:tcW w:w="100" w:type="dxa"/>
            <w:vAlign w:val="bottom"/>
            <w:tcBorders>
              <w:bottom w:val="single" w:sz="8" w:color="CCFFCC"/>
            </w:tcBorders>
            <w:shd w:val="clear" w:color="auto" w:fill="CCFFCC"/>
          </w:tcPr>
          <w:p>
            <w:pPr>
              <w:spacing w:after="0"/>
              <w:rPr>
                <w:sz w:val="15"/>
                <w:szCs w:val="15"/>
                <w:color w:val="auto"/>
              </w:rPr>
            </w:pPr>
          </w:p>
        </w:tc>
        <w:tc>
          <w:tcPr>
            <w:tcW w:w="820" w:type="dxa"/>
            <w:vAlign w:val="bottom"/>
            <w:tcBorders>
              <w:bottom w:val="single" w:sz="8" w:color="CCFFCC"/>
            </w:tcBorders>
            <w:shd w:val="clear" w:color="auto" w:fill="CCFFCC"/>
          </w:tcPr>
          <w:p>
            <w:pPr>
              <w:spacing w:after="0"/>
              <w:rPr>
                <w:sz w:val="15"/>
                <w:szCs w:val="15"/>
                <w:color w:val="auto"/>
              </w:rPr>
            </w:pPr>
          </w:p>
        </w:tc>
        <w:tc>
          <w:tcPr>
            <w:tcW w:w="160" w:type="dxa"/>
            <w:vAlign w:val="bottom"/>
            <w:tcBorders>
              <w:left w:val="single" w:sz="8" w:color="CCFFCC"/>
              <w:bottom w:val="single" w:sz="8" w:color="CCFFCC"/>
            </w:tcBorders>
            <w:shd w:val="clear" w:color="auto" w:fill="CCFFCC"/>
          </w:tcPr>
          <w:p>
            <w:pPr>
              <w:spacing w:after="0"/>
              <w:rPr>
                <w:sz w:val="15"/>
                <w:szCs w:val="15"/>
                <w:color w:val="auto"/>
              </w:rPr>
            </w:pPr>
          </w:p>
        </w:tc>
        <w:tc>
          <w:tcPr>
            <w:tcW w:w="820" w:type="dxa"/>
            <w:vAlign w:val="bottom"/>
            <w:tcBorders>
              <w:bottom w:val="single" w:sz="8" w:color="CCFFCC"/>
            </w:tcBorders>
            <w:shd w:val="clear" w:color="auto" w:fill="CCFFCC"/>
          </w:tcPr>
          <w:p>
            <w:pPr>
              <w:spacing w:after="0"/>
              <w:rPr>
                <w:sz w:val="15"/>
                <w:szCs w:val="15"/>
                <w:color w:val="auto"/>
              </w:rPr>
            </w:pPr>
          </w:p>
        </w:tc>
        <w:tc>
          <w:tcPr>
            <w:tcW w:w="140" w:type="dxa"/>
            <w:vAlign w:val="bottom"/>
            <w:tcBorders>
              <w:left w:val="single" w:sz="8" w:color="CCFFCC"/>
              <w:bottom w:val="single" w:sz="8" w:color="CCFFCC"/>
            </w:tcBorders>
            <w:shd w:val="clear" w:color="auto" w:fill="CCFFCC"/>
          </w:tcPr>
          <w:p>
            <w:pPr>
              <w:spacing w:after="0"/>
              <w:rPr>
                <w:sz w:val="15"/>
                <w:szCs w:val="15"/>
                <w:color w:val="auto"/>
              </w:rPr>
            </w:pPr>
          </w:p>
        </w:tc>
        <w:tc>
          <w:tcPr>
            <w:tcW w:w="480" w:type="dxa"/>
            <w:vAlign w:val="bottom"/>
            <w:tcBorders>
              <w:bottom w:val="single" w:sz="8" w:color="CCFFCC"/>
            </w:tcBorders>
            <w:shd w:val="clear" w:color="auto" w:fill="CCFFCC"/>
          </w:tcPr>
          <w:p>
            <w:pPr>
              <w:spacing w:after="0"/>
              <w:rPr>
                <w:sz w:val="15"/>
                <w:szCs w:val="15"/>
                <w:color w:val="auto"/>
              </w:rPr>
            </w:pPr>
          </w:p>
        </w:tc>
        <w:tc>
          <w:tcPr>
            <w:tcW w:w="200" w:type="dxa"/>
            <w:vAlign w:val="bottom"/>
            <w:tcBorders>
              <w:bottom w:val="single" w:sz="8" w:color="CCFFCC"/>
            </w:tcBorders>
            <w:shd w:val="clear" w:color="auto" w:fill="CCFFCC"/>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Social Communication</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1,835,600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$31,755,821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$34,876,400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13.81%</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spacing w:after="0"/>
              <w:rPr>
                <w:sz w:val="20"/>
                <w:szCs w:val="20"/>
                <w:color w:val="auto"/>
              </w:rPr>
            </w:pPr>
            <w:r>
              <w:rPr>
                <w:rFonts w:ascii="Arial" w:cs="Arial" w:eastAsia="Arial" w:hAnsi="Arial"/>
                <w:sz w:val="16"/>
                <w:szCs w:val="16"/>
                <w:color w:val="auto"/>
              </w:rPr>
              <w:t>Preferred shares, Series A</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65,000</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1,235,290</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1,235,000</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0.49%</w:t>
            </w:r>
          </w:p>
        </w:tc>
      </w:tr>
      <w:tr>
        <w:trPr>
          <w:trHeight w:val="20"/>
        </w:trPr>
        <w:tc>
          <w:tcPr>
            <w:tcW w:w="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32,991,111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36,111,400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14.30%</w:t>
            </w:r>
          </w:p>
        </w:tc>
      </w:tr>
      <w:tr>
        <w:trPr>
          <w:trHeight w:val="176"/>
        </w:trPr>
        <w:tc>
          <w:tcPr>
            <w:tcW w:w="20" w:type="dxa"/>
            <w:vAlign w:val="bottom"/>
            <w:tcBorders>
              <w:bottom w:val="single" w:sz="8" w:color="CCFFCC"/>
            </w:tcBorders>
            <w:shd w:val="clear" w:color="auto" w:fill="CCFFCC"/>
          </w:tcPr>
          <w:p>
            <w:pPr>
              <w:spacing w:after="0"/>
              <w:rPr>
                <w:sz w:val="15"/>
                <w:szCs w:val="15"/>
                <w:color w:val="auto"/>
              </w:rPr>
            </w:pPr>
          </w:p>
        </w:tc>
        <w:tc>
          <w:tcPr>
            <w:tcW w:w="1840" w:type="dxa"/>
            <w:vAlign w:val="bottom"/>
            <w:tcBorders>
              <w:bottom w:val="single" w:sz="8" w:color="auto"/>
            </w:tcBorders>
            <w:gridSpan w:val="13"/>
            <w:shd w:val="clear" w:color="auto" w:fill="CCFFCC"/>
          </w:tcPr>
          <w:p>
            <w:pPr>
              <w:spacing w:after="0" w:line="155" w:lineRule="exact"/>
              <w:rPr>
                <w:sz w:val="20"/>
                <w:szCs w:val="20"/>
                <w:color w:val="auto"/>
              </w:rPr>
            </w:pPr>
            <w:r>
              <w:rPr>
                <w:rFonts w:ascii="Arial" w:cs="Arial" w:eastAsia="Arial" w:hAnsi="Arial"/>
                <w:sz w:val="16"/>
                <w:szCs w:val="16"/>
                <w:b w:val="1"/>
                <w:bCs w:val="1"/>
                <w:color w:val="auto"/>
                <w:w w:val="89"/>
              </w:rPr>
              <w:t>Palantir Technologies, Inc.</w:t>
            </w:r>
          </w:p>
        </w:tc>
        <w:tc>
          <w:tcPr>
            <w:tcW w:w="100" w:type="dxa"/>
            <w:vAlign w:val="bottom"/>
            <w:tcBorders>
              <w:bottom w:val="single" w:sz="8" w:color="CCFFCC"/>
            </w:tcBorders>
            <w:shd w:val="clear" w:color="auto" w:fill="CCFFCC"/>
          </w:tcPr>
          <w:p>
            <w:pPr>
              <w:spacing w:after="0"/>
              <w:rPr>
                <w:sz w:val="15"/>
                <w:szCs w:val="15"/>
                <w:color w:val="auto"/>
              </w:rPr>
            </w:pPr>
          </w:p>
        </w:tc>
        <w:tc>
          <w:tcPr>
            <w:tcW w:w="80" w:type="dxa"/>
            <w:vAlign w:val="bottom"/>
            <w:tcBorders>
              <w:bottom w:val="single" w:sz="8" w:color="CCFFCC"/>
            </w:tcBorders>
            <w:shd w:val="clear" w:color="auto" w:fill="CCFFCC"/>
          </w:tcPr>
          <w:p>
            <w:pPr>
              <w:spacing w:after="0"/>
              <w:rPr>
                <w:sz w:val="15"/>
                <w:szCs w:val="15"/>
                <w:color w:val="auto"/>
              </w:rPr>
            </w:pPr>
          </w:p>
        </w:tc>
        <w:tc>
          <w:tcPr>
            <w:tcW w:w="2460" w:type="dxa"/>
            <w:vAlign w:val="bottom"/>
            <w:tcBorders>
              <w:bottom w:val="single" w:sz="8" w:color="CCFFCC"/>
            </w:tcBorders>
            <w:shd w:val="clear" w:color="auto" w:fill="CCFFCC"/>
          </w:tcPr>
          <w:p>
            <w:pPr>
              <w:jc w:val="center"/>
              <w:spacing w:after="0" w:line="155" w:lineRule="exact"/>
              <w:rPr>
                <w:sz w:val="20"/>
                <w:szCs w:val="20"/>
                <w:color w:val="auto"/>
              </w:rPr>
            </w:pPr>
            <w:r>
              <w:rPr>
                <w:rFonts w:ascii="Arial" w:cs="Arial" w:eastAsia="Arial" w:hAnsi="Arial"/>
                <w:sz w:val="16"/>
                <w:szCs w:val="16"/>
                <w:color w:val="auto"/>
                <w:w w:val="96"/>
              </w:rPr>
              <w:t>Palo Alto, CA</w:t>
            </w:r>
          </w:p>
        </w:tc>
        <w:tc>
          <w:tcPr>
            <w:tcW w:w="80" w:type="dxa"/>
            <w:vAlign w:val="bottom"/>
            <w:tcBorders>
              <w:bottom w:val="single" w:sz="8" w:color="CCFFCC"/>
            </w:tcBorders>
            <w:shd w:val="clear" w:color="auto" w:fill="CCFFCC"/>
          </w:tcPr>
          <w:p>
            <w:pPr>
              <w:spacing w:after="0"/>
              <w:rPr>
                <w:sz w:val="15"/>
                <w:szCs w:val="15"/>
                <w:color w:val="auto"/>
              </w:rPr>
            </w:pPr>
          </w:p>
        </w:tc>
        <w:tc>
          <w:tcPr>
            <w:tcW w:w="920" w:type="dxa"/>
            <w:vAlign w:val="bottom"/>
            <w:tcBorders>
              <w:bottom w:val="single" w:sz="8" w:color="CCFFCC"/>
            </w:tcBorders>
            <w:shd w:val="clear" w:color="auto" w:fill="CCFFCC"/>
          </w:tcPr>
          <w:p>
            <w:pPr>
              <w:spacing w:after="0"/>
              <w:rPr>
                <w:sz w:val="15"/>
                <w:szCs w:val="15"/>
                <w:color w:val="auto"/>
              </w:rPr>
            </w:pPr>
          </w:p>
        </w:tc>
        <w:tc>
          <w:tcPr>
            <w:tcW w:w="100" w:type="dxa"/>
            <w:vAlign w:val="bottom"/>
            <w:tcBorders>
              <w:bottom w:val="single" w:sz="8" w:color="CCFFCC"/>
            </w:tcBorders>
            <w:shd w:val="clear" w:color="auto" w:fill="CCFFCC"/>
          </w:tcPr>
          <w:p>
            <w:pPr>
              <w:spacing w:after="0"/>
              <w:rPr>
                <w:sz w:val="15"/>
                <w:szCs w:val="15"/>
                <w:color w:val="auto"/>
              </w:rPr>
            </w:pPr>
          </w:p>
        </w:tc>
        <w:tc>
          <w:tcPr>
            <w:tcW w:w="820" w:type="dxa"/>
            <w:vAlign w:val="bottom"/>
            <w:tcBorders>
              <w:top w:val="single" w:sz="8" w:color="auto"/>
              <w:bottom w:val="single" w:sz="8" w:color="CCFFCC"/>
            </w:tcBorders>
            <w:shd w:val="clear" w:color="auto" w:fill="CCFFCC"/>
          </w:tcPr>
          <w:p>
            <w:pPr>
              <w:spacing w:after="0"/>
              <w:rPr>
                <w:sz w:val="15"/>
                <w:szCs w:val="15"/>
                <w:color w:val="auto"/>
              </w:rPr>
            </w:pPr>
          </w:p>
        </w:tc>
        <w:tc>
          <w:tcPr>
            <w:tcW w:w="160" w:type="dxa"/>
            <w:vAlign w:val="bottom"/>
            <w:tcBorders>
              <w:left w:val="single" w:sz="8" w:color="CCFFCC"/>
              <w:bottom w:val="single" w:sz="8" w:color="CCFFCC"/>
            </w:tcBorders>
            <w:shd w:val="clear" w:color="auto" w:fill="CCFFCC"/>
          </w:tcPr>
          <w:p>
            <w:pPr>
              <w:spacing w:after="0"/>
              <w:rPr>
                <w:sz w:val="15"/>
                <w:szCs w:val="15"/>
                <w:color w:val="auto"/>
              </w:rPr>
            </w:pPr>
          </w:p>
        </w:tc>
        <w:tc>
          <w:tcPr>
            <w:tcW w:w="820" w:type="dxa"/>
            <w:vAlign w:val="bottom"/>
            <w:tcBorders>
              <w:top w:val="single" w:sz="8" w:color="auto"/>
              <w:bottom w:val="single" w:sz="8" w:color="CCFFCC"/>
            </w:tcBorders>
            <w:shd w:val="clear" w:color="auto" w:fill="CCFFCC"/>
          </w:tcPr>
          <w:p>
            <w:pPr>
              <w:spacing w:after="0"/>
              <w:rPr>
                <w:sz w:val="15"/>
                <w:szCs w:val="15"/>
                <w:color w:val="auto"/>
              </w:rPr>
            </w:pPr>
          </w:p>
        </w:tc>
        <w:tc>
          <w:tcPr>
            <w:tcW w:w="140" w:type="dxa"/>
            <w:vAlign w:val="bottom"/>
            <w:tcBorders>
              <w:left w:val="single" w:sz="8" w:color="CCFFCC"/>
              <w:bottom w:val="single" w:sz="8" w:color="CCFFCC"/>
            </w:tcBorders>
            <w:shd w:val="clear" w:color="auto" w:fill="CCFFCC"/>
          </w:tcPr>
          <w:p>
            <w:pPr>
              <w:spacing w:after="0"/>
              <w:rPr>
                <w:sz w:val="15"/>
                <w:szCs w:val="15"/>
                <w:color w:val="auto"/>
              </w:rPr>
            </w:pPr>
          </w:p>
        </w:tc>
        <w:tc>
          <w:tcPr>
            <w:tcW w:w="480" w:type="dxa"/>
            <w:vAlign w:val="bottom"/>
            <w:tcBorders>
              <w:top w:val="single" w:sz="8" w:color="auto"/>
              <w:bottom w:val="single" w:sz="8" w:color="CCFFCC"/>
            </w:tcBorders>
            <w:shd w:val="clear" w:color="auto" w:fill="CCFFCC"/>
          </w:tcPr>
          <w:p>
            <w:pPr>
              <w:spacing w:after="0"/>
              <w:rPr>
                <w:sz w:val="15"/>
                <w:szCs w:val="15"/>
                <w:color w:val="auto"/>
              </w:rPr>
            </w:pPr>
          </w:p>
        </w:tc>
        <w:tc>
          <w:tcPr>
            <w:tcW w:w="200" w:type="dxa"/>
            <w:vAlign w:val="bottom"/>
            <w:tcBorders>
              <w:bottom w:val="single" w:sz="8" w:color="CCFFCC"/>
            </w:tcBorders>
            <w:shd w:val="clear" w:color="auto" w:fill="CCFFCC"/>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rPr>
              <w:t>Common shares, Class A</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Cyber Security</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7,145,690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20,051,479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20,150,846</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7.98%</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spacing w:after="0"/>
              <w:rPr>
                <w:sz w:val="20"/>
                <w:szCs w:val="20"/>
                <w:color w:val="auto"/>
              </w:rPr>
            </w:pPr>
            <w:r>
              <w:rPr>
                <w:rFonts w:ascii="Arial" w:cs="Arial" w:eastAsia="Arial" w:hAnsi="Arial"/>
                <w:sz w:val="16"/>
                <w:szCs w:val="16"/>
                <w:color w:val="auto"/>
              </w:rPr>
              <w:t>Preferred shares, Series G</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326,797</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1,008,968</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921,568</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0.36%</w:t>
            </w:r>
          </w:p>
        </w:tc>
      </w:tr>
      <w:tr>
        <w:trPr>
          <w:trHeight w:val="20"/>
        </w:trPr>
        <w:tc>
          <w:tcPr>
            <w:tcW w:w="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21,060,447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21,072,414</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8.34%</w:t>
            </w:r>
          </w:p>
        </w:tc>
      </w:tr>
      <w:tr>
        <w:trPr>
          <w:trHeight w:val="156"/>
        </w:trPr>
        <w:tc>
          <w:tcPr>
            <w:tcW w:w="20" w:type="dxa"/>
            <w:vAlign w:val="bottom"/>
            <w:shd w:val="clear" w:color="auto" w:fill="CCFFCC"/>
          </w:tcPr>
          <w:p>
            <w:pPr>
              <w:spacing w:after="0"/>
              <w:rPr>
                <w:sz w:val="13"/>
                <w:szCs w:val="13"/>
                <w:color w:val="auto"/>
              </w:rPr>
            </w:pPr>
          </w:p>
        </w:tc>
        <w:tc>
          <w:tcPr>
            <w:tcW w:w="1940" w:type="dxa"/>
            <w:vAlign w:val="bottom"/>
            <w:gridSpan w:val="14"/>
            <w:shd w:val="clear" w:color="auto" w:fill="CCFFCC"/>
          </w:tcPr>
          <w:p>
            <w:pPr>
              <w:spacing w:after="0" w:line="155" w:lineRule="exact"/>
              <w:rPr>
                <w:sz w:val="20"/>
                <w:szCs w:val="20"/>
                <w:color w:val="auto"/>
              </w:rPr>
            </w:pPr>
            <w:r>
              <w:rPr>
                <w:rFonts w:ascii="Arial" w:cs="Arial" w:eastAsia="Arial" w:hAnsi="Arial"/>
                <w:sz w:val="16"/>
                <w:szCs w:val="16"/>
                <w:b w:val="1"/>
                <w:bCs w:val="1"/>
                <w:color w:val="auto"/>
              </w:rPr>
              <w:t>Violin Memory,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6"/>
              </w:rPr>
              <w:t>Mountain View,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38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Flash Memory</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800,000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4,800,798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4,800,000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1.90%</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spacing w:after="0"/>
              <w:rPr>
                <w:sz w:val="20"/>
                <w:szCs w:val="20"/>
                <w:color w:val="auto"/>
              </w:rPr>
            </w:pPr>
            <w:r>
              <w:rPr>
                <w:rFonts w:ascii="Arial" w:cs="Arial" w:eastAsia="Arial" w:hAnsi="Arial"/>
                <w:sz w:val="16"/>
                <w:szCs w:val="16"/>
                <w:color w:val="auto"/>
              </w:rPr>
              <w:t>Preferred shares, Series D</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1,666,666</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9"/>
              </w:rPr>
              <w:t>10,018,045</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9,999,996</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3.96%</w:t>
            </w:r>
          </w:p>
        </w:tc>
      </w:tr>
      <w:tr>
        <w:trPr>
          <w:trHeight w:val="20"/>
        </w:trPr>
        <w:tc>
          <w:tcPr>
            <w:tcW w:w="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14,818,843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14,799,996</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5.86%</w:t>
            </w:r>
          </w:p>
        </w:tc>
      </w:tr>
      <w:tr>
        <w:trPr>
          <w:trHeight w:val="156"/>
        </w:trPr>
        <w:tc>
          <w:tcPr>
            <w:tcW w:w="20" w:type="dxa"/>
            <w:vAlign w:val="bottom"/>
            <w:shd w:val="clear" w:color="auto" w:fill="CCFFCC"/>
          </w:tcPr>
          <w:p>
            <w:pPr>
              <w:spacing w:after="0"/>
              <w:rPr>
                <w:sz w:val="13"/>
                <w:szCs w:val="13"/>
                <w:color w:val="auto"/>
              </w:rPr>
            </w:pPr>
          </w:p>
        </w:tc>
        <w:tc>
          <w:tcPr>
            <w:tcW w:w="1940" w:type="dxa"/>
            <w:vAlign w:val="bottom"/>
            <w:gridSpan w:val="14"/>
            <w:shd w:val="clear" w:color="auto" w:fill="CCFFCC"/>
          </w:tcPr>
          <w:p>
            <w:pPr>
              <w:spacing w:after="0" w:line="155" w:lineRule="exact"/>
              <w:rPr>
                <w:sz w:val="20"/>
                <w:szCs w:val="20"/>
                <w:color w:val="auto"/>
              </w:rPr>
            </w:pPr>
            <w:r>
              <w:rPr>
                <w:rFonts w:ascii="Arial" w:cs="Arial" w:eastAsia="Arial" w:hAnsi="Arial"/>
                <w:sz w:val="16"/>
                <w:szCs w:val="16"/>
                <w:b w:val="1"/>
                <w:bCs w:val="1"/>
                <w:color w:val="auto"/>
              </w:rPr>
              <w:t>Dropbox,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rPr>
              <w:t>Common share</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1"/>
              </w:rPr>
              <w:t>Online Storage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760,000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8,641,153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8,360,000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3.31%</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spacing w:after="0"/>
              <w:rPr>
                <w:sz w:val="20"/>
                <w:szCs w:val="20"/>
                <w:color w:val="auto"/>
              </w:rPr>
            </w:pPr>
            <w:r>
              <w:rPr>
                <w:rFonts w:ascii="Arial" w:cs="Arial" w:eastAsia="Arial" w:hAnsi="Arial"/>
                <w:sz w:val="16"/>
                <w:szCs w:val="16"/>
                <w:color w:val="auto"/>
                <w:w w:val="94"/>
              </w:rPr>
              <w:t>Preferred shares, Series A-1</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552,486</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5,015,333</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6,077,346</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2.41%</w:t>
            </w:r>
          </w:p>
        </w:tc>
      </w:tr>
      <w:tr>
        <w:trPr>
          <w:trHeight w:val="20"/>
        </w:trPr>
        <w:tc>
          <w:tcPr>
            <w:tcW w:w="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13,656,486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14,437,346</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5.72%</w:t>
            </w:r>
          </w:p>
        </w:tc>
      </w:tr>
      <w:tr>
        <w:trPr>
          <w:trHeight w:val="156"/>
        </w:trPr>
        <w:tc>
          <w:tcPr>
            <w:tcW w:w="20" w:type="dxa"/>
            <w:vAlign w:val="bottom"/>
            <w:shd w:val="clear" w:color="auto" w:fill="CCFFCC"/>
          </w:tcPr>
          <w:p>
            <w:pPr>
              <w:spacing w:after="0"/>
              <w:rPr>
                <w:sz w:val="13"/>
                <w:szCs w:val="13"/>
                <w:color w:val="auto"/>
              </w:rPr>
            </w:pPr>
          </w:p>
        </w:tc>
        <w:tc>
          <w:tcPr>
            <w:tcW w:w="1940" w:type="dxa"/>
            <w:vAlign w:val="bottom"/>
            <w:gridSpan w:val="14"/>
            <w:shd w:val="clear" w:color="auto" w:fill="CCFFCC"/>
          </w:tcPr>
          <w:p>
            <w:pPr>
              <w:spacing w:after="0" w:line="155" w:lineRule="exact"/>
              <w:rPr>
                <w:sz w:val="20"/>
                <w:szCs w:val="20"/>
                <w:color w:val="auto"/>
              </w:rPr>
            </w:pPr>
            <w:r>
              <w:rPr>
                <w:rFonts w:ascii="Arial" w:cs="Arial" w:eastAsia="Arial" w:hAnsi="Arial"/>
                <w:sz w:val="16"/>
                <w:szCs w:val="16"/>
                <w:b w:val="1"/>
                <w:bCs w:val="1"/>
                <w:color w:val="auto"/>
              </w:rPr>
              <w:t>Chegg, Inc.</w:t>
            </w:r>
          </w:p>
        </w:tc>
        <w:tc>
          <w:tcPr>
            <w:tcW w:w="80" w:type="dxa"/>
            <w:vAlign w:val="bottom"/>
            <w:shd w:val="clear" w:color="auto" w:fill="CCFFCC"/>
          </w:tcPr>
          <w:p>
            <w:pPr>
              <w:spacing w:after="0"/>
              <w:rPr>
                <w:sz w:val="13"/>
                <w:szCs w:val="13"/>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1"/>
              </w:rPr>
              <w:t>Santa Clara,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60" w:type="dxa"/>
            <w:vAlign w:val="bottom"/>
            <w:tcBorders>
              <w:left w:val="single" w:sz="8" w:color="CCFFCC"/>
            </w:tcBorders>
            <w:shd w:val="clear" w:color="auto" w:fill="CCFFCC"/>
          </w:tcPr>
          <w:p>
            <w:pPr>
              <w:spacing w:after="0"/>
              <w:rPr>
                <w:sz w:val="13"/>
                <w:szCs w:val="13"/>
                <w:color w:val="auto"/>
              </w:rPr>
            </w:pPr>
          </w:p>
        </w:tc>
        <w:tc>
          <w:tcPr>
            <w:tcW w:w="820" w:type="dxa"/>
            <w:vAlign w:val="bottom"/>
            <w:tcBorders>
              <w:top w:val="single" w:sz="8" w:color="auto"/>
            </w:tcBorders>
            <w:shd w:val="clear" w:color="auto" w:fill="CCFFCC"/>
          </w:tcPr>
          <w:p>
            <w:pPr>
              <w:spacing w:after="0"/>
              <w:rPr>
                <w:sz w:val="13"/>
                <w:szCs w:val="13"/>
                <w:color w:val="auto"/>
              </w:rPr>
            </w:pPr>
          </w:p>
        </w:tc>
        <w:tc>
          <w:tcPr>
            <w:tcW w:w="140" w:type="dxa"/>
            <w:vAlign w:val="bottom"/>
            <w:tcBorders>
              <w:left w:val="single" w:sz="8" w:color="CCFFCC"/>
            </w:tcBorders>
            <w:shd w:val="clear" w:color="auto" w:fill="CCFFCC"/>
          </w:tcPr>
          <w:p>
            <w:pPr>
              <w:spacing w:after="0"/>
              <w:rPr>
                <w:sz w:val="13"/>
                <w:szCs w:val="13"/>
                <w:color w:val="auto"/>
              </w:rPr>
            </w:pPr>
          </w:p>
        </w:tc>
        <w:tc>
          <w:tcPr>
            <w:tcW w:w="480" w:type="dxa"/>
            <w:vAlign w:val="bottom"/>
            <w:tcBorders>
              <w:top w:val="single" w:sz="8" w:color="auto"/>
            </w:tcBorders>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Textbook Rental</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1,274,193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10,012,543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10,193,544</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4.03%</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spacing w:after="0"/>
              <w:rPr>
                <w:sz w:val="20"/>
                <w:szCs w:val="20"/>
                <w:color w:val="auto"/>
              </w:rPr>
            </w:pPr>
            <w:r>
              <w:rPr>
                <w:rFonts w:ascii="Arial" w:cs="Arial" w:eastAsia="Arial" w:hAnsi="Arial"/>
                <w:sz w:val="16"/>
                <w:szCs w:val="16"/>
                <w:color w:val="auto"/>
              </w:rPr>
              <w:t>Preferred shares, Series F</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4,008,654</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4,000,000</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1.58%</w:t>
            </w:r>
          </w:p>
        </w:tc>
      </w:tr>
      <w:tr>
        <w:trPr>
          <w:trHeight w:val="20"/>
        </w:trPr>
        <w:tc>
          <w:tcPr>
            <w:tcW w:w="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14,021,197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14,193,544</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5.61%</w:t>
            </w:r>
          </w:p>
        </w:tc>
      </w:tr>
      <w:tr>
        <w:trPr>
          <w:trHeight w:val="156"/>
        </w:trPr>
        <w:tc>
          <w:tcPr>
            <w:tcW w:w="20" w:type="dxa"/>
            <w:vAlign w:val="bottom"/>
            <w:tcBorders>
              <w:bottom w:val="single" w:sz="8" w:color="CCFFCC"/>
            </w:tcBorders>
            <w:shd w:val="clear" w:color="auto" w:fill="CCFFCC"/>
          </w:tcPr>
          <w:p>
            <w:pPr>
              <w:spacing w:after="0"/>
              <w:rPr>
                <w:sz w:val="13"/>
                <w:szCs w:val="13"/>
                <w:color w:val="auto"/>
              </w:rPr>
            </w:pPr>
          </w:p>
        </w:tc>
        <w:tc>
          <w:tcPr>
            <w:tcW w:w="1720" w:type="dxa"/>
            <w:vAlign w:val="bottom"/>
            <w:tcBorders>
              <w:bottom w:val="single" w:sz="8" w:color="auto"/>
            </w:tcBorders>
            <w:gridSpan w:val="12"/>
            <w:shd w:val="clear" w:color="auto" w:fill="CCFFCC"/>
          </w:tcPr>
          <w:p>
            <w:pPr>
              <w:spacing w:after="0" w:line="155" w:lineRule="exact"/>
              <w:rPr>
                <w:sz w:val="20"/>
                <w:szCs w:val="20"/>
                <w:color w:val="auto"/>
              </w:rPr>
            </w:pPr>
            <w:r>
              <w:rPr>
                <w:rFonts w:ascii="Arial" w:cs="Arial" w:eastAsia="Arial" w:hAnsi="Arial"/>
                <w:sz w:val="16"/>
                <w:szCs w:val="16"/>
                <w:b w:val="1"/>
                <w:bCs w:val="1"/>
                <w:color w:val="auto"/>
                <w:w w:val="89"/>
              </w:rPr>
              <w:t>Avenues World Holdings</w:t>
            </w:r>
          </w:p>
        </w:tc>
        <w:tc>
          <w:tcPr>
            <w:tcW w:w="220" w:type="dxa"/>
            <w:vAlign w:val="bottom"/>
            <w:tcBorders>
              <w:bottom w:val="single" w:sz="8" w:color="CCFFCC"/>
            </w:tcBorders>
            <w:gridSpan w:val="2"/>
            <w:shd w:val="clear" w:color="auto" w:fill="CCFFCC"/>
          </w:tcPr>
          <w:p>
            <w:pPr>
              <w:spacing w:after="0"/>
              <w:rPr>
                <w:sz w:val="13"/>
                <w:szCs w:val="13"/>
                <w:color w:val="auto"/>
              </w:rPr>
            </w:pPr>
          </w:p>
        </w:tc>
        <w:tc>
          <w:tcPr>
            <w:tcW w:w="80" w:type="dxa"/>
            <w:vAlign w:val="bottom"/>
            <w:tcBorders>
              <w:bottom w:val="single" w:sz="8" w:color="CCFFCC"/>
            </w:tcBorders>
            <w:shd w:val="clear" w:color="auto" w:fill="CCFFCC"/>
          </w:tcPr>
          <w:p>
            <w:pPr>
              <w:spacing w:after="0"/>
              <w:rPr>
                <w:sz w:val="13"/>
                <w:szCs w:val="13"/>
                <w:color w:val="auto"/>
              </w:rPr>
            </w:pPr>
          </w:p>
        </w:tc>
        <w:tc>
          <w:tcPr>
            <w:tcW w:w="2460" w:type="dxa"/>
            <w:vAlign w:val="bottom"/>
            <w:tcBorders>
              <w:bottom w:val="single" w:sz="8" w:color="CCFFCC"/>
            </w:tcBorders>
            <w:shd w:val="clear" w:color="auto" w:fill="CCFFCC"/>
          </w:tcPr>
          <w:p>
            <w:pPr>
              <w:jc w:val="center"/>
              <w:spacing w:after="0" w:line="155" w:lineRule="exact"/>
              <w:rPr>
                <w:sz w:val="20"/>
                <w:szCs w:val="20"/>
                <w:color w:val="auto"/>
              </w:rPr>
            </w:pPr>
            <w:r>
              <w:rPr>
                <w:rFonts w:ascii="Arial" w:cs="Arial" w:eastAsia="Arial" w:hAnsi="Arial"/>
                <w:sz w:val="16"/>
                <w:szCs w:val="16"/>
                <w:color w:val="auto"/>
                <w:w w:val="97"/>
              </w:rPr>
              <w:t>New York, NY</w:t>
            </w:r>
          </w:p>
        </w:tc>
        <w:tc>
          <w:tcPr>
            <w:tcW w:w="80" w:type="dxa"/>
            <w:vAlign w:val="bottom"/>
            <w:tcBorders>
              <w:bottom w:val="single" w:sz="8" w:color="CCFFCC"/>
            </w:tcBorders>
            <w:shd w:val="clear" w:color="auto" w:fill="CCFFCC"/>
          </w:tcPr>
          <w:p>
            <w:pPr>
              <w:spacing w:after="0"/>
              <w:rPr>
                <w:sz w:val="13"/>
                <w:szCs w:val="13"/>
                <w:color w:val="auto"/>
              </w:rPr>
            </w:pPr>
          </w:p>
        </w:tc>
        <w:tc>
          <w:tcPr>
            <w:tcW w:w="920" w:type="dxa"/>
            <w:vAlign w:val="bottom"/>
            <w:tcBorders>
              <w:bottom w:val="single" w:sz="8" w:color="CCFFCC"/>
            </w:tcBorders>
            <w:shd w:val="clear" w:color="auto" w:fill="CCFFCC"/>
          </w:tcPr>
          <w:p>
            <w:pPr>
              <w:spacing w:after="0"/>
              <w:rPr>
                <w:sz w:val="13"/>
                <w:szCs w:val="13"/>
                <w:color w:val="auto"/>
              </w:rPr>
            </w:pPr>
          </w:p>
        </w:tc>
        <w:tc>
          <w:tcPr>
            <w:tcW w:w="100" w:type="dxa"/>
            <w:vAlign w:val="bottom"/>
            <w:tcBorders>
              <w:bottom w:val="single" w:sz="8" w:color="CCFFCC"/>
            </w:tcBorders>
            <w:shd w:val="clear" w:color="auto" w:fill="CCFFCC"/>
          </w:tcPr>
          <w:p>
            <w:pPr>
              <w:spacing w:after="0"/>
              <w:rPr>
                <w:sz w:val="13"/>
                <w:szCs w:val="13"/>
                <w:color w:val="auto"/>
              </w:rPr>
            </w:pPr>
          </w:p>
        </w:tc>
        <w:tc>
          <w:tcPr>
            <w:tcW w:w="820" w:type="dxa"/>
            <w:vAlign w:val="bottom"/>
            <w:tcBorders>
              <w:top w:val="single" w:sz="8" w:color="auto"/>
              <w:bottom w:val="single" w:sz="8" w:color="CCFFCC"/>
            </w:tcBorders>
            <w:shd w:val="clear" w:color="auto" w:fill="CCFFCC"/>
          </w:tcPr>
          <w:p>
            <w:pPr>
              <w:spacing w:after="0"/>
              <w:rPr>
                <w:sz w:val="13"/>
                <w:szCs w:val="13"/>
                <w:color w:val="auto"/>
              </w:rPr>
            </w:pPr>
          </w:p>
        </w:tc>
        <w:tc>
          <w:tcPr>
            <w:tcW w:w="160" w:type="dxa"/>
            <w:vAlign w:val="bottom"/>
            <w:tcBorders>
              <w:left w:val="single" w:sz="8" w:color="CCFFCC"/>
              <w:bottom w:val="single" w:sz="8" w:color="CCFFCC"/>
            </w:tcBorders>
            <w:shd w:val="clear" w:color="auto" w:fill="CCFFCC"/>
          </w:tcPr>
          <w:p>
            <w:pPr>
              <w:spacing w:after="0"/>
              <w:rPr>
                <w:sz w:val="13"/>
                <w:szCs w:val="13"/>
                <w:color w:val="auto"/>
              </w:rPr>
            </w:pPr>
          </w:p>
        </w:tc>
        <w:tc>
          <w:tcPr>
            <w:tcW w:w="820" w:type="dxa"/>
            <w:vAlign w:val="bottom"/>
            <w:tcBorders>
              <w:top w:val="single" w:sz="8" w:color="auto"/>
              <w:bottom w:val="single" w:sz="8" w:color="CCFFCC"/>
            </w:tcBorders>
            <w:shd w:val="clear" w:color="auto" w:fill="CCFFCC"/>
          </w:tcPr>
          <w:p>
            <w:pPr>
              <w:spacing w:after="0"/>
              <w:rPr>
                <w:sz w:val="13"/>
                <w:szCs w:val="13"/>
                <w:color w:val="auto"/>
              </w:rPr>
            </w:pPr>
          </w:p>
        </w:tc>
        <w:tc>
          <w:tcPr>
            <w:tcW w:w="140" w:type="dxa"/>
            <w:vAlign w:val="bottom"/>
            <w:tcBorders>
              <w:left w:val="single" w:sz="8" w:color="CCFFCC"/>
              <w:bottom w:val="single" w:sz="8" w:color="CCFFCC"/>
            </w:tcBorders>
            <w:shd w:val="clear" w:color="auto" w:fill="CCFFCC"/>
          </w:tcPr>
          <w:p>
            <w:pPr>
              <w:spacing w:after="0"/>
              <w:rPr>
                <w:sz w:val="13"/>
                <w:szCs w:val="13"/>
                <w:color w:val="auto"/>
              </w:rPr>
            </w:pPr>
          </w:p>
        </w:tc>
        <w:tc>
          <w:tcPr>
            <w:tcW w:w="480" w:type="dxa"/>
            <w:vAlign w:val="bottom"/>
            <w:tcBorders>
              <w:top w:val="single" w:sz="8" w:color="auto"/>
              <w:bottom w:val="single" w:sz="8" w:color="CCFFCC"/>
            </w:tcBorders>
            <w:shd w:val="clear" w:color="auto" w:fill="CCFFCC"/>
          </w:tcPr>
          <w:p>
            <w:pPr>
              <w:spacing w:after="0"/>
              <w:rPr>
                <w:sz w:val="13"/>
                <w:szCs w:val="13"/>
                <w:color w:val="auto"/>
              </w:rPr>
            </w:pPr>
          </w:p>
        </w:tc>
        <w:tc>
          <w:tcPr>
            <w:tcW w:w="200" w:type="dxa"/>
            <w:vAlign w:val="bottom"/>
            <w:tcBorders>
              <w:bottom w:val="single" w:sz="8" w:color="CCFFCC"/>
            </w:tcBorders>
            <w:shd w:val="clear" w:color="auto" w:fill="CCFFCC"/>
          </w:tcPr>
          <w:p>
            <w:pPr>
              <w:spacing w:after="0"/>
              <w:rPr>
                <w:sz w:val="13"/>
                <w:szCs w:val="13"/>
                <w:color w:val="auto"/>
              </w:rPr>
            </w:pPr>
          </w:p>
        </w:tc>
      </w:tr>
      <w:tr>
        <w:trPr>
          <w:trHeight w:val="223"/>
        </w:trPr>
        <w:tc>
          <w:tcPr>
            <w:tcW w:w="20" w:type="dxa"/>
            <w:vAlign w:val="bottom"/>
            <w:shd w:val="clear" w:color="auto" w:fill="CCFFCC"/>
          </w:tcPr>
          <w:p>
            <w:pPr>
              <w:spacing w:after="0"/>
              <w:rPr>
                <w:sz w:val="19"/>
                <w:szCs w:val="19"/>
                <w:color w:val="auto"/>
              </w:rPr>
            </w:pPr>
          </w:p>
        </w:tc>
        <w:tc>
          <w:tcPr>
            <w:tcW w:w="1940" w:type="dxa"/>
            <w:vAlign w:val="bottom"/>
            <w:gridSpan w:val="14"/>
            <w:shd w:val="clear" w:color="auto" w:fill="CCFFCC"/>
          </w:tcPr>
          <w:p>
            <w:pPr>
              <w:spacing w:after="0" w:line="223" w:lineRule="exact"/>
              <w:rPr>
                <w:sz w:val="20"/>
                <w:szCs w:val="20"/>
                <w:color w:val="auto"/>
              </w:rPr>
            </w:pPr>
            <w:r>
              <w:rPr>
                <w:rFonts w:ascii="Arial" w:cs="Arial" w:eastAsia="Arial" w:hAnsi="Arial"/>
                <w:sz w:val="15"/>
                <w:szCs w:val="15"/>
                <w:b w:val="1"/>
                <w:bCs w:val="1"/>
                <w:color w:val="auto"/>
              </w:rPr>
              <w:t>LLC</w:t>
            </w:r>
            <w:r>
              <w:rPr>
                <w:rFonts w:ascii="Arial" w:cs="Arial" w:eastAsia="Arial" w:hAnsi="Arial"/>
                <w:sz w:val="25"/>
                <w:szCs w:val="25"/>
                <w:b w:val="1"/>
                <w:bCs w:val="1"/>
                <w:color w:val="auto"/>
                <w:vertAlign w:val="superscript"/>
              </w:rPr>
              <w:t>(5)</w:t>
            </w:r>
          </w:p>
        </w:tc>
        <w:tc>
          <w:tcPr>
            <w:tcW w:w="80" w:type="dxa"/>
            <w:vAlign w:val="bottom"/>
            <w:shd w:val="clear" w:color="auto" w:fill="CCFFCC"/>
          </w:tcPr>
          <w:p>
            <w:pPr>
              <w:spacing w:after="0"/>
              <w:rPr>
                <w:sz w:val="19"/>
                <w:szCs w:val="19"/>
                <w:color w:val="auto"/>
              </w:rPr>
            </w:pPr>
          </w:p>
        </w:tc>
        <w:tc>
          <w:tcPr>
            <w:tcW w:w="24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9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160" w:type="dxa"/>
            <w:vAlign w:val="bottom"/>
            <w:tcBorders>
              <w:left w:val="single" w:sz="8" w:color="CCFFCC"/>
            </w:tcBorders>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140" w:type="dxa"/>
            <w:vAlign w:val="bottom"/>
            <w:tcBorders>
              <w:left w:val="single" w:sz="8" w:color="CCFFCC"/>
            </w:tcBorders>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w w:val="97"/>
              </w:rPr>
              <w:t>Preferred shares, Class A-1</w:t>
            </w:r>
          </w:p>
        </w:tc>
        <w:tc>
          <w:tcPr>
            <w:tcW w:w="8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Globally-focused</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5,000,000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10,025,123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10,000,000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3.96%</w:t>
            </w: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Private School</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65"/>
        </w:trPr>
        <w:tc>
          <w:tcPr>
            <w:tcW w:w="20" w:type="dxa"/>
            <w:vAlign w:val="bottom"/>
            <w:shd w:val="clear" w:color="auto" w:fill="CCFFCC"/>
          </w:tcPr>
          <w:p>
            <w:pPr>
              <w:spacing w:after="0"/>
              <w:rPr>
                <w:sz w:val="14"/>
                <w:szCs w:val="14"/>
                <w:color w:val="auto"/>
              </w:rPr>
            </w:pPr>
          </w:p>
        </w:tc>
        <w:tc>
          <w:tcPr>
            <w:tcW w:w="1940" w:type="dxa"/>
            <w:vAlign w:val="bottom"/>
            <w:gridSpan w:val="14"/>
            <w:shd w:val="clear" w:color="auto" w:fill="CCFFCC"/>
          </w:tcPr>
          <w:p>
            <w:pPr>
              <w:spacing w:after="0" w:line="165" w:lineRule="exact"/>
              <w:rPr>
                <w:sz w:val="20"/>
                <w:szCs w:val="20"/>
                <w:color w:val="auto"/>
              </w:rPr>
            </w:pPr>
            <w:r>
              <w:rPr>
                <w:rFonts w:ascii="Arial" w:cs="Arial" w:eastAsia="Arial" w:hAnsi="Arial"/>
                <w:sz w:val="16"/>
                <w:szCs w:val="16"/>
                <w:b w:val="1"/>
                <w:bCs w:val="1"/>
                <w:color w:val="auto"/>
              </w:rPr>
              <w:t>Solexel,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5" w:lineRule="exact"/>
              <w:rPr>
                <w:sz w:val="20"/>
                <w:szCs w:val="20"/>
                <w:color w:val="auto"/>
              </w:rPr>
            </w:pPr>
            <w:r>
              <w:rPr>
                <w:rFonts w:ascii="Arial" w:cs="Arial" w:eastAsia="Arial" w:hAnsi="Arial"/>
                <w:sz w:val="16"/>
                <w:szCs w:val="16"/>
                <w:color w:val="auto"/>
                <w:w w:val="98"/>
              </w:rPr>
              <w:t>Milpitas, CA</w:t>
            </w:r>
          </w:p>
        </w:tc>
        <w:tc>
          <w:tcPr>
            <w:tcW w:w="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60" w:type="dxa"/>
            <w:vAlign w:val="bottom"/>
            <w:tcBorders>
              <w:left w:val="single" w:sz="8" w:color="CCFFCC"/>
            </w:tcBorders>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4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rPr>
              <w:t>Preferred shares, Series C</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1"/>
              </w:rPr>
              <w:t>Solar Power</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4,576,659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10,016,559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10,000,000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3.96%</w:t>
            </w:r>
          </w:p>
        </w:tc>
      </w:tr>
      <w:tr>
        <w:trPr>
          <w:trHeight w:val="183"/>
        </w:trPr>
        <w:tc>
          <w:tcPr>
            <w:tcW w:w="20" w:type="dxa"/>
            <w:vAlign w:val="bottom"/>
            <w:shd w:val="clear" w:color="auto" w:fill="CCFFCC"/>
          </w:tcPr>
          <w:p>
            <w:pPr>
              <w:spacing w:after="0"/>
              <w:rPr>
                <w:sz w:val="15"/>
                <w:szCs w:val="15"/>
                <w:color w:val="auto"/>
              </w:rPr>
            </w:pPr>
          </w:p>
        </w:tc>
        <w:tc>
          <w:tcPr>
            <w:tcW w:w="1940" w:type="dxa"/>
            <w:vAlign w:val="bottom"/>
            <w:gridSpan w:val="14"/>
            <w:shd w:val="clear" w:color="auto" w:fill="CCFFCC"/>
          </w:tcPr>
          <w:p>
            <w:pPr>
              <w:spacing w:after="0" w:line="162" w:lineRule="exact"/>
              <w:rPr>
                <w:sz w:val="20"/>
                <w:szCs w:val="20"/>
                <w:color w:val="auto"/>
              </w:rPr>
            </w:pPr>
            <w:r>
              <w:rPr>
                <w:rFonts w:ascii="Arial" w:cs="Arial" w:eastAsia="Arial" w:hAnsi="Arial"/>
                <w:sz w:val="16"/>
                <w:szCs w:val="16"/>
                <w:b w:val="1"/>
                <w:bCs w:val="1"/>
                <w:color w:val="auto"/>
              </w:rPr>
              <w:t>2U, Inc. (f/k/a 2tor, Inc.)</w:t>
            </w:r>
          </w:p>
        </w:tc>
        <w:tc>
          <w:tcPr>
            <w:tcW w:w="80" w:type="dxa"/>
            <w:vAlign w:val="bottom"/>
            <w:shd w:val="clear" w:color="auto" w:fill="CCFFCC"/>
          </w:tcPr>
          <w:p>
            <w:pPr>
              <w:spacing w:after="0"/>
              <w:rPr>
                <w:sz w:val="15"/>
                <w:szCs w:val="15"/>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5"/>
              </w:rPr>
              <w:t>Landover, MD</w:t>
            </w:r>
          </w:p>
        </w:tc>
        <w:tc>
          <w:tcPr>
            <w:tcW w:w="80" w:type="dxa"/>
            <w:vAlign w:val="bottom"/>
            <w:shd w:val="clear" w:color="auto" w:fill="CCFFCC"/>
          </w:tcPr>
          <w:p>
            <w:pPr>
              <w:spacing w:after="0"/>
              <w:rPr>
                <w:sz w:val="15"/>
                <w:szCs w:val="15"/>
                <w:color w:val="auto"/>
              </w:rPr>
            </w:pPr>
          </w:p>
        </w:tc>
        <w:tc>
          <w:tcPr>
            <w:tcW w:w="9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160" w:type="dxa"/>
            <w:vAlign w:val="bottom"/>
            <w:tcBorders>
              <w:left w:val="single" w:sz="8" w:color="CCFFCC"/>
            </w:tcBorders>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140" w:type="dxa"/>
            <w:vAlign w:val="bottom"/>
            <w:tcBorders>
              <w:left w:val="single" w:sz="8" w:color="CCFFCC"/>
            </w:tcBorders>
            <w:shd w:val="clear" w:color="auto" w:fill="CCFFCC"/>
          </w:tcPr>
          <w:p>
            <w:pPr>
              <w:spacing w:after="0"/>
              <w:rPr>
                <w:sz w:val="15"/>
                <w:szCs w:val="15"/>
                <w:color w:val="auto"/>
              </w:rPr>
            </w:pPr>
          </w:p>
        </w:tc>
        <w:tc>
          <w:tcPr>
            <w:tcW w:w="4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r>
      <w:tr>
        <w:trPr>
          <w:trHeight w:val="203"/>
        </w:trPr>
        <w:tc>
          <w:tcPr>
            <w:tcW w:w="20" w:type="dxa"/>
            <w:vAlign w:val="bottom"/>
            <w:tcBorders>
              <w:top w:val="single" w:sz="8" w:color="CCFFCC"/>
            </w:tcBorders>
          </w:tcPr>
          <w:p>
            <w:pPr>
              <w:spacing w:after="0"/>
              <w:rPr>
                <w:sz w:val="17"/>
                <w:szCs w:val="17"/>
                <w:color w:val="auto"/>
              </w:rPr>
            </w:pPr>
          </w:p>
        </w:tc>
        <w:tc>
          <w:tcPr>
            <w:tcW w:w="1660" w:type="dxa"/>
            <w:vAlign w:val="bottom"/>
            <w:tcBorders>
              <w:top w:val="single" w:sz="8" w:color="auto"/>
            </w:tcBorders>
            <w:gridSpan w:val="11"/>
          </w:tcPr>
          <w:p>
            <w:pPr>
              <w:spacing w:after="0"/>
              <w:rPr>
                <w:sz w:val="20"/>
                <w:szCs w:val="20"/>
                <w:color w:val="auto"/>
              </w:rPr>
            </w:pPr>
            <w:r>
              <w:rPr>
                <w:rFonts w:ascii="Arial" w:cs="Arial" w:eastAsia="Arial" w:hAnsi="Arial"/>
                <w:sz w:val="16"/>
                <w:szCs w:val="16"/>
                <w:color w:val="auto"/>
              </w:rPr>
              <w:t>Common shares</w:t>
            </w:r>
          </w:p>
        </w:tc>
        <w:tc>
          <w:tcPr>
            <w:tcW w:w="280" w:type="dxa"/>
            <w:vAlign w:val="bottom"/>
            <w:tcBorders>
              <w:top w:val="single" w:sz="8" w:color="CCFFCC"/>
            </w:tcBorders>
            <w:gridSpan w:val="3"/>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2460" w:type="dxa"/>
            <w:vAlign w:val="bottom"/>
            <w:tcBorders>
              <w:top w:val="single" w:sz="8" w:color="CCFFCC"/>
            </w:tcBorders>
          </w:tcPr>
          <w:p>
            <w:pPr>
              <w:jc w:val="center"/>
              <w:spacing w:after="0"/>
              <w:rPr>
                <w:sz w:val="20"/>
                <w:szCs w:val="20"/>
                <w:color w:val="auto"/>
              </w:rPr>
            </w:pPr>
            <w:r>
              <w:rPr>
                <w:rFonts w:ascii="Arial" w:cs="Arial" w:eastAsia="Arial" w:hAnsi="Arial"/>
                <w:sz w:val="16"/>
                <w:szCs w:val="16"/>
                <w:color w:val="auto"/>
                <w:w w:val="93"/>
              </w:rPr>
              <w:t>Online Education</w:t>
            </w:r>
          </w:p>
        </w:tc>
        <w:tc>
          <w:tcPr>
            <w:tcW w:w="1000" w:type="dxa"/>
            <w:vAlign w:val="bottom"/>
            <w:tcBorders>
              <w:top w:val="single" w:sz="8" w:color="CCFFCC"/>
            </w:tcBorders>
            <w:gridSpan w:val="2"/>
          </w:tcPr>
          <w:p>
            <w:pPr>
              <w:jc w:val="right"/>
              <w:spacing w:after="0"/>
              <w:rPr>
                <w:sz w:val="20"/>
                <w:szCs w:val="20"/>
                <w:color w:val="auto"/>
              </w:rPr>
            </w:pPr>
            <w:r>
              <w:rPr>
                <w:rFonts w:ascii="Arial" w:cs="Arial" w:eastAsia="Arial" w:hAnsi="Arial"/>
                <w:sz w:val="16"/>
                <w:szCs w:val="16"/>
                <w:color w:val="auto"/>
              </w:rPr>
              <w:t>1,151,802</w:t>
            </w:r>
          </w:p>
        </w:tc>
        <w:tc>
          <w:tcPr>
            <w:tcW w:w="920" w:type="dxa"/>
            <w:vAlign w:val="bottom"/>
            <w:tcBorders>
              <w:top w:val="single" w:sz="8" w:color="CCFFCC"/>
            </w:tcBorders>
            <w:gridSpan w:val="2"/>
          </w:tcPr>
          <w:p>
            <w:pPr>
              <w:jc w:val="right"/>
              <w:spacing w:after="0"/>
              <w:rPr>
                <w:sz w:val="20"/>
                <w:szCs w:val="20"/>
                <w:color w:val="auto"/>
              </w:rPr>
            </w:pPr>
            <w:r>
              <w:rPr>
                <w:rFonts w:ascii="Arial" w:cs="Arial" w:eastAsia="Arial" w:hAnsi="Arial"/>
                <w:sz w:val="16"/>
                <w:szCs w:val="16"/>
                <w:color w:val="auto"/>
              </w:rPr>
              <w:t>8,757,599</w:t>
            </w:r>
          </w:p>
        </w:tc>
        <w:tc>
          <w:tcPr>
            <w:tcW w:w="980" w:type="dxa"/>
            <w:vAlign w:val="bottom"/>
            <w:tcBorders>
              <w:top w:val="single" w:sz="8" w:color="CCFFCC"/>
            </w:tcBorders>
            <w:gridSpan w:val="2"/>
          </w:tcPr>
          <w:p>
            <w:pPr>
              <w:jc w:val="right"/>
              <w:spacing w:after="0"/>
              <w:rPr>
                <w:sz w:val="20"/>
                <w:szCs w:val="20"/>
                <w:color w:val="auto"/>
              </w:rPr>
            </w:pPr>
            <w:r>
              <w:rPr>
                <w:rFonts w:ascii="Arial" w:cs="Arial" w:eastAsia="Arial" w:hAnsi="Arial"/>
                <w:sz w:val="16"/>
                <w:szCs w:val="16"/>
                <w:color w:val="auto"/>
              </w:rPr>
              <w:t>8,730,659</w:t>
            </w:r>
          </w:p>
        </w:tc>
        <w:tc>
          <w:tcPr>
            <w:tcW w:w="820" w:type="dxa"/>
            <w:vAlign w:val="bottom"/>
            <w:tcBorders>
              <w:top w:val="single" w:sz="8" w:color="CCFFCC"/>
            </w:tcBorders>
            <w:gridSpan w:val="3"/>
          </w:tcPr>
          <w:p>
            <w:pPr>
              <w:jc w:val="right"/>
              <w:ind w:right="60"/>
              <w:spacing w:after="0"/>
              <w:rPr>
                <w:sz w:val="20"/>
                <w:szCs w:val="20"/>
                <w:color w:val="auto"/>
              </w:rPr>
            </w:pPr>
            <w:r>
              <w:rPr>
                <w:rFonts w:ascii="Arial" w:cs="Arial" w:eastAsia="Arial" w:hAnsi="Arial"/>
                <w:sz w:val="16"/>
                <w:szCs w:val="16"/>
                <w:color w:val="auto"/>
              </w:rPr>
              <w:t>3.46%</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spacing w:after="0"/>
              <w:rPr>
                <w:sz w:val="20"/>
                <w:szCs w:val="20"/>
                <w:color w:val="auto"/>
              </w:rPr>
            </w:pPr>
            <w:r>
              <w:rPr>
                <w:rFonts w:ascii="Arial" w:cs="Arial" w:eastAsia="Arial" w:hAnsi="Arial"/>
                <w:sz w:val="16"/>
                <w:szCs w:val="16"/>
                <w:color w:val="auto"/>
              </w:rPr>
              <w:t>Preferred shares, Series A</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167,431</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1,273,125</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1,269,127</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0.50%</w:t>
            </w:r>
          </w:p>
        </w:tc>
      </w:tr>
      <w:tr>
        <w:trPr>
          <w:trHeight w:val="20"/>
        </w:trPr>
        <w:tc>
          <w:tcPr>
            <w:tcW w:w="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4"/>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10,030,724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9,999,786</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3.96%</w:t>
            </w:r>
          </w:p>
        </w:tc>
      </w:tr>
      <w:tr>
        <w:trPr>
          <w:trHeight w:val="176"/>
        </w:trPr>
        <w:tc>
          <w:tcPr>
            <w:tcW w:w="20" w:type="dxa"/>
            <w:vAlign w:val="bottom"/>
            <w:tcBorders>
              <w:bottom w:val="single" w:sz="8" w:color="CCFFCC"/>
            </w:tcBorders>
            <w:shd w:val="clear" w:color="auto" w:fill="CCFFCC"/>
          </w:tcPr>
          <w:p>
            <w:pPr>
              <w:spacing w:after="0"/>
              <w:rPr>
                <w:sz w:val="15"/>
                <w:szCs w:val="15"/>
                <w:color w:val="auto"/>
              </w:rPr>
            </w:pPr>
          </w:p>
        </w:tc>
        <w:tc>
          <w:tcPr>
            <w:tcW w:w="640" w:type="dxa"/>
            <w:vAlign w:val="bottom"/>
            <w:tcBorders>
              <w:bottom w:val="single" w:sz="8" w:color="auto"/>
            </w:tcBorders>
            <w:gridSpan w:val="2"/>
            <w:shd w:val="clear" w:color="auto" w:fill="CCFFCC"/>
          </w:tcPr>
          <w:p>
            <w:pPr>
              <w:spacing w:after="0" w:line="155" w:lineRule="exact"/>
              <w:rPr>
                <w:sz w:val="20"/>
                <w:szCs w:val="20"/>
                <w:color w:val="auto"/>
              </w:rPr>
            </w:pPr>
            <w:r>
              <w:rPr>
                <w:rFonts w:ascii="Arial" w:cs="Arial" w:eastAsia="Arial" w:hAnsi="Arial"/>
                <w:sz w:val="16"/>
                <w:szCs w:val="16"/>
                <w:b w:val="1"/>
                <w:bCs w:val="1"/>
                <w:color w:val="auto"/>
                <w:w w:val="91"/>
              </w:rPr>
              <w:t>Kno, Inc.</w:t>
            </w:r>
          </w:p>
        </w:tc>
        <w:tc>
          <w:tcPr>
            <w:tcW w:w="1300" w:type="dxa"/>
            <w:vAlign w:val="bottom"/>
            <w:tcBorders>
              <w:bottom w:val="single" w:sz="8" w:color="CCFFCC"/>
            </w:tcBorders>
            <w:gridSpan w:val="12"/>
            <w:shd w:val="clear" w:color="auto" w:fill="CCFFCC"/>
          </w:tcPr>
          <w:p>
            <w:pPr>
              <w:spacing w:after="0"/>
              <w:rPr>
                <w:sz w:val="15"/>
                <w:szCs w:val="15"/>
                <w:color w:val="auto"/>
              </w:rPr>
            </w:pPr>
          </w:p>
        </w:tc>
        <w:tc>
          <w:tcPr>
            <w:tcW w:w="80" w:type="dxa"/>
            <w:vAlign w:val="bottom"/>
            <w:tcBorders>
              <w:bottom w:val="single" w:sz="8" w:color="CCFFCC"/>
            </w:tcBorders>
            <w:shd w:val="clear" w:color="auto" w:fill="CCFFCC"/>
          </w:tcPr>
          <w:p>
            <w:pPr>
              <w:spacing w:after="0"/>
              <w:rPr>
                <w:sz w:val="15"/>
                <w:szCs w:val="15"/>
                <w:color w:val="auto"/>
              </w:rPr>
            </w:pPr>
          </w:p>
        </w:tc>
        <w:tc>
          <w:tcPr>
            <w:tcW w:w="2460" w:type="dxa"/>
            <w:vAlign w:val="bottom"/>
            <w:tcBorders>
              <w:bottom w:val="single" w:sz="8" w:color="CCFFCC"/>
            </w:tcBorders>
            <w:shd w:val="clear" w:color="auto" w:fill="CCFFCC"/>
          </w:tcPr>
          <w:p>
            <w:pPr>
              <w:jc w:val="center"/>
              <w:spacing w:after="0" w:line="155" w:lineRule="exact"/>
              <w:rPr>
                <w:sz w:val="20"/>
                <w:szCs w:val="20"/>
                <w:color w:val="auto"/>
              </w:rPr>
            </w:pPr>
            <w:r>
              <w:rPr>
                <w:rFonts w:ascii="Arial" w:cs="Arial" w:eastAsia="Arial" w:hAnsi="Arial"/>
                <w:sz w:val="16"/>
                <w:szCs w:val="16"/>
                <w:color w:val="auto"/>
                <w:w w:val="91"/>
              </w:rPr>
              <w:t>Santa Clara, CA</w:t>
            </w:r>
          </w:p>
        </w:tc>
        <w:tc>
          <w:tcPr>
            <w:tcW w:w="80" w:type="dxa"/>
            <w:vAlign w:val="bottom"/>
            <w:tcBorders>
              <w:bottom w:val="single" w:sz="8" w:color="CCFFCC"/>
            </w:tcBorders>
            <w:shd w:val="clear" w:color="auto" w:fill="CCFFCC"/>
          </w:tcPr>
          <w:p>
            <w:pPr>
              <w:spacing w:after="0"/>
              <w:rPr>
                <w:sz w:val="15"/>
                <w:szCs w:val="15"/>
                <w:color w:val="auto"/>
              </w:rPr>
            </w:pPr>
          </w:p>
        </w:tc>
        <w:tc>
          <w:tcPr>
            <w:tcW w:w="920" w:type="dxa"/>
            <w:vAlign w:val="bottom"/>
            <w:tcBorders>
              <w:bottom w:val="single" w:sz="8" w:color="CCFFCC"/>
            </w:tcBorders>
            <w:shd w:val="clear" w:color="auto" w:fill="CCFFCC"/>
          </w:tcPr>
          <w:p>
            <w:pPr>
              <w:spacing w:after="0"/>
              <w:rPr>
                <w:sz w:val="15"/>
                <w:szCs w:val="15"/>
                <w:color w:val="auto"/>
              </w:rPr>
            </w:pPr>
          </w:p>
        </w:tc>
        <w:tc>
          <w:tcPr>
            <w:tcW w:w="100" w:type="dxa"/>
            <w:vAlign w:val="bottom"/>
            <w:tcBorders>
              <w:bottom w:val="single" w:sz="8" w:color="CCFFCC"/>
            </w:tcBorders>
            <w:shd w:val="clear" w:color="auto" w:fill="CCFFCC"/>
          </w:tcPr>
          <w:p>
            <w:pPr>
              <w:spacing w:after="0"/>
              <w:rPr>
                <w:sz w:val="15"/>
                <w:szCs w:val="15"/>
                <w:color w:val="auto"/>
              </w:rPr>
            </w:pPr>
          </w:p>
        </w:tc>
        <w:tc>
          <w:tcPr>
            <w:tcW w:w="820" w:type="dxa"/>
            <w:vAlign w:val="bottom"/>
            <w:tcBorders>
              <w:top w:val="single" w:sz="8" w:color="auto"/>
              <w:bottom w:val="single" w:sz="8" w:color="CCFFCC"/>
            </w:tcBorders>
            <w:shd w:val="clear" w:color="auto" w:fill="CCFFCC"/>
          </w:tcPr>
          <w:p>
            <w:pPr>
              <w:spacing w:after="0"/>
              <w:rPr>
                <w:sz w:val="15"/>
                <w:szCs w:val="15"/>
                <w:color w:val="auto"/>
              </w:rPr>
            </w:pPr>
          </w:p>
        </w:tc>
        <w:tc>
          <w:tcPr>
            <w:tcW w:w="160" w:type="dxa"/>
            <w:vAlign w:val="bottom"/>
            <w:tcBorders>
              <w:left w:val="single" w:sz="8" w:color="CCFFCC"/>
              <w:bottom w:val="single" w:sz="8" w:color="CCFFCC"/>
            </w:tcBorders>
            <w:shd w:val="clear" w:color="auto" w:fill="CCFFCC"/>
          </w:tcPr>
          <w:p>
            <w:pPr>
              <w:spacing w:after="0"/>
              <w:rPr>
                <w:sz w:val="15"/>
                <w:szCs w:val="15"/>
                <w:color w:val="auto"/>
              </w:rPr>
            </w:pPr>
          </w:p>
        </w:tc>
        <w:tc>
          <w:tcPr>
            <w:tcW w:w="820" w:type="dxa"/>
            <w:vAlign w:val="bottom"/>
            <w:tcBorders>
              <w:top w:val="single" w:sz="8" w:color="auto"/>
              <w:bottom w:val="single" w:sz="8" w:color="CCFFCC"/>
            </w:tcBorders>
            <w:shd w:val="clear" w:color="auto" w:fill="CCFFCC"/>
          </w:tcPr>
          <w:p>
            <w:pPr>
              <w:spacing w:after="0"/>
              <w:rPr>
                <w:sz w:val="15"/>
                <w:szCs w:val="15"/>
                <w:color w:val="auto"/>
              </w:rPr>
            </w:pPr>
          </w:p>
        </w:tc>
        <w:tc>
          <w:tcPr>
            <w:tcW w:w="140" w:type="dxa"/>
            <w:vAlign w:val="bottom"/>
            <w:tcBorders>
              <w:left w:val="single" w:sz="8" w:color="CCFFCC"/>
              <w:bottom w:val="single" w:sz="8" w:color="CCFFCC"/>
            </w:tcBorders>
            <w:shd w:val="clear" w:color="auto" w:fill="CCFFCC"/>
          </w:tcPr>
          <w:p>
            <w:pPr>
              <w:spacing w:after="0"/>
              <w:rPr>
                <w:sz w:val="15"/>
                <w:szCs w:val="15"/>
                <w:color w:val="auto"/>
              </w:rPr>
            </w:pPr>
          </w:p>
        </w:tc>
        <w:tc>
          <w:tcPr>
            <w:tcW w:w="480" w:type="dxa"/>
            <w:vAlign w:val="bottom"/>
            <w:tcBorders>
              <w:top w:val="single" w:sz="8" w:color="auto"/>
              <w:bottom w:val="single" w:sz="8" w:color="CCFFCC"/>
            </w:tcBorders>
            <w:shd w:val="clear" w:color="auto" w:fill="CCFFCC"/>
          </w:tcPr>
          <w:p>
            <w:pPr>
              <w:spacing w:after="0"/>
              <w:rPr>
                <w:sz w:val="15"/>
                <w:szCs w:val="15"/>
                <w:color w:val="auto"/>
              </w:rPr>
            </w:pPr>
          </w:p>
        </w:tc>
        <w:tc>
          <w:tcPr>
            <w:tcW w:w="200" w:type="dxa"/>
            <w:vAlign w:val="bottom"/>
            <w:tcBorders>
              <w:bottom w:val="single" w:sz="8" w:color="CCFFCC"/>
            </w:tcBorders>
            <w:shd w:val="clear" w:color="auto" w:fill="CCFFCC"/>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rPr>
              <w:t>Preferred shares, Series C</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Digital Textbooks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440,313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2,262,006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2,249,999</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0.89%</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spacing w:after="0"/>
              <w:rPr>
                <w:sz w:val="20"/>
                <w:szCs w:val="20"/>
                <w:color w:val="auto"/>
              </w:rPr>
            </w:pPr>
            <w:r>
              <w:rPr>
                <w:rFonts w:ascii="Arial" w:cs="Arial" w:eastAsia="Arial" w:hAnsi="Arial"/>
                <w:sz w:val="16"/>
                <w:szCs w:val="16"/>
                <w:color w:val="auto"/>
                <w:w w:val="94"/>
              </w:rPr>
              <w:t>Preferred shares, Series C-1</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7,510,334</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7,500,000</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2.97%</w:t>
            </w:r>
          </w:p>
        </w:tc>
      </w:tr>
      <w:tr>
        <w:trPr>
          <w:trHeight w:val="203"/>
        </w:trPr>
        <w:tc>
          <w:tcPr>
            <w:tcW w:w="20" w:type="dxa"/>
            <w:vAlign w:val="bottom"/>
          </w:tcPr>
          <w:p>
            <w:pPr>
              <w:spacing w:after="0"/>
              <w:rPr>
                <w:sz w:val="17"/>
                <w:szCs w:val="17"/>
                <w:color w:val="auto"/>
              </w:rPr>
            </w:pPr>
          </w:p>
        </w:tc>
        <w:tc>
          <w:tcPr>
            <w:tcW w:w="1940" w:type="dxa"/>
            <w:vAlign w:val="bottom"/>
            <w:gridSpan w:val="14"/>
          </w:tcPr>
          <w:p>
            <w:pPr>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214,681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178,850</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0.07%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ind w:left="180"/>
              <w:spacing w:after="0"/>
              <w:rPr>
                <w:sz w:val="20"/>
                <w:szCs w:val="20"/>
                <w:color w:val="auto"/>
              </w:rPr>
            </w:pPr>
            <w:r>
              <w:rPr>
                <w:rFonts w:ascii="Arial" w:cs="Arial" w:eastAsia="Arial" w:hAnsi="Arial"/>
                <w:sz w:val="16"/>
                <w:szCs w:val="16"/>
                <w:color w:val="auto"/>
              </w:rPr>
              <w:t>Total</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9,987,021</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9,928,849</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3.93%</w:t>
            </w:r>
          </w:p>
        </w:tc>
      </w:tr>
      <w:tr>
        <w:trPr>
          <w:trHeight w:val="196"/>
        </w:trPr>
        <w:tc>
          <w:tcPr>
            <w:tcW w:w="20" w:type="dxa"/>
            <w:vAlign w:val="bottom"/>
            <w:tcBorders>
              <w:top w:val="single" w:sz="8" w:color="CCFFCC"/>
            </w:tcBorders>
          </w:tcPr>
          <w:p>
            <w:pPr>
              <w:spacing w:after="0"/>
              <w:rPr>
                <w:sz w:val="17"/>
                <w:szCs w:val="17"/>
                <w:color w:val="auto"/>
              </w:rPr>
            </w:pPr>
          </w:p>
        </w:tc>
        <w:tc>
          <w:tcPr>
            <w:tcW w:w="1940" w:type="dxa"/>
            <w:vAlign w:val="bottom"/>
            <w:tcBorders>
              <w:top w:val="single" w:sz="8" w:color="CCFFCC"/>
            </w:tcBorders>
            <w:gridSpan w:val="14"/>
          </w:tcPr>
          <w:p>
            <w:pPr>
              <w:spacing w:after="0" w:line="197" w:lineRule="exact"/>
              <w:rPr>
                <w:sz w:val="20"/>
                <w:szCs w:val="20"/>
                <w:color w:val="auto"/>
              </w:rPr>
            </w:pPr>
            <w:r>
              <w:rPr>
                <w:rFonts w:ascii="Arial" w:cs="Arial" w:eastAsia="Arial" w:hAnsi="Arial"/>
                <w:sz w:val="14"/>
                <w:szCs w:val="14"/>
                <w:b w:val="1"/>
                <w:bCs w:val="1"/>
                <w:color w:val="auto"/>
              </w:rPr>
              <w:t>Facebook, Inc.</w:t>
            </w:r>
            <w:r>
              <w:rPr>
                <w:rFonts w:ascii="Arial" w:cs="Arial" w:eastAsia="Arial" w:hAnsi="Arial"/>
                <w:sz w:val="22"/>
                <w:szCs w:val="22"/>
                <w:b w:val="1"/>
                <w:bCs w:val="1"/>
                <w:color w:val="auto"/>
                <w:vertAlign w:val="superscript"/>
              </w:rPr>
              <w:t>(3)(10)</w:t>
            </w:r>
          </w:p>
        </w:tc>
        <w:tc>
          <w:tcPr>
            <w:tcW w:w="80" w:type="dxa"/>
            <w:vAlign w:val="bottom"/>
            <w:tcBorders>
              <w:top w:val="single" w:sz="8" w:color="CCFFCC"/>
            </w:tcBorders>
          </w:tcPr>
          <w:p>
            <w:pPr>
              <w:spacing w:after="0"/>
              <w:rPr>
                <w:sz w:val="17"/>
                <w:szCs w:val="17"/>
                <w:color w:val="auto"/>
              </w:rPr>
            </w:pPr>
          </w:p>
        </w:tc>
        <w:tc>
          <w:tcPr>
            <w:tcW w:w="2460" w:type="dxa"/>
            <w:vAlign w:val="bottom"/>
            <w:tcBorders>
              <w:top w:val="single" w:sz="8" w:color="CCFFCC"/>
            </w:tcBorders>
          </w:tcPr>
          <w:p>
            <w:pPr>
              <w:jc w:val="center"/>
              <w:spacing w:after="0"/>
              <w:rPr>
                <w:sz w:val="20"/>
                <w:szCs w:val="20"/>
                <w:color w:val="auto"/>
              </w:rPr>
            </w:pPr>
            <w:r>
              <w:rPr>
                <w:rFonts w:ascii="Arial" w:cs="Arial" w:eastAsia="Arial" w:hAnsi="Arial"/>
                <w:sz w:val="16"/>
                <w:szCs w:val="16"/>
                <w:color w:val="auto"/>
                <w:w w:val="96"/>
              </w:rPr>
              <w:t>Menlo Park, CA</w:t>
            </w:r>
          </w:p>
        </w:tc>
        <w:tc>
          <w:tcPr>
            <w:tcW w:w="80" w:type="dxa"/>
            <w:vAlign w:val="bottom"/>
            <w:tcBorders>
              <w:top w:val="single" w:sz="8" w:color="CCFFCC"/>
            </w:tcBorders>
          </w:tcPr>
          <w:p>
            <w:pPr>
              <w:spacing w:after="0"/>
              <w:rPr>
                <w:sz w:val="17"/>
                <w:szCs w:val="17"/>
                <w:color w:val="auto"/>
              </w:rPr>
            </w:pPr>
          </w:p>
        </w:tc>
        <w:tc>
          <w:tcPr>
            <w:tcW w:w="92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spacing w:after="0"/>
              <w:rPr>
                <w:sz w:val="20"/>
                <w:szCs w:val="20"/>
                <w:color w:val="auto"/>
              </w:rPr>
            </w:pPr>
            <w:r>
              <w:rPr>
                <w:rFonts w:ascii="Arial" w:cs="Arial" w:eastAsia="Arial" w:hAnsi="Arial"/>
                <w:sz w:val="16"/>
                <w:szCs w:val="16"/>
                <w:color w:val="auto"/>
              </w:rPr>
              <w:t>Common shares, Class B</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5"/>
              </w:rPr>
              <w:t>Social Networking</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350,000</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10,472,294</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9,317,000</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3.69%</w:t>
            </w:r>
          </w:p>
        </w:tc>
      </w:tr>
      <w:tr>
        <w:trPr>
          <w:trHeight w:val="162"/>
        </w:trPr>
        <w:tc>
          <w:tcPr>
            <w:tcW w:w="20" w:type="dxa"/>
            <w:vAlign w:val="bottom"/>
          </w:tcPr>
          <w:p>
            <w:pPr>
              <w:spacing w:after="0"/>
              <w:rPr>
                <w:sz w:val="14"/>
                <w:szCs w:val="14"/>
                <w:color w:val="auto"/>
              </w:rPr>
            </w:pPr>
          </w:p>
        </w:tc>
        <w:tc>
          <w:tcPr>
            <w:tcW w:w="1940" w:type="dxa"/>
            <w:vAlign w:val="bottom"/>
            <w:gridSpan w:val="14"/>
          </w:tcPr>
          <w:p>
            <w:pPr>
              <w:spacing w:after="0" w:line="162" w:lineRule="exact"/>
              <w:rPr>
                <w:sz w:val="20"/>
                <w:szCs w:val="20"/>
                <w:color w:val="auto"/>
              </w:rPr>
            </w:pPr>
            <w:r>
              <w:rPr>
                <w:rFonts w:ascii="Arial" w:cs="Arial" w:eastAsia="Arial" w:hAnsi="Arial"/>
                <w:sz w:val="16"/>
                <w:szCs w:val="16"/>
                <w:b w:val="1"/>
                <w:bCs w:val="1"/>
                <w:color w:val="auto"/>
              </w:rPr>
              <w:t>Control4 Corporation</w:t>
            </w:r>
          </w:p>
        </w:tc>
        <w:tc>
          <w:tcPr>
            <w:tcW w:w="80" w:type="dxa"/>
            <w:vAlign w:val="bottom"/>
          </w:tcPr>
          <w:p>
            <w:pPr>
              <w:spacing w:after="0"/>
              <w:rPr>
                <w:sz w:val="14"/>
                <w:szCs w:val="14"/>
                <w:color w:val="auto"/>
              </w:rPr>
            </w:pPr>
          </w:p>
        </w:tc>
        <w:tc>
          <w:tcPr>
            <w:tcW w:w="2460" w:type="dxa"/>
            <w:vAlign w:val="bottom"/>
          </w:tcPr>
          <w:p>
            <w:pPr>
              <w:jc w:val="center"/>
              <w:spacing w:after="0" w:line="162" w:lineRule="exact"/>
              <w:rPr>
                <w:sz w:val="20"/>
                <w:szCs w:val="20"/>
                <w:color w:val="auto"/>
              </w:rPr>
            </w:pPr>
            <w:r>
              <w:rPr>
                <w:rFonts w:ascii="Arial" w:cs="Arial" w:eastAsia="Arial" w:hAnsi="Arial"/>
                <w:sz w:val="16"/>
                <w:szCs w:val="16"/>
                <w:color w:val="auto"/>
                <w:w w:val="94"/>
              </w:rPr>
              <w:t>Salt Lake City, UT</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spacing w:after="0"/>
              <w:rPr>
                <w:sz w:val="20"/>
                <w:szCs w:val="20"/>
                <w:color w:val="auto"/>
              </w:rPr>
            </w:pPr>
            <w:r>
              <w:rPr>
                <w:rFonts w:ascii="Arial" w:cs="Arial" w:eastAsia="Arial" w:hAnsi="Arial"/>
                <w:sz w:val="16"/>
                <w:szCs w:val="16"/>
                <w:color w:val="auto"/>
              </w:rPr>
              <w:t>Common shares</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3"/>
              </w:rPr>
              <w:t>Home Automation</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4,070,667</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7,011,025</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7,123,667</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2.82%</w:t>
            </w:r>
          </w:p>
        </w:tc>
      </w:tr>
      <w:tr>
        <w:trPr>
          <w:trHeight w:val="203"/>
        </w:trPr>
        <w:tc>
          <w:tcPr>
            <w:tcW w:w="20" w:type="dxa"/>
            <w:vAlign w:val="bottom"/>
          </w:tcPr>
          <w:p>
            <w:pPr>
              <w:spacing w:after="0"/>
              <w:rPr>
                <w:sz w:val="17"/>
                <w:szCs w:val="17"/>
                <w:color w:val="auto"/>
              </w:rPr>
            </w:pPr>
          </w:p>
        </w:tc>
        <w:tc>
          <w:tcPr>
            <w:tcW w:w="1940" w:type="dxa"/>
            <w:vAlign w:val="bottom"/>
            <w:gridSpan w:val="14"/>
          </w:tcPr>
          <w:p>
            <w:pPr>
              <w:spacing w:after="0" w:line="202" w:lineRule="exact"/>
              <w:rPr>
                <w:sz w:val="20"/>
                <w:szCs w:val="20"/>
                <w:color w:val="auto"/>
              </w:rPr>
            </w:pPr>
            <w:r>
              <w:rPr>
                <w:rFonts w:ascii="Arial" w:cs="Arial" w:eastAsia="Arial" w:hAnsi="Arial"/>
                <w:sz w:val="14"/>
                <w:szCs w:val="14"/>
                <w:b w:val="1"/>
                <w:bCs w:val="1"/>
                <w:color w:val="auto"/>
              </w:rPr>
              <w:t>Totus Solutions, Inc.</w:t>
            </w:r>
            <w:r>
              <w:rPr>
                <w:rFonts w:ascii="Arial" w:cs="Arial" w:eastAsia="Arial" w:hAnsi="Arial"/>
                <w:sz w:val="23"/>
                <w:szCs w:val="23"/>
                <w:b w:val="1"/>
                <w:bCs w:val="1"/>
                <w:color w:val="auto"/>
                <w:vertAlign w:val="superscript"/>
              </w:rPr>
              <w:t>(2)</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7"/>
              </w:rPr>
              <w:t>Carrollton, TX</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4"/>
            <w:shd w:val="clear" w:color="auto" w:fill="CCFFCC"/>
          </w:tcPr>
          <w:p>
            <w:pPr>
              <w:spacing w:after="0"/>
              <w:rPr>
                <w:sz w:val="20"/>
                <w:szCs w:val="20"/>
                <w:color w:val="auto"/>
              </w:rPr>
            </w:pPr>
            <w:r>
              <w:rPr>
                <w:rFonts w:ascii="Arial" w:cs="Arial" w:eastAsia="Arial" w:hAnsi="Arial"/>
                <w:sz w:val="16"/>
                <w:szCs w:val="16"/>
                <w:color w:val="auto"/>
              </w:rPr>
              <w:t>Common shares</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rPr>
              <w:t>LED Lighting</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20,000,000</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5,023,748</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5,000,000</w:t>
            </w:r>
          </w:p>
        </w:tc>
        <w:tc>
          <w:tcPr>
            <w:tcW w:w="82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1.98%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-5085080</wp:posOffset>
            </wp:positionV>
            <wp:extent cx="5213985"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-4552950</wp:posOffset>
            </wp:positionV>
            <wp:extent cx="5213985"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-4021455</wp:posOffset>
            </wp:positionV>
            <wp:extent cx="521398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-3489960</wp:posOffset>
            </wp:positionV>
            <wp:extent cx="5213985"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-2957830</wp:posOffset>
            </wp:positionV>
            <wp:extent cx="5213985"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-1628775</wp:posOffset>
            </wp:positionV>
            <wp:extent cx="5213985"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-831215</wp:posOffset>
            </wp:positionV>
            <wp:extent cx="5213985"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13985" cy="16319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958" w:right="1440" w:bottom="1440" w:gutter="0" w:footer="0" w:header="0"/>
        </w:sectPr>
      </w:pPr>
    </w:p>
    <w:bookmarkStart w:id="12" w:name="page13"/>
    <w:bookmarkEnd w:id="12"/>
    <w:p>
      <w:pPr>
        <w:jc w:val="center"/>
        <w:ind w:left="1720" w:right="900"/>
        <w:spacing w:after="0" w:line="257" w:lineRule="auto"/>
        <w:rPr>
          <w:sz w:val="20"/>
          <w:szCs w:val="20"/>
          <w:color w:val="auto"/>
        </w:rPr>
      </w:pPr>
      <w:r>
        <w:rPr>
          <w:rFonts w:ascii="Arial" w:cs="Arial" w:eastAsia="Arial" w:hAnsi="Arial"/>
          <w:sz w:val="18"/>
          <w:szCs w:val="18"/>
          <w:b w:val="1"/>
          <w:bCs w:val="1"/>
          <w:color w:val="auto"/>
        </w:rPr>
        <w:t>GSV CAPITAL CORP. AND SUBSIDIARY CONSOLIDATED SCHEDULE OF INVESTMENTS (continued)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52139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940" w:type="dxa"/>
            <w:vAlign w:val="bottom"/>
            <w:gridSpan w:val="11"/>
          </w:tcPr>
          <w:p>
            <w:pPr>
              <w:spacing w:after="0" w:line="141" w:lineRule="exact"/>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2"/>
                <w:szCs w:val="12"/>
                <w:color w:val="auto"/>
              </w:rPr>
            </w:pPr>
          </w:p>
        </w:tc>
        <w:tc>
          <w:tcPr>
            <w:tcW w:w="24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6"/>
              </w:rPr>
              <w:t>Headquarters/Industry</w:t>
            </w:r>
          </w:p>
        </w:tc>
        <w:tc>
          <w:tcPr>
            <w:tcW w:w="80" w:type="dxa"/>
            <w:vAlign w:val="bottom"/>
          </w:tcPr>
          <w:p>
            <w:pPr>
              <w:spacing w:after="0"/>
              <w:rPr>
                <w:sz w:val="12"/>
                <w:szCs w:val="12"/>
                <w:color w:val="auto"/>
              </w:rPr>
            </w:pPr>
          </w:p>
        </w:tc>
        <w:tc>
          <w:tcPr>
            <w:tcW w:w="920" w:type="dxa"/>
            <w:vAlign w:val="bottom"/>
          </w:tcPr>
          <w:p>
            <w:pPr>
              <w:jc w:val="right"/>
              <w:ind w:right="168"/>
              <w:spacing w:after="0" w:line="141"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820" w:type="dxa"/>
            <w:vAlign w:val="bottom"/>
          </w:tcPr>
          <w:p>
            <w:pPr>
              <w:jc w:val="right"/>
              <w:ind w:right="161"/>
              <w:spacing w:after="0" w:line="141" w:lineRule="exact"/>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820" w:type="dxa"/>
            <w:vAlign w:val="bottom"/>
          </w:tcPr>
          <w:p>
            <w:pPr>
              <w:ind w:left="120"/>
              <w:spacing w:after="0" w:line="141" w:lineRule="exact"/>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2"/>
                <w:szCs w:val="12"/>
                <w:color w:val="auto"/>
              </w:rPr>
            </w:pPr>
          </w:p>
        </w:tc>
        <w:tc>
          <w:tcPr>
            <w:tcW w:w="68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rPr>
              <w:t>% of</w:t>
            </w:r>
          </w:p>
        </w:tc>
      </w:tr>
      <w:tr>
        <w:trPr>
          <w:trHeight w:val="171"/>
        </w:trPr>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Net Assets</w:t>
            </w:r>
          </w:p>
        </w:tc>
      </w:tr>
      <w:tr>
        <w:trPr>
          <w:trHeight w:val="196"/>
        </w:trPr>
        <w:tc>
          <w:tcPr>
            <w:tcW w:w="20" w:type="dxa"/>
            <w:vAlign w:val="bottom"/>
            <w:shd w:val="clear" w:color="auto" w:fill="CCFFCC"/>
          </w:tcPr>
          <w:p>
            <w:pPr>
              <w:spacing w:after="0"/>
              <w:rPr>
                <w:sz w:val="17"/>
                <w:szCs w:val="17"/>
                <w:color w:val="auto"/>
              </w:rPr>
            </w:pPr>
          </w:p>
        </w:tc>
        <w:tc>
          <w:tcPr>
            <w:tcW w:w="1940" w:type="dxa"/>
            <w:vAlign w:val="bottom"/>
            <w:gridSpan w:val="11"/>
            <w:shd w:val="clear" w:color="auto" w:fill="CCFFCC"/>
          </w:tcPr>
          <w:p>
            <w:pPr>
              <w:spacing w:after="0" w:line="197" w:lineRule="exact"/>
              <w:rPr>
                <w:sz w:val="20"/>
                <w:szCs w:val="20"/>
                <w:color w:val="auto"/>
              </w:rPr>
            </w:pPr>
            <w:r>
              <w:rPr>
                <w:rFonts w:ascii="Arial" w:cs="Arial" w:eastAsia="Arial" w:hAnsi="Arial"/>
                <w:sz w:val="14"/>
                <w:szCs w:val="14"/>
                <w:b w:val="1"/>
                <w:bCs w:val="1"/>
                <w:color w:val="auto"/>
              </w:rPr>
              <w:t>Grockit, Inc.</w:t>
            </w:r>
            <w:r>
              <w:rPr>
                <w:rFonts w:ascii="Arial" w:cs="Arial" w:eastAsia="Arial" w:hAnsi="Arial"/>
                <w:sz w:val="22"/>
                <w:szCs w:val="22"/>
                <w:b w:val="1"/>
                <w:bCs w:val="1"/>
                <w:color w:val="auto"/>
                <w:vertAlign w:val="superscript"/>
              </w:rPr>
              <w:t>(2)</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1"/>
          </w:tcPr>
          <w:p>
            <w:pPr>
              <w:spacing w:after="0"/>
              <w:rPr>
                <w:sz w:val="20"/>
                <w:szCs w:val="20"/>
                <w:color w:val="auto"/>
              </w:rPr>
            </w:pPr>
            <w:r>
              <w:rPr>
                <w:rFonts w:ascii="Arial" w:cs="Arial" w:eastAsia="Arial" w:hAnsi="Arial"/>
                <w:sz w:val="16"/>
                <w:szCs w:val="16"/>
                <w:color w:val="auto"/>
              </w:rPr>
              <w:t>Preferred shares, Series D</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1"/>
              </w:rPr>
              <w:t>Online Test Preparation</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2,728,252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$ 2,005,945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$ 2,373,579</w:t>
            </w:r>
          </w:p>
        </w:tc>
        <w:tc>
          <w:tcPr>
            <w:tcW w:w="820" w:type="dxa"/>
            <w:vAlign w:val="bottom"/>
            <w:gridSpan w:val="3"/>
          </w:tcPr>
          <w:p>
            <w:pPr>
              <w:jc w:val="center"/>
              <w:ind w:left="119"/>
              <w:spacing w:after="0"/>
              <w:rPr>
                <w:sz w:val="20"/>
                <w:szCs w:val="20"/>
                <w:color w:val="auto"/>
              </w:rPr>
            </w:pPr>
            <w:r>
              <w:rPr>
                <w:rFonts w:ascii="Arial" w:cs="Arial" w:eastAsia="Arial" w:hAnsi="Arial"/>
                <w:sz w:val="16"/>
                <w:szCs w:val="16"/>
                <w:color w:val="auto"/>
                <w:w w:val="92"/>
              </w:rPr>
              <w:t>0.94%</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1"/>
            <w:shd w:val="clear" w:color="auto" w:fill="CCFFCC"/>
          </w:tcPr>
          <w:p>
            <w:pPr>
              <w:spacing w:after="0"/>
              <w:rPr>
                <w:sz w:val="20"/>
                <w:szCs w:val="20"/>
                <w:color w:val="auto"/>
              </w:rPr>
            </w:pPr>
            <w:r>
              <w:rPr>
                <w:rFonts w:ascii="Arial" w:cs="Arial" w:eastAsia="Arial" w:hAnsi="Arial"/>
                <w:sz w:val="16"/>
                <w:szCs w:val="16"/>
                <w:color w:val="auto"/>
              </w:rPr>
              <w:t>Preferred shares, Series E</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1,731,501</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1,503,670</w:t>
            </w: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1,506,406</w:t>
            </w:r>
          </w:p>
        </w:tc>
        <w:tc>
          <w:tcPr>
            <w:tcW w:w="820" w:type="dxa"/>
            <w:vAlign w:val="bottom"/>
            <w:tcBorders>
              <w:left w:val="single" w:sz="8" w:color="CCFFCC"/>
            </w:tcBorders>
            <w:gridSpan w:val="3"/>
            <w:shd w:val="clear" w:color="auto" w:fill="CCFFCC"/>
          </w:tcPr>
          <w:p>
            <w:pPr>
              <w:jc w:val="center"/>
              <w:ind w:left="119"/>
              <w:spacing w:after="0"/>
              <w:rPr>
                <w:sz w:val="20"/>
                <w:szCs w:val="20"/>
                <w:color w:val="auto"/>
              </w:rPr>
            </w:pPr>
            <w:r>
              <w:rPr>
                <w:rFonts w:ascii="Arial" w:cs="Arial" w:eastAsia="Arial" w:hAnsi="Arial"/>
                <w:sz w:val="16"/>
                <w:szCs w:val="16"/>
                <w:color w:val="auto"/>
                <w:w w:val="92"/>
              </w:rPr>
              <w:t>0.60%</w:t>
            </w:r>
          </w:p>
        </w:tc>
      </w:tr>
      <w:tr>
        <w:trPr>
          <w:trHeight w:val="20"/>
        </w:trPr>
        <w:tc>
          <w:tcPr>
            <w:tcW w:w="2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1"/>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3,509,615</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3,879,985</w:t>
            </w:r>
          </w:p>
        </w:tc>
        <w:tc>
          <w:tcPr>
            <w:tcW w:w="820" w:type="dxa"/>
            <w:vAlign w:val="bottom"/>
            <w:gridSpan w:val="3"/>
          </w:tcPr>
          <w:p>
            <w:pPr>
              <w:jc w:val="center"/>
              <w:ind w:left="119"/>
              <w:spacing w:after="0"/>
              <w:rPr>
                <w:sz w:val="20"/>
                <w:szCs w:val="20"/>
                <w:color w:val="auto"/>
              </w:rPr>
            </w:pPr>
            <w:r>
              <w:rPr>
                <w:rFonts w:ascii="Arial" w:cs="Arial" w:eastAsia="Arial" w:hAnsi="Arial"/>
                <w:sz w:val="16"/>
                <w:szCs w:val="16"/>
                <w:color w:val="auto"/>
                <w:w w:val="92"/>
              </w:rPr>
              <w:t>1.54%</w:t>
            </w:r>
          </w:p>
        </w:tc>
      </w:tr>
      <w:tr>
        <w:trPr>
          <w:trHeight w:val="176"/>
        </w:trPr>
        <w:tc>
          <w:tcPr>
            <w:tcW w:w="20" w:type="dxa"/>
            <w:vAlign w:val="bottom"/>
            <w:shd w:val="clear" w:color="auto" w:fill="CCFFCC"/>
          </w:tcPr>
          <w:p>
            <w:pPr>
              <w:spacing w:after="0"/>
              <w:rPr>
                <w:sz w:val="15"/>
                <w:szCs w:val="15"/>
                <w:color w:val="auto"/>
              </w:rPr>
            </w:pPr>
          </w:p>
        </w:tc>
        <w:tc>
          <w:tcPr>
            <w:tcW w:w="1940" w:type="dxa"/>
            <w:vAlign w:val="bottom"/>
            <w:gridSpan w:val="11"/>
            <w:shd w:val="clear" w:color="auto" w:fill="CCFFCC"/>
          </w:tcPr>
          <w:p>
            <w:pPr>
              <w:spacing w:after="0" w:line="155" w:lineRule="exact"/>
              <w:rPr>
                <w:sz w:val="20"/>
                <w:szCs w:val="20"/>
                <w:color w:val="auto"/>
              </w:rPr>
            </w:pPr>
            <w:r>
              <w:rPr>
                <w:rFonts w:ascii="Arial" w:cs="Arial" w:eastAsia="Arial" w:hAnsi="Arial"/>
                <w:sz w:val="16"/>
                <w:szCs w:val="16"/>
                <w:b w:val="1"/>
                <w:bCs w:val="1"/>
                <w:color w:val="auto"/>
              </w:rPr>
              <w:t>SugarCRM, Inc.</w:t>
            </w:r>
          </w:p>
        </w:tc>
        <w:tc>
          <w:tcPr>
            <w:tcW w:w="80" w:type="dxa"/>
            <w:vAlign w:val="bottom"/>
            <w:shd w:val="clear" w:color="auto" w:fill="CCFFCC"/>
          </w:tcPr>
          <w:p>
            <w:pPr>
              <w:spacing w:after="0"/>
              <w:rPr>
                <w:sz w:val="15"/>
                <w:szCs w:val="15"/>
                <w:color w:val="auto"/>
              </w:rPr>
            </w:pPr>
          </w:p>
        </w:tc>
        <w:tc>
          <w:tcPr>
            <w:tcW w:w="246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93"/>
              </w:rPr>
              <w:t>Cupertino, CA</w:t>
            </w:r>
          </w:p>
        </w:tc>
        <w:tc>
          <w:tcPr>
            <w:tcW w:w="80" w:type="dxa"/>
            <w:vAlign w:val="bottom"/>
            <w:shd w:val="clear" w:color="auto" w:fill="CCFFCC"/>
          </w:tcPr>
          <w:p>
            <w:pPr>
              <w:spacing w:after="0"/>
              <w:rPr>
                <w:sz w:val="15"/>
                <w:szCs w:val="15"/>
                <w:color w:val="auto"/>
              </w:rPr>
            </w:pPr>
          </w:p>
        </w:tc>
        <w:tc>
          <w:tcPr>
            <w:tcW w:w="9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20" w:type="dxa"/>
            <w:vAlign w:val="bottom"/>
            <w:tcBorders>
              <w:top w:val="single" w:sz="8" w:color="auto"/>
            </w:tcBorders>
            <w:shd w:val="clear" w:color="auto" w:fill="CCFFCC"/>
          </w:tcPr>
          <w:p>
            <w:pPr>
              <w:spacing w:after="0"/>
              <w:rPr>
                <w:sz w:val="15"/>
                <w:szCs w:val="15"/>
                <w:color w:val="auto"/>
              </w:rPr>
            </w:pPr>
          </w:p>
        </w:tc>
        <w:tc>
          <w:tcPr>
            <w:tcW w:w="160" w:type="dxa"/>
            <w:vAlign w:val="bottom"/>
            <w:tcBorders>
              <w:left w:val="single" w:sz="8" w:color="CCFFCC"/>
            </w:tcBorders>
            <w:shd w:val="clear" w:color="auto" w:fill="CCFFCC"/>
          </w:tcPr>
          <w:p>
            <w:pPr>
              <w:spacing w:after="0"/>
              <w:rPr>
                <w:sz w:val="15"/>
                <w:szCs w:val="15"/>
                <w:color w:val="auto"/>
              </w:rPr>
            </w:pPr>
          </w:p>
        </w:tc>
        <w:tc>
          <w:tcPr>
            <w:tcW w:w="820" w:type="dxa"/>
            <w:vAlign w:val="bottom"/>
            <w:tcBorders>
              <w:top w:val="single" w:sz="8" w:color="auto"/>
            </w:tcBorders>
            <w:shd w:val="clear" w:color="auto" w:fill="CCFFCC"/>
          </w:tcPr>
          <w:p>
            <w:pPr>
              <w:spacing w:after="0"/>
              <w:rPr>
                <w:sz w:val="15"/>
                <w:szCs w:val="15"/>
                <w:color w:val="auto"/>
              </w:rPr>
            </w:pPr>
          </w:p>
        </w:tc>
        <w:tc>
          <w:tcPr>
            <w:tcW w:w="140" w:type="dxa"/>
            <w:vAlign w:val="bottom"/>
            <w:tcBorders>
              <w:left w:val="single" w:sz="8" w:color="CCFFCC"/>
            </w:tcBorders>
            <w:shd w:val="clear" w:color="auto" w:fill="CCFFCC"/>
          </w:tcPr>
          <w:p>
            <w:pPr>
              <w:spacing w:after="0"/>
              <w:rPr>
                <w:sz w:val="15"/>
                <w:szCs w:val="15"/>
                <w:color w:val="auto"/>
              </w:rPr>
            </w:pPr>
          </w:p>
        </w:tc>
        <w:tc>
          <w:tcPr>
            <w:tcW w:w="440" w:type="dxa"/>
            <w:vAlign w:val="bottom"/>
            <w:tcBorders>
              <w:top w:val="single" w:sz="8" w:color="auto"/>
            </w:tcBorders>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r>
      <w:tr>
        <w:trPr>
          <w:trHeight w:val="193"/>
        </w:trPr>
        <w:tc>
          <w:tcPr>
            <w:tcW w:w="20" w:type="dxa"/>
            <w:vAlign w:val="bottom"/>
            <w:tcBorders>
              <w:top w:val="single" w:sz="8" w:color="CCFFCC"/>
            </w:tcBorders>
          </w:tcPr>
          <w:p>
            <w:pPr>
              <w:spacing w:after="0"/>
              <w:rPr>
                <w:sz w:val="16"/>
                <w:szCs w:val="16"/>
                <w:color w:val="auto"/>
              </w:rPr>
            </w:pPr>
          </w:p>
        </w:tc>
        <w:tc>
          <w:tcPr>
            <w:tcW w:w="1140" w:type="dxa"/>
            <w:vAlign w:val="bottom"/>
            <w:tcBorders>
              <w:top w:val="single" w:sz="8" w:color="auto"/>
            </w:tcBorders>
            <w:gridSpan w:val="5"/>
          </w:tcPr>
          <w:p>
            <w:pPr>
              <w:spacing w:after="0"/>
              <w:rPr>
                <w:sz w:val="20"/>
                <w:szCs w:val="20"/>
                <w:color w:val="auto"/>
              </w:rPr>
            </w:pPr>
            <w:r>
              <w:rPr>
                <w:rFonts w:ascii="Arial" w:cs="Arial" w:eastAsia="Arial" w:hAnsi="Arial"/>
                <w:sz w:val="16"/>
                <w:szCs w:val="16"/>
                <w:color w:val="auto"/>
                <w:w w:val="95"/>
              </w:rPr>
              <w:t>Common shares</w:t>
            </w:r>
          </w:p>
        </w:tc>
        <w:tc>
          <w:tcPr>
            <w:tcW w:w="800" w:type="dxa"/>
            <w:vAlign w:val="bottom"/>
            <w:tcBorders>
              <w:top w:val="single" w:sz="8" w:color="CCFFCC"/>
            </w:tcBorders>
            <w:gridSpan w:val="6"/>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c>
          <w:tcPr>
            <w:tcW w:w="2460" w:type="dxa"/>
            <w:vAlign w:val="bottom"/>
            <w:tcBorders>
              <w:top w:val="single" w:sz="8" w:color="CCFFCC"/>
            </w:tcBorders>
          </w:tcPr>
          <w:p>
            <w:pPr>
              <w:jc w:val="center"/>
              <w:spacing w:after="0"/>
              <w:rPr>
                <w:sz w:val="20"/>
                <w:szCs w:val="20"/>
                <w:color w:val="auto"/>
              </w:rPr>
            </w:pPr>
            <w:r>
              <w:rPr>
                <w:rFonts w:ascii="Arial" w:cs="Arial" w:eastAsia="Arial" w:hAnsi="Arial"/>
                <w:sz w:val="16"/>
                <w:szCs w:val="16"/>
                <w:color w:val="auto"/>
                <w:w w:val="89"/>
              </w:rPr>
              <w:t>Customer</w:t>
            </w:r>
          </w:p>
        </w:tc>
        <w:tc>
          <w:tcPr>
            <w:tcW w:w="1000" w:type="dxa"/>
            <w:vAlign w:val="bottom"/>
            <w:tcBorders>
              <w:top w:val="single" w:sz="8" w:color="CCFFCC"/>
            </w:tcBorders>
            <w:gridSpan w:val="2"/>
          </w:tcPr>
          <w:p>
            <w:pPr>
              <w:jc w:val="right"/>
              <w:spacing w:after="0"/>
              <w:rPr>
                <w:sz w:val="20"/>
                <w:szCs w:val="20"/>
                <w:color w:val="auto"/>
              </w:rPr>
            </w:pPr>
            <w:r>
              <w:rPr>
                <w:rFonts w:ascii="Arial" w:cs="Arial" w:eastAsia="Arial" w:hAnsi="Arial"/>
                <w:sz w:val="16"/>
                <w:szCs w:val="16"/>
                <w:color w:val="auto"/>
              </w:rPr>
              <w:t>1,086,047</w:t>
            </w:r>
          </w:p>
        </w:tc>
        <w:tc>
          <w:tcPr>
            <w:tcW w:w="920" w:type="dxa"/>
            <w:vAlign w:val="bottom"/>
            <w:tcBorders>
              <w:top w:val="single" w:sz="8" w:color="CCFFCC"/>
            </w:tcBorders>
            <w:gridSpan w:val="2"/>
          </w:tcPr>
          <w:p>
            <w:pPr>
              <w:jc w:val="right"/>
              <w:spacing w:after="0"/>
              <w:rPr>
                <w:sz w:val="20"/>
                <w:szCs w:val="20"/>
                <w:color w:val="auto"/>
              </w:rPr>
            </w:pPr>
            <w:r>
              <w:rPr>
                <w:rFonts w:ascii="Arial" w:cs="Arial" w:eastAsia="Arial" w:hAnsi="Arial"/>
                <w:sz w:val="16"/>
                <w:szCs w:val="16"/>
                <w:color w:val="auto"/>
              </w:rPr>
              <w:t>3,813,378</w:t>
            </w:r>
          </w:p>
        </w:tc>
        <w:tc>
          <w:tcPr>
            <w:tcW w:w="980" w:type="dxa"/>
            <w:vAlign w:val="bottom"/>
            <w:tcBorders>
              <w:top w:val="single" w:sz="8" w:color="CCFFCC"/>
            </w:tcBorders>
            <w:gridSpan w:val="2"/>
          </w:tcPr>
          <w:p>
            <w:pPr>
              <w:jc w:val="right"/>
              <w:spacing w:after="0"/>
              <w:rPr>
                <w:sz w:val="20"/>
                <w:szCs w:val="20"/>
                <w:color w:val="auto"/>
              </w:rPr>
            </w:pPr>
            <w:r>
              <w:rPr>
                <w:rFonts w:ascii="Arial" w:cs="Arial" w:eastAsia="Arial" w:hAnsi="Arial"/>
                <w:sz w:val="16"/>
                <w:szCs w:val="16"/>
                <w:color w:val="auto"/>
              </w:rPr>
              <w:t>3,801,165</w:t>
            </w:r>
          </w:p>
        </w:tc>
        <w:tc>
          <w:tcPr>
            <w:tcW w:w="820" w:type="dxa"/>
            <w:vAlign w:val="bottom"/>
            <w:tcBorders>
              <w:top w:val="single" w:sz="8" w:color="CCFFCC"/>
            </w:tcBorders>
            <w:gridSpan w:val="3"/>
          </w:tcPr>
          <w:p>
            <w:pPr>
              <w:jc w:val="center"/>
              <w:ind w:left="119"/>
              <w:spacing w:after="0"/>
              <w:rPr>
                <w:sz w:val="20"/>
                <w:szCs w:val="20"/>
                <w:color w:val="auto"/>
              </w:rPr>
            </w:pPr>
            <w:r>
              <w:rPr>
                <w:rFonts w:ascii="Arial" w:cs="Arial" w:eastAsia="Arial" w:hAnsi="Arial"/>
                <w:sz w:val="16"/>
                <w:szCs w:val="16"/>
                <w:color w:val="auto"/>
                <w:w w:val="92"/>
              </w:rPr>
              <w:t>1.50%</w:t>
            </w: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1"/>
              </w:rPr>
              <w:t>Relationship Manager</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86"/>
        </w:trPr>
        <w:tc>
          <w:tcPr>
            <w:tcW w:w="20" w:type="dxa"/>
            <w:vAlign w:val="bottom"/>
            <w:tcBorders>
              <w:bottom w:val="single" w:sz="8" w:color="CCFFCC"/>
            </w:tcBorders>
            <w:shd w:val="clear" w:color="auto" w:fill="CCFFCC"/>
          </w:tcPr>
          <w:p>
            <w:pPr>
              <w:spacing w:after="0"/>
              <w:rPr>
                <w:sz w:val="16"/>
                <w:szCs w:val="16"/>
                <w:color w:val="auto"/>
              </w:rPr>
            </w:pPr>
          </w:p>
        </w:tc>
        <w:tc>
          <w:tcPr>
            <w:tcW w:w="1180" w:type="dxa"/>
            <w:vAlign w:val="bottom"/>
            <w:tcBorders>
              <w:bottom w:val="single" w:sz="8" w:color="auto"/>
            </w:tcBorders>
            <w:gridSpan w:val="6"/>
            <w:shd w:val="clear" w:color="auto" w:fill="CCFFCC"/>
          </w:tcPr>
          <w:p>
            <w:pPr>
              <w:spacing w:after="0" w:line="165" w:lineRule="exact"/>
              <w:rPr>
                <w:sz w:val="20"/>
                <w:szCs w:val="20"/>
                <w:color w:val="auto"/>
              </w:rPr>
            </w:pPr>
            <w:r>
              <w:rPr>
                <w:rFonts w:ascii="Arial" w:cs="Arial" w:eastAsia="Arial" w:hAnsi="Arial"/>
                <w:sz w:val="16"/>
                <w:szCs w:val="16"/>
                <w:b w:val="1"/>
                <w:bCs w:val="1"/>
                <w:color w:val="auto"/>
                <w:w w:val="93"/>
              </w:rPr>
              <w:t>Gilt Groupe, Inc.</w:t>
            </w:r>
          </w:p>
        </w:tc>
        <w:tc>
          <w:tcPr>
            <w:tcW w:w="760" w:type="dxa"/>
            <w:vAlign w:val="bottom"/>
            <w:tcBorders>
              <w:bottom w:val="single" w:sz="8" w:color="CCFFCC"/>
            </w:tcBorders>
            <w:gridSpan w:val="5"/>
            <w:shd w:val="clear" w:color="auto" w:fill="CCFFCC"/>
          </w:tcPr>
          <w:p>
            <w:pPr>
              <w:spacing w:after="0"/>
              <w:rPr>
                <w:sz w:val="16"/>
                <w:szCs w:val="16"/>
                <w:color w:val="auto"/>
              </w:rPr>
            </w:pPr>
          </w:p>
        </w:tc>
        <w:tc>
          <w:tcPr>
            <w:tcW w:w="80" w:type="dxa"/>
            <w:vAlign w:val="bottom"/>
            <w:tcBorders>
              <w:bottom w:val="single" w:sz="8" w:color="CCFFCC"/>
            </w:tcBorders>
            <w:shd w:val="clear" w:color="auto" w:fill="CCFFCC"/>
          </w:tcPr>
          <w:p>
            <w:pPr>
              <w:spacing w:after="0"/>
              <w:rPr>
                <w:sz w:val="16"/>
                <w:szCs w:val="16"/>
                <w:color w:val="auto"/>
              </w:rPr>
            </w:pPr>
          </w:p>
        </w:tc>
        <w:tc>
          <w:tcPr>
            <w:tcW w:w="2460" w:type="dxa"/>
            <w:vAlign w:val="bottom"/>
            <w:tcBorders>
              <w:bottom w:val="single" w:sz="8" w:color="CCFFCC"/>
            </w:tcBorders>
            <w:shd w:val="clear" w:color="auto" w:fill="CCFFCC"/>
          </w:tcPr>
          <w:p>
            <w:pPr>
              <w:jc w:val="center"/>
              <w:spacing w:after="0" w:line="165" w:lineRule="exact"/>
              <w:rPr>
                <w:sz w:val="20"/>
                <w:szCs w:val="20"/>
                <w:color w:val="auto"/>
              </w:rPr>
            </w:pPr>
            <w:r>
              <w:rPr>
                <w:rFonts w:ascii="Arial" w:cs="Arial" w:eastAsia="Arial" w:hAnsi="Arial"/>
                <w:sz w:val="16"/>
                <w:szCs w:val="16"/>
                <w:color w:val="auto"/>
                <w:w w:val="97"/>
              </w:rPr>
              <w:t>New York, NY</w:t>
            </w:r>
          </w:p>
        </w:tc>
        <w:tc>
          <w:tcPr>
            <w:tcW w:w="80" w:type="dxa"/>
            <w:vAlign w:val="bottom"/>
            <w:tcBorders>
              <w:bottom w:val="single" w:sz="8" w:color="CCFFCC"/>
            </w:tcBorders>
            <w:shd w:val="clear" w:color="auto" w:fill="CCFFCC"/>
          </w:tcPr>
          <w:p>
            <w:pPr>
              <w:spacing w:after="0"/>
              <w:rPr>
                <w:sz w:val="16"/>
                <w:szCs w:val="16"/>
                <w:color w:val="auto"/>
              </w:rPr>
            </w:pPr>
          </w:p>
        </w:tc>
        <w:tc>
          <w:tcPr>
            <w:tcW w:w="920" w:type="dxa"/>
            <w:vAlign w:val="bottom"/>
            <w:tcBorders>
              <w:bottom w:val="single" w:sz="8" w:color="CCFFCC"/>
            </w:tcBorders>
            <w:shd w:val="clear" w:color="auto" w:fill="CCFFCC"/>
          </w:tcPr>
          <w:p>
            <w:pPr>
              <w:spacing w:after="0"/>
              <w:rPr>
                <w:sz w:val="16"/>
                <w:szCs w:val="16"/>
                <w:color w:val="auto"/>
              </w:rPr>
            </w:pPr>
          </w:p>
        </w:tc>
        <w:tc>
          <w:tcPr>
            <w:tcW w:w="100" w:type="dxa"/>
            <w:vAlign w:val="bottom"/>
            <w:tcBorders>
              <w:bottom w:val="single" w:sz="8" w:color="CCFFCC"/>
            </w:tcBorders>
            <w:shd w:val="clear" w:color="auto" w:fill="CCFFCC"/>
          </w:tcPr>
          <w:p>
            <w:pPr>
              <w:spacing w:after="0"/>
              <w:rPr>
                <w:sz w:val="16"/>
                <w:szCs w:val="16"/>
                <w:color w:val="auto"/>
              </w:rPr>
            </w:pPr>
          </w:p>
        </w:tc>
        <w:tc>
          <w:tcPr>
            <w:tcW w:w="8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left w:val="single" w:sz="8" w:color="CCFFCC"/>
              <w:bottom w:val="single" w:sz="8" w:color="CCFFCC"/>
            </w:tcBorders>
            <w:shd w:val="clear" w:color="auto" w:fill="CCFFCC"/>
          </w:tcPr>
          <w:p>
            <w:pPr>
              <w:spacing w:after="0"/>
              <w:rPr>
                <w:sz w:val="16"/>
                <w:szCs w:val="16"/>
                <w:color w:val="auto"/>
              </w:rPr>
            </w:pPr>
          </w:p>
        </w:tc>
        <w:tc>
          <w:tcPr>
            <w:tcW w:w="820" w:type="dxa"/>
            <w:vAlign w:val="bottom"/>
            <w:tcBorders>
              <w:bottom w:val="single" w:sz="8" w:color="CCFFCC"/>
            </w:tcBorders>
            <w:shd w:val="clear" w:color="auto" w:fill="CCFFCC"/>
          </w:tcPr>
          <w:p>
            <w:pPr>
              <w:spacing w:after="0"/>
              <w:rPr>
                <w:sz w:val="16"/>
                <w:szCs w:val="16"/>
                <w:color w:val="auto"/>
              </w:rPr>
            </w:pPr>
          </w:p>
        </w:tc>
        <w:tc>
          <w:tcPr>
            <w:tcW w:w="140" w:type="dxa"/>
            <w:vAlign w:val="bottom"/>
            <w:tcBorders>
              <w:left w:val="single" w:sz="8" w:color="CCFFCC"/>
              <w:bottom w:val="single" w:sz="8" w:color="CCFFCC"/>
            </w:tcBorders>
            <w:shd w:val="clear" w:color="auto" w:fill="CCFFCC"/>
          </w:tcPr>
          <w:p>
            <w:pPr>
              <w:spacing w:after="0"/>
              <w:rPr>
                <w:sz w:val="16"/>
                <w:szCs w:val="16"/>
                <w:color w:val="auto"/>
              </w:rPr>
            </w:pPr>
          </w:p>
        </w:tc>
        <w:tc>
          <w:tcPr>
            <w:tcW w:w="440" w:type="dxa"/>
            <w:vAlign w:val="bottom"/>
            <w:tcBorders>
              <w:bottom w:val="single" w:sz="8" w:color="CCFFCC"/>
            </w:tcBorders>
            <w:shd w:val="clear" w:color="auto" w:fill="CCFFCC"/>
          </w:tcPr>
          <w:p>
            <w:pPr>
              <w:spacing w:after="0"/>
              <w:rPr>
                <w:sz w:val="16"/>
                <w:szCs w:val="16"/>
                <w:color w:val="auto"/>
              </w:rPr>
            </w:pPr>
          </w:p>
        </w:tc>
        <w:tc>
          <w:tcPr>
            <w:tcW w:w="240" w:type="dxa"/>
            <w:vAlign w:val="bottom"/>
            <w:tcBorders>
              <w:bottom w:val="single" w:sz="8" w:color="CCFFCC"/>
            </w:tcBorders>
            <w:shd w:val="clear" w:color="auto" w:fill="CCFFCC"/>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1940" w:type="dxa"/>
            <w:vAlign w:val="bottom"/>
            <w:gridSpan w:val="11"/>
          </w:tcPr>
          <w:p>
            <w:pPr>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88"/>
              </w:rPr>
              <w:t>e-Commerce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248,600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6,594,346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3,637,329</w:t>
            </w:r>
          </w:p>
        </w:tc>
        <w:tc>
          <w:tcPr>
            <w:tcW w:w="820" w:type="dxa"/>
            <w:vAlign w:val="bottom"/>
            <w:gridSpan w:val="3"/>
          </w:tcPr>
          <w:p>
            <w:pPr>
              <w:jc w:val="center"/>
              <w:ind w:left="119"/>
              <w:spacing w:after="0"/>
              <w:rPr>
                <w:sz w:val="20"/>
                <w:szCs w:val="20"/>
                <w:color w:val="auto"/>
              </w:rPr>
            </w:pPr>
            <w:r>
              <w:rPr>
                <w:rFonts w:ascii="Arial" w:cs="Arial" w:eastAsia="Arial" w:hAnsi="Arial"/>
                <w:sz w:val="16"/>
                <w:szCs w:val="16"/>
                <w:color w:val="auto"/>
                <w:w w:val="92"/>
              </w:rPr>
              <w:t>1.44%</w:t>
            </w: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88"/>
              </w:rPr>
              <w:t>Flash Sales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6"/>
        </w:trPr>
        <w:tc>
          <w:tcPr>
            <w:tcW w:w="20" w:type="dxa"/>
            <w:vAlign w:val="bottom"/>
            <w:shd w:val="clear" w:color="auto" w:fill="CCFFCC"/>
          </w:tcPr>
          <w:p>
            <w:pPr>
              <w:spacing w:after="0"/>
              <w:rPr>
                <w:sz w:val="19"/>
                <w:szCs w:val="19"/>
                <w:color w:val="auto"/>
              </w:rPr>
            </w:pPr>
          </w:p>
        </w:tc>
        <w:tc>
          <w:tcPr>
            <w:tcW w:w="1940" w:type="dxa"/>
            <w:vAlign w:val="bottom"/>
            <w:gridSpan w:val="11"/>
            <w:shd w:val="clear" w:color="auto" w:fill="CCFFCC"/>
          </w:tcPr>
          <w:p>
            <w:pPr>
              <w:spacing w:after="0" w:line="205" w:lineRule="exact"/>
              <w:rPr>
                <w:sz w:val="20"/>
                <w:szCs w:val="20"/>
                <w:color w:val="auto"/>
              </w:rPr>
            </w:pPr>
            <w:r>
              <w:rPr>
                <w:rFonts w:ascii="Arial" w:cs="Arial" w:eastAsia="Arial" w:hAnsi="Arial"/>
                <w:sz w:val="14"/>
                <w:szCs w:val="14"/>
                <w:b w:val="1"/>
                <w:bCs w:val="1"/>
                <w:color w:val="auto"/>
              </w:rPr>
              <w:t>Spotify Technology S.A.</w:t>
            </w:r>
            <w:r>
              <w:rPr>
                <w:rFonts w:ascii="Arial" w:cs="Arial" w:eastAsia="Arial" w:hAnsi="Arial"/>
                <w:sz w:val="23"/>
                <w:szCs w:val="23"/>
                <w:b w:val="1"/>
                <w:bCs w:val="1"/>
                <w:color w:val="auto"/>
                <w:vertAlign w:val="superscript"/>
              </w:rPr>
              <w:t>(10)</w:t>
            </w:r>
          </w:p>
        </w:tc>
        <w:tc>
          <w:tcPr>
            <w:tcW w:w="80" w:type="dxa"/>
            <w:vAlign w:val="bottom"/>
            <w:shd w:val="clear" w:color="auto" w:fill="CCFFCC"/>
          </w:tcPr>
          <w:p>
            <w:pPr>
              <w:spacing w:after="0"/>
              <w:rPr>
                <w:sz w:val="19"/>
                <w:szCs w:val="19"/>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Stockholm, Sweden</w:t>
            </w:r>
          </w:p>
        </w:tc>
        <w:tc>
          <w:tcPr>
            <w:tcW w:w="80" w:type="dxa"/>
            <w:vAlign w:val="bottom"/>
            <w:shd w:val="clear" w:color="auto" w:fill="CCFFCC"/>
          </w:tcPr>
          <w:p>
            <w:pPr>
              <w:spacing w:after="0"/>
              <w:rPr>
                <w:sz w:val="19"/>
                <w:szCs w:val="19"/>
                <w:color w:val="auto"/>
              </w:rPr>
            </w:pPr>
          </w:p>
        </w:tc>
        <w:tc>
          <w:tcPr>
            <w:tcW w:w="9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160" w:type="dxa"/>
            <w:vAlign w:val="bottom"/>
            <w:tcBorders>
              <w:left w:val="single" w:sz="8" w:color="CCFFCC"/>
            </w:tcBorders>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140" w:type="dxa"/>
            <w:vAlign w:val="bottom"/>
            <w:tcBorders>
              <w:left w:val="single" w:sz="8" w:color="CCFFCC"/>
            </w:tcBorders>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r>
      <w:tr>
        <w:trPr>
          <w:trHeight w:val="193"/>
        </w:trPr>
        <w:tc>
          <w:tcPr>
            <w:tcW w:w="20" w:type="dxa"/>
            <w:vAlign w:val="bottom"/>
            <w:tcBorders>
              <w:top w:val="single" w:sz="8" w:color="CCFFCC"/>
            </w:tcBorders>
          </w:tcPr>
          <w:p>
            <w:pPr>
              <w:spacing w:after="0"/>
              <w:rPr>
                <w:sz w:val="16"/>
                <w:szCs w:val="16"/>
                <w:color w:val="auto"/>
              </w:rPr>
            </w:pPr>
          </w:p>
        </w:tc>
        <w:tc>
          <w:tcPr>
            <w:tcW w:w="1640" w:type="dxa"/>
            <w:vAlign w:val="bottom"/>
            <w:tcBorders>
              <w:top w:val="single" w:sz="8" w:color="auto"/>
            </w:tcBorders>
            <w:gridSpan w:val="9"/>
          </w:tcPr>
          <w:p>
            <w:pPr>
              <w:spacing w:after="0"/>
              <w:rPr>
                <w:sz w:val="20"/>
                <w:szCs w:val="20"/>
                <w:color w:val="auto"/>
              </w:rPr>
            </w:pPr>
            <w:r>
              <w:rPr>
                <w:rFonts w:ascii="Arial" w:cs="Arial" w:eastAsia="Arial" w:hAnsi="Arial"/>
                <w:sz w:val="16"/>
                <w:szCs w:val="16"/>
                <w:color w:val="auto"/>
              </w:rPr>
              <w:t>Common shares</w:t>
            </w:r>
          </w:p>
        </w:tc>
        <w:tc>
          <w:tcPr>
            <w:tcW w:w="300" w:type="dxa"/>
            <w:vAlign w:val="bottom"/>
            <w:tcBorders>
              <w:top w:val="single" w:sz="8" w:color="CCFFCC"/>
            </w:tcBorders>
            <w:gridSpan w:val="2"/>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c>
          <w:tcPr>
            <w:tcW w:w="2460" w:type="dxa"/>
            <w:vAlign w:val="bottom"/>
            <w:tcBorders>
              <w:top w:val="single" w:sz="8" w:color="CCFFCC"/>
            </w:tcBorders>
          </w:tcPr>
          <w:p>
            <w:pPr>
              <w:jc w:val="center"/>
              <w:spacing w:after="0"/>
              <w:rPr>
                <w:sz w:val="20"/>
                <w:szCs w:val="20"/>
                <w:color w:val="auto"/>
              </w:rPr>
            </w:pPr>
            <w:r>
              <w:rPr>
                <w:rFonts w:ascii="Arial" w:cs="Arial" w:eastAsia="Arial" w:hAnsi="Arial"/>
                <w:sz w:val="16"/>
                <w:szCs w:val="16"/>
                <w:color w:val="auto"/>
                <w:w w:val="92"/>
              </w:rPr>
              <w:t>Music Streaming</w:t>
            </w:r>
          </w:p>
        </w:tc>
        <w:tc>
          <w:tcPr>
            <w:tcW w:w="1000" w:type="dxa"/>
            <w:vAlign w:val="bottom"/>
            <w:tcBorders>
              <w:top w:val="single" w:sz="8" w:color="CCFFCC"/>
            </w:tcBorders>
            <w:gridSpan w:val="2"/>
          </w:tcPr>
          <w:p>
            <w:pPr>
              <w:jc w:val="right"/>
              <w:spacing w:after="0"/>
              <w:rPr>
                <w:sz w:val="20"/>
                <w:szCs w:val="20"/>
                <w:color w:val="auto"/>
              </w:rPr>
            </w:pPr>
            <w:r>
              <w:rPr>
                <w:rFonts w:ascii="Arial" w:cs="Arial" w:eastAsia="Arial" w:hAnsi="Arial"/>
                <w:sz w:val="16"/>
                <w:szCs w:val="16"/>
                <w:color w:val="auto"/>
              </w:rPr>
              <w:t>3,658</w:t>
            </w:r>
          </w:p>
        </w:tc>
        <w:tc>
          <w:tcPr>
            <w:tcW w:w="920" w:type="dxa"/>
            <w:vAlign w:val="bottom"/>
            <w:tcBorders>
              <w:top w:val="single" w:sz="8" w:color="CCFFCC"/>
            </w:tcBorders>
            <w:gridSpan w:val="2"/>
          </w:tcPr>
          <w:p>
            <w:pPr>
              <w:jc w:val="right"/>
              <w:spacing w:after="0"/>
              <w:rPr>
                <w:sz w:val="20"/>
                <w:szCs w:val="20"/>
                <w:color w:val="auto"/>
              </w:rPr>
            </w:pPr>
            <w:r>
              <w:rPr>
                <w:rFonts w:ascii="Arial" w:cs="Arial" w:eastAsia="Arial" w:hAnsi="Arial"/>
                <w:sz w:val="16"/>
                <w:szCs w:val="16"/>
                <w:color w:val="auto"/>
              </w:rPr>
              <w:t>3,598,472</w:t>
            </w:r>
          </w:p>
        </w:tc>
        <w:tc>
          <w:tcPr>
            <w:tcW w:w="980" w:type="dxa"/>
            <w:vAlign w:val="bottom"/>
            <w:tcBorders>
              <w:top w:val="single" w:sz="8" w:color="CCFFCC"/>
            </w:tcBorders>
            <w:gridSpan w:val="2"/>
          </w:tcPr>
          <w:p>
            <w:pPr>
              <w:jc w:val="right"/>
              <w:spacing w:after="0"/>
              <w:rPr>
                <w:sz w:val="20"/>
                <w:szCs w:val="20"/>
                <w:color w:val="auto"/>
              </w:rPr>
            </w:pPr>
            <w:r>
              <w:rPr>
                <w:rFonts w:ascii="Arial" w:cs="Arial" w:eastAsia="Arial" w:hAnsi="Arial"/>
                <w:sz w:val="16"/>
                <w:szCs w:val="16"/>
                <w:color w:val="auto"/>
              </w:rPr>
              <w:t>3,589,669</w:t>
            </w:r>
          </w:p>
        </w:tc>
        <w:tc>
          <w:tcPr>
            <w:tcW w:w="820" w:type="dxa"/>
            <w:vAlign w:val="bottom"/>
            <w:tcBorders>
              <w:top w:val="single" w:sz="8" w:color="CCFFCC"/>
            </w:tcBorders>
            <w:gridSpan w:val="3"/>
          </w:tcPr>
          <w:p>
            <w:pPr>
              <w:jc w:val="center"/>
              <w:ind w:left="119"/>
              <w:spacing w:after="0"/>
              <w:rPr>
                <w:sz w:val="20"/>
                <w:szCs w:val="20"/>
                <w:color w:val="auto"/>
              </w:rPr>
            </w:pPr>
            <w:r>
              <w:rPr>
                <w:rFonts w:ascii="Arial" w:cs="Arial" w:eastAsia="Arial" w:hAnsi="Arial"/>
                <w:sz w:val="16"/>
                <w:szCs w:val="16"/>
                <w:color w:val="auto"/>
                <w:w w:val="92"/>
              </w:rPr>
              <w:t>1.42%</w:t>
            </w: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Service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86"/>
        </w:trPr>
        <w:tc>
          <w:tcPr>
            <w:tcW w:w="20" w:type="dxa"/>
            <w:vAlign w:val="bottom"/>
            <w:tcBorders>
              <w:bottom w:val="single" w:sz="8" w:color="CCFFCC"/>
            </w:tcBorders>
            <w:shd w:val="clear" w:color="auto" w:fill="CCFFCC"/>
          </w:tcPr>
          <w:p>
            <w:pPr>
              <w:spacing w:after="0"/>
              <w:rPr>
                <w:sz w:val="16"/>
                <w:szCs w:val="16"/>
                <w:color w:val="auto"/>
              </w:rPr>
            </w:pPr>
          </w:p>
        </w:tc>
        <w:tc>
          <w:tcPr>
            <w:tcW w:w="840" w:type="dxa"/>
            <w:vAlign w:val="bottom"/>
            <w:tcBorders>
              <w:bottom w:val="single" w:sz="8" w:color="auto"/>
            </w:tcBorders>
            <w:shd w:val="clear" w:color="auto" w:fill="CCFFCC"/>
          </w:tcPr>
          <w:p>
            <w:pPr>
              <w:spacing w:after="0" w:line="165" w:lineRule="exact"/>
              <w:rPr>
                <w:sz w:val="20"/>
                <w:szCs w:val="20"/>
                <w:color w:val="auto"/>
              </w:rPr>
            </w:pPr>
            <w:r>
              <w:rPr>
                <w:rFonts w:ascii="Arial" w:cs="Arial" w:eastAsia="Arial" w:hAnsi="Arial"/>
                <w:sz w:val="16"/>
                <w:szCs w:val="16"/>
                <w:b w:val="1"/>
                <w:bCs w:val="1"/>
                <w:color w:val="auto"/>
                <w:w w:val="90"/>
              </w:rPr>
              <w:t>ZocDoc Inc.</w:t>
            </w:r>
          </w:p>
        </w:tc>
        <w:tc>
          <w:tcPr>
            <w:tcW w:w="1100" w:type="dxa"/>
            <w:vAlign w:val="bottom"/>
            <w:tcBorders>
              <w:bottom w:val="single" w:sz="8" w:color="CCFFCC"/>
            </w:tcBorders>
            <w:gridSpan w:val="10"/>
            <w:shd w:val="clear" w:color="auto" w:fill="CCFFCC"/>
          </w:tcPr>
          <w:p>
            <w:pPr>
              <w:spacing w:after="0"/>
              <w:rPr>
                <w:sz w:val="16"/>
                <w:szCs w:val="16"/>
                <w:color w:val="auto"/>
              </w:rPr>
            </w:pPr>
          </w:p>
        </w:tc>
        <w:tc>
          <w:tcPr>
            <w:tcW w:w="80" w:type="dxa"/>
            <w:vAlign w:val="bottom"/>
            <w:tcBorders>
              <w:bottom w:val="single" w:sz="8" w:color="CCFFCC"/>
            </w:tcBorders>
            <w:shd w:val="clear" w:color="auto" w:fill="CCFFCC"/>
          </w:tcPr>
          <w:p>
            <w:pPr>
              <w:spacing w:after="0"/>
              <w:rPr>
                <w:sz w:val="16"/>
                <w:szCs w:val="16"/>
                <w:color w:val="auto"/>
              </w:rPr>
            </w:pPr>
          </w:p>
        </w:tc>
        <w:tc>
          <w:tcPr>
            <w:tcW w:w="2460" w:type="dxa"/>
            <w:vAlign w:val="bottom"/>
            <w:tcBorders>
              <w:bottom w:val="single" w:sz="8" w:color="CCFFCC"/>
            </w:tcBorders>
            <w:shd w:val="clear" w:color="auto" w:fill="CCFFCC"/>
          </w:tcPr>
          <w:p>
            <w:pPr>
              <w:jc w:val="center"/>
              <w:spacing w:after="0" w:line="165" w:lineRule="exact"/>
              <w:rPr>
                <w:sz w:val="20"/>
                <w:szCs w:val="20"/>
                <w:color w:val="auto"/>
              </w:rPr>
            </w:pPr>
            <w:r>
              <w:rPr>
                <w:rFonts w:ascii="Arial" w:cs="Arial" w:eastAsia="Arial" w:hAnsi="Arial"/>
                <w:sz w:val="16"/>
                <w:szCs w:val="16"/>
                <w:color w:val="auto"/>
                <w:w w:val="97"/>
              </w:rPr>
              <w:t>New York, NY</w:t>
            </w:r>
          </w:p>
        </w:tc>
        <w:tc>
          <w:tcPr>
            <w:tcW w:w="80" w:type="dxa"/>
            <w:vAlign w:val="bottom"/>
            <w:tcBorders>
              <w:bottom w:val="single" w:sz="8" w:color="CCFFCC"/>
            </w:tcBorders>
            <w:shd w:val="clear" w:color="auto" w:fill="CCFFCC"/>
          </w:tcPr>
          <w:p>
            <w:pPr>
              <w:spacing w:after="0"/>
              <w:rPr>
                <w:sz w:val="16"/>
                <w:szCs w:val="16"/>
                <w:color w:val="auto"/>
              </w:rPr>
            </w:pPr>
          </w:p>
        </w:tc>
        <w:tc>
          <w:tcPr>
            <w:tcW w:w="920" w:type="dxa"/>
            <w:vAlign w:val="bottom"/>
            <w:tcBorders>
              <w:bottom w:val="single" w:sz="8" w:color="CCFFCC"/>
            </w:tcBorders>
            <w:shd w:val="clear" w:color="auto" w:fill="CCFFCC"/>
          </w:tcPr>
          <w:p>
            <w:pPr>
              <w:spacing w:after="0"/>
              <w:rPr>
                <w:sz w:val="16"/>
                <w:szCs w:val="16"/>
                <w:color w:val="auto"/>
              </w:rPr>
            </w:pPr>
          </w:p>
        </w:tc>
        <w:tc>
          <w:tcPr>
            <w:tcW w:w="100" w:type="dxa"/>
            <w:vAlign w:val="bottom"/>
            <w:tcBorders>
              <w:bottom w:val="single" w:sz="8" w:color="CCFFCC"/>
            </w:tcBorders>
            <w:shd w:val="clear" w:color="auto" w:fill="CCFFCC"/>
          </w:tcPr>
          <w:p>
            <w:pPr>
              <w:spacing w:after="0"/>
              <w:rPr>
                <w:sz w:val="16"/>
                <w:szCs w:val="16"/>
                <w:color w:val="auto"/>
              </w:rPr>
            </w:pPr>
          </w:p>
        </w:tc>
        <w:tc>
          <w:tcPr>
            <w:tcW w:w="8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left w:val="single" w:sz="8" w:color="CCFFCC"/>
              <w:bottom w:val="single" w:sz="8" w:color="CCFFCC"/>
            </w:tcBorders>
            <w:shd w:val="clear" w:color="auto" w:fill="CCFFCC"/>
          </w:tcPr>
          <w:p>
            <w:pPr>
              <w:spacing w:after="0"/>
              <w:rPr>
                <w:sz w:val="16"/>
                <w:szCs w:val="16"/>
                <w:color w:val="auto"/>
              </w:rPr>
            </w:pPr>
          </w:p>
        </w:tc>
        <w:tc>
          <w:tcPr>
            <w:tcW w:w="820" w:type="dxa"/>
            <w:vAlign w:val="bottom"/>
            <w:tcBorders>
              <w:bottom w:val="single" w:sz="8" w:color="CCFFCC"/>
            </w:tcBorders>
            <w:shd w:val="clear" w:color="auto" w:fill="CCFFCC"/>
          </w:tcPr>
          <w:p>
            <w:pPr>
              <w:spacing w:after="0"/>
              <w:rPr>
                <w:sz w:val="16"/>
                <w:szCs w:val="16"/>
                <w:color w:val="auto"/>
              </w:rPr>
            </w:pPr>
          </w:p>
        </w:tc>
        <w:tc>
          <w:tcPr>
            <w:tcW w:w="140" w:type="dxa"/>
            <w:vAlign w:val="bottom"/>
            <w:tcBorders>
              <w:left w:val="single" w:sz="8" w:color="CCFFCC"/>
              <w:bottom w:val="single" w:sz="8" w:color="CCFFCC"/>
            </w:tcBorders>
            <w:shd w:val="clear" w:color="auto" w:fill="CCFFCC"/>
          </w:tcPr>
          <w:p>
            <w:pPr>
              <w:spacing w:after="0"/>
              <w:rPr>
                <w:sz w:val="16"/>
                <w:szCs w:val="16"/>
                <w:color w:val="auto"/>
              </w:rPr>
            </w:pPr>
          </w:p>
        </w:tc>
        <w:tc>
          <w:tcPr>
            <w:tcW w:w="440" w:type="dxa"/>
            <w:vAlign w:val="bottom"/>
            <w:tcBorders>
              <w:bottom w:val="single" w:sz="8" w:color="CCFFCC"/>
            </w:tcBorders>
            <w:shd w:val="clear" w:color="auto" w:fill="CCFFCC"/>
          </w:tcPr>
          <w:p>
            <w:pPr>
              <w:spacing w:after="0"/>
              <w:rPr>
                <w:sz w:val="16"/>
                <w:szCs w:val="16"/>
                <w:color w:val="auto"/>
              </w:rPr>
            </w:pPr>
          </w:p>
        </w:tc>
        <w:tc>
          <w:tcPr>
            <w:tcW w:w="240" w:type="dxa"/>
            <w:vAlign w:val="bottom"/>
            <w:tcBorders>
              <w:bottom w:val="single" w:sz="8" w:color="CCFFCC"/>
            </w:tcBorders>
            <w:shd w:val="clear" w:color="auto" w:fill="CCFFCC"/>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1940" w:type="dxa"/>
            <w:vAlign w:val="bottom"/>
            <w:gridSpan w:val="11"/>
          </w:tcPr>
          <w:p>
            <w:pPr>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6"/>
              </w:rPr>
              <w:t>Online Medical</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3,563,178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3,500,000</w:t>
            </w:r>
          </w:p>
        </w:tc>
        <w:tc>
          <w:tcPr>
            <w:tcW w:w="820" w:type="dxa"/>
            <w:vAlign w:val="bottom"/>
            <w:gridSpan w:val="3"/>
          </w:tcPr>
          <w:p>
            <w:pPr>
              <w:jc w:val="center"/>
              <w:ind w:left="119"/>
              <w:spacing w:after="0"/>
              <w:rPr>
                <w:sz w:val="20"/>
                <w:szCs w:val="20"/>
                <w:color w:val="auto"/>
              </w:rPr>
            </w:pPr>
            <w:r>
              <w:rPr>
                <w:rFonts w:ascii="Arial" w:cs="Arial" w:eastAsia="Arial" w:hAnsi="Arial"/>
                <w:sz w:val="16"/>
                <w:szCs w:val="16"/>
                <w:color w:val="auto"/>
                <w:w w:val="92"/>
              </w:rPr>
              <w:t>1.38%</w:t>
            </w: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Scheduling</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86"/>
        </w:trPr>
        <w:tc>
          <w:tcPr>
            <w:tcW w:w="20" w:type="dxa"/>
            <w:vAlign w:val="bottom"/>
            <w:tcBorders>
              <w:bottom w:val="single" w:sz="8" w:color="CCFFCC"/>
            </w:tcBorders>
            <w:shd w:val="clear" w:color="auto" w:fill="CCFFCC"/>
          </w:tcPr>
          <w:p>
            <w:pPr>
              <w:spacing w:after="0"/>
              <w:rPr>
                <w:sz w:val="16"/>
                <w:szCs w:val="16"/>
                <w:color w:val="auto"/>
              </w:rPr>
            </w:pPr>
          </w:p>
        </w:tc>
        <w:tc>
          <w:tcPr>
            <w:tcW w:w="1900" w:type="dxa"/>
            <w:vAlign w:val="bottom"/>
            <w:tcBorders>
              <w:bottom w:val="single" w:sz="8" w:color="auto"/>
            </w:tcBorders>
            <w:gridSpan w:val="10"/>
            <w:shd w:val="clear" w:color="auto" w:fill="CCFFCC"/>
          </w:tcPr>
          <w:p>
            <w:pPr>
              <w:spacing w:after="0" w:line="165" w:lineRule="exact"/>
              <w:rPr>
                <w:sz w:val="20"/>
                <w:szCs w:val="20"/>
                <w:color w:val="auto"/>
              </w:rPr>
            </w:pPr>
            <w:r>
              <w:rPr>
                <w:rFonts w:ascii="Arial" w:cs="Arial" w:eastAsia="Arial" w:hAnsi="Arial"/>
                <w:sz w:val="16"/>
                <w:szCs w:val="16"/>
                <w:b w:val="1"/>
                <w:bCs w:val="1"/>
                <w:color w:val="auto"/>
                <w:w w:val="91"/>
              </w:rPr>
              <w:t>Bloom Energy Corporation</w:t>
            </w:r>
          </w:p>
        </w:tc>
        <w:tc>
          <w:tcPr>
            <w:tcW w:w="40" w:type="dxa"/>
            <w:vAlign w:val="bottom"/>
            <w:tcBorders>
              <w:bottom w:val="single" w:sz="8" w:color="CCFFCC"/>
            </w:tcBorders>
            <w:shd w:val="clear" w:color="auto" w:fill="CCFFCC"/>
          </w:tcPr>
          <w:p>
            <w:pPr>
              <w:spacing w:after="0"/>
              <w:rPr>
                <w:sz w:val="16"/>
                <w:szCs w:val="16"/>
                <w:color w:val="auto"/>
              </w:rPr>
            </w:pPr>
          </w:p>
        </w:tc>
        <w:tc>
          <w:tcPr>
            <w:tcW w:w="80" w:type="dxa"/>
            <w:vAlign w:val="bottom"/>
            <w:tcBorders>
              <w:bottom w:val="single" w:sz="8" w:color="CCFFCC"/>
            </w:tcBorders>
            <w:shd w:val="clear" w:color="auto" w:fill="CCFFCC"/>
          </w:tcPr>
          <w:p>
            <w:pPr>
              <w:spacing w:after="0"/>
              <w:rPr>
                <w:sz w:val="16"/>
                <w:szCs w:val="16"/>
                <w:color w:val="auto"/>
              </w:rPr>
            </w:pPr>
          </w:p>
        </w:tc>
        <w:tc>
          <w:tcPr>
            <w:tcW w:w="2460" w:type="dxa"/>
            <w:vAlign w:val="bottom"/>
            <w:tcBorders>
              <w:bottom w:val="single" w:sz="8" w:color="CCFFCC"/>
            </w:tcBorders>
            <w:shd w:val="clear" w:color="auto" w:fill="CCFFCC"/>
          </w:tcPr>
          <w:p>
            <w:pPr>
              <w:jc w:val="center"/>
              <w:spacing w:after="0" w:line="165" w:lineRule="exact"/>
              <w:rPr>
                <w:sz w:val="20"/>
                <w:szCs w:val="20"/>
                <w:color w:val="auto"/>
              </w:rPr>
            </w:pPr>
            <w:r>
              <w:rPr>
                <w:rFonts w:ascii="Arial" w:cs="Arial" w:eastAsia="Arial" w:hAnsi="Arial"/>
                <w:sz w:val="16"/>
                <w:szCs w:val="16"/>
                <w:color w:val="auto"/>
                <w:w w:val="92"/>
              </w:rPr>
              <w:t>Sunnyvale, CA</w:t>
            </w:r>
          </w:p>
        </w:tc>
        <w:tc>
          <w:tcPr>
            <w:tcW w:w="80" w:type="dxa"/>
            <w:vAlign w:val="bottom"/>
            <w:tcBorders>
              <w:bottom w:val="single" w:sz="8" w:color="CCFFCC"/>
            </w:tcBorders>
            <w:shd w:val="clear" w:color="auto" w:fill="CCFFCC"/>
          </w:tcPr>
          <w:p>
            <w:pPr>
              <w:spacing w:after="0"/>
              <w:rPr>
                <w:sz w:val="16"/>
                <w:szCs w:val="16"/>
                <w:color w:val="auto"/>
              </w:rPr>
            </w:pPr>
          </w:p>
        </w:tc>
        <w:tc>
          <w:tcPr>
            <w:tcW w:w="920" w:type="dxa"/>
            <w:vAlign w:val="bottom"/>
            <w:tcBorders>
              <w:bottom w:val="single" w:sz="8" w:color="CCFFCC"/>
            </w:tcBorders>
            <w:shd w:val="clear" w:color="auto" w:fill="CCFFCC"/>
          </w:tcPr>
          <w:p>
            <w:pPr>
              <w:spacing w:after="0"/>
              <w:rPr>
                <w:sz w:val="16"/>
                <w:szCs w:val="16"/>
                <w:color w:val="auto"/>
              </w:rPr>
            </w:pPr>
          </w:p>
        </w:tc>
        <w:tc>
          <w:tcPr>
            <w:tcW w:w="100" w:type="dxa"/>
            <w:vAlign w:val="bottom"/>
            <w:tcBorders>
              <w:bottom w:val="single" w:sz="8" w:color="CCFFCC"/>
            </w:tcBorders>
            <w:shd w:val="clear" w:color="auto" w:fill="CCFFCC"/>
          </w:tcPr>
          <w:p>
            <w:pPr>
              <w:spacing w:after="0"/>
              <w:rPr>
                <w:sz w:val="16"/>
                <w:szCs w:val="16"/>
                <w:color w:val="auto"/>
              </w:rPr>
            </w:pPr>
          </w:p>
        </w:tc>
        <w:tc>
          <w:tcPr>
            <w:tcW w:w="82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left w:val="single" w:sz="8" w:color="CCFFCC"/>
              <w:bottom w:val="single" w:sz="8" w:color="CCFFCC"/>
            </w:tcBorders>
            <w:shd w:val="clear" w:color="auto" w:fill="CCFFCC"/>
          </w:tcPr>
          <w:p>
            <w:pPr>
              <w:spacing w:after="0"/>
              <w:rPr>
                <w:sz w:val="16"/>
                <w:szCs w:val="16"/>
                <w:color w:val="auto"/>
              </w:rPr>
            </w:pPr>
          </w:p>
        </w:tc>
        <w:tc>
          <w:tcPr>
            <w:tcW w:w="820" w:type="dxa"/>
            <w:vAlign w:val="bottom"/>
            <w:tcBorders>
              <w:bottom w:val="single" w:sz="8" w:color="CCFFCC"/>
            </w:tcBorders>
            <w:shd w:val="clear" w:color="auto" w:fill="CCFFCC"/>
          </w:tcPr>
          <w:p>
            <w:pPr>
              <w:spacing w:after="0"/>
              <w:rPr>
                <w:sz w:val="16"/>
                <w:szCs w:val="16"/>
                <w:color w:val="auto"/>
              </w:rPr>
            </w:pPr>
          </w:p>
        </w:tc>
        <w:tc>
          <w:tcPr>
            <w:tcW w:w="140" w:type="dxa"/>
            <w:vAlign w:val="bottom"/>
            <w:tcBorders>
              <w:left w:val="single" w:sz="8" w:color="CCFFCC"/>
              <w:bottom w:val="single" w:sz="8" w:color="CCFFCC"/>
            </w:tcBorders>
            <w:shd w:val="clear" w:color="auto" w:fill="CCFFCC"/>
          </w:tcPr>
          <w:p>
            <w:pPr>
              <w:spacing w:after="0"/>
              <w:rPr>
                <w:sz w:val="16"/>
                <w:szCs w:val="16"/>
                <w:color w:val="auto"/>
              </w:rPr>
            </w:pPr>
          </w:p>
        </w:tc>
        <w:tc>
          <w:tcPr>
            <w:tcW w:w="440" w:type="dxa"/>
            <w:vAlign w:val="bottom"/>
            <w:tcBorders>
              <w:bottom w:val="single" w:sz="8" w:color="CCFFCC"/>
            </w:tcBorders>
            <w:shd w:val="clear" w:color="auto" w:fill="CCFFCC"/>
          </w:tcPr>
          <w:p>
            <w:pPr>
              <w:spacing w:after="0"/>
              <w:rPr>
                <w:sz w:val="16"/>
                <w:szCs w:val="16"/>
                <w:color w:val="auto"/>
              </w:rPr>
            </w:pPr>
          </w:p>
        </w:tc>
        <w:tc>
          <w:tcPr>
            <w:tcW w:w="240" w:type="dxa"/>
            <w:vAlign w:val="bottom"/>
            <w:tcBorders>
              <w:bottom w:val="single" w:sz="8" w:color="CCFFCC"/>
            </w:tcBorders>
            <w:shd w:val="clear" w:color="auto" w:fill="CCFFCC"/>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940" w:type="dxa"/>
            <w:vAlign w:val="bottom"/>
            <w:gridSpan w:val="11"/>
          </w:tcPr>
          <w:p>
            <w:pPr>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Fuel Cell Energy</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201,589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3,855,601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3,225,424</w:t>
            </w:r>
          </w:p>
        </w:tc>
        <w:tc>
          <w:tcPr>
            <w:tcW w:w="820" w:type="dxa"/>
            <w:vAlign w:val="bottom"/>
            <w:gridSpan w:val="3"/>
          </w:tcPr>
          <w:p>
            <w:pPr>
              <w:jc w:val="center"/>
              <w:ind w:left="119"/>
              <w:spacing w:after="0"/>
              <w:rPr>
                <w:sz w:val="20"/>
                <w:szCs w:val="20"/>
                <w:color w:val="auto"/>
              </w:rPr>
            </w:pPr>
            <w:r>
              <w:rPr>
                <w:rFonts w:ascii="Arial" w:cs="Arial" w:eastAsia="Arial" w:hAnsi="Arial"/>
                <w:sz w:val="16"/>
                <w:szCs w:val="16"/>
                <w:color w:val="auto"/>
                <w:w w:val="92"/>
              </w:rPr>
              <w:t>1.28%</w:t>
            </w:r>
          </w:p>
        </w:tc>
      </w:tr>
      <w:tr>
        <w:trPr>
          <w:trHeight w:val="162"/>
        </w:trPr>
        <w:tc>
          <w:tcPr>
            <w:tcW w:w="20" w:type="dxa"/>
            <w:vAlign w:val="bottom"/>
            <w:tcBorders>
              <w:bottom w:val="single" w:sz="8" w:color="CCFFCC"/>
            </w:tcBorders>
            <w:shd w:val="clear" w:color="auto" w:fill="CCFFCC"/>
          </w:tcPr>
          <w:p>
            <w:pPr>
              <w:spacing w:after="0"/>
              <w:rPr>
                <w:sz w:val="14"/>
                <w:szCs w:val="14"/>
                <w:color w:val="auto"/>
              </w:rPr>
            </w:pPr>
          </w:p>
        </w:tc>
        <w:tc>
          <w:tcPr>
            <w:tcW w:w="1900" w:type="dxa"/>
            <w:vAlign w:val="bottom"/>
            <w:tcBorders>
              <w:bottom w:val="single" w:sz="8" w:color="auto"/>
            </w:tcBorders>
            <w:gridSpan w:val="10"/>
            <w:shd w:val="clear" w:color="auto" w:fill="CCFFCC"/>
          </w:tcPr>
          <w:p>
            <w:pPr>
              <w:spacing w:after="0" w:line="162" w:lineRule="exact"/>
              <w:rPr>
                <w:sz w:val="20"/>
                <w:szCs w:val="20"/>
                <w:color w:val="auto"/>
              </w:rPr>
            </w:pPr>
            <w:r>
              <w:rPr>
                <w:rFonts w:ascii="Arial" w:cs="Arial" w:eastAsia="Arial" w:hAnsi="Arial"/>
                <w:sz w:val="16"/>
                <w:szCs w:val="16"/>
                <w:b w:val="1"/>
                <w:bCs w:val="1"/>
                <w:color w:val="auto"/>
                <w:w w:val="92"/>
              </w:rPr>
              <w:t>Global Education Learning</w:t>
            </w:r>
          </w:p>
        </w:tc>
        <w:tc>
          <w:tcPr>
            <w:tcW w:w="4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2460" w:type="dxa"/>
            <w:vAlign w:val="bottom"/>
            <w:tcBorders>
              <w:bottom w:val="single" w:sz="8" w:color="CCFFCC"/>
            </w:tcBorders>
            <w:shd w:val="clear" w:color="auto" w:fill="CCFFCC"/>
          </w:tcPr>
          <w:p>
            <w:pPr>
              <w:jc w:val="center"/>
              <w:spacing w:after="0" w:line="162" w:lineRule="exact"/>
              <w:rPr>
                <w:sz w:val="20"/>
                <w:szCs w:val="20"/>
                <w:color w:val="auto"/>
              </w:rPr>
            </w:pPr>
            <w:r>
              <w:rPr>
                <w:rFonts w:ascii="Arial" w:cs="Arial" w:eastAsia="Arial" w:hAnsi="Arial"/>
                <w:sz w:val="16"/>
                <w:szCs w:val="16"/>
                <w:color w:val="auto"/>
                <w:w w:val="94"/>
              </w:rPr>
              <w:t>Hong Kong</w:t>
            </w:r>
          </w:p>
        </w:tc>
        <w:tc>
          <w:tcPr>
            <w:tcW w:w="80" w:type="dxa"/>
            <w:vAlign w:val="bottom"/>
            <w:tcBorders>
              <w:bottom w:val="single" w:sz="8" w:color="CCFFCC"/>
            </w:tcBorders>
            <w:shd w:val="clear" w:color="auto" w:fill="CCFFCC"/>
          </w:tcPr>
          <w:p>
            <w:pPr>
              <w:spacing w:after="0"/>
              <w:rPr>
                <w:sz w:val="14"/>
                <w:szCs w:val="14"/>
                <w:color w:val="auto"/>
              </w:rPr>
            </w:pPr>
          </w:p>
        </w:tc>
        <w:tc>
          <w:tcPr>
            <w:tcW w:w="92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820" w:type="dxa"/>
            <w:vAlign w:val="bottom"/>
            <w:tcBorders>
              <w:bottom w:val="single" w:sz="8" w:color="CCFFCC"/>
            </w:tcBorders>
            <w:shd w:val="clear" w:color="auto" w:fill="CCFFCC"/>
          </w:tcPr>
          <w:p>
            <w:pPr>
              <w:spacing w:after="0"/>
              <w:rPr>
                <w:sz w:val="14"/>
                <w:szCs w:val="14"/>
                <w:color w:val="auto"/>
              </w:rPr>
            </w:pPr>
          </w:p>
        </w:tc>
        <w:tc>
          <w:tcPr>
            <w:tcW w:w="160" w:type="dxa"/>
            <w:vAlign w:val="bottom"/>
            <w:tcBorders>
              <w:left w:val="single" w:sz="8" w:color="CCFFCC"/>
              <w:bottom w:val="single" w:sz="8" w:color="CCFFCC"/>
            </w:tcBorders>
            <w:shd w:val="clear" w:color="auto" w:fill="CCFFCC"/>
          </w:tcPr>
          <w:p>
            <w:pPr>
              <w:spacing w:after="0"/>
              <w:rPr>
                <w:sz w:val="14"/>
                <w:szCs w:val="14"/>
                <w:color w:val="auto"/>
              </w:rPr>
            </w:pPr>
          </w:p>
        </w:tc>
        <w:tc>
          <w:tcPr>
            <w:tcW w:w="820" w:type="dxa"/>
            <w:vAlign w:val="bottom"/>
            <w:tcBorders>
              <w:bottom w:val="single" w:sz="8" w:color="CCFFCC"/>
            </w:tcBorders>
            <w:shd w:val="clear" w:color="auto" w:fill="CCFFCC"/>
          </w:tcPr>
          <w:p>
            <w:pPr>
              <w:spacing w:after="0"/>
              <w:rPr>
                <w:sz w:val="14"/>
                <w:szCs w:val="14"/>
                <w:color w:val="auto"/>
              </w:rPr>
            </w:pPr>
          </w:p>
        </w:tc>
        <w:tc>
          <w:tcPr>
            <w:tcW w:w="140" w:type="dxa"/>
            <w:vAlign w:val="bottom"/>
            <w:tcBorders>
              <w:left w:val="single" w:sz="8" w:color="CCFFCC"/>
              <w:bottom w:val="single" w:sz="8" w:color="CCFFCC"/>
            </w:tcBorders>
            <w:shd w:val="clear" w:color="auto" w:fill="CCFFCC"/>
          </w:tcPr>
          <w:p>
            <w:pPr>
              <w:spacing w:after="0"/>
              <w:rPr>
                <w:sz w:val="14"/>
                <w:szCs w:val="14"/>
                <w:color w:val="auto"/>
              </w:rPr>
            </w:pPr>
          </w:p>
        </w:tc>
        <w:tc>
          <w:tcPr>
            <w:tcW w:w="440" w:type="dxa"/>
            <w:vAlign w:val="bottom"/>
            <w:tcBorders>
              <w:bottom w:val="single" w:sz="8" w:color="CCFFCC"/>
            </w:tcBorders>
            <w:shd w:val="clear" w:color="auto" w:fill="CCFFCC"/>
          </w:tcPr>
          <w:p>
            <w:pPr>
              <w:spacing w:after="0"/>
              <w:rPr>
                <w:sz w:val="14"/>
                <w:szCs w:val="14"/>
                <w:color w:val="auto"/>
              </w:rPr>
            </w:pPr>
          </w:p>
        </w:tc>
        <w:tc>
          <w:tcPr>
            <w:tcW w:w="240" w:type="dxa"/>
            <w:vAlign w:val="bottom"/>
            <w:tcBorders>
              <w:bottom w:val="single" w:sz="8" w:color="CCFFCC"/>
            </w:tcBorders>
            <w:shd w:val="clear" w:color="auto" w:fill="CCFFCC"/>
          </w:tcPr>
          <w:p>
            <w:pPr>
              <w:spacing w:after="0"/>
              <w:rPr>
                <w:sz w:val="14"/>
                <w:szCs w:val="14"/>
                <w:color w:val="auto"/>
              </w:rPr>
            </w:pPr>
          </w:p>
        </w:tc>
      </w:tr>
      <w:tr>
        <w:trPr>
          <w:trHeight w:val="223"/>
        </w:trPr>
        <w:tc>
          <w:tcPr>
            <w:tcW w:w="20" w:type="dxa"/>
            <w:vAlign w:val="bottom"/>
            <w:shd w:val="clear" w:color="auto" w:fill="CCFFCC"/>
          </w:tcPr>
          <w:p>
            <w:pPr>
              <w:spacing w:after="0"/>
              <w:rPr>
                <w:sz w:val="19"/>
                <w:szCs w:val="19"/>
                <w:color w:val="auto"/>
              </w:rPr>
            </w:pPr>
          </w:p>
        </w:tc>
        <w:tc>
          <w:tcPr>
            <w:tcW w:w="1940" w:type="dxa"/>
            <w:vAlign w:val="bottom"/>
            <w:gridSpan w:val="11"/>
            <w:shd w:val="clear" w:color="auto" w:fill="CCFFCC"/>
          </w:tcPr>
          <w:p>
            <w:pPr>
              <w:spacing w:after="0" w:line="223" w:lineRule="exact"/>
              <w:rPr>
                <w:sz w:val="20"/>
                <w:szCs w:val="20"/>
                <w:color w:val="auto"/>
              </w:rPr>
            </w:pPr>
            <w:r>
              <w:rPr>
                <w:rFonts w:ascii="Arial" w:cs="Arial" w:eastAsia="Arial" w:hAnsi="Arial"/>
                <w:sz w:val="15"/>
                <w:szCs w:val="15"/>
                <w:b w:val="1"/>
                <w:bCs w:val="1"/>
                <w:color w:val="auto"/>
              </w:rPr>
              <w:t>(Holdings) Ltd.</w:t>
            </w:r>
            <w:r>
              <w:rPr>
                <w:rFonts w:ascii="Arial" w:cs="Arial" w:eastAsia="Arial" w:hAnsi="Arial"/>
                <w:sz w:val="25"/>
                <w:szCs w:val="25"/>
                <w:b w:val="1"/>
                <w:bCs w:val="1"/>
                <w:color w:val="auto"/>
                <w:vertAlign w:val="superscript"/>
              </w:rPr>
              <w:t>(2)(10)</w:t>
            </w:r>
          </w:p>
        </w:tc>
        <w:tc>
          <w:tcPr>
            <w:tcW w:w="80" w:type="dxa"/>
            <w:vAlign w:val="bottom"/>
            <w:shd w:val="clear" w:color="auto" w:fill="CCFFCC"/>
          </w:tcPr>
          <w:p>
            <w:pPr>
              <w:spacing w:after="0"/>
              <w:rPr>
                <w:sz w:val="19"/>
                <w:szCs w:val="19"/>
                <w:color w:val="auto"/>
              </w:rPr>
            </w:pPr>
          </w:p>
        </w:tc>
        <w:tc>
          <w:tcPr>
            <w:tcW w:w="24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9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160" w:type="dxa"/>
            <w:vAlign w:val="bottom"/>
            <w:tcBorders>
              <w:left w:val="single" w:sz="8" w:color="CCFFCC"/>
            </w:tcBorders>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140" w:type="dxa"/>
            <w:vAlign w:val="bottom"/>
            <w:tcBorders>
              <w:left w:val="single" w:sz="8" w:color="CCFFCC"/>
            </w:tcBorders>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gridSpan w:val="11"/>
          </w:tcPr>
          <w:p>
            <w:pPr>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Education</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1,472,175</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2,999,998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3,003,237</w:t>
            </w:r>
          </w:p>
        </w:tc>
        <w:tc>
          <w:tcPr>
            <w:tcW w:w="820" w:type="dxa"/>
            <w:vAlign w:val="bottom"/>
            <w:gridSpan w:val="3"/>
          </w:tcPr>
          <w:p>
            <w:pPr>
              <w:jc w:val="center"/>
              <w:ind w:left="119"/>
              <w:spacing w:after="0"/>
              <w:rPr>
                <w:sz w:val="20"/>
                <w:szCs w:val="20"/>
                <w:color w:val="auto"/>
              </w:rPr>
            </w:pPr>
            <w:r>
              <w:rPr>
                <w:rFonts w:ascii="Arial" w:cs="Arial" w:eastAsia="Arial" w:hAnsi="Arial"/>
                <w:sz w:val="16"/>
                <w:szCs w:val="16"/>
                <w:color w:val="auto"/>
                <w:w w:val="92"/>
              </w:rPr>
              <w:t>1.19%</w:t>
            </w: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Technology</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65"/>
        </w:trPr>
        <w:tc>
          <w:tcPr>
            <w:tcW w:w="20" w:type="dxa"/>
            <w:vAlign w:val="bottom"/>
            <w:shd w:val="clear" w:color="auto" w:fill="CCFFCC"/>
          </w:tcPr>
          <w:p>
            <w:pPr>
              <w:spacing w:after="0"/>
              <w:rPr>
                <w:sz w:val="14"/>
                <w:szCs w:val="14"/>
                <w:color w:val="auto"/>
              </w:rPr>
            </w:pPr>
          </w:p>
        </w:tc>
        <w:tc>
          <w:tcPr>
            <w:tcW w:w="1940" w:type="dxa"/>
            <w:vAlign w:val="bottom"/>
            <w:gridSpan w:val="11"/>
            <w:shd w:val="clear" w:color="auto" w:fill="CCFFCC"/>
          </w:tcPr>
          <w:p>
            <w:pPr>
              <w:spacing w:after="0" w:line="165" w:lineRule="exact"/>
              <w:rPr>
                <w:sz w:val="20"/>
                <w:szCs w:val="20"/>
                <w:color w:val="auto"/>
              </w:rPr>
            </w:pPr>
            <w:r>
              <w:rPr>
                <w:rFonts w:ascii="Arial" w:cs="Arial" w:eastAsia="Arial" w:hAnsi="Arial"/>
                <w:sz w:val="16"/>
                <w:szCs w:val="16"/>
                <w:b w:val="1"/>
                <w:bCs w:val="1"/>
                <w:color w:val="auto"/>
              </w:rPr>
              <w:t>Parchment,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5" w:lineRule="exact"/>
              <w:rPr>
                <w:sz w:val="20"/>
                <w:szCs w:val="20"/>
                <w:color w:val="auto"/>
              </w:rPr>
            </w:pPr>
            <w:r>
              <w:rPr>
                <w:rFonts w:ascii="Arial" w:cs="Arial" w:eastAsia="Arial" w:hAnsi="Arial"/>
                <w:sz w:val="16"/>
                <w:szCs w:val="16"/>
                <w:color w:val="auto"/>
                <w:w w:val="94"/>
              </w:rPr>
              <w:t>Scottsdale, AZ</w:t>
            </w:r>
          </w:p>
        </w:tc>
        <w:tc>
          <w:tcPr>
            <w:tcW w:w="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60" w:type="dxa"/>
            <w:vAlign w:val="bottom"/>
            <w:tcBorders>
              <w:left w:val="single" w:sz="8" w:color="CCFFCC"/>
            </w:tcBorders>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gridSpan w:val="11"/>
          </w:tcPr>
          <w:p>
            <w:pPr>
              <w:spacing w:after="0"/>
              <w:rPr>
                <w:sz w:val="20"/>
                <w:szCs w:val="20"/>
                <w:color w:val="auto"/>
              </w:rPr>
            </w:pPr>
            <w:r>
              <w:rPr>
                <w:rFonts w:ascii="Arial" w:cs="Arial" w:eastAsia="Arial" w:hAnsi="Arial"/>
                <w:sz w:val="16"/>
                <w:szCs w:val="16"/>
                <w:color w:val="auto"/>
              </w:rPr>
              <w:t>Preferred shares, Series D</w:t>
            </w:r>
          </w:p>
        </w:tc>
        <w:tc>
          <w:tcPr>
            <w:tcW w:w="8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E-Transcript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2,400,384</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3,000,480</w:t>
            </w:r>
          </w:p>
        </w:tc>
        <w:tc>
          <w:tcPr>
            <w:tcW w:w="820" w:type="dxa"/>
            <w:vAlign w:val="bottom"/>
            <w:gridSpan w:val="3"/>
          </w:tcPr>
          <w:p>
            <w:pPr>
              <w:jc w:val="center"/>
              <w:ind w:left="119"/>
              <w:spacing w:after="0"/>
              <w:rPr>
                <w:sz w:val="20"/>
                <w:szCs w:val="20"/>
                <w:color w:val="auto"/>
              </w:rPr>
            </w:pPr>
            <w:r>
              <w:rPr>
                <w:rFonts w:ascii="Arial" w:cs="Arial" w:eastAsia="Arial" w:hAnsi="Arial"/>
                <w:sz w:val="16"/>
                <w:szCs w:val="16"/>
                <w:color w:val="auto"/>
                <w:w w:val="92"/>
              </w:rPr>
              <w:t>1.19%</w:t>
            </w: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89"/>
              </w:rPr>
              <w:t>Exchange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6"/>
        </w:trPr>
        <w:tc>
          <w:tcPr>
            <w:tcW w:w="20" w:type="dxa"/>
            <w:vAlign w:val="bottom"/>
            <w:shd w:val="clear" w:color="auto" w:fill="CCFFCC"/>
          </w:tcPr>
          <w:p>
            <w:pPr>
              <w:spacing w:after="0"/>
              <w:rPr>
                <w:sz w:val="17"/>
                <w:szCs w:val="17"/>
                <w:color w:val="auto"/>
              </w:rPr>
            </w:pPr>
          </w:p>
        </w:tc>
        <w:tc>
          <w:tcPr>
            <w:tcW w:w="1940" w:type="dxa"/>
            <w:vAlign w:val="bottom"/>
            <w:gridSpan w:val="11"/>
            <w:shd w:val="clear" w:color="auto" w:fill="CCFFCC"/>
          </w:tcPr>
          <w:p>
            <w:pPr>
              <w:spacing w:after="0" w:line="205" w:lineRule="exact"/>
              <w:rPr>
                <w:sz w:val="20"/>
                <w:szCs w:val="20"/>
                <w:color w:val="auto"/>
              </w:rPr>
            </w:pPr>
            <w:r>
              <w:rPr>
                <w:rFonts w:ascii="Arial" w:cs="Arial" w:eastAsia="Arial" w:hAnsi="Arial"/>
                <w:sz w:val="14"/>
                <w:szCs w:val="14"/>
                <w:b w:val="1"/>
                <w:bCs w:val="1"/>
                <w:color w:val="auto"/>
              </w:rPr>
              <w:t>Whittle Schools, LLC</w:t>
            </w:r>
            <w:r>
              <w:rPr>
                <w:rFonts w:ascii="Arial" w:cs="Arial" w:eastAsia="Arial" w:hAnsi="Arial"/>
                <w:sz w:val="23"/>
                <w:szCs w:val="23"/>
                <w:b w:val="1"/>
                <w:bCs w:val="1"/>
                <w:color w:val="auto"/>
                <w:vertAlign w:val="superscript"/>
              </w:rPr>
              <w:t>(2)(6)</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7"/>
              </w:rPr>
              <w:t>New York, NY</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gridSpan w:val="11"/>
          </w:tcPr>
          <w:p>
            <w:pPr>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5"/>
              </w:rPr>
              <w:t>Globally-focused</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820" w:type="dxa"/>
            <w:vAlign w:val="bottom"/>
            <w:gridSpan w:val="3"/>
          </w:tcPr>
          <w:p>
            <w:pPr>
              <w:jc w:val="center"/>
              <w:ind w:left="119"/>
              <w:spacing w:after="0"/>
              <w:rPr>
                <w:sz w:val="20"/>
                <w:szCs w:val="20"/>
                <w:color w:val="auto"/>
              </w:rPr>
            </w:pPr>
            <w:r>
              <w:rPr>
                <w:rFonts w:ascii="Arial" w:cs="Arial" w:eastAsia="Arial" w:hAnsi="Arial"/>
                <w:sz w:val="16"/>
                <w:szCs w:val="16"/>
                <w:color w:val="auto"/>
                <w:w w:val="92"/>
              </w:rPr>
              <w:t>1.19%</w:t>
            </w: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1"/>
              </w:rPr>
              <w:t>Private School</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6"/>
        </w:trPr>
        <w:tc>
          <w:tcPr>
            <w:tcW w:w="20" w:type="dxa"/>
            <w:vAlign w:val="bottom"/>
            <w:shd w:val="clear" w:color="auto" w:fill="CCFFCC"/>
          </w:tcPr>
          <w:p>
            <w:pPr>
              <w:spacing w:after="0"/>
              <w:rPr>
                <w:sz w:val="17"/>
                <w:szCs w:val="17"/>
                <w:color w:val="auto"/>
              </w:rPr>
            </w:pPr>
          </w:p>
        </w:tc>
        <w:tc>
          <w:tcPr>
            <w:tcW w:w="1940" w:type="dxa"/>
            <w:vAlign w:val="bottom"/>
            <w:gridSpan w:val="11"/>
            <w:shd w:val="clear" w:color="auto" w:fill="CCFFCC"/>
          </w:tcPr>
          <w:p>
            <w:pPr>
              <w:spacing w:after="0" w:line="205" w:lineRule="exact"/>
              <w:rPr>
                <w:sz w:val="20"/>
                <w:szCs w:val="20"/>
                <w:color w:val="auto"/>
              </w:rPr>
            </w:pPr>
            <w:r>
              <w:rPr>
                <w:rFonts w:ascii="Arial" w:cs="Arial" w:eastAsia="Arial" w:hAnsi="Arial"/>
                <w:sz w:val="14"/>
                <w:szCs w:val="14"/>
                <w:b w:val="1"/>
                <w:bCs w:val="1"/>
                <w:color w:val="auto"/>
              </w:rPr>
              <w:t>StormWind, LLC</w:t>
            </w:r>
            <w:r>
              <w:rPr>
                <w:rFonts w:ascii="Arial" w:cs="Arial" w:eastAsia="Arial" w:hAnsi="Arial"/>
                <w:sz w:val="23"/>
                <w:szCs w:val="23"/>
                <w:b w:val="1"/>
                <w:bCs w:val="1"/>
                <w:color w:val="auto"/>
                <w:vertAlign w:val="superscript"/>
              </w:rPr>
              <w:t>(2)(7)</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4"/>
              </w:rPr>
              <w:t>Scottsdale, AZ</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gridSpan w:val="11"/>
          </w:tcPr>
          <w:p>
            <w:pPr>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Interactive Learning</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3,279,629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2,019,687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2,545,812</w:t>
            </w:r>
          </w:p>
        </w:tc>
        <w:tc>
          <w:tcPr>
            <w:tcW w:w="820" w:type="dxa"/>
            <w:vAlign w:val="bottom"/>
            <w:gridSpan w:val="3"/>
          </w:tcPr>
          <w:p>
            <w:pPr>
              <w:jc w:val="center"/>
              <w:ind w:left="119"/>
              <w:spacing w:after="0"/>
              <w:rPr>
                <w:sz w:val="20"/>
                <w:szCs w:val="20"/>
                <w:color w:val="auto"/>
              </w:rPr>
            </w:pPr>
            <w:r>
              <w:rPr>
                <w:rFonts w:ascii="Arial" w:cs="Arial" w:eastAsia="Arial" w:hAnsi="Arial"/>
                <w:sz w:val="16"/>
                <w:szCs w:val="16"/>
                <w:color w:val="auto"/>
                <w:w w:val="92"/>
              </w:rPr>
              <w:t>1.01%</w:t>
            </w: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7"/>
              </w:rPr>
              <w:t>Platform</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65"/>
        </w:trPr>
        <w:tc>
          <w:tcPr>
            <w:tcW w:w="20" w:type="dxa"/>
            <w:vAlign w:val="bottom"/>
            <w:shd w:val="clear" w:color="auto" w:fill="CCFFCC"/>
          </w:tcPr>
          <w:p>
            <w:pPr>
              <w:spacing w:after="0"/>
              <w:rPr>
                <w:sz w:val="14"/>
                <w:szCs w:val="14"/>
                <w:color w:val="auto"/>
              </w:rPr>
            </w:pPr>
          </w:p>
        </w:tc>
        <w:tc>
          <w:tcPr>
            <w:tcW w:w="1940" w:type="dxa"/>
            <w:vAlign w:val="bottom"/>
            <w:gridSpan w:val="11"/>
            <w:shd w:val="clear" w:color="auto" w:fill="CCFFCC"/>
          </w:tcPr>
          <w:p>
            <w:pPr>
              <w:spacing w:after="0" w:line="165" w:lineRule="exact"/>
              <w:rPr>
                <w:sz w:val="20"/>
                <w:szCs w:val="20"/>
                <w:color w:val="auto"/>
              </w:rPr>
            </w:pPr>
            <w:r>
              <w:rPr>
                <w:rFonts w:ascii="Arial" w:cs="Arial" w:eastAsia="Arial" w:hAnsi="Arial"/>
                <w:sz w:val="16"/>
                <w:szCs w:val="16"/>
                <w:b w:val="1"/>
                <w:bCs w:val="1"/>
                <w:color w:val="auto"/>
              </w:rPr>
              <w:t>SharesPost,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5" w:lineRule="exact"/>
              <w:rPr>
                <w:sz w:val="20"/>
                <w:szCs w:val="20"/>
                <w:color w:val="auto"/>
              </w:rPr>
            </w:pPr>
            <w:r>
              <w:rPr>
                <w:rFonts w:ascii="Arial" w:cs="Arial" w:eastAsia="Arial" w:hAnsi="Arial"/>
                <w:sz w:val="16"/>
                <w:szCs w:val="16"/>
                <w:color w:val="auto"/>
                <w:w w:val="91"/>
              </w:rPr>
              <w:t>San Bruno, CA</w:t>
            </w:r>
          </w:p>
        </w:tc>
        <w:tc>
          <w:tcPr>
            <w:tcW w:w="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60" w:type="dxa"/>
            <w:vAlign w:val="bottom"/>
            <w:tcBorders>
              <w:left w:val="single" w:sz="8" w:color="CCFFCC"/>
            </w:tcBorders>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40" w:type="dxa"/>
            <w:vAlign w:val="bottom"/>
            <w:tcBorders>
              <w:left w:val="single" w:sz="8" w:color="CCFFCC"/>
            </w:tcBorders>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1"/>
          </w:tcPr>
          <w:p>
            <w:pPr>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Online Marketplace (Finance)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1,771,653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2,257,984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2,249,999</w:t>
            </w:r>
          </w:p>
        </w:tc>
        <w:tc>
          <w:tcPr>
            <w:tcW w:w="820" w:type="dxa"/>
            <w:vAlign w:val="bottom"/>
            <w:gridSpan w:val="3"/>
          </w:tcPr>
          <w:p>
            <w:pPr>
              <w:jc w:val="center"/>
              <w:ind w:left="119"/>
              <w:spacing w:after="0"/>
              <w:rPr>
                <w:sz w:val="20"/>
                <w:szCs w:val="20"/>
                <w:color w:val="auto"/>
              </w:rPr>
            </w:pPr>
            <w:r>
              <w:rPr>
                <w:rFonts w:ascii="Arial" w:cs="Arial" w:eastAsia="Arial" w:hAnsi="Arial"/>
                <w:sz w:val="16"/>
                <w:szCs w:val="16"/>
                <w:color w:val="auto"/>
                <w:w w:val="92"/>
              </w:rPr>
              <w:t>0.89%</w:t>
            </w:r>
          </w:p>
        </w:tc>
      </w:tr>
      <w:tr>
        <w:trPr>
          <w:trHeight w:val="193"/>
        </w:trPr>
        <w:tc>
          <w:tcPr>
            <w:tcW w:w="20" w:type="dxa"/>
            <w:vAlign w:val="bottom"/>
            <w:shd w:val="clear" w:color="auto" w:fill="CCFFCC"/>
          </w:tcPr>
          <w:p>
            <w:pPr>
              <w:spacing w:after="0"/>
              <w:rPr>
                <w:sz w:val="16"/>
                <w:szCs w:val="16"/>
                <w:color w:val="auto"/>
              </w:rPr>
            </w:pPr>
          </w:p>
        </w:tc>
        <w:tc>
          <w:tcPr>
            <w:tcW w:w="1940" w:type="dxa"/>
            <w:vAlign w:val="bottom"/>
            <w:gridSpan w:val="11"/>
            <w:shd w:val="clear" w:color="auto" w:fill="CCFFCC"/>
          </w:tcPr>
          <w:p>
            <w:pPr>
              <w:spacing w:after="0"/>
              <w:rPr>
                <w:sz w:val="20"/>
                <w:szCs w:val="20"/>
                <w:color w:val="auto"/>
              </w:rPr>
            </w:pPr>
            <w:r>
              <w:rPr>
                <w:rFonts w:ascii="Arial" w:cs="Arial" w:eastAsia="Arial" w:hAnsi="Arial"/>
                <w:sz w:val="16"/>
                <w:szCs w:val="16"/>
                <w:color w:val="auto"/>
              </w:rPr>
              <w:t>Common warrants, $0.13</w:t>
            </w:r>
          </w:p>
        </w:tc>
        <w:tc>
          <w:tcPr>
            <w:tcW w:w="80" w:type="dxa"/>
            <w:vAlign w:val="bottom"/>
            <w:shd w:val="clear" w:color="auto" w:fill="CCFFCC"/>
          </w:tcPr>
          <w:p>
            <w:pPr>
              <w:spacing w:after="0"/>
              <w:rPr>
                <w:sz w:val="16"/>
                <w:szCs w:val="16"/>
                <w:color w:val="auto"/>
              </w:rPr>
            </w:pPr>
          </w:p>
        </w:tc>
        <w:tc>
          <w:tcPr>
            <w:tcW w:w="246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770,934</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23,128</w:t>
            </w:r>
          </w:p>
        </w:tc>
        <w:tc>
          <w:tcPr>
            <w:tcW w:w="98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123,349</w:t>
            </w:r>
          </w:p>
        </w:tc>
        <w:tc>
          <w:tcPr>
            <w:tcW w:w="820" w:type="dxa"/>
            <w:vAlign w:val="bottom"/>
            <w:tcBorders>
              <w:left w:val="single" w:sz="8" w:color="CCFFCC"/>
            </w:tcBorders>
            <w:gridSpan w:val="3"/>
            <w:shd w:val="clear" w:color="auto" w:fill="CCFFCC"/>
          </w:tcPr>
          <w:p>
            <w:pPr>
              <w:jc w:val="center"/>
              <w:ind w:left="119"/>
              <w:spacing w:after="0"/>
              <w:rPr>
                <w:sz w:val="20"/>
                <w:szCs w:val="20"/>
                <w:color w:val="auto"/>
              </w:rPr>
            </w:pPr>
            <w:r>
              <w:rPr>
                <w:rFonts w:ascii="Arial" w:cs="Arial" w:eastAsia="Arial" w:hAnsi="Arial"/>
                <w:sz w:val="16"/>
                <w:szCs w:val="16"/>
                <w:color w:val="auto"/>
                <w:w w:val="92"/>
              </w:rPr>
              <w:t>0.05%</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1"/>
            <w:shd w:val="clear" w:color="auto" w:fill="CCFFCC"/>
          </w:tcPr>
          <w:p>
            <w:pPr>
              <w:ind w:left="180"/>
              <w:spacing w:after="0"/>
              <w:rPr>
                <w:sz w:val="20"/>
                <w:szCs w:val="20"/>
                <w:color w:val="auto"/>
              </w:rPr>
            </w:pPr>
            <w:r>
              <w:rPr>
                <w:rFonts w:ascii="Arial" w:cs="Arial" w:eastAsia="Arial" w:hAnsi="Arial"/>
                <w:sz w:val="16"/>
                <w:szCs w:val="16"/>
                <w:color w:val="auto"/>
              </w:rPr>
              <w:t>strike price, expire</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09"/>
        </w:trPr>
        <w:tc>
          <w:tcPr>
            <w:tcW w:w="900" w:type="dxa"/>
            <w:vAlign w:val="bottom"/>
            <w:tcBorders>
              <w:bottom w:val="single" w:sz="8" w:color="CCFFCC"/>
            </w:tcBorders>
            <w:gridSpan w:val="3"/>
            <w:shd w:val="clear" w:color="auto" w:fill="CCFFCC"/>
          </w:tcPr>
          <w:p>
            <w:pPr>
              <w:ind w:left="200"/>
              <w:spacing w:after="0"/>
              <w:rPr>
                <w:sz w:val="20"/>
                <w:szCs w:val="20"/>
                <w:color w:val="auto"/>
              </w:rPr>
            </w:pPr>
            <w:r>
              <w:rPr>
                <w:rFonts w:ascii="Arial" w:cs="Arial" w:eastAsia="Arial" w:hAnsi="Arial"/>
                <w:sz w:val="16"/>
                <w:szCs w:val="16"/>
                <w:color w:val="auto"/>
                <w:w w:val="95"/>
              </w:rPr>
              <w:t>6/15/2018</w:t>
            </w:r>
          </w:p>
        </w:tc>
        <w:tc>
          <w:tcPr>
            <w:tcW w:w="18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26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4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160" w:type="dxa"/>
            <w:vAlign w:val="bottom"/>
            <w:tcBorders>
              <w:left w:val="single" w:sz="8" w:color="CCFFCC"/>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140" w:type="dxa"/>
            <w:vAlign w:val="bottom"/>
            <w:tcBorders>
              <w:left w:val="single" w:sz="8" w:color="CCFFCC"/>
              <w:bottom w:val="single" w:sz="8" w:color="CCFFCC"/>
            </w:tcBorders>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1940" w:type="dxa"/>
            <w:vAlign w:val="bottom"/>
            <w:gridSpan w:val="11"/>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2,281,112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2,373,348</w:t>
            </w:r>
          </w:p>
        </w:tc>
        <w:tc>
          <w:tcPr>
            <w:tcW w:w="820" w:type="dxa"/>
            <w:vAlign w:val="bottom"/>
            <w:gridSpan w:val="3"/>
          </w:tcPr>
          <w:p>
            <w:pPr>
              <w:jc w:val="center"/>
              <w:ind w:left="119"/>
              <w:spacing w:after="0"/>
              <w:rPr>
                <w:sz w:val="20"/>
                <w:szCs w:val="20"/>
                <w:color w:val="auto"/>
              </w:rPr>
            </w:pPr>
            <w:r>
              <w:rPr>
                <w:rFonts w:ascii="Arial" w:cs="Arial" w:eastAsia="Arial" w:hAnsi="Arial"/>
                <w:sz w:val="16"/>
                <w:szCs w:val="16"/>
                <w:color w:val="auto"/>
                <w:w w:val="92"/>
              </w:rPr>
              <w:t>0.94%</w:t>
            </w:r>
          </w:p>
        </w:tc>
      </w:tr>
      <w:tr>
        <w:trPr>
          <w:trHeight w:val="196"/>
        </w:trPr>
        <w:tc>
          <w:tcPr>
            <w:tcW w:w="20" w:type="dxa"/>
            <w:vAlign w:val="bottom"/>
            <w:shd w:val="clear" w:color="auto" w:fill="CCFFCC"/>
          </w:tcPr>
          <w:p>
            <w:pPr>
              <w:spacing w:after="0"/>
              <w:rPr>
                <w:sz w:val="17"/>
                <w:szCs w:val="17"/>
                <w:color w:val="auto"/>
              </w:rPr>
            </w:pPr>
          </w:p>
        </w:tc>
        <w:tc>
          <w:tcPr>
            <w:tcW w:w="1940" w:type="dxa"/>
            <w:vAlign w:val="bottom"/>
            <w:gridSpan w:val="11"/>
            <w:shd w:val="clear" w:color="auto" w:fill="CCFFCC"/>
          </w:tcPr>
          <w:p>
            <w:pPr>
              <w:spacing w:after="0" w:line="197" w:lineRule="exact"/>
              <w:rPr>
                <w:sz w:val="20"/>
                <w:szCs w:val="20"/>
                <w:color w:val="auto"/>
              </w:rPr>
            </w:pPr>
            <w:r>
              <w:rPr>
                <w:rFonts w:ascii="Arial" w:cs="Arial" w:eastAsia="Arial" w:hAnsi="Arial"/>
                <w:sz w:val="14"/>
                <w:szCs w:val="14"/>
                <w:b w:val="1"/>
                <w:bCs w:val="1"/>
                <w:color w:val="auto"/>
              </w:rPr>
              <w:t>Maven Research, Inc.</w:t>
            </w:r>
            <w:r>
              <w:rPr>
                <w:rFonts w:ascii="Arial" w:cs="Arial" w:eastAsia="Arial" w:hAnsi="Arial"/>
                <w:sz w:val="22"/>
                <w:szCs w:val="22"/>
                <w:b w:val="1"/>
                <w:bCs w:val="1"/>
                <w:color w:val="auto"/>
                <w:vertAlign w:val="superscript"/>
              </w:rPr>
              <w:t>(2)</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140" w:type="dxa"/>
            <w:vAlign w:val="bottom"/>
            <w:tcBorders>
              <w:left w:val="single" w:sz="8" w:color="CCFFCC"/>
            </w:tcBorders>
            <w:shd w:val="clear" w:color="auto" w:fill="CCFFCC"/>
          </w:tcPr>
          <w:p>
            <w:pPr>
              <w:spacing w:after="0"/>
              <w:rPr>
                <w:sz w:val="17"/>
                <w:szCs w:val="17"/>
                <w:color w:val="auto"/>
              </w:rPr>
            </w:pPr>
          </w:p>
        </w:tc>
        <w:tc>
          <w:tcPr>
            <w:tcW w:w="440" w:type="dxa"/>
            <w:vAlign w:val="bottom"/>
            <w:tcBorders>
              <w:top w:val="single" w:sz="8" w:color="auto"/>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1"/>
          </w:tcPr>
          <w:p>
            <w:pPr>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Knowledge Networks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49,505</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217,206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310,396</w:t>
            </w:r>
          </w:p>
        </w:tc>
        <w:tc>
          <w:tcPr>
            <w:tcW w:w="820" w:type="dxa"/>
            <w:vAlign w:val="bottom"/>
            <w:gridSpan w:val="3"/>
          </w:tcPr>
          <w:p>
            <w:pPr>
              <w:jc w:val="center"/>
              <w:ind w:left="119"/>
              <w:spacing w:after="0"/>
              <w:rPr>
                <w:sz w:val="20"/>
                <w:szCs w:val="20"/>
                <w:color w:val="auto"/>
              </w:rPr>
            </w:pPr>
            <w:r>
              <w:rPr>
                <w:rFonts w:ascii="Arial" w:cs="Arial" w:eastAsia="Arial" w:hAnsi="Arial"/>
                <w:sz w:val="16"/>
                <w:szCs w:val="16"/>
                <w:color w:val="auto"/>
                <w:w w:val="92"/>
              </w:rPr>
              <w:t>0.12%</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1"/>
            <w:shd w:val="clear" w:color="auto" w:fill="CCFFCC"/>
          </w:tcPr>
          <w:p>
            <w:pPr>
              <w:spacing w:after="0"/>
              <w:rPr>
                <w:sz w:val="20"/>
                <w:szCs w:val="20"/>
                <w:color w:val="auto"/>
              </w:rPr>
            </w:pPr>
            <w:r>
              <w:rPr>
                <w:rFonts w:ascii="Arial" w:cs="Arial" w:eastAsia="Arial" w:hAnsi="Arial"/>
                <w:sz w:val="16"/>
                <w:szCs w:val="16"/>
                <w:color w:val="auto"/>
              </w:rPr>
              <w:t>Preferred shares, Series C</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318,979</w:t>
            </w: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1,999,998</w:t>
            </w:r>
          </w:p>
        </w:tc>
        <w:tc>
          <w:tcPr>
            <w:tcW w:w="160" w:type="dxa"/>
            <w:vAlign w:val="bottom"/>
            <w:tcBorders>
              <w:left w:val="single" w:sz="8" w:color="CCFFCC"/>
            </w:tcBorders>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1,999,998</w:t>
            </w:r>
          </w:p>
        </w:tc>
        <w:tc>
          <w:tcPr>
            <w:tcW w:w="820" w:type="dxa"/>
            <w:vAlign w:val="bottom"/>
            <w:tcBorders>
              <w:left w:val="single" w:sz="8" w:color="CCFFCC"/>
            </w:tcBorders>
            <w:gridSpan w:val="3"/>
            <w:shd w:val="clear" w:color="auto" w:fill="CCFFCC"/>
          </w:tcPr>
          <w:p>
            <w:pPr>
              <w:jc w:val="center"/>
              <w:ind w:left="119"/>
              <w:spacing w:after="0"/>
              <w:rPr>
                <w:sz w:val="20"/>
                <w:szCs w:val="20"/>
                <w:color w:val="auto"/>
              </w:rPr>
            </w:pPr>
            <w:r>
              <w:rPr>
                <w:rFonts w:ascii="Arial" w:cs="Arial" w:eastAsia="Arial" w:hAnsi="Arial"/>
                <w:sz w:val="16"/>
                <w:szCs w:val="16"/>
                <w:color w:val="auto"/>
                <w:w w:val="92"/>
              </w:rPr>
              <w:t>0.79%</w:t>
            </w:r>
          </w:p>
        </w:tc>
      </w:tr>
      <w:tr>
        <w:trPr>
          <w:trHeight w:val="20"/>
        </w:trPr>
        <w:tc>
          <w:tcPr>
            <w:tcW w:w="2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gridSpan w:val="11"/>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2,217,204</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2,310,394</w:t>
            </w:r>
          </w:p>
        </w:tc>
        <w:tc>
          <w:tcPr>
            <w:tcW w:w="820" w:type="dxa"/>
            <w:vAlign w:val="bottom"/>
            <w:gridSpan w:val="3"/>
          </w:tcPr>
          <w:p>
            <w:pPr>
              <w:jc w:val="center"/>
              <w:ind w:left="119"/>
              <w:spacing w:after="0"/>
              <w:rPr>
                <w:sz w:val="20"/>
                <w:szCs w:val="20"/>
                <w:color w:val="auto"/>
              </w:rPr>
            </w:pPr>
            <w:r>
              <w:rPr>
                <w:rFonts w:ascii="Arial" w:cs="Arial" w:eastAsia="Arial" w:hAnsi="Arial"/>
                <w:sz w:val="16"/>
                <w:szCs w:val="16"/>
                <w:color w:val="auto"/>
                <w:w w:val="92"/>
              </w:rPr>
              <w:t>0.91%</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-5067935</wp:posOffset>
            </wp:positionV>
            <wp:extent cx="521398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-702310</wp:posOffset>
            </wp:positionV>
            <wp:extent cx="5213985"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-145415</wp:posOffset>
            </wp:positionV>
            <wp:extent cx="5213985"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958" w:right="1440" w:bottom="1440" w:gutter="0" w:footer="0" w:header="0"/>
        </w:sectPr>
      </w:pPr>
    </w:p>
    <w:bookmarkStart w:id="13" w:name="page14"/>
    <w:bookmarkEnd w:id="13"/>
    <w:p>
      <w:pPr>
        <w:jc w:val="center"/>
        <w:ind w:left="1720" w:right="900"/>
        <w:spacing w:after="0" w:line="257" w:lineRule="auto"/>
        <w:rPr>
          <w:sz w:val="20"/>
          <w:szCs w:val="20"/>
          <w:color w:val="auto"/>
        </w:rPr>
      </w:pPr>
      <w:r>
        <w:rPr>
          <w:rFonts w:ascii="Arial" w:cs="Arial" w:eastAsia="Arial" w:hAnsi="Arial"/>
          <w:sz w:val="18"/>
          <w:szCs w:val="18"/>
          <w:b w:val="1"/>
          <w:bCs w:val="1"/>
          <w:color w:val="auto"/>
        </w:rPr>
        <w:t>GSV CAPITAL CORP. AND SUBSIDIARY CONSOLIDATED SCHEDULE OF INVESTMENTS (continued)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52139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940" w:type="dxa"/>
            <w:vAlign w:val="bottom"/>
            <w:gridSpan w:val="11"/>
          </w:tcPr>
          <w:p>
            <w:pPr>
              <w:spacing w:after="0" w:line="141" w:lineRule="exact"/>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2"/>
                <w:szCs w:val="12"/>
                <w:color w:val="auto"/>
              </w:rPr>
            </w:pPr>
          </w:p>
        </w:tc>
        <w:tc>
          <w:tcPr>
            <w:tcW w:w="24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6"/>
              </w:rPr>
              <w:t>Headquarters/Industry</w:t>
            </w:r>
          </w:p>
        </w:tc>
        <w:tc>
          <w:tcPr>
            <w:tcW w:w="80" w:type="dxa"/>
            <w:vAlign w:val="bottom"/>
          </w:tcPr>
          <w:p>
            <w:pPr>
              <w:spacing w:after="0"/>
              <w:rPr>
                <w:sz w:val="12"/>
                <w:szCs w:val="12"/>
                <w:color w:val="auto"/>
              </w:rPr>
            </w:pPr>
          </w:p>
        </w:tc>
        <w:tc>
          <w:tcPr>
            <w:tcW w:w="920" w:type="dxa"/>
            <w:vAlign w:val="bottom"/>
          </w:tcPr>
          <w:p>
            <w:pPr>
              <w:jc w:val="right"/>
              <w:ind w:right="168"/>
              <w:spacing w:after="0" w:line="141"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880" w:type="dxa"/>
            <w:vAlign w:val="bottom"/>
            <w:gridSpan w:val="2"/>
          </w:tcPr>
          <w:p>
            <w:pPr>
              <w:ind w:left="300"/>
              <w:spacing w:after="0" w:line="141" w:lineRule="exact"/>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1"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68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rPr>
              <w:t>% of</w:t>
            </w:r>
          </w:p>
        </w:tc>
      </w:tr>
      <w:tr>
        <w:trPr>
          <w:trHeight w:val="171"/>
        </w:trPr>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Net Assets</w:t>
            </w:r>
          </w:p>
        </w:tc>
      </w:tr>
      <w:tr>
        <w:trPr>
          <w:trHeight w:val="196"/>
        </w:trPr>
        <w:tc>
          <w:tcPr>
            <w:tcW w:w="20" w:type="dxa"/>
            <w:vAlign w:val="bottom"/>
            <w:shd w:val="clear" w:color="auto" w:fill="CCFFCC"/>
          </w:tcPr>
          <w:p>
            <w:pPr>
              <w:spacing w:after="0"/>
              <w:rPr>
                <w:sz w:val="17"/>
                <w:szCs w:val="17"/>
                <w:color w:val="auto"/>
              </w:rPr>
            </w:pPr>
          </w:p>
        </w:tc>
        <w:tc>
          <w:tcPr>
            <w:tcW w:w="1940" w:type="dxa"/>
            <w:vAlign w:val="bottom"/>
            <w:gridSpan w:val="11"/>
            <w:shd w:val="clear" w:color="auto" w:fill="CCFFCC"/>
          </w:tcPr>
          <w:p>
            <w:pPr>
              <w:spacing w:after="0" w:line="197" w:lineRule="exact"/>
              <w:rPr>
                <w:sz w:val="20"/>
                <w:szCs w:val="20"/>
                <w:color w:val="auto"/>
              </w:rPr>
            </w:pPr>
            <w:r>
              <w:rPr>
                <w:rFonts w:ascii="Arial" w:cs="Arial" w:eastAsia="Arial" w:hAnsi="Arial"/>
                <w:sz w:val="14"/>
                <w:szCs w:val="14"/>
                <w:b w:val="1"/>
                <w:bCs w:val="1"/>
                <w:color w:val="auto"/>
              </w:rPr>
              <w:t>Fullbridge, Inc.</w:t>
            </w:r>
            <w:r>
              <w:rPr>
                <w:rFonts w:ascii="Arial" w:cs="Arial" w:eastAsia="Arial" w:hAnsi="Arial"/>
                <w:sz w:val="22"/>
                <w:szCs w:val="22"/>
                <w:b w:val="1"/>
                <w:bCs w:val="1"/>
                <w:color w:val="auto"/>
                <w:vertAlign w:val="superscript"/>
              </w:rPr>
              <w:t>(2)</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5"/>
              </w:rPr>
              <w:t>Cambridge, MA</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1"/>
          </w:tcPr>
          <w:p>
            <w:pPr>
              <w:spacing w:after="0"/>
              <w:rPr>
                <w:sz w:val="20"/>
                <w:szCs w:val="20"/>
                <w:color w:val="auto"/>
              </w:rPr>
            </w:pPr>
            <w:r>
              <w:rPr>
                <w:rFonts w:ascii="Arial" w:cs="Arial" w:eastAsia="Arial" w:hAnsi="Arial"/>
                <w:sz w:val="16"/>
                <w:szCs w:val="16"/>
                <w:color w:val="auto"/>
              </w:rPr>
              <w:t>Preferred shares, Series C</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1"/>
              </w:rPr>
              <w:t>Business Education</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1,196,809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$ 2,250,001</w:t>
            </w:r>
          </w:p>
        </w:tc>
        <w:tc>
          <w:tcPr>
            <w:tcW w:w="6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$ 2,250,001</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0.89%</w:t>
            </w:r>
          </w:p>
        </w:tc>
      </w:tr>
      <w:tr>
        <w:trPr>
          <w:trHeight w:val="162"/>
        </w:trPr>
        <w:tc>
          <w:tcPr>
            <w:tcW w:w="20" w:type="dxa"/>
            <w:vAlign w:val="bottom"/>
            <w:tcBorders>
              <w:bottom w:val="single" w:sz="8" w:color="CCFFCC"/>
            </w:tcBorders>
            <w:shd w:val="clear" w:color="auto" w:fill="CCFFCC"/>
          </w:tcPr>
          <w:p>
            <w:pPr>
              <w:spacing w:after="0"/>
              <w:rPr>
                <w:sz w:val="14"/>
                <w:szCs w:val="14"/>
                <w:color w:val="auto"/>
              </w:rPr>
            </w:pPr>
          </w:p>
        </w:tc>
        <w:tc>
          <w:tcPr>
            <w:tcW w:w="1560" w:type="dxa"/>
            <w:vAlign w:val="bottom"/>
            <w:tcBorders>
              <w:bottom w:val="single" w:sz="8" w:color="auto"/>
            </w:tcBorders>
            <w:gridSpan w:val="7"/>
            <w:shd w:val="clear" w:color="auto" w:fill="CCFFCC"/>
          </w:tcPr>
          <w:p>
            <w:pPr>
              <w:spacing w:after="0" w:line="162" w:lineRule="exact"/>
              <w:rPr>
                <w:sz w:val="20"/>
                <w:szCs w:val="20"/>
                <w:color w:val="auto"/>
              </w:rPr>
            </w:pPr>
            <w:r>
              <w:rPr>
                <w:rFonts w:ascii="Arial" w:cs="Arial" w:eastAsia="Arial" w:hAnsi="Arial"/>
                <w:sz w:val="16"/>
                <w:szCs w:val="16"/>
                <w:b w:val="1"/>
                <w:bCs w:val="1"/>
                <w:color w:val="auto"/>
                <w:w w:val="91"/>
              </w:rPr>
              <w:t>Starfish Holdings, Inc.</w:t>
            </w:r>
          </w:p>
        </w:tc>
        <w:tc>
          <w:tcPr>
            <w:tcW w:w="380" w:type="dxa"/>
            <w:vAlign w:val="bottom"/>
            <w:tcBorders>
              <w:bottom w:val="single" w:sz="8" w:color="CCFFCC"/>
            </w:tcBorders>
            <w:gridSpan w:val="4"/>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2460" w:type="dxa"/>
            <w:vAlign w:val="bottom"/>
            <w:tcBorders>
              <w:bottom w:val="single" w:sz="8" w:color="CCFFCC"/>
            </w:tcBorders>
            <w:shd w:val="clear" w:color="auto" w:fill="CCFFCC"/>
          </w:tcPr>
          <w:p>
            <w:pPr>
              <w:jc w:val="center"/>
              <w:spacing w:after="0" w:line="162" w:lineRule="exact"/>
              <w:rPr>
                <w:sz w:val="20"/>
                <w:szCs w:val="20"/>
                <w:color w:val="auto"/>
              </w:rPr>
            </w:pPr>
            <w:r>
              <w:rPr>
                <w:rFonts w:ascii="Arial" w:cs="Arial" w:eastAsia="Arial" w:hAnsi="Arial"/>
                <w:sz w:val="16"/>
                <w:szCs w:val="16"/>
                <w:color w:val="auto"/>
                <w:w w:val="99"/>
              </w:rPr>
              <w:t>Beverly Hills, CA</w:t>
            </w:r>
          </w:p>
        </w:tc>
        <w:tc>
          <w:tcPr>
            <w:tcW w:w="80" w:type="dxa"/>
            <w:vAlign w:val="bottom"/>
            <w:tcBorders>
              <w:bottom w:val="single" w:sz="8" w:color="CCFFCC"/>
            </w:tcBorders>
            <w:shd w:val="clear" w:color="auto" w:fill="CCFFCC"/>
          </w:tcPr>
          <w:p>
            <w:pPr>
              <w:spacing w:after="0"/>
              <w:rPr>
                <w:sz w:val="14"/>
                <w:szCs w:val="14"/>
                <w:color w:val="auto"/>
              </w:rPr>
            </w:pPr>
          </w:p>
        </w:tc>
        <w:tc>
          <w:tcPr>
            <w:tcW w:w="92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820" w:type="dxa"/>
            <w:vAlign w:val="bottom"/>
            <w:tcBorders>
              <w:bottom w:val="single" w:sz="8" w:color="CCFFCC"/>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820" w:type="dxa"/>
            <w:vAlign w:val="bottom"/>
            <w:tcBorders>
              <w:bottom w:val="single" w:sz="8" w:color="CCFFCC"/>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440" w:type="dxa"/>
            <w:vAlign w:val="bottom"/>
            <w:tcBorders>
              <w:bottom w:val="single" w:sz="8" w:color="CCFFCC"/>
            </w:tcBorders>
            <w:shd w:val="clear" w:color="auto" w:fill="CCFFCC"/>
          </w:tcPr>
          <w:p>
            <w:pPr>
              <w:spacing w:after="0"/>
              <w:rPr>
                <w:sz w:val="14"/>
                <w:szCs w:val="14"/>
                <w:color w:val="auto"/>
              </w:rPr>
            </w:pPr>
          </w:p>
        </w:tc>
        <w:tc>
          <w:tcPr>
            <w:tcW w:w="240" w:type="dxa"/>
            <w:vAlign w:val="bottom"/>
            <w:tcBorders>
              <w:bottom w:val="single" w:sz="8" w:color="CCFFCC"/>
            </w:tcBorders>
            <w:shd w:val="clear" w:color="auto" w:fill="CCFFCC"/>
          </w:tcPr>
          <w:p>
            <w:pPr>
              <w:spacing w:after="0"/>
              <w:rPr>
                <w:sz w:val="14"/>
                <w:szCs w:val="14"/>
                <w:color w:val="auto"/>
              </w:rPr>
            </w:pPr>
          </w:p>
        </w:tc>
      </w:tr>
      <w:tr>
        <w:trPr>
          <w:trHeight w:val="223"/>
        </w:trPr>
        <w:tc>
          <w:tcPr>
            <w:tcW w:w="20" w:type="dxa"/>
            <w:vAlign w:val="bottom"/>
            <w:shd w:val="clear" w:color="auto" w:fill="CCFFCC"/>
          </w:tcPr>
          <w:p>
            <w:pPr>
              <w:spacing w:after="0"/>
              <w:rPr>
                <w:sz w:val="19"/>
                <w:szCs w:val="19"/>
                <w:color w:val="auto"/>
              </w:rPr>
            </w:pPr>
          </w:p>
        </w:tc>
        <w:tc>
          <w:tcPr>
            <w:tcW w:w="1940" w:type="dxa"/>
            <w:vAlign w:val="bottom"/>
            <w:gridSpan w:val="11"/>
            <w:shd w:val="clear" w:color="auto" w:fill="CCFFCC"/>
          </w:tcPr>
          <w:p>
            <w:pPr>
              <w:spacing w:after="0" w:line="223" w:lineRule="exact"/>
              <w:rPr>
                <w:sz w:val="20"/>
                <w:szCs w:val="20"/>
                <w:color w:val="auto"/>
              </w:rPr>
            </w:pPr>
            <w:r>
              <w:rPr>
                <w:rFonts w:ascii="Arial" w:cs="Arial" w:eastAsia="Arial" w:hAnsi="Arial"/>
                <w:sz w:val="15"/>
                <w:szCs w:val="15"/>
                <w:b w:val="1"/>
                <w:bCs w:val="1"/>
                <w:color w:val="auto"/>
              </w:rPr>
              <w:t>(d/b/a YourOffers)</w:t>
            </w:r>
            <w:r>
              <w:rPr>
                <w:rFonts w:ascii="Arial" w:cs="Arial" w:eastAsia="Arial" w:hAnsi="Arial"/>
                <w:sz w:val="25"/>
                <w:szCs w:val="25"/>
                <w:b w:val="1"/>
                <w:bCs w:val="1"/>
                <w:color w:val="auto"/>
                <w:vertAlign w:val="superscript"/>
              </w:rPr>
              <w:t>(2)</w:t>
            </w:r>
          </w:p>
        </w:tc>
        <w:tc>
          <w:tcPr>
            <w:tcW w:w="80" w:type="dxa"/>
            <w:vAlign w:val="bottom"/>
            <w:shd w:val="clear" w:color="auto" w:fill="CCFFCC"/>
          </w:tcPr>
          <w:p>
            <w:pPr>
              <w:spacing w:after="0"/>
              <w:rPr>
                <w:sz w:val="19"/>
                <w:szCs w:val="19"/>
                <w:color w:val="auto"/>
              </w:rPr>
            </w:pPr>
          </w:p>
        </w:tc>
        <w:tc>
          <w:tcPr>
            <w:tcW w:w="24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9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gridSpan w:val="11"/>
          </w:tcPr>
          <w:p>
            <w:pPr>
              <w:spacing w:after="0"/>
              <w:rPr>
                <w:sz w:val="20"/>
                <w:szCs w:val="20"/>
                <w:color w:val="auto"/>
              </w:rPr>
            </w:pPr>
            <w:r>
              <w:rPr>
                <w:rFonts w:ascii="Arial" w:cs="Arial" w:eastAsia="Arial" w:hAnsi="Arial"/>
                <w:sz w:val="16"/>
                <w:szCs w:val="16"/>
                <w:color w:val="auto"/>
                <w:w w:val="99"/>
              </w:rPr>
              <w:t>Preferred shares, Series A,</w:t>
            </w:r>
          </w:p>
        </w:tc>
        <w:tc>
          <w:tcPr>
            <w:tcW w:w="8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5"/>
              </w:rPr>
              <w:t>Marketing Platform</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43,878,894</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2,012,103</w:t>
            </w:r>
          </w:p>
        </w:tc>
        <w:tc>
          <w:tcPr>
            <w:tcW w:w="60" w:type="dxa"/>
            <w:vAlign w:val="bottom"/>
          </w:tcPr>
          <w:p>
            <w:pPr>
              <w:spacing w:after="0"/>
              <w:rPr>
                <w:sz w:val="16"/>
                <w:szCs w:val="16"/>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2,193,945</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0.87%</w:t>
            </w:r>
          </w:p>
        </w:tc>
      </w:tr>
      <w:tr>
        <w:trPr>
          <w:trHeight w:val="203"/>
        </w:trPr>
        <w:tc>
          <w:tcPr>
            <w:tcW w:w="20" w:type="dxa"/>
            <w:vAlign w:val="bottom"/>
          </w:tcPr>
          <w:p>
            <w:pPr>
              <w:spacing w:after="0"/>
              <w:rPr>
                <w:sz w:val="17"/>
                <w:szCs w:val="17"/>
                <w:color w:val="auto"/>
              </w:rPr>
            </w:pPr>
          </w:p>
        </w:tc>
        <w:tc>
          <w:tcPr>
            <w:tcW w:w="1940" w:type="dxa"/>
            <w:vAlign w:val="bottom"/>
            <w:gridSpan w:val="11"/>
          </w:tcPr>
          <w:p>
            <w:pPr>
              <w:ind w:left="180"/>
              <w:spacing w:after="0"/>
              <w:rPr>
                <w:sz w:val="20"/>
                <w:szCs w:val="20"/>
                <w:color w:val="auto"/>
              </w:rPr>
            </w:pPr>
            <w:r>
              <w:rPr>
                <w:rFonts w:ascii="Arial" w:cs="Arial" w:eastAsia="Arial" w:hAnsi="Arial"/>
                <w:sz w:val="16"/>
                <w:szCs w:val="16"/>
                <w:color w:val="auto"/>
              </w:rPr>
              <w:t>and common warrants,</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40" w:type="dxa"/>
            <w:vAlign w:val="bottom"/>
            <w:gridSpan w:val="11"/>
          </w:tcPr>
          <w:p>
            <w:pPr>
              <w:ind w:left="180"/>
              <w:spacing w:after="0"/>
              <w:rPr>
                <w:sz w:val="20"/>
                <w:szCs w:val="20"/>
                <w:color w:val="auto"/>
              </w:rPr>
            </w:pPr>
            <w:r>
              <w:rPr>
                <w:rFonts w:ascii="Arial" w:cs="Arial" w:eastAsia="Arial" w:hAnsi="Arial"/>
                <w:sz w:val="16"/>
                <w:szCs w:val="16"/>
                <w:color w:val="auto"/>
              </w:rPr>
              <w:t>$0.00001 strike price,</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1940" w:type="dxa"/>
            <w:vAlign w:val="bottom"/>
            <w:gridSpan w:val="11"/>
          </w:tcPr>
          <w:p>
            <w:pPr>
              <w:ind w:left="180"/>
              <w:spacing w:after="0"/>
              <w:rPr>
                <w:sz w:val="20"/>
                <w:szCs w:val="20"/>
                <w:color w:val="auto"/>
              </w:rPr>
            </w:pPr>
            <w:r>
              <w:rPr>
                <w:rFonts w:ascii="Arial" w:cs="Arial" w:eastAsia="Arial" w:hAnsi="Arial"/>
                <w:sz w:val="16"/>
                <w:szCs w:val="16"/>
                <w:color w:val="auto"/>
              </w:rPr>
              <w:t>expire 11/13/2019</w:t>
            </w:r>
          </w:p>
        </w:tc>
        <w:tc>
          <w:tcPr>
            <w:tcW w:w="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65"/>
        </w:trPr>
        <w:tc>
          <w:tcPr>
            <w:tcW w:w="20" w:type="dxa"/>
            <w:vAlign w:val="bottom"/>
            <w:shd w:val="clear" w:color="auto" w:fill="CCFFCC"/>
          </w:tcPr>
          <w:p>
            <w:pPr>
              <w:spacing w:after="0"/>
              <w:rPr>
                <w:sz w:val="14"/>
                <w:szCs w:val="14"/>
                <w:color w:val="auto"/>
              </w:rPr>
            </w:pPr>
          </w:p>
        </w:tc>
        <w:tc>
          <w:tcPr>
            <w:tcW w:w="1940" w:type="dxa"/>
            <w:vAlign w:val="bottom"/>
            <w:gridSpan w:val="11"/>
            <w:shd w:val="clear" w:color="auto" w:fill="CCFFCC"/>
          </w:tcPr>
          <w:p>
            <w:pPr>
              <w:spacing w:after="0" w:line="165" w:lineRule="exact"/>
              <w:rPr>
                <w:sz w:val="20"/>
                <w:szCs w:val="20"/>
                <w:color w:val="auto"/>
              </w:rPr>
            </w:pPr>
            <w:r>
              <w:rPr>
                <w:rFonts w:ascii="Arial" w:cs="Arial" w:eastAsia="Arial" w:hAnsi="Arial"/>
                <w:sz w:val="16"/>
                <w:szCs w:val="16"/>
                <w:b w:val="1"/>
                <w:bCs w:val="1"/>
                <w:color w:val="auto"/>
              </w:rPr>
              <w:t>TrueCar,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5" w:lineRule="exact"/>
              <w:rPr>
                <w:sz w:val="20"/>
                <w:szCs w:val="20"/>
                <w:color w:val="auto"/>
              </w:rPr>
            </w:pPr>
            <w:r>
              <w:rPr>
                <w:rFonts w:ascii="Arial" w:cs="Arial" w:eastAsia="Arial" w:hAnsi="Arial"/>
                <w:sz w:val="16"/>
                <w:szCs w:val="16"/>
                <w:color w:val="auto"/>
                <w:w w:val="93"/>
              </w:rPr>
              <w:t>Santa Monica, CA</w:t>
            </w:r>
          </w:p>
        </w:tc>
        <w:tc>
          <w:tcPr>
            <w:tcW w:w="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gridSpan w:val="11"/>
          </w:tcPr>
          <w:p>
            <w:pPr>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Online Marketplace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377,358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2,014,863</w:t>
            </w:r>
          </w:p>
        </w:tc>
        <w:tc>
          <w:tcPr>
            <w:tcW w:w="60" w:type="dxa"/>
            <w:vAlign w:val="bottom"/>
          </w:tcPr>
          <w:p>
            <w:pPr>
              <w:spacing w:after="0"/>
              <w:rPr>
                <w:sz w:val="16"/>
                <w:szCs w:val="16"/>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2,011,318</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0.79%</w:t>
            </w: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89"/>
              </w:rPr>
              <w:t>(Cars)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65"/>
        </w:trPr>
        <w:tc>
          <w:tcPr>
            <w:tcW w:w="20" w:type="dxa"/>
            <w:vAlign w:val="bottom"/>
            <w:shd w:val="clear" w:color="auto" w:fill="CCFFCC"/>
          </w:tcPr>
          <w:p>
            <w:pPr>
              <w:spacing w:after="0"/>
              <w:rPr>
                <w:sz w:val="14"/>
                <w:szCs w:val="14"/>
                <w:color w:val="auto"/>
              </w:rPr>
            </w:pPr>
          </w:p>
        </w:tc>
        <w:tc>
          <w:tcPr>
            <w:tcW w:w="1940" w:type="dxa"/>
            <w:vAlign w:val="bottom"/>
            <w:gridSpan w:val="11"/>
            <w:shd w:val="clear" w:color="auto" w:fill="CCFFCC"/>
          </w:tcPr>
          <w:p>
            <w:pPr>
              <w:spacing w:after="0" w:line="165" w:lineRule="exact"/>
              <w:rPr>
                <w:sz w:val="20"/>
                <w:szCs w:val="20"/>
                <w:color w:val="auto"/>
              </w:rPr>
            </w:pPr>
            <w:r>
              <w:rPr>
                <w:rFonts w:ascii="Arial" w:cs="Arial" w:eastAsia="Arial" w:hAnsi="Arial"/>
                <w:sz w:val="16"/>
                <w:szCs w:val="16"/>
                <w:b w:val="1"/>
                <w:bCs w:val="1"/>
                <w:color w:val="auto"/>
              </w:rPr>
              <w:t>Dataminr,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5" w:lineRule="exact"/>
              <w:rPr>
                <w:sz w:val="20"/>
                <w:szCs w:val="20"/>
                <w:color w:val="auto"/>
              </w:rPr>
            </w:pPr>
            <w:r>
              <w:rPr>
                <w:rFonts w:ascii="Arial" w:cs="Arial" w:eastAsia="Arial" w:hAnsi="Arial"/>
                <w:sz w:val="16"/>
                <w:szCs w:val="16"/>
                <w:color w:val="auto"/>
                <w:w w:val="97"/>
              </w:rPr>
              <w:t>New York, NY</w:t>
            </w:r>
          </w:p>
        </w:tc>
        <w:tc>
          <w:tcPr>
            <w:tcW w:w="80" w:type="dxa"/>
            <w:vAlign w:val="bottom"/>
            <w:shd w:val="clear" w:color="auto" w:fill="CCFFCC"/>
          </w:tcPr>
          <w:p>
            <w:pPr>
              <w:spacing w:after="0"/>
              <w:rPr>
                <w:sz w:val="14"/>
                <w:szCs w:val="14"/>
                <w:color w:val="auto"/>
              </w:rPr>
            </w:pPr>
          </w:p>
        </w:tc>
        <w:tc>
          <w:tcPr>
            <w:tcW w:w="9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gridSpan w:val="11"/>
          </w:tcPr>
          <w:p>
            <w:pPr>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Social Media</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904,977</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2,060,602</w:t>
            </w:r>
          </w:p>
        </w:tc>
        <w:tc>
          <w:tcPr>
            <w:tcW w:w="60" w:type="dxa"/>
            <w:vAlign w:val="bottom"/>
          </w:tcPr>
          <w:p>
            <w:pPr>
              <w:spacing w:after="0"/>
              <w:rPr>
                <w:sz w:val="16"/>
                <w:szCs w:val="16"/>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1,999,999</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0.79%</w:t>
            </w:r>
          </w:p>
        </w:tc>
      </w:tr>
      <w:tr>
        <w:trPr>
          <w:trHeight w:val="209"/>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6"/>
              </w:rPr>
              <w:t>Analytics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6"/>
        </w:trPr>
        <w:tc>
          <w:tcPr>
            <w:tcW w:w="20" w:type="dxa"/>
            <w:vAlign w:val="bottom"/>
            <w:shd w:val="clear" w:color="auto" w:fill="CCFFCC"/>
          </w:tcPr>
          <w:p>
            <w:pPr>
              <w:spacing w:after="0"/>
              <w:rPr>
                <w:sz w:val="19"/>
                <w:szCs w:val="19"/>
                <w:color w:val="auto"/>
              </w:rPr>
            </w:pPr>
          </w:p>
        </w:tc>
        <w:tc>
          <w:tcPr>
            <w:tcW w:w="1940" w:type="dxa"/>
            <w:vAlign w:val="bottom"/>
            <w:gridSpan w:val="11"/>
            <w:shd w:val="clear" w:color="auto" w:fill="CCFFCC"/>
          </w:tcPr>
          <w:p>
            <w:pPr>
              <w:spacing w:after="0" w:line="205" w:lineRule="exact"/>
              <w:rPr>
                <w:sz w:val="20"/>
                <w:szCs w:val="20"/>
                <w:color w:val="auto"/>
              </w:rPr>
            </w:pPr>
            <w:r>
              <w:rPr>
                <w:rFonts w:ascii="Arial" w:cs="Arial" w:eastAsia="Arial" w:hAnsi="Arial"/>
                <w:sz w:val="14"/>
                <w:szCs w:val="14"/>
                <w:b w:val="1"/>
                <w:bCs w:val="1"/>
                <w:color w:val="auto"/>
              </w:rPr>
              <w:t>CUX, Inc. (d/b/a CorpU)</w:t>
            </w:r>
            <w:r>
              <w:rPr>
                <w:rFonts w:ascii="Arial" w:cs="Arial" w:eastAsia="Arial" w:hAnsi="Arial"/>
                <w:sz w:val="23"/>
                <w:szCs w:val="23"/>
                <w:b w:val="1"/>
                <w:bCs w:val="1"/>
                <w:color w:val="auto"/>
                <w:vertAlign w:val="superscript"/>
              </w:rPr>
              <w:t>(2)</w:t>
            </w:r>
          </w:p>
        </w:tc>
        <w:tc>
          <w:tcPr>
            <w:tcW w:w="80" w:type="dxa"/>
            <w:vAlign w:val="bottom"/>
            <w:shd w:val="clear" w:color="auto" w:fill="CCFFCC"/>
          </w:tcPr>
          <w:p>
            <w:pPr>
              <w:spacing w:after="0"/>
              <w:rPr>
                <w:sz w:val="19"/>
                <w:szCs w:val="19"/>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FFCC"/>
          </w:tcPr>
          <w:p>
            <w:pPr>
              <w:spacing w:after="0"/>
              <w:rPr>
                <w:sz w:val="19"/>
                <w:szCs w:val="19"/>
                <w:color w:val="auto"/>
              </w:rPr>
            </w:pPr>
          </w:p>
        </w:tc>
        <w:tc>
          <w:tcPr>
            <w:tcW w:w="9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r>
      <w:tr>
        <w:trPr>
          <w:trHeight w:val="203"/>
        </w:trPr>
        <w:tc>
          <w:tcPr>
            <w:tcW w:w="20" w:type="dxa"/>
            <w:vAlign w:val="bottom"/>
            <w:tcBorders>
              <w:top w:val="single" w:sz="8" w:color="CCFFCC"/>
            </w:tcBorders>
          </w:tcPr>
          <w:p>
            <w:pPr>
              <w:spacing w:after="0"/>
              <w:rPr>
                <w:sz w:val="17"/>
                <w:szCs w:val="17"/>
                <w:color w:val="auto"/>
              </w:rPr>
            </w:pPr>
          </w:p>
        </w:tc>
        <w:tc>
          <w:tcPr>
            <w:tcW w:w="1700" w:type="dxa"/>
            <w:vAlign w:val="bottom"/>
            <w:tcBorders>
              <w:top w:val="single" w:sz="8" w:color="auto"/>
            </w:tcBorders>
            <w:gridSpan w:val="10"/>
          </w:tcPr>
          <w:p>
            <w:pPr>
              <w:spacing w:after="0"/>
              <w:rPr>
                <w:sz w:val="20"/>
                <w:szCs w:val="20"/>
                <w:color w:val="auto"/>
              </w:rPr>
            </w:pPr>
            <w:r>
              <w:rPr>
                <w:rFonts w:ascii="Arial" w:cs="Arial" w:eastAsia="Arial" w:hAnsi="Arial"/>
                <w:sz w:val="16"/>
                <w:szCs w:val="16"/>
                <w:color w:val="auto"/>
                <w:w w:val="88"/>
              </w:rPr>
              <w:t>Preferred shares, Series C</w:t>
            </w:r>
          </w:p>
        </w:tc>
        <w:tc>
          <w:tcPr>
            <w:tcW w:w="24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2460" w:type="dxa"/>
            <w:vAlign w:val="bottom"/>
            <w:tcBorders>
              <w:top w:val="single" w:sz="8" w:color="CCFFCC"/>
            </w:tcBorders>
          </w:tcPr>
          <w:p>
            <w:pPr>
              <w:jc w:val="center"/>
              <w:spacing w:after="0"/>
              <w:rPr>
                <w:sz w:val="20"/>
                <w:szCs w:val="20"/>
                <w:color w:val="auto"/>
              </w:rPr>
            </w:pPr>
            <w:r>
              <w:rPr>
                <w:rFonts w:ascii="Arial" w:cs="Arial" w:eastAsia="Arial" w:hAnsi="Arial"/>
                <w:sz w:val="16"/>
                <w:szCs w:val="16"/>
                <w:color w:val="auto"/>
                <w:w w:val="91"/>
              </w:rPr>
              <w:t>Corporate Education</w:t>
            </w:r>
          </w:p>
        </w:tc>
        <w:tc>
          <w:tcPr>
            <w:tcW w:w="1000" w:type="dxa"/>
            <w:vAlign w:val="bottom"/>
            <w:tcBorders>
              <w:top w:val="single" w:sz="8" w:color="CCFFCC"/>
            </w:tcBorders>
            <w:gridSpan w:val="2"/>
          </w:tcPr>
          <w:p>
            <w:pPr>
              <w:jc w:val="right"/>
              <w:spacing w:after="0"/>
              <w:rPr>
                <w:sz w:val="20"/>
                <w:szCs w:val="20"/>
                <w:color w:val="auto"/>
              </w:rPr>
            </w:pPr>
            <w:r>
              <w:rPr>
                <w:rFonts w:ascii="Arial" w:cs="Arial" w:eastAsia="Arial" w:hAnsi="Arial"/>
                <w:sz w:val="16"/>
                <w:szCs w:val="16"/>
                <w:color w:val="auto"/>
              </w:rPr>
              <w:t>246,305</w:t>
            </w:r>
          </w:p>
        </w:tc>
        <w:tc>
          <w:tcPr>
            <w:tcW w:w="920" w:type="dxa"/>
            <w:vAlign w:val="bottom"/>
            <w:tcBorders>
              <w:top w:val="single" w:sz="8" w:color="CCFFCC"/>
            </w:tcBorders>
            <w:gridSpan w:val="2"/>
          </w:tcPr>
          <w:p>
            <w:pPr>
              <w:jc w:val="right"/>
              <w:spacing w:after="0"/>
              <w:rPr>
                <w:sz w:val="20"/>
                <w:szCs w:val="20"/>
                <w:color w:val="auto"/>
              </w:rPr>
            </w:pPr>
            <w:r>
              <w:rPr>
                <w:rFonts w:ascii="Arial" w:cs="Arial" w:eastAsia="Arial" w:hAnsi="Arial"/>
                <w:sz w:val="16"/>
                <w:szCs w:val="16"/>
                <w:color w:val="auto"/>
              </w:rPr>
              <w:t>2,006,077</w:t>
            </w:r>
          </w:p>
        </w:tc>
        <w:tc>
          <w:tcPr>
            <w:tcW w:w="60" w:type="dxa"/>
            <w:vAlign w:val="bottom"/>
            <w:tcBorders>
              <w:top w:val="single" w:sz="8" w:color="CCFFCC"/>
            </w:tcBorders>
          </w:tcPr>
          <w:p>
            <w:pPr>
              <w:spacing w:after="0"/>
              <w:rPr>
                <w:sz w:val="17"/>
                <w:szCs w:val="17"/>
                <w:color w:val="auto"/>
              </w:rPr>
            </w:pPr>
          </w:p>
        </w:tc>
        <w:tc>
          <w:tcPr>
            <w:tcW w:w="980" w:type="dxa"/>
            <w:vAlign w:val="bottom"/>
            <w:tcBorders>
              <w:top w:val="single" w:sz="8" w:color="CCFFCC"/>
            </w:tcBorders>
            <w:gridSpan w:val="3"/>
          </w:tcPr>
          <w:p>
            <w:pPr>
              <w:jc w:val="right"/>
              <w:ind w:right="60"/>
              <w:spacing w:after="0"/>
              <w:rPr>
                <w:sz w:val="20"/>
                <w:szCs w:val="20"/>
                <w:color w:val="auto"/>
              </w:rPr>
            </w:pPr>
            <w:r>
              <w:rPr>
                <w:rFonts w:ascii="Arial" w:cs="Arial" w:eastAsia="Arial" w:hAnsi="Arial"/>
                <w:sz w:val="16"/>
                <w:szCs w:val="16"/>
                <w:color w:val="auto"/>
              </w:rPr>
              <w:t>1,999,997</w:t>
            </w:r>
          </w:p>
        </w:tc>
        <w:tc>
          <w:tcPr>
            <w:tcW w:w="760" w:type="dxa"/>
            <w:vAlign w:val="bottom"/>
            <w:tcBorders>
              <w:top w:val="single" w:sz="8" w:color="CCFFCC"/>
            </w:tcBorders>
            <w:gridSpan w:val="3"/>
          </w:tcPr>
          <w:p>
            <w:pPr>
              <w:jc w:val="center"/>
              <w:ind w:left="59"/>
              <w:spacing w:after="0"/>
              <w:rPr>
                <w:sz w:val="20"/>
                <w:szCs w:val="20"/>
                <w:color w:val="auto"/>
              </w:rPr>
            </w:pPr>
            <w:r>
              <w:rPr>
                <w:rFonts w:ascii="Arial" w:cs="Arial" w:eastAsia="Arial" w:hAnsi="Arial"/>
                <w:sz w:val="16"/>
                <w:szCs w:val="16"/>
                <w:color w:val="auto"/>
                <w:w w:val="92"/>
              </w:rPr>
              <w:t>0.79%</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1"/>
            <w:shd w:val="clear" w:color="auto" w:fill="CCFFCC"/>
          </w:tcPr>
          <w:p>
            <w:pPr>
              <w:spacing w:after="0" w:line="202" w:lineRule="exact"/>
              <w:rPr>
                <w:sz w:val="20"/>
                <w:szCs w:val="20"/>
                <w:color w:val="auto"/>
              </w:rPr>
            </w:pPr>
            <w:r>
              <w:rPr>
                <w:rFonts w:ascii="Arial" w:cs="Arial" w:eastAsia="Arial" w:hAnsi="Arial"/>
                <w:sz w:val="14"/>
                <w:szCs w:val="14"/>
                <w:b w:val="1"/>
                <w:bCs w:val="1"/>
                <w:color w:val="auto"/>
              </w:rPr>
              <w:t>Dailybreak, Inc.</w:t>
            </w:r>
            <w:r>
              <w:rPr>
                <w:rFonts w:ascii="Arial" w:cs="Arial" w:eastAsia="Arial" w:hAnsi="Arial"/>
                <w:sz w:val="23"/>
                <w:szCs w:val="23"/>
                <w:b w:val="1"/>
                <w:bCs w:val="1"/>
                <w:color w:val="auto"/>
                <w:vertAlign w:val="superscript"/>
              </w:rPr>
              <w:t>(2)</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6"/>
              </w:rPr>
              <w:t>Boston, MA</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40" w:type="dxa"/>
            <w:vAlign w:val="bottom"/>
            <w:tcBorders>
              <w:top w:val="single" w:sz="8" w:color="auto"/>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1"/>
          </w:tcPr>
          <w:p>
            <w:pPr>
              <w:spacing w:after="0"/>
              <w:rPr>
                <w:sz w:val="20"/>
                <w:szCs w:val="20"/>
                <w:color w:val="auto"/>
              </w:rPr>
            </w:pPr>
            <w:r>
              <w:rPr>
                <w:rFonts w:ascii="Arial" w:cs="Arial" w:eastAsia="Arial" w:hAnsi="Arial"/>
                <w:sz w:val="16"/>
                <w:szCs w:val="16"/>
                <w:color w:val="auto"/>
                <w:w w:val="94"/>
              </w:rPr>
              <w:t>Preferred shares, Series A-1</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Social Advertising</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1,545,181</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2,000,000</w:t>
            </w:r>
          </w:p>
        </w:tc>
        <w:tc>
          <w:tcPr>
            <w:tcW w:w="6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1,993,283</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0.79%</w:t>
            </w:r>
          </w:p>
        </w:tc>
      </w:tr>
      <w:tr>
        <w:trPr>
          <w:trHeight w:val="162"/>
        </w:trPr>
        <w:tc>
          <w:tcPr>
            <w:tcW w:w="20" w:type="dxa"/>
            <w:vAlign w:val="bottom"/>
            <w:tcBorders>
              <w:bottom w:val="single" w:sz="8" w:color="CCFFCC"/>
            </w:tcBorders>
            <w:shd w:val="clear" w:color="auto" w:fill="CCFFCC"/>
          </w:tcPr>
          <w:p>
            <w:pPr>
              <w:spacing w:after="0"/>
              <w:rPr>
                <w:sz w:val="14"/>
                <w:szCs w:val="14"/>
                <w:color w:val="auto"/>
              </w:rPr>
            </w:pPr>
          </w:p>
        </w:tc>
        <w:tc>
          <w:tcPr>
            <w:tcW w:w="1660" w:type="dxa"/>
            <w:vAlign w:val="bottom"/>
            <w:tcBorders>
              <w:bottom w:val="single" w:sz="8" w:color="auto"/>
            </w:tcBorders>
            <w:gridSpan w:val="9"/>
            <w:shd w:val="clear" w:color="auto" w:fill="CCFFCC"/>
          </w:tcPr>
          <w:p>
            <w:pPr>
              <w:spacing w:after="0" w:line="162" w:lineRule="exact"/>
              <w:rPr>
                <w:sz w:val="20"/>
                <w:szCs w:val="20"/>
                <w:color w:val="auto"/>
              </w:rPr>
            </w:pPr>
            <w:r>
              <w:rPr>
                <w:rFonts w:ascii="Arial" w:cs="Arial" w:eastAsia="Arial" w:hAnsi="Arial"/>
                <w:sz w:val="16"/>
                <w:szCs w:val="16"/>
                <w:b w:val="1"/>
                <w:bCs w:val="1"/>
                <w:color w:val="auto"/>
                <w:w w:val="91"/>
              </w:rPr>
              <w:t>Silver Spring Networks,</w:t>
            </w:r>
          </w:p>
        </w:tc>
        <w:tc>
          <w:tcPr>
            <w:tcW w:w="280" w:type="dxa"/>
            <w:vAlign w:val="bottom"/>
            <w:tcBorders>
              <w:bottom w:val="single" w:sz="8" w:color="CCFFCC"/>
            </w:tcBorders>
            <w:gridSpan w:val="2"/>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2460" w:type="dxa"/>
            <w:vAlign w:val="bottom"/>
            <w:tcBorders>
              <w:bottom w:val="single" w:sz="8" w:color="CCFFCC"/>
            </w:tcBorders>
            <w:shd w:val="clear" w:color="auto" w:fill="CCFFCC"/>
          </w:tcPr>
          <w:p>
            <w:pPr>
              <w:jc w:val="center"/>
              <w:spacing w:after="0" w:line="162" w:lineRule="exact"/>
              <w:rPr>
                <w:sz w:val="20"/>
                <w:szCs w:val="20"/>
                <w:color w:val="auto"/>
              </w:rPr>
            </w:pPr>
            <w:r>
              <w:rPr>
                <w:rFonts w:ascii="Arial" w:cs="Arial" w:eastAsia="Arial" w:hAnsi="Arial"/>
                <w:sz w:val="16"/>
                <w:szCs w:val="16"/>
                <w:color w:val="auto"/>
                <w:w w:val="94"/>
              </w:rPr>
              <w:t>Redwood City, CA</w:t>
            </w:r>
          </w:p>
        </w:tc>
        <w:tc>
          <w:tcPr>
            <w:tcW w:w="80" w:type="dxa"/>
            <w:vAlign w:val="bottom"/>
            <w:tcBorders>
              <w:bottom w:val="single" w:sz="8" w:color="CCFFCC"/>
            </w:tcBorders>
            <w:shd w:val="clear" w:color="auto" w:fill="CCFFCC"/>
          </w:tcPr>
          <w:p>
            <w:pPr>
              <w:spacing w:after="0"/>
              <w:rPr>
                <w:sz w:val="14"/>
                <w:szCs w:val="14"/>
                <w:color w:val="auto"/>
              </w:rPr>
            </w:pPr>
          </w:p>
        </w:tc>
        <w:tc>
          <w:tcPr>
            <w:tcW w:w="92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820" w:type="dxa"/>
            <w:vAlign w:val="bottom"/>
            <w:tcBorders>
              <w:bottom w:val="single" w:sz="8" w:color="CCFFCC"/>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820" w:type="dxa"/>
            <w:vAlign w:val="bottom"/>
            <w:tcBorders>
              <w:bottom w:val="single" w:sz="8" w:color="CCFFCC"/>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440" w:type="dxa"/>
            <w:vAlign w:val="bottom"/>
            <w:tcBorders>
              <w:bottom w:val="single" w:sz="8" w:color="CCFFCC"/>
            </w:tcBorders>
            <w:shd w:val="clear" w:color="auto" w:fill="CCFFCC"/>
          </w:tcPr>
          <w:p>
            <w:pPr>
              <w:spacing w:after="0"/>
              <w:rPr>
                <w:sz w:val="14"/>
                <w:szCs w:val="14"/>
                <w:color w:val="auto"/>
              </w:rPr>
            </w:pPr>
          </w:p>
        </w:tc>
        <w:tc>
          <w:tcPr>
            <w:tcW w:w="240" w:type="dxa"/>
            <w:vAlign w:val="bottom"/>
            <w:tcBorders>
              <w:bottom w:val="single" w:sz="8" w:color="CCFFCC"/>
            </w:tcBorders>
            <w:shd w:val="clear" w:color="auto" w:fill="CCFFCC"/>
          </w:tcPr>
          <w:p>
            <w:pPr>
              <w:spacing w:after="0"/>
              <w:rPr>
                <w:sz w:val="14"/>
                <w:szCs w:val="14"/>
                <w:color w:val="auto"/>
              </w:rPr>
            </w:pPr>
          </w:p>
        </w:tc>
      </w:tr>
      <w:tr>
        <w:trPr>
          <w:trHeight w:val="203"/>
        </w:trPr>
        <w:tc>
          <w:tcPr>
            <w:tcW w:w="20" w:type="dxa"/>
            <w:vAlign w:val="bottom"/>
            <w:tcBorders>
              <w:bottom w:val="single" w:sz="8" w:color="CCFFCC"/>
            </w:tcBorders>
            <w:shd w:val="clear" w:color="auto" w:fill="CCFFCC"/>
          </w:tcPr>
          <w:p>
            <w:pPr>
              <w:spacing w:after="0"/>
              <w:rPr>
                <w:sz w:val="17"/>
                <w:szCs w:val="17"/>
                <w:color w:val="auto"/>
              </w:rPr>
            </w:pPr>
          </w:p>
        </w:tc>
        <w:tc>
          <w:tcPr>
            <w:tcW w:w="260" w:type="dxa"/>
            <w:vAlign w:val="bottom"/>
            <w:tcBorders>
              <w:bottom w:val="single" w:sz="8" w:color="auto"/>
            </w:tcBorders>
            <w:shd w:val="clear" w:color="auto" w:fill="CCFFCC"/>
          </w:tcPr>
          <w:p>
            <w:pPr>
              <w:spacing w:after="0" w:line="183" w:lineRule="exact"/>
              <w:rPr>
                <w:sz w:val="20"/>
                <w:szCs w:val="20"/>
                <w:color w:val="auto"/>
              </w:rPr>
            </w:pPr>
            <w:r>
              <w:rPr>
                <w:rFonts w:ascii="Arial" w:cs="Arial" w:eastAsia="Arial" w:hAnsi="Arial"/>
                <w:sz w:val="16"/>
                <w:szCs w:val="16"/>
                <w:b w:val="1"/>
                <w:bCs w:val="1"/>
                <w:color w:val="auto"/>
                <w:w w:val="86"/>
              </w:rPr>
              <w:t>Inc.</w:t>
            </w:r>
          </w:p>
        </w:tc>
        <w:tc>
          <w:tcPr>
            <w:tcW w:w="1680" w:type="dxa"/>
            <w:vAlign w:val="bottom"/>
            <w:tcBorders>
              <w:bottom w:val="single" w:sz="8" w:color="CCFFCC"/>
            </w:tcBorders>
            <w:gridSpan w:val="10"/>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246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9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820" w:type="dxa"/>
            <w:vAlign w:val="bottom"/>
            <w:tcBorders>
              <w:bottom w:val="single" w:sz="8" w:color="CCFFCC"/>
            </w:tcBorders>
            <w:shd w:val="clear" w:color="auto" w:fill="CCFFCC"/>
          </w:tcPr>
          <w:p>
            <w:pPr>
              <w:spacing w:after="0"/>
              <w:rPr>
                <w:sz w:val="17"/>
                <w:szCs w:val="17"/>
                <w:color w:val="auto"/>
              </w:rPr>
            </w:pPr>
          </w:p>
        </w:tc>
        <w:tc>
          <w:tcPr>
            <w:tcW w:w="6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820" w:type="dxa"/>
            <w:vAlign w:val="bottom"/>
            <w:tcBorders>
              <w:bottom w:val="single" w:sz="8" w:color="CCFFCC"/>
            </w:tcBorders>
            <w:shd w:val="clear" w:color="auto" w:fill="CCFFCC"/>
          </w:tcPr>
          <w:p>
            <w:pPr>
              <w:spacing w:after="0"/>
              <w:rPr>
                <w:sz w:val="17"/>
                <w:szCs w:val="17"/>
                <w:color w:val="auto"/>
              </w:rPr>
            </w:pPr>
          </w:p>
        </w:tc>
        <w:tc>
          <w:tcPr>
            <w:tcW w:w="6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440" w:type="dxa"/>
            <w:vAlign w:val="bottom"/>
            <w:tcBorders>
              <w:bottom w:val="single" w:sz="8" w:color="CCFFCC"/>
            </w:tcBorders>
            <w:shd w:val="clear" w:color="auto" w:fill="CCFFCC"/>
          </w:tcPr>
          <w:p>
            <w:pPr>
              <w:spacing w:after="0"/>
              <w:rPr>
                <w:sz w:val="17"/>
                <w:szCs w:val="17"/>
                <w:color w:val="auto"/>
              </w:rPr>
            </w:pPr>
          </w:p>
        </w:tc>
        <w:tc>
          <w:tcPr>
            <w:tcW w:w="240" w:type="dxa"/>
            <w:vAlign w:val="bottom"/>
            <w:tcBorders>
              <w:bottom w:val="single" w:sz="8" w:color="CCFFCC"/>
            </w:tcBorders>
            <w:shd w:val="clear" w:color="auto" w:fill="CCFFCC"/>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1940" w:type="dxa"/>
            <w:vAlign w:val="bottom"/>
            <w:gridSpan w:val="11"/>
          </w:tcPr>
          <w:p>
            <w:pPr>
              <w:spacing w:after="0" w:line="242" w:lineRule="exact"/>
              <w:rPr>
                <w:sz w:val="20"/>
                <w:szCs w:val="20"/>
                <w:color w:val="auto"/>
              </w:rPr>
            </w:pPr>
            <w:r>
              <w:rPr>
                <w:rFonts w:ascii="Arial" w:cs="Arial" w:eastAsia="Arial" w:hAnsi="Arial"/>
                <w:sz w:val="16"/>
                <w:szCs w:val="16"/>
                <w:color w:val="auto"/>
              </w:rPr>
              <w:t>Common shares</w:t>
            </w:r>
            <w:r>
              <w:rPr>
                <w:rFonts w:ascii="Arial" w:cs="Arial" w:eastAsia="Arial" w:hAnsi="Arial"/>
                <w:sz w:val="27"/>
                <w:szCs w:val="27"/>
                <w:color w:val="auto"/>
                <w:vertAlign w:val="superscript"/>
              </w:rPr>
              <w:t>(11)</w:t>
            </w:r>
          </w:p>
        </w:tc>
        <w:tc>
          <w:tcPr>
            <w:tcW w:w="80" w:type="dxa"/>
            <w:vAlign w:val="bottom"/>
          </w:tcPr>
          <w:p>
            <w:pPr>
              <w:spacing w:after="0"/>
              <w:rPr>
                <w:sz w:val="21"/>
                <w:szCs w:val="21"/>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Smart Grid</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510,143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5,145,271</w:t>
            </w:r>
          </w:p>
        </w:tc>
        <w:tc>
          <w:tcPr>
            <w:tcW w:w="60" w:type="dxa"/>
            <w:vAlign w:val="bottom"/>
          </w:tcPr>
          <w:p>
            <w:pPr>
              <w:spacing w:after="0"/>
              <w:rPr>
                <w:sz w:val="21"/>
                <w:szCs w:val="21"/>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1,976,804</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0.78%</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1"/>
            <w:shd w:val="clear" w:color="auto" w:fill="CCFFCC"/>
          </w:tcPr>
          <w:p>
            <w:pPr>
              <w:spacing w:after="0" w:line="202" w:lineRule="exact"/>
              <w:rPr>
                <w:sz w:val="20"/>
                <w:szCs w:val="20"/>
                <w:color w:val="auto"/>
              </w:rPr>
            </w:pPr>
            <w:r>
              <w:rPr>
                <w:rFonts w:ascii="Arial" w:cs="Arial" w:eastAsia="Arial" w:hAnsi="Arial"/>
                <w:sz w:val="14"/>
                <w:szCs w:val="14"/>
                <w:b w:val="1"/>
                <w:bCs w:val="1"/>
                <w:color w:val="auto"/>
              </w:rPr>
              <w:t>The Echo System Corp.</w:t>
            </w:r>
            <w:r>
              <w:rPr>
                <w:rFonts w:ascii="Arial" w:cs="Arial" w:eastAsia="Arial" w:hAnsi="Arial"/>
                <w:sz w:val="23"/>
                <w:szCs w:val="23"/>
                <w:b w:val="1"/>
                <w:bCs w:val="1"/>
                <w:color w:val="auto"/>
                <w:vertAlign w:val="superscript"/>
              </w:rPr>
              <w:t>(1)</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7"/>
              </w:rPr>
              <w:t>New York, NY</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190"/>
        </w:trPr>
        <w:tc>
          <w:tcPr>
            <w:tcW w:w="20" w:type="dxa"/>
            <w:vAlign w:val="bottom"/>
            <w:tcBorders>
              <w:top w:val="single" w:sz="8" w:color="CCFFCC"/>
              <w:bottom w:val="single" w:sz="8" w:color="CCFFCC"/>
            </w:tcBorders>
            <w:shd w:val="clear" w:color="auto" w:fill="CCFFCC"/>
          </w:tcPr>
          <w:p>
            <w:pPr>
              <w:spacing w:after="0"/>
              <w:rPr>
                <w:sz w:val="16"/>
                <w:szCs w:val="16"/>
                <w:color w:val="auto"/>
              </w:rPr>
            </w:pPr>
          </w:p>
        </w:tc>
        <w:tc>
          <w:tcPr>
            <w:tcW w:w="920" w:type="dxa"/>
            <w:vAlign w:val="bottom"/>
            <w:tcBorders>
              <w:top w:val="single" w:sz="8" w:color="auto"/>
              <w:bottom w:val="single" w:sz="8" w:color="CCFFCC"/>
            </w:tcBorders>
            <w:gridSpan w:val="2"/>
            <w:shd w:val="clear" w:color="auto" w:fill="CCFFCC"/>
          </w:tcPr>
          <w:p>
            <w:pPr>
              <w:ind w:left="180"/>
              <w:spacing w:after="0"/>
              <w:rPr>
                <w:sz w:val="20"/>
                <w:szCs w:val="20"/>
                <w:color w:val="auto"/>
              </w:rPr>
            </w:pPr>
            <w:r>
              <w:rPr>
                <w:rFonts w:ascii="Arial" w:cs="Arial" w:eastAsia="Arial" w:hAnsi="Arial"/>
                <w:sz w:val="14"/>
                <w:szCs w:val="14"/>
                <w:b w:val="1"/>
                <w:bCs w:val="1"/>
                <w:color w:val="auto"/>
              </w:rPr>
              <w:t>(2)</w:t>
            </w:r>
          </w:p>
        </w:tc>
        <w:tc>
          <w:tcPr>
            <w:tcW w:w="80" w:type="dxa"/>
            <w:vAlign w:val="bottom"/>
            <w:tcBorders>
              <w:top w:val="single" w:sz="8" w:color="auto"/>
              <w:bottom w:val="single" w:sz="8" w:color="CCFFCC"/>
            </w:tcBorders>
            <w:shd w:val="clear" w:color="auto" w:fill="CCFFCC"/>
          </w:tcPr>
          <w:p>
            <w:pPr>
              <w:spacing w:after="0"/>
              <w:rPr>
                <w:sz w:val="16"/>
                <w:szCs w:val="16"/>
                <w:color w:val="auto"/>
              </w:rPr>
            </w:pPr>
          </w:p>
        </w:tc>
        <w:tc>
          <w:tcPr>
            <w:tcW w:w="80" w:type="dxa"/>
            <w:vAlign w:val="bottom"/>
            <w:tcBorders>
              <w:top w:val="single" w:sz="8" w:color="auto"/>
              <w:bottom w:val="single" w:sz="8" w:color="CCFFCC"/>
            </w:tcBorders>
            <w:shd w:val="clear" w:color="auto" w:fill="CCFFCC"/>
          </w:tcPr>
          <w:p>
            <w:pPr>
              <w:spacing w:after="0"/>
              <w:rPr>
                <w:sz w:val="16"/>
                <w:szCs w:val="16"/>
                <w:color w:val="auto"/>
              </w:rPr>
            </w:pPr>
          </w:p>
        </w:tc>
        <w:tc>
          <w:tcPr>
            <w:tcW w:w="40" w:type="dxa"/>
            <w:vAlign w:val="bottom"/>
            <w:tcBorders>
              <w:top w:val="single" w:sz="8" w:color="auto"/>
              <w:bottom w:val="single" w:sz="8" w:color="CCFFCC"/>
            </w:tcBorders>
            <w:shd w:val="clear" w:color="auto" w:fill="CCFFCC"/>
          </w:tcPr>
          <w:p>
            <w:pPr>
              <w:spacing w:after="0"/>
              <w:rPr>
                <w:sz w:val="16"/>
                <w:szCs w:val="16"/>
                <w:color w:val="auto"/>
              </w:rPr>
            </w:pPr>
          </w:p>
        </w:tc>
        <w:tc>
          <w:tcPr>
            <w:tcW w:w="160" w:type="dxa"/>
            <w:vAlign w:val="bottom"/>
            <w:tcBorders>
              <w:top w:val="single" w:sz="8" w:color="auto"/>
              <w:bottom w:val="single" w:sz="8" w:color="CCFFCC"/>
            </w:tcBorders>
            <w:shd w:val="clear" w:color="auto" w:fill="CCFFCC"/>
          </w:tcPr>
          <w:p>
            <w:pPr>
              <w:spacing w:after="0"/>
              <w:rPr>
                <w:sz w:val="16"/>
                <w:szCs w:val="16"/>
                <w:color w:val="auto"/>
              </w:rPr>
            </w:pPr>
          </w:p>
        </w:tc>
        <w:tc>
          <w:tcPr>
            <w:tcW w:w="280" w:type="dxa"/>
            <w:vAlign w:val="bottom"/>
            <w:tcBorders>
              <w:top w:val="single" w:sz="8" w:color="auto"/>
              <w:bottom w:val="single" w:sz="8" w:color="CCFFCC"/>
            </w:tcBorders>
            <w:shd w:val="clear" w:color="auto" w:fill="CCFFCC"/>
          </w:tcPr>
          <w:p>
            <w:pPr>
              <w:spacing w:after="0"/>
              <w:rPr>
                <w:sz w:val="16"/>
                <w:szCs w:val="16"/>
                <w:color w:val="auto"/>
              </w:rPr>
            </w:pPr>
          </w:p>
        </w:tc>
        <w:tc>
          <w:tcPr>
            <w:tcW w:w="80" w:type="dxa"/>
            <w:vAlign w:val="bottom"/>
            <w:tcBorders>
              <w:top w:val="single" w:sz="8" w:color="auto"/>
              <w:bottom w:val="single" w:sz="8" w:color="CCFFCC"/>
            </w:tcBorders>
            <w:shd w:val="clear" w:color="auto" w:fill="CCFFCC"/>
          </w:tcPr>
          <w:p>
            <w:pPr>
              <w:spacing w:after="0"/>
              <w:rPr>
                <w:sz w:val="16"/>
                <w:szCs w:val="16"/>
                <w:color w:val="auto"/>
              </w:rPr>
            </w:pPr>
          </w:p>
        </w:tc>
        <w:tc>
          <w:tcPr>
            <w:tcW w:w="20" w:type="dxa"/>
            <w:vAlign w:val="bottom"/>
            <w:tcBorders>
              <w:top w:val="single" w:sz="8" w:color="CCFFCC"/>
              <w:bottom w:val="single" w:sz="8" w:color="CCFFCC"/>
            </w:tcBorders>
            <w:shd w:val="clear" w:color="auto" w:fill="CCFFCC"/>
          </w:tcPr>
          <w:p>
            <w:pPr>
              <w:spacing w:after="0"/>
              <w:rPr>
                <w:sz w:val="16"/>
                <w:szCs w:val="16"/>
                <w:color w:val="auto"/>
              </w:rPr>
            </w:pPr>
          </w:p>
        </w:tc>
        <w:tc>
          <w:tcPr>
            <w:tcW w:w="40" w:type="dxa"/>
            <w:vAlign w:val="bottom"/>
            <w:tcBorders>
              <w:top w:val="single" w:sz="8" w:color="CCFFCC"/>
              <w:bottom w:val="single" w:sz="8" w:color="CCFFCC"/>
            </w:tcBorders>
            <w:shd w:val="clear" w:color="auto" w:fill="CCFFCC"/>
          </w:tcPr>
          <w:p>
            <w:pPr>
              <w:spacing w:after="0"/>
              <w:rPr>
                <w:sz w:val="16"/>
                <w:szCs w:val="16"/>
                <w:color w:val="auto"/>
              </w:rPr>
            </w:pPr>
          </w:p>
        </w:tc>
        <w:tc>
          <w:tcPr>
            <w:tcW w:w="240" w:type="dxa"/>
            <w:vAlign w:val="bottom"/>
            <w:tcBorders>
              <w:top w:val="single" w:sz="8" w:color="CCFFCC"/>
              <w:bottom w:val="single" w:sz="8" w:color="CCFFCC"/>
            </w:tcBorders>
            <w:shd w:val="clear" w:color="auto" w:fill="CCFFCC"/>
          </w:tcPr>
          <w:p>
            <w:pPr>
              <w:spacing w:after="0"/>
              <w:rPr>
                <w:sz w:val="16"/>
                <w:szCs w:val="16"/>
                <w:color w:val="auto"/>
              </w:rPr>
            </w:pPr>
          </w:p>
        </w:tc>
        <w:tc>
          <w:tcPr>
            <w:tcW w:w="80" w:type="dxa"/>
            <w:vAlign w:val="bottom"/>
            <w:tcBorders>
              <w:top w:val="single" w:sz="8" w:color="CCFFCC"/>
              <w:bottom w:val="single" w:sz="8" w:color="CCFFCC"/>
            </w:tcBorders>
            <w:shd w:val="clear" w:color="auto" w:fill="CCFFCC"/>
          </w:tcPr>
          <w:p>
            <w:pPr>
              <w:spacing w:after="0"/>
              <w:rPr>
                <w:sz w:val="16"/>
                <w:szCs w:val="16"/>
                <w:color w:val="auto"/>
              </w:rPr>
            </w:pPr>
          </w:p>
        </w:tc>
        <w:tc>
          <w:tcPr>
            <w:tcW w:w="2460" w:type="dxa"/>
            <w:vAlign w:val="bottom"/>
            <w:tcBorders>
              <w:top w:val="single" w:sz="8" w:color="CCFFCC"/>
              <w:bottom w:val="single" w:sz="8" w:color="CCFFCC"/>
            </w:tcBorders>
            <w:shd w:val="clear" w:color="auto" w:fill="CCFFCC"/>
          </w:tcPr>
          <w:p>
            <w:pPr>
              <w:spacing w:after="0"/>
              <w:rPr>
                <w:sz w:val="16"/>
                <w:szCs w:val="16"/>
                <w:color w:val="auto"/>
              </w:rPr>
            </w:pPr>
          </w:p>
        </w:tc>
        <w:tc>
          <w:tcPr>
            <w:tcW w:w="80" w:type="dxa"/>
            <w:vAlign w:val="bottom"/>
            <w:tcBorders>
              <w:top w:val="single" w:sz="8" w:color="CCFFCC"/>
              <w:bottom w:val="single" w:sz="8" w:color="CCFFCC"/>
            </w:tcBorders>
            <w:shd w:val="clear" w:color="auto" w:fill="CCFFCC"/>
          </w:tcPr>
          <w:p>
            <w:pPr>
              <w:spacing w:after="0"/>
              <w:rPr>
                <w:sz w:val="16"/>
                <w:szCs w:val="16"/>
                <w:color w:val="auto"/>
              </w:rPr>
            </w:pPr>
          </w:p>
        </w:tc>
        <w:tc>
          <w:tcPr>
            <w:tcW w:w="920" w:type="dxa"/>
            <w:vAlign w:val="bottom"/>
            <w:tcBorders>
              <w:top w:val="single" w:sz="8" w:color="CCFFCC"/>
              <w:bottom w:val="single" w:sz="8" w:color="CCFFCC"/>
            </w:tcBorders>
            <w:shd w:val="clear" w:color="auto" w:fill="CCFFCC"/>
          </w:tcPr>
          <w:p>
            <w:pPr>
              <w:spacing w:after="0"/>
              <w:rPr>
                <w:sz w:val="16"/>
                <w:szCs w:val="16"/>
                <w:color w:val="auto"/>
              </w:rPr>
            </w:pPr>
          </w:p>
        </w:tc>
        <w:tc>
          <w:tcPr>
            <w:tcW w:w="100" w:type="dxa"/>
            <w:vAlign w:val="bottom"/>
            <w:tcBorders>
              <w:top w:val="single" w:sz="8" w:color="CCFFCC"/>
              <w:bottom w:val="single" w:sz="8" w:color="CCFFCC"/>
            </w:tcBorders>
            <w:shd w:val="clear" w:color="auto" w:fill="CCFFCC"/>
          </w:tcPr>
          <w:p>
            <w:pPr>
              <w:spacing w:after="0"/>
              <w:rPr>
                <w:sz w:val="16"/>
                <w:szCs w:val="16"/>
                <w:color w:val="auto"/>
              </w:rPr>
            </w:pPr>
          </w:p>
        </w:tc>
        <w:tc>
          <w:tcPr>
            <w:tcW w:w="820" w:type="dxa"/>
            <w:vAlign w:val="bottom"/>
            <w:tcBorders>
              <w:top w:val="single" w:sz="8" w:color="CCFFCC"/>
              <w:bottom w:val="single" w:sz="8" w:color="CCFFCC"/>
            </w:tcBorders>
            <w:shd w:val="clear" w:color="auto" w:fill="CCFFCC"/>
          </w:tcPr>
          <w:p>
            <w:pPr>
              <w:spacing w:after="0"/>
              <w:rPr>
                <w:sz w:val="16"/>
                <w:szCs w:val="16"/>
                <w:color w:val="auto"/>
              </w:rPr>
            </w:pPr>
          </w:p>
        </w:tc>
        <w:tc>
          <w:tcPr>
            <w:tcW w:w="60" w:type="dxa"/>
            <w:vAlign w:val="bottom"/>
            <w:tcBorders>
              <w:top w:val="single" w:sz="8" w:color="CCFFCC"/>
              <w:bottom w:val="single" w:sz="8" w:color="CCFFCC"/>
            </w:tcBorders>
            <w:shd w:val="clear" w:color="auto" w:fill="CCFFCC"/>
          </w:tcPr>
          <w:p>
            <w:pPr>
              <w:spacing w:after="0"/>
              <w:rPr>
                <w:sz w:val="16"/>
                <w:szCs w:val="16"/>
                <w:color w:val="auto"/>
              </w:rPr>
            </w:pPr>
          </w:p>
        </w:tc>
        <w:tc>
          <w:tcPr>
            <w:tcW w:w="100" w:type="dxa"/>
            <w:vAlign w:val="bottom"/>
            <w:tcBorders>
              <w:top w:val="single" w:sz="8" w:color="CCFFCC"/>
              <w:bottom w:val="single" w:sz="8" w:color="CCFFCC"/>
            </w:tcBorders>
            <w:shd w:val="clear" w:color="auto" w:fill="CCFFCC"/>
          </w:tcPr>
          <w:p>
            <w:pPr>
              <w:spacing w:after="0"/>
              <w:rPr>
                <w:sz w:val="16"/>
                <w:szCs w:val="16"/>
                <w:color w:val="auto"/>
              </w:rPr>
            </w:pPr>
          </w:p>
        </w:tc>
        <w:tc>
          <w:tcPr>
            <w:tcW w:w="820" w:type="dxa"/>
            <w:vAlign w:val="bottom"/>
            <w:tcBorders>
              <w:top w:val="single" w:sz="8" w:color="CCFFCC"/>
              <w:bottom w:val="single" w:sz="8" w:color="CCFFCC"/>
            </w:tcBorders>
            <w:shd w:val="clear" w:color="auto" w:fill="CCFFCC"/>
          </w:tcPr>
          <w:p>
            <w:pPr>
              <w:spacing w:after="0"/>
              <w:rPr>
                <w:sz w:val="16"/>
                <w:szCs w:val="16"/>
                <w:color w:val="auto"/>
              </w:rPr>
            </w:pPr>
          </w:p>
        </w:tc>
        <w:tc>
          <w:tcPr>
            <w:tcW w:w="60" w:type="dxa"/>
            <w:vAlign w:val="bottom"/>
            <w:tcBorders>
              <w:top w:val="single" w:sz="8" w:color="CCFFCC"/>
              <w:bottom w:val="single" w:sz="8" w:color="CCFFCC"/>
            </w:tcBorders>
            <w:shd w:val="clear" w:color="auto" w:fill="CCFFCC"/>
          </w:tcPr>
          <w:p>
            <w:pPr>
              <w:spacing w:after="0"/>
              <w:rPr>
                <w:sz w:val="16"/>
                <w:szCs w:val="16"/>
                <w:color w:val="auto"/>
              </w:rPr>
            </w:pPr>
          </w:p>
        </w:tc>
        <w:tc>
          <w:tcPr>
            <w:tcW w:w="80" w:type="dxa"/>
            <w:vAlign w:val="bottom"/>
            <w:tcBorders>
              <w:top w:val="single" w:sz="8" w:color="CCFFCC"/>
              <w:bottom w:val="single" w:sz="8" w:color="CCFFCC"/>
            </w:tcBorders>
            <w:shd w:val="clear" w:color="auto" w:fill="CCFFCC"/>
          </w:tcPr>
          <w:p>
            <w:pPr>
              <w:spacing w:after="0"/>
              <w:rPr>
                <w:sz w:val="16"/>
                <w:szCs w:val="16"/>
                <w:color w:val="auto"/>
              </w:rPr>
            </w:pPr>
          </w:p>
        </w:tc>
        <w:tc>
          <w:tcPr>
            <w:tcW w:w="440" w:type="dxa"/>
            <w:vAlign w:val="bottom"/>
            <w:tcBorders>
              <w:top w:val="single" w:sz="8" w:color="CCFFCC"/>
              <w:bottom w:val="single" w:sz="8" w:color="CCFFCC"/>
            </w:tcBorders>
            <w:shd w:val="clear" w:color="auto" w:fill="CCFFCC"/>
          </w:tcPr>
          <w:p>
            <w:pPr>
              <w:spacing w:after="0"/>
              <w:rPr>
                <w:sz w:val="16"/>
                <w:szCs w:val="16"/>
                <w:color w:val="auto"/>
              </w:rPr>
            </w:pPr>
          </w:p>
        </w:tc>
        <w:tc>
          <w:tcPr>
            <w:tcW w:w="240" w:type="dxa"/>
            <w:vAlign w:val="bottom"/>
            <w:tcBorders>
              <w:top w:val="single" w:sz="8" w:color="CCFFCC"/>
              <w:bottom w:val="single" w:sz="8" w:color="CCFFCC"/>
            </w:tcBorders>
            <w:shd w:val="clear" w:color="auto" w:fill="CCFFCC"/>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940" w:type="dxa"/>
            <w:vAlign w:val="bottom"/>
            <w:gridSpan w:val="11"/>
          </w:tcPr>
          <w:p>
            <w:pPr>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Social Analytics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512,365</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1,436,404</w:t>
            </w:r>
          </w:p>
        </w:tc>
        <w:tc>
          <w:tcPr>
            <w:tcW w:w="6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1,639,568</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0.65%</w:t>
            </w:r>
          </w:p>
        </w:tc>
      </w:tr>
      <w:tr>
        <w:trPr>
          <w:trHeight w:val="193"/>
        </w:trPr>
        <w:tc>
          <w:tcPr>
            <w:tcW w:w="20" w:type="dxa"/>
            <w:vAlign w:val="bottom"/>
            <w:shd w:val="clear" w:color="auto" w:fill="CCFFCC"/>
          </w:tcPr>
          <w:p>
            <w:pPr>
              <w:spacing w:after="0"/>
              <w:rPr>
                <w:sz w:val="16"/>
                <w:szCs w:val="16"/>
                <w:color w:val="auto"/>
              </w:rPr>
            </w:pPr>
          </w:p>
        </w:tc>
        <w:tc>
          <w:tcPr>
            <w:tcW w:w="1940" w:type="dxa"/>
            <w:vAlign w:val="bottom"/>
            <w:gridSpan w:val="11"/>
            <w:shd w:val="clear" w:color="auto" w:fill="CCFFCC"/>
          </w:tcPr>
          <w:p>
            <w:pPr>
              <w:spacing w:after="0"/>
              <w:rPr>
                <w:sz w:val="20"/>
                <w:szCs w:val="20"/>
                <w:color w:val="auto"/>
              </w:rPr>
            </w:pPr>
            <w:r>
              <w:rPr>
                <w:rFonts w:ascii="Arial" w:cs="Arial" w:eastAsia="Arial" w:hAnsi="Arial"/>
                <w:sz w:val="16"/>
                <w:szCs w:val="16"/>
                <w:color w:val="auto"/>
              </w:rPr>
              <w:t>Preferred warrants, $0.20</w:t>
            </w:r>
          </w:p>
        </w:tc>
        <w:tc>
          <w:tcPr>
            <w:tcW w:w="80" w:type="dxa"/>
            <w:vAlign w:val="bottom"/>
            <w:shd w:val="clear" w:color="auto" w:fill="CCFFCC"/>
          </w:tcPr>
          <w:p>
            <w:pPr>
              <w:spacing w:after="0"/>
              <w:rPr>
                <w:sz w:val="16"/>
                <w:szCs w:val="16"/>
                <w:color w:val="auto"/>
              </w:rPr>
            </w:pPr>
          </w:p>
        </w:tc>
        <w:tc>
          <w:tcPr>
            <w:tcW w:w="246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68,359</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75,988</w:t>
            </w:r>
          </w:p>
        </w:tc>
        <w:tc>
          <w:tcPr>
            <w:tcW w:w="60" w:type="dxa"/>
            <w:vAlign w:val="bottom"/>
            <w:shd w:val="clear" w:color="auto" w:fill="CCFFCC"/>
          </w:tcPr>
          <w:p>
            <w:pPr>
              <w:spacing w:after="0"/>
              <w:rPr>
                <w:sz w:val="16"/>
                <w:szCs w:val="16"/>
                <w:color w:val="auto"/>
              </w:rPr>
            </w:pPr>
          </w:p>
        </w:tc>
        <w:tc>
          <w:tcPr>
            <w:tcW w:w="98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68,359</w:t>
            </w:r>
          </w:p>
        </w:tc>
        <w:tc>
          <w:tcPr>
            <w:tcW w:w="760" w:type="dxa"/>
            <w:vAlign w:val="bottom"/>
            <w:gridSpan w:val="3"/>
            <w:shd w:val="clear" w:color="auto" w:fill="CCFFCC"/>
          </w:tcPr>
          <w:p>
            <w:pPr>
              <w:jc w:val="center"/>
              <w:ind w:left="59"/>
              <w:spacing w:after="0"/>
              <w:rPr>
                <w:sz w:val="20"/>
                <w:szCs w:val="20"/>
                <w:color w:val="auto"/>
              </w:rPr>
            </w:pPr>
            <w:r>
              <w:rPr>
                <w:rFonts w:ascii="Arial" w:cs="Arial" w:eastAsia="Arial" w:hAnsi="Arial"/>
                <w:sz w:val="16"/>
                <w:szCs w:val="16"/>
                <w:color w:val="auto"/>
                <w:w w:val="92"/>
              </w:rPr>
              <w:t>0.03%</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1"/>
            <w:shd w:val="clear" w:color="auto" w:fill="CCFFCC"/>
          </w:tcPr>
          <w:p>
            <w:pPr>
              <w:ind w:left="180"/>
              <w:spacing w:after="0"/>
              <w:rPr>
                <w:sz w:val="20"/>
                <w:szCs w:val="20"/>
                <w:color w:val="auto"/>
              </w:rPr>
            </w:pPr>
            <w:r>
              <w:rPr>
                <w:rFonts w:ascii="Arial" w:cs="Arial" w:eastAsia="Arial" w:hAnsi="Arial"/>
                <w:sz w:val="16"/>
                <w:szCs w:val="16"/>
                <w:color w:val="auto"/>
              </w:rPr>
              <w:t>strike price, expire</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09"/>
        </w:trPr>
        <w:tc>
          <w:tcPr>
            <w:tcW w:w="940" w:type="dxa"/>
            <w:vAlign w:val="bottom"/>
            <w:tcBorders>
              <w:bottom w:val="single" w:sz="8" w:color="CCFFCC"/>
            </w:tcBorders>
            <w:gridSpan w:val="3"/>
            <w:shd w:val="clear" w:color="auto" w:fill="CCFFCC"/>
          </w:tcPr>
          <w:p>
            <w:pPr>
              <w:ind w:left="200"/>
              <w:spacing w:after="0"/>
              <w:rPr>
                <w:sz w:val="20"/>
                <w:szCs w:val="20"/>
                <w:color w:val="auto"/>
              </w:rPr>
            </w:pPr>
            <w:r>
              <w:rPr>
                <w:rFonts w:ascii="Arial" w:cs="Arial" w:eastAsia="Arial" w:hAnsi="Arial"/>
                <w:sz w:val="16"/>
                <w:szCs w:val="16"/>
                <w:color w:val="auto"/>
                <w:w w:val="89"/>
              </w:rPr>
              <w:t>11/14/2016</w:t>
            </w:r>
          </w:p>
        </w:tc>
        <w:tc>
          <w:tcPr>
            <w:tcW w:w="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4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1940" w:type="dxa"/>
            <w:vAlign w:val="bottom"/>
            <w:gridSpan w:val="11"/>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1,512,392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1,707,927</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0.68%</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-145415</wp:posOffset>
            </wp:positionV>
            <wp:extent cx="5213985"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958" w:right="1440" w:bottom="1440" w:gutter="0" w:footer="0" w:header="0"/>
        </w:sectPr>
      </w:pPr>
    </w:p>
    <w:bookmarkStart w:id="14" w:name="page15"/>
    <w:bookmarkEnd w:id="14"/>
    <w:p>
      <w:pPr>
        <w:jc w:val="center"/>
        <w:ind w:left="1720" w:right="900"/>
        <w:spacing w:after="0" w:line="257" w:lineRule="auto"/>
        <w:rPr>
          <w:sz w:val="20"/>
          <w:szCs w:val="20"/>
          <w:color w:val="auto"/>
        </w:rPr>
      </w:pPr>
      <w:r>
        <w:rPr>
          <w:rFonts w:ascii="Arial" w:cs="Arial" w:eastAsia="Arial" w:hAnsi="Arial"/>
          <w:sz w:val="18"/>
          <w:szCs w:val="18"/>
          <w:b w:val="1"/>
          <w:bCs w:val="1"/>
          <w:color w:val="auto"/>
        </w:rPr>
        <w:t>GSV CAPITAL CORP. AND SUBSIDIARY CONSOLIDATED SCHEDULE OF INVESTMENTS (continued)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52139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940" w:type="dxa"/>
            <w:vAlign w:val="bottom"/>
            <w:gridSpan w:val="15"/>
          </w:tcPr>
          <w:p>
            <w:pPr>
              <w:spacing w:after="0" w:line="141" w:lineRule="exact"/>
              <w:rPr>
                <w:sz w:val="20"/>
                <w:szCs w:val="20"/>
                <w:color w:val="auto"/>
              </w:rPr>
            </w:pPr>
            <w:r>
              <w:rPr>
                <w:rFonts w:ascii="Arial" w:cs="Arial" w:eastAsia="Arial" w:hAnsi="Arial"/>
                <w:sz w:val="14"/>
                <w:szCs w:val="14"/>
                <w:b w:val="1"/>
                <w:bCs w:val="1"/>
                <w:color w:val="auto"/>
              </w:rPr>
              <w:t>Portfolio Investments*</w:t>
            </w:r>
          </w:p>
        </w:tc>
        <w:tc>
          <w:tcPr>
            <w:tcW w:w="80" w:type="dxa"/>
            <w:vAlign w:val="bottom"/>
          </w:tcPr>
          <w:p>
            <w:pPr>
              <w:spacing w:after="0"/>
              <w:rPr>
                <w:sz w:val="12"/>
                <w:szCs w:val="12"/>
                <w:color w:val="auto"/>
              </w:rPr>
            </w:pPr>
          </w:p>
        </w:tc>
        <w:tc>
          <w:tcPr>
            <w:tcW w:w="24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6"/>
              </w:rPr>
              <w:t>Headquarters/Industry</w:t>
            </w:r>
          </w:p>
        </w:tc>
        <w:tc>
          <w:tcPr>
            <w:tcW w:w="80" w:type="dxa"/>
            <w:vAlign w:val="bottom"/>
          </w:tcPr>
          <w:p>
            <w:pPr>
              <w:spacing w:after="0"/>
              <w:rPr>
                <w:sz w:val="12"/>
                <w:szCs w:val="12"/>
                <w:color w:val="auto"/>
              </w:rPr>
            </w:pPr>
          </w:p>
        </w:tc>
        <w:tc>
          <w:tcPr>
            <w:tcW w:w="92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w w:val="90"/>
              </w:rPr>
              <w:t>Shares/Capital</w:t>
            </w:r>
          </w:p>
        </w:tc>
        <w:tc>
          <w:tcPr>
            <w:tcW w:w="100" w:type="dxa"/>
            <w:vAlign w:val="bottom"/>
          </w:tcPr>
          <w:p>
            <w:pPr>
              <w:spacing w:after="0"/>
              <w:rPr>
                <w:sz w:val="12"/>
                <w:szCs w:val="12"/>
                <w:color w:val="auto"/>
              </w:rPr>
            </w:pPr>
          </w:p>
        </w:tc>
        <w:tc>
          <w:tcPr>
            <w:tcW w:w="880" w:type="dxa"/>
            <w:vAlign w:val="bottom"/>
            <w:gridSpan w:val="2"/>
          </w:tcPr>
          <w:p>
            <w:pPr>
              <w:jc w:val="right"/>
              <w:ind w:right="300"/>
              <w:spacing w:after="0" w:line="141" w:lineRule="exact"/>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1"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68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rPr>
              <w:t>% of</w:t>
            </w:r>
          </w:p>
        </w:tc>
      </w:tr>
      <w:tr>
        <w:trPr>
          <w:trHeight w:val="171"/>
        </w:trPr>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Contribution</w:t>
            </w: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Net Assets</w:t>
            </w:r>
          </w:p>
        </w:tc>
      </w:tr>
      <w:tr>
        <w:trPr>
          <w:trHeight w:val="196"/>
        </w:trPr>
        <w:tc>
          <w:tcPr>
            <w:tcW w:w="20" w:type="dxa"/>
            <w:vAlign w:val="bottom"/>
            <w:shd w:val="clear" w:color="auto" w:fill="CCFFCC"/>
          </w:tcPr>
          <w:p>
            <w:pPr>
              <w:spacing w:after="0"/>
              <w:rPr>
                <w:sz w:val="17"/>
                <w:szCs w:val="17"/>
                <w:color w:val="auto"/>
              </w:rPr>
            </w:pPr>
          </w:p>
        </w:tc>
        <w:tc>
          <w:tcPr>
            <w:tcW w:w="1940" w:type="dxa"/>
            <w:vAlign w:val="bottom"/>
            <w:gridSpan w:val="15"/>
            <w:shd w:val="clear" w:color="auto" w:fill="CCFFCC"/>
          </w:tcPr>
          <w:p>
            <w:pPr>
              <w:spacing w:after="0" w:line="197" w:lineRule="exact"/>
              <w:rPr>
                <w:sz w:val="20"/>
                <w:szCs w:val="20"/>
                <w:color w:val="auto"/>
              </w:rPr>
            </w:pPr>
            <w:r>
              <w:rPr>
                <w:rFonts w:ascii="Arial" w:cs="Arial" w:eastAsia="Arial" w:hAnsi="Arial"/>
                <w:sz w:val="14"/>
                <w:szCs w:val="14"/>
                <w:b w:val="1"/>
                <w:bCs w:val="1"/>
                <w:color w:val="auto"/>
              </w:rPr>
              <w:t>AltEgo, LLC</w:t>
            </w:r>
            <w:r>
              <w:rPr>
                <w:rFonts w:ascii="Arial" w:cs="Arial" w:eastAsia="Arial" w:hAnsi="Arial"/>
                <w:sz w:val="22"/>
                <w:szCs w:val="22"/>
                <w:b w:val="1"/>
                <w:bCs w:val="1"/>
                <w:color w:val="auto"/>
                <w:vertAlign w:val="superscript"/>
              </w:rPr>
              <w:t>(2)(8)</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3"/>
              </w:rPr>
              <w:t>Santa Monica, CA</w:t>
            </w: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4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gridSpan w:val="15"/>
          </w:tcPr>
          <w:p>
            <w:pPr>
              <w:spacing w:after="0"/>
              <w:rPr>
                <w:sz w:val="20"/>
                <w:szCs w:val="20"/>
                <w:color w:val="auto"/>
              </w:rPr>
            </w:pPr>
            <w:r>
              <w:rPr>
                <w:rFonts w:ascii="Arial" w:cs="Arial" w:eastAsia="Arial" w:hAnsi="Arial"/>
                <w:sz w:val="16"/>
                <w:szCs w:val="16"/>
                <w:color w:val="auto"/>
                <w:w w:val="94"/>
              </w:rPr>
              <w:t>Preferred shares, Series B-2</w:t>
            </w:r>
          </w:p>
        </w:tc>
        <w:tc>
          <w:tcPr>
            <w:tcW w:w="8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Social Media</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1,400,000</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$ 1,420,406</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$ 1,400,000</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0.55%</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5"/>
              </w:rPr>
              <w:t>Customer Acquisition</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Platform</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6"/>
        </w:trPr>
        <w:tc>
          <w:tcPr>
            <w:tcW w:w="20" w:type="dxa"/>
            <w:vAlign w:val="bottom"/>
            <w:shd w:val="clear" w:color="auto" w:fill="CCFFCC"/>
          </w:tcPr>
          <w:p>
            <w:pPr>
              <w:spacing w:after="0"/>
              <w:rPr>
                <w:sz w:val="17"/>
                <w:szCs w:val="17"/>
                <w:color w:val="auto"/>
              </w:rPr>
            </w:pPr>
          </w:p>
        </w:tc>
        <w:tc>
          <w:tcPr>
            <w:tcW w:w="1940" w:type="dxa"/>
            <w:vAlign w:val="bottom"/>
            <w:gridSpan w:val="15"/>
            <w:shd w:val="clear" w:color="auto" w:fill="CCFFCC"/>
          </w:tcPr>
          <w:p>
            <w:pPr>
              <w:spacing w:after="0" w:line="205" w:lineRule="exact"/>
              <w:rPr>
                <w:sz w:val="20"/>
                <w:szCs w:val="20"/>
                <w:color w:val="auto"/>
              </w:rPr>
            </w:pPr>
            <w:r>
              <w:rPr>
                <w:rFonts w:ascii="Arial" w:cs="Arial" w:eastAsia="Arial" w:hAnsi="Arial"/>
                <w:sz w:val="14"/>
                <w:szCs w:val="14"/>
                <w:b w:val="1"/>
                <w:bCs w:val="1"/>
                <w:color w:val="auto"/>
              </w:rPr>
              <w:t>Zynga, Inc.</w:t>
            </w:r>
            <w:r>
              <w:rPr>
                <w:rFonts w:ascii="Arial" w:cs="Arial" w:eastAsia="Arial" w:hAnsi="Arial"/>
                <w:sz w:val="23"/>
                <w:szCs w:val="23"/>
                <w:b w:val="1"/>
                <w:bCs w:val="1"/>
                <w:color w:val="auto"/>
                <w:vertAlign w:val="superscript"/>
              </w:rPr>
              <w:t>(10)</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San Francisco, CA</w:t>
            </w: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4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5"/>
          </w:tcPr>
          <w:p>
            <w:pPr>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Social Gaming</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533,333</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3,003,462</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1,258,666</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0.50%</w:t>
            </w:r>
          </w:p>
        </w:tc>
      </w:tr>
      <w:tr>
        <w:trPr>
          <w:trHeight w:val="183"/>
        </w:trPr>
        <w:tc>
          <w:tcPr>
            <w:tcW w:w="20" w:type="dxa"/>
            <w:vAlign w:val="bottom"/>
            <w:tcBorders>
              <w:bottom w:val="single" w:sz="8" w:color="CCFFCC"/>
            </w:tcBorders>
            <w:shd w:val="clear" w:color="auto" w:fill="CCFFCC"/>
          </w:tcPr>
          <w:p>
            <w:pPr>
              <w:spacing w:after="0"/>
              <w:rPr>
                <w:sz w:val="15"/>
                <w:szCs w:val="15"/>
                <w:color w:val="auto"/>
              </w:rPr>
            </w:pPr>
          </w:p>
        </w:tc>
        <w:tc>
          <w:tcPr>
            <w:tcW w:w="1660" w:type="dxa"/>
            <w:vAlign w:val="bottom"/>
            <w:tcBorders>
              <w:bottom w:val="single" w:sz="8" w:color="auto"/>
            </w:tcBorders>
            <w:gridSpan w:val="13"/>
            <w:shd w:val="clear" w:color="auto" w:fill="CCFFCC"/>
          </w:tcPr>
          <w:p>
            <w:pPr>
              <w:spacing w:after="0" w:line="162" w:lineRule="exact"/>
              <w:rPr>
                <w:sz w:val="20"/>
                <w:szCs w:val="20"/>
                <w:color w:val="auto"/>
              </w:rPr>
            </w:pPr>
            <w:r>
              <w:rPr>
                <w:rFonts w:ascii="Arial" w:cs="Arial" w:eastAsia="Arial" w:hAnsi="Arial"/>
                <w:sz w:val="16"/>
                <w:szCs w:val="16"/>
                <w:b w:val="1"/>
                <w:bCs w:val="1"/>
                <w:color w:val="auto"/>
                <w:w w:val="94"/>
              </w:rPr>
              <w:t>The rSmart Group, Inc.</w:t>
            </w:r>
          </w:p>
        </w:tc>
        <w:tc>
          <w:tcPr>
            <w:tcW w:w="280" w:type="dxa"/>
            <w:vAlign w:val="bottom"/>
            <w:tcBorders>
              <w:bottom w:val="single" w:sz="8" w:color="CCFFCC"/>
            </w:tcBorders>
            <w:gridSpan w:val="2"/>
            <w:shd w:val="clear" w:color="auto" w:fill="CCFFCC"/>
          </w:tcPr>
          <w:p>
            <w:pPr>
              <w:spacing w:after="0"/>
              <w:rPr>
                <w:sz w:val="15"/>
                <w:szCs w:val="15"/>
                <w:color w:val="auto"/>
              </w:rPr>
            </w:pPr>
          </w:p>
        </w:tc>
        <w:tc>
          <w:tcPr>
            <w:tcW w:w="80" w:type="dxa"/>
            <w:vAlign w:val="bottom"/>
            <w:tcBorders>
              <w:bottom w:val="single" w:sz="8" w:color="CCFFCC"/>
            </w:tcBorders>
            <w:shd w:val="clear" w:color="auto" w:fill="CCFFCC"/>
          </w:tcPr>
          <w:p>
            <w:pPr>
              <w:spacing w:after="0"/>
              <w:rPr>
                <w:sz w:val="15"/>
                <w:szCs w:val="15"/>
                <w:color w:val="auto"/>
              </w:rPr>
            </w:pPr>
          </w:p>
        </w:tc>
        <w:tc>
          <w:tcPr>
            <w:tcW w:w="2460" w:type="dxa"/>
            <w:vAlign w:val="bottom"/>
            <w:tcBorders>
              <w:bottom w:val="single" w:sz="8" w:color="CCFFCC"/>
            </w:tcBorders>
            <w:shd w:val="clear" w:color="auto" w:fill="CCFFCC"/>
          </w:tcPr>
          <w:p>
            <w:pPr>
              <w:jc w:val="center"/>
              <w:spacing w:after="0" w:line="162" w:lineRule="exact"/>
              <w:rPr>
                <w:sz w:val="20"/>
                <w:szCs w:val="20"/>
                <w:color w:val="auto"/>
              </w:rPr>
            </w:pPr>
            <w:r>
              <w:rPr>
                <w:rFonts w:ascii="Arial" w:cs="Arial" w:eastAsia="Arial" w:hAnsi="Arial"/>
                <w:sz w:val="16"/>
                <w:szCs w:val="16"/>
                <w:color w:val="auto"/>
                <w:w w:val="92"/>
              </w:rPr>
              <w:t>Scottsdale, AZ</w:t>
            </w:r>
          </w:p>
        </w:tc>
        <w:tc>
          <w:tcPr>
            <w:tcW w:w="80" w:type="dxa"/>
            <w:vAlign w:val="bottom"/>
            <w:tcBorders>
              <w:bottom w:val="single" w:sz="8" w:color="CCFFCC"/>
            </w:tcBorders>
            <w:shd w:val="clear" w:color="auto" w:fill="CCFFCC"/>
          </w:tcPr>
          <w:p>
            <w:pPr>
              <w:spacing w:after="0"/>
              <w:rPr>
                <w:sz w:val="15"/>
                <w:szCs w:val="15"/>
                <w:color w:val="auto"/>
              </w:rPr>
            </w:pPr>
          </w:p>
        </w:tc>
        <w:tc>
          <w:tcPr>
            <w:tcW w:w="160" w:type="dxa"/>
            <w:vAlign w:val="bottom"/>
            <w:tcBorders>
              <w:bottom w:val="single" w:sz="8" w:color="CCFFCC"/>
            </w:tcBorders>
            <w:shd w:val="clear" w:color="auto" w:fill="CCFFCC"/>
          </w:tcPr>
          <w:p>
            <w:pPr>
              <w:spacing w:after="0"/>
              <w:rPr>
                <w:sz w:val="15"/>
                <w:szCs w:val="15"/>
                <w:color w:val="auto"/>
              </w:rPr>
            </w:pPr>
          </w:p>
        </w:tc>
        <w:tc>
          <w:tcPr>
            <w:tcW w:w="760" w:type="dxa"/>
            <w:vAlign w:val="bottom"/>
            <w:tcBorders>
              <w:bottom w:val="single" w:sz="8" w:color="CCFFCC"/>
            </w:tcBorders>
            <w:shd w:val="clear" w:color="auto" w:fill="CCFFCC"/>
          </w:tcPr>
          <w:p>
            <w:pPr>
              <w:spacing w:after="0"/>
              <w:rPr>
                <w:sz w:val="15"/>
                <w:szCs w:val="15"/>
                <w:color w:val="auto"/>
              </w:rPr>
            </w:pPr>
          </w:p>
        </w:tc>
        <w:tc>
          <w:tcPr>
            <w:tcW w:w="100" w:type="dxa"/>
            <w:vAlign w:val="bottom"/>
            <w:tcBorders>
              <w:bottom w:val="single" w:sz="8" w:color="CCFFCC"/>
            </w:tcBorders>
            <w:shd w:val="clear" w:color="auto" w:fill="CCFFCC"/>
          </w:tcPr>
          <w:p>
            <w:pPr>
              <w:spacing w:after="0"/>
              <w:rPr>
                <w:sz w:val="15"/>
                <w:szCs w:val="15"/>
                <w:color w:val="auto"/>
              </w:rPr>
            </w:pPr>
          </w:p>
        </w:tc>
        <w:tc>
          <w:tcPr>
            <w:tcW w:w="820" w:type="dxa"/>
            <w:vAlign w:val="bottom"/>
            <w:tcBorders>
              <w:bottom w:val="single" w:sz="8" w:color="CCFFCC"/>
            </w:tcBorders>
            <w:shd w:val="clear" w:color="auto" w:fill="CCFFCC"/>
          </w:tcPr>
          <w:p>
            <w:pPr>
              <w:spacing w:after="0"/>
              <w:rPr>
                <w:sz w:val="15"/>
                <w:szCs w:val="15"/>
                <w:color w:val="auto"/>
              </w:rPr>
            </w:pPr>
          </w:p>
        </w:tc>
        <w:tc>
          <w:tcPr>
            <w:tcW w:w="60" w:type="dxa"/>
            <w:vAlign w:val="bottom"/>
            <w:tcBorders>
              <w:bottom w:val="single" w:sz="8" w:color="CCFFCC"/>
            </w:tcBorders>
            <w:shd w:val="clear" w:color="auto" w:fill="CCFFCC"/>
          </w:tcPr>
          <w:p>
            <w:pPr>
              <w:spacing w:after="0"/>
              <w:rPr>
                <w:sz w:val="15"/>
                <w:szCs w:val="15"/>
                <w:color w:val="auto"/>
              </w:rPr>
            </w:pPr>
          </w:p>
        </w:tc>
        <w:tc>
          <w:tcPr>
            <w:tcW w:w="100" w:type="dxa"/>
            <w:vAlign w:val="bottom"/>
            <w:tcBorders>
              <w:bottom w:val="single" w:sz="8" w:color="CCFFCC"/>
            </w:tcBorders>
            <w:shd w:val="clear" w:color="auto" w:fill="CCFFCC"/>
          </w:tcPr>
          <w:p>
            <w:pPr>
              <w:spacing w:after="0"/>
              <w:rPr>
                <w:sz w:val="15"/>
                <w:szCs w:val="15"/>
                <w:color w:val="auto"/>
              </w:rPr>
            </w:pPr>
          </w:p>
        </w:tc>
        <w:tc>
          <w:tcPr>
            <w:tcW w:w="820" w:type="dxa"/>
            <w:vAlign w:val="bottom"/>
            <w:tcBorders>
              <w:bottom w:val="single" w:sz="8" w:color="CCFFCC"/>
            </w:tcBorders>
            <w:shd w:val="clear" w:color="auto" w:fill="CCFFCC"/>
          </w:tcPr>
          <w:p>
            <w:pPr>
              <w:spacing w:after="0"/>
              <w:rPr>
                <w:sz w:val="15"/>
                <w:szCs w:val="15"/>
                <w:color w:val="auto"/>
              </w:rPr>
            </w:pPr>
          </w:p>
        </w:tc>
        <w:tc>
          <w:tcPr>
            <w:tcW w:w="60" w:type="dxa"/>
            <w:vAlign w:val="bottom"/>
            <w:tcBorders>
              <w:bottom w:val="single" w:sz="8" w:color="CCFFCC"/>
            </w:tcBorders>
            <w:shd w:val="clear" w:color="auto" w:fill="CCFFCC"/>
          </w:tcPr>
          <w:p>
            <w:pPr>
              <w:spacing w:after="0"/>
              <w:rPr>
                <w:sz w:val="15"/>
                <w:szCs w:val="15"/>
                <w:color w:val="auto"/>
              </w:rPr>
            </w:pPr>
          </w:p>
        </w:tc>
        <w:tc>
          <w:tcPr>
            <w:tcW w:w="80" w:type="dxa"/>
            <w:vAlign w:val="bottom"/>
            <w:tcBorders>
              <w:bottom w:val="single" w:sz="8" w:color="CCFFCC"/>
            </w:tcBorders>
            <w:shd w:val="clear" w:color="auto" w:fill="CCFFCC"/>
          </w:tcPr>
          <w:p>
            <w:pPr>
              <w:spacing w:after="0"/>
              <w:rPr>
                <w:sz w:val="15"/>
                <w:szCs w:val="15"/>
                <w:color w:val="auto"/>
              </w:rPr>
            </w:pPr>
          </w:p>
        </w:tc>
        <w:tc>
          <w:tcPr>
            <w:tcW w:w="440" w:type="dxa"/>
            <w:vAlign w:val="bottom"/>
            <w:tcBorders>
              <w:bottom w:val="single" w:sz="8" w:color="CCFFCC"/>
            </w:tcBorders>
            <w:shd w:val="clear" w:color="auto" w:fill="CCFFCC"/>
          </w:tcPr>
          <w:p>
            <w:pPr>
              <w:spacing w:after="0"/>
              <w:rPr>
                <w:sz w:val="15"/>
                <w:szCs w:val="15"/>
                <w:color w:val="auto"/>
              </w:rPr>
            </w:pPr>
          </w:p>
        </w:tc>
        <w:tc>
          <w:tcPr>
            <w:tcW w:w="240" w:type="dxa"/>
            <w:vAlign w:val="bottom"/>
            <w:tcBorders>
              <w:bottom w:val="single" w:sz="8" w:color="CCFFCC"/>
            </w:tcBorders>
            <w:shd w:val="clear" w:color="auto" w:fill="CCFFCC"/>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1940" w:type="dxa"/>
            <w:vAlign w:val="bottom"/>
            <w:gridSpan w:val="15"/>
          </w:tcPr>
          <w:p>
            <w:pPr>
              <w:spacing w:after="0"/>
              <w:rPr>
                <w:sz w:val="20"/>
                <w:szCs w:val="20"/>
                <w:color w:val="auto"/>
              </w:rPr>
            </w:pPr>
            <w:r>
              <w:rPr>
                <w:rFonts w:ascii="Arial" w:cs="Arial" w:eastAsia="Arial" w:hAnsi="Arial"/>
                <w:sz w:val="16"/>
                <w:szCs w:val="16"/>
                <w:color w:val="auto"/>
              </w:rPr>
              <w:t>Preferred shares, Series B</w:t>
            </w:r>
          </w:p>
        </w:tc>
        <w:tc>
          <w:tcPr>
            <w:tcW w:w="8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Higher Education</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1,201,923</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1,266,940</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1,250,000</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0.49%</w:t>
            </w: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Learning Platform</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65"/>
        </w:trPr>
        <w:tc>
          <w:tcPr>
            <w:tcW w:w="20" w:type="dxa"/>
            <w:vAlign w:val="bottom"/>
            <w:tcBorders>
              <w:bottom w:val="single" w:sz="8" w:color="CCFFCC"/>
            </w:tcBorders>
            <w:shd w:val="clear" w:color="auto" w:fill="CCFFCC"/>
          </w:tcPr>
          <w:p>
            <w:pPr>
              <w:spacing w:after="0"/>
              <w:rPr>
                <w:sz w:val="14"/>
                <w:szCs w:val="14"/>
                <w:color w:val="auto"/>
              </w:rPr>
            </w:pPr>
          </w:p>
        </w:tc>
        <w:tc>
          <w:tcPr>
            <w:tcW w:w="1120" w:type="dxa"/>
            <w:vAlign w:val="bottom"/>
            <w:tcBorders>
              <w:bottom w:val="single" w:sz="8" w:color="auto"/>
            </w:tcBorders>
            <w:gridSpan w:val="9"/>
            <w:shd w:val="clear" w:color="auto" w:fill="CCFFCC"/>
          </w:tcPr>
          <w:p>
            <w:pPr>
              <w:spacing w:after="0" w:line="165" w:lineRule="exact"/>
              <w:rPr>
                <w:sz w:val="20"/>
                <w:szCs w:val="20"/>
                <w:color w:val="auto"/>
              </w:rPr>
            </w:pPr>
            <w:r>
              <w:rPr>
                <w:rFonts w:ascii="Arial" w:cs="Arial" w:eastAsia="Arial" w:hAnsi="Arial"/>
                <w:sz w:val="16"/>
                <w:szCs w:val="16"/>
                <w:b w:val="1"/>
                <w:bCs w:val="1"/>
                <w:color w:val="auto"/>
                <w:w w:val="92"/>
              </w:rPr>
              <w:t>S3 Digital Corp.</w:t>
            </w:r>
          </w:p>
        </w:tc>
        <w:tc>
          <w:tcPr>
            <w:tcW w:w="820" w:type="dxa"/>
            <w:vAlign w:val="bottom"/>
            <w:tcBorders>
              <w:bottom w:val="single" w:sz="8" w:color="CCFFCC"/>
            </w:tcBorders>
            <w:gridSpan w:val="6"/>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2460" w:type="dxa"/>
            <w:vAlign w:val="bottom"/>
            <w:tcBorders>
              <w:bottom w:val="single" w:sz="8" w:color="CCFFCC"/>
            </w:tcBorders>
            <w:shd w:val="clear" w:color="auto" w:fill="CCFFCC"/>
          </w:tcPr>
          <w:p>
            <w:pPr>
              <w:jc w:val="center"/>
              <w:spacing w:after="0" w:line="165" w:lineRule="exact"/>
              <w:rPr>
                <w:sz w:val="20"/>
                <w:szCs w:val="20"/>
                <w:color w:val="auto"/>
              </w:rPr>
            </w:pPr>
            <w:r>
              <w:rPr>
                <w:rFonts w:ascii="Arial" w:cs="Arial" w:eastAsia="Arial" w:hAnsi="Arial"/>
                <w:sz w:val="16"/>
                <w:szCs w:val="16"/>
                <w:color w:val="auto"/>
                <w:w w:val="97"/>
              </w:rPr>
              <w:t>New York, NY</w:t>
            </w:r>
          </w:p>
        </w:tc>
        <w:tc>
          <w:tcPr>
            <w:tcW w:w="80" w:type="dxa"/>
            <w:vAlign w:val="bottom"/>
            <w:tcBorders>
              <w:bottom w:val="single" w:sz="8" w:color="CCFFCC"/>
            </w:tcBorders>
            <w:shd w:val="clear" w:color="auto" w:fill="CCFFCC"/>
          </w:tcPr>
          <w:p>
            <w:pPr>
              <w:spacing w:after="0"/>
              <w:rPr>
                <w:sz w:val="14"/>
                <w:szCs w:val="14"/>
                <w:color w:val="auto"/>
              </w:rPr>
            </w:pPr>
          </w:p>
        </w:tc>
        <w:tc>
          <w:tcPr>
            <w:tcW w:w="160" w:type="dxa"/>
            <w:vAlign w:val="bottom"/>
            <w:tcBorders>
              <w:bottom w:val="single" w:sz="8" w:color="CCFFCC"/>
            </w:tcBorders>
            <w:shd w:val="clear" w:color="auto" w:fill="CCFFCC"/>
          </w:tcPr>
          <w:p>
            <w:pPr>
              <w:spacing w:after="0"/>
              <w:rPr>
                <w:sz w:val="14"/>
                <w:szCs w:val="14"/>
                <w:color w:val="auto"/>
              </w:rPr>
            </w:pPr>
          </w:p>
        </w:tc>
        <w:tc>
          <w:tcPr>
            <w:tcW w:w="76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820" w:type="dxa"/>
            <w:vAlign w:val="bottom"/>
            <w:tcBorders>
              <w:bottom w:val="single" w:sz="8" w:color="CCFFCC"/>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820" w:type="dxa"/>
            <w:vAlign w:val="bottom"/>
            <w:tcBorders>
              <w:bottom w:val="single" w:sz="8" w:color="CCFFCC"/>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440" w:type="dxa"/>
            <w:vAlign w:val="bottom"/>
            <w:tcBorders>
              <w:bottom w:val="single" w:sz="8" w:color="CCFFCC"/>
            </w:tcBorders>
            <w:shd w:val="clear" w:color="auto" w:fill="CCFFCC"/>
          </w:tcPr>
          <w:p>
            <w:pPr>
              <w:spacing w:after="0"/>
              <w:rPr>
                <w:sz w:val="14"/>
                <w:szCs w:val="14"/>
                <w:color w:val="auto"/>
              </w:rPr>
            </w:pPr>
          </w:p>
        </w:tc>
        <w:tc>
          <w:tcPr>
            <w:tcW w:w="240" w:type="dxa"/>
            <w:vAlign w:val="bottom"/>
            <w:tcBorders>
              <w:bottom w:val="single" w:sz="8" w:color="CCFFCC"/>
            </w:tcBorders>
            <w:shd w:val="clear" w:color="auto" w:fill="CCFFCC"/>
          </w:tcPr>
          <w:p>
            <w:pPr>
              <w:spacing w:after="0"/>
              <w:rPr>
                <w:sz w:val="14"/>
                <w:szCs w:val="14"/>
                <w:color w:val="auto"/>
              </w:rPr>
            </w:pPr>
          </w:p>
        </w:tc>
      </w:tr>
      <w:tr>
        <w:trPr>
          <w:trHeight w:val="223"/>
        </w:trPr>
        <w:tc>
          <w:tcPr>
            <w:tcW w:w="20" w:type="dxa"/>
            <w:vAlign w:val="bottom"/>
            <w:shd w:val="clear" w:color="auto" w:fill="CCFFCC"/>
          </w:tcPr>
          <w:p>
            <w:pPr>
              <w:spacing w:after="0"/>
              <w:rPr>
                <w:sz w:val="19"/>
                <w:szCs w:val="19"/>
                <w:color w:val="auto"/>
              </w:rPr>
            </w:pPr>
          </w:p>
        </w:tc>
        <w:tc>
          <w:tcPr>
            <w:tcW w:w="1940" w:type="dxa"/>
            <w:vAlign w:val="bottom"/>
            <w:gridSpan w:val="15"/>
            <w:shd w:val="clear" w:color="auto" w:fill="CCFFCC"/>
          </w:tcPr>
          <w:p>
            <w:pPr>
              <w:spacing w:after="0" w:line="223" w:lineRule="exact"/>
              <w:rPr>
                <w:sz w:val="20"/>
                <w:szCs w:val="20"/>
                <w:color w:val="auto"/>
              </w:rPr>
            </w:pPr>
            <w:r>
              <w:rPr>
                <w:rFonts w:ascii="Arial" w:cs="Arial" w:eastAsia="Arial" w:hAnsi="Arial"/>
                <w:sz w:val="15"/>
                <w:szCs w:val="15"/>
                <w:b w:val="1"/>
                <w:bCs w:val="1"/>
                <w:color w:val="auto"/>
              </w:rPr>
              <w:t>(d/b/a S3i)</w:t>
            </w:r>
            <w:r>
              <w:rPr>
                <w:rFonts w:ascii="Arial" w:cs="Arial" w:eastAsia="Arial" w:hAnsi="Arial"/>
                <w:sz w:val="25"/>
                <w:szCs w:val="25"/>
                <w:b w:val="1"/>
                <w:bCs w:val="1"/>
                <w:color w:val="auto"/>
                <w:vertAlign w:val="superscript"/>
              </w:rPr>
              <w:t>(2)</w:t>
            </w:r>
          </w:p>
        </w:tc>
        <w:tc>
          <w:tcPr>
            <w:tcW w:w="80" w:type="dxa"/>
            <w:vAlign w:val="bottom"/>
            <w:shd w:val="clear" w:color="auto" w:fill="CCFFCC"/>
          </w:tcPr>
          <w:p>
            <w:pPr>
              <w:spacing w:after="0"/>
              <w:rPr>
                <w:sz w:val="19"/>
                <w:szCs w:val="19"/>
                <w:color w:val="auto"/>
              </w:rPr>
            </w:pPr>
          </w:p>
        </w:tc>
        <w:tc>
          <w:tcPr>
            <w:tcW w:w="24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4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5"/>
          </w:tcPr>
          <w:p>
            <w:pPr>
              <w:spacing w:after="0"/>
              <w:rPr>
                <w:sz w:val="20"/>
                <w:szCs w:val="20"/>
                <w:color w:val="auto"/>
              </w:rPr>
            </w:pPr>
            <w:r>
              <w:rPr>
                <w:rFonts w:ascii="Arial" w:cs="Arial" w:eastAsia="Arial" w:hAnsi="Arial"/>
                <w:sz w:val="16"/>
                <w:szCs w:val="16"/>
                <w:color w:val="auto"/>
                <w:w w:val="99"/>
              </w:rPr>
              <w:t>Preferred shares, Class A1</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Sports Analytics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1,033,452</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989,058</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1,033,452</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0.41%</w:t>
            </w:r>
          </w:p>
        </w:tc>
      </w:tr>
      <w:tr>
        <w:trPr>
          <w:trHeight w:val="193"/>
        </w:trPr>
        <w:tc>
          <w:tcPr>
            <w:tcW w:w="20" w:type="dxa"/>
            <w:vAlign w:val="bottom"/>
            <w:shd w:val="clear" w:color="auto" w:fill="CCFFCC"/>
          </w:tcPr>
          <w:p>
            <w:pPr>
              <w:spacing w:after="0"/>
              <w:rPr>
                <w:sz w:val="16"/>
                <w:szCs w:val="16"/>
                <w:color w:val="auto"/>
              </w:rPr>
            </w:pPr>
          </w:p>
        </w:tc>
        <w:tc>
          <w:tcPr>
            <w:tcW w:w="1940" w:type="dxa"/>
            <w:vAlign w:val="bottom"/>
            <w:gridSpan w:val="15"/>
            <w:shd w:val="clear" w:color="auto" w:fill="CCFFCC"/>
          </w:tcPr>
          <w:p>
            <w:pPr>
              <w:spacing w:after="0"/>
              <w:rPr>
                <w:sz w:val="20"/>
                <w:szCs w:val="20"/>
                <w:color w:val="auto"/>
              </w:rPr>
            </w:pPr>
            <w:r>
              <w:rPr>
                <w:rFonts w:ascii="Arial" w:cs="Arial" w:eastAsia="Arial" w:hAnsi="Arial"/>
                <w:sz w:val="16"/>
                <w:szCs w:val="16"/>
                <w:color w:val="auto"/>
              </w:rPr>
              <w:t>Preferred warrants, $1.00</w:t>
            </w:r>
          </w:p>
        </w:tc>
        <w:tc>
          <w:tcPr>
            <w:tcW w:w="80" w:type="dxa"/>
            <w:vAlign w:val="bottom"/>
            <w:shd w:val="clear" w:color="auto" w:fill="CCFFCC"/>
          </w:tcPr>
          <w:p>
            <w:pPr>
              <w:spacing w:after="0"/>
              <w:rPr>
                <w:sz w:val="16"/>
                <w:szCs w:val="16"/>
                <w:color w:val="auto"/>
              </w:rPr>
            </w:pPr>
          </w:p>
        </w:tc>
        <w:tc>
          <w:tcPr>
            <w:tcW w:w="24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500,000</w:t>
            </w:r>
          </w:p>
        </w:tc>
        <w:tc>
          <w:tcPr>
            <w:tcW w:w="98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31,354</w:t>
            </w:r>
          </w:p>
        </w:tc>
        <w:tc>
          <w:tcPr>
            <w:tcW w:w="98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31,354</w:t>
            </w:r>
          </w:p>
        </w:tc>
        <w:tc>
          <w:tcPr>
            <w:tcW w:w="760" w:type="dxa"/>
            <w:vAlign w:val="bottom"/>
            <w:gridSpan w:val="3"/>
            <w:shd w:val="clear" w:color="auto" w:fill="CCFFCC"/>
          </w:tcPr>
          <w:p>
            <w:pPr>
              <w:jc w:val="center"/>
              <w:ind w:left="59"/>
              <w:spacing w:after="0"/>
              <w:rPr>
                <w:sz w:val="20"/>
                <w:szCs w:val="20"/>
                <w:color w:val="auto"/>
              </w:rPr>
            </w:pPr>
            <w:r>
              <w:rPr>
                <w:rFonts w:ascii="Arial" w:cs="Arial" w:eastAsia="Arial" w:hAnsi="Arial"/>
                <w:sz w:val="16"/>
                <w:szCs w:val="16"/>
                <w:color w:val="auto"/>
                <w:w w:val="92"/>
              </w:rPr>
              <w:t>0.01%</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5"/>
            <w:shd w:val="clear" w:color="auto" w:fill="CCFFCC"/>
          </w:tcPr>
          <w:p>
            <w:pPr>
              <w:ind w:left="180"/>
              <w:spacing w:after="0"/>
              <w:rPr>
                <w:sz w:val="20"/>
                <w:szCs w:val="20"/>
                <w:color w:val="auto"/>
              </w:rPr>
            </w:pPr>
            <w:r>
              <w:rPr>
                <w:rFonts w:ascii="Arial" w:cs="Arial" w:eastAsia="Arial" w:hAnsi="Arial"/>
                <w:sz w:val="16"/>
                <w:szCs w:val="16"/>
                <w:color w:val="auto"/>
              </w:rPr>
              <w:t>strike price, expire</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09"/>
        </w:trPr>
        <w:tc>
          <w:tcPr>
            <w:tcW w:w="980" w:type="dxa"/>
            <w:vAlign w:val="bottom"/>
            <w:tcBorders>
              <w:bottom w:val="single" w:sz="8" w:color="CCFFCC"/>
            </w:tcBorders>
            <w:gridSpan w:val="6"/>
            <w:shd w:val="clear" w:color="auto" w:fill="CCFFCC"/>
          </w:tcPr>
          <w:p>
            <w:pPr>
              <w:ind w:left="200"/>
              <w:spacing w:after="0"/>
              <w:rPr>
                <w:sz w:val="20"/>
                <w:szCs w:val="20"/>
                <w:color w:val="auto"/>
              </w:rPr>
            </w:pPr>
            <w:r>
              <w:rPr>
                <w:rFonts w:ascii="Arial" w:cs="Arial" w:eastAsia="Arial" w:hAnsi="Arial"/>
                <w:sz w:val="16"/>
                <w:szCs w:val="16"/>
                <w:color w:val="auto"/>
                <w:w w:val="94"/>
              </w:rPr>
              <w:t>11/21/2017</w:t>
            </w:r>
          </w:p>
        </w:tc>
        <w:tc>
          <w:tcPr>
            <w:tcW w:w="10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6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4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18"/>
                <w:szCs w:val="18"/>
                <w:color w:val="auto"/>
              </w:rPr>
            </w:pPr>
          </w:p>
        </w:tc>
        <w:tc>
          <w:tcPr>
            <w:tcW w:w="240" w:type="dxa"/>
            <w:vAlign w:val="bottom"/>
            <w:tcBorders>
              <w:bottom w:val="single" w:sz="8" w:color="CCFFCC"/>
            </w:tcBorders>
            <w:shd w:val="clear" w:color="auto" w:fill="CCFFC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1940" w:type="dxa"/>
            <w:vAlign w:val="bottom"/>
            <w:gridSpan w:val="15"/>
          </w:tcPr>
          <w:p>
            <w:pPr>
              <w:ind w:left="180"/>
              <w:spacing w:after="0"/>
              <w:rPr>
                <w:sz w:val="20"/>
                <w:szCs w:val="20"/>
                <w:color w:val="auto"/>
              </w:rPr>
            </w:pPr>
            <w:r>
              <w:rPr>
                <w:rFonts w:ascii="Arial" w:cs="Arial" w:eastAsia="Arial" w:hAnsi="Arial"/>
                <w:sz w:val="16"/>
                <w:szCs w:val="16"/>
                <w:color w:val="auto"/>
              </w:rPr>
              <w:t>Total</w:t>
            </w:r>
          </w:p>
        </w:tc>
        <w:tc>
          <w:tcPr>
            <w:tcW w:w="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1,020,412</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1,064,806</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0.42%</w:t>
            </w:r>
          </w:p>
        </w:tc>
      </w:tr>
      <w:tr>
        <w:trPr>
          <w:trHeight w:val="196"/>
        </w:trPr>
        <w:tc>
          <w:tcPr>
            <w:tcW w:w="20" w:type="dxa"/>
            <w:vAlign w:val="bottom"/>
            <w:shd w:val="clear" w:color="auto" w:fill="CCFFCC"/>
          </w:tcPr>
          <w:p>
            <w:pPr>
              <w:spacing w:after="0"/>
              <w:rPr>
                <w:sz w:val="17"/>
                <w:szCs w:val="17"/>
                <w:color w:val="auto"/>
              </w:rPr>
            </w:pPr>
          </w:p>
        </w:tc>
        <w:tc>
          <w:tcPr>
            <w:tcW w:w="1940" w:type="dxa"/>
            <w:vAlign w:val="bottom"/>
            <w:gridSpan w:val="15"/>
            <w:shd w:val="clear" w:color="auto" w:fill="CCFFCC"/>
          </w:tcPr>
          <w:p>
            <w:pPr>
              <w:spacing w:after="0" w:line="197" w:lineRule="exact"/>
              <w:rPr>
                <w:sz w:val="20"/>
                <w:szCs w:val="20"/>
                <w:color w:val="auto"/>
              </w:rPr>
            </w:pPr>
            <w:r>
              <w:rPr>
                <w:rFonts w:ascii="Arial" w:cs="Arial" w:eastAsia="Arial" w:hAnsi="Arial"/>
                <w:sz w:val="14"/>
                <w:szCs w:val="14"/>
                <w:b w:val="1"/>
                <w:bCs w:val="1"/>
                <w:color w:val="auto"/>
              </w:rPr>
              <w:t>NestGSV, Inc.</w:t>
            </w:r>
            <w:r>
              <w:rPr>
                <w:rFonts w:ascii="Arial" w:cs="Arial" w:eastAsia="Arial" w:hAnsi="Arial"/>
                <w:sz w:val="22"/>
                <w:szCs w:val="22"/>
                <w:b w:val="1"/>
                <w:bCs w:val="1"/>
                <w:color w:val="auto"/>
                <w:vertAlign w:val="superscript"/>
              </w:rPr>
              <w:t>(2)</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4"/>
              </w:rPr>
              <w:t>Redwood City, CA</w:t>
            </w: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tcBorders>
              <w:top w:val="single" w:sz="8" w:color="auto"/>
            </w:tcBorders>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tcBorders>
              <w:top w:val="single" w:sz="8" w:color="auto"/>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4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5"/>
          </w:tcPr>
          <w:p>
            <w:pPr>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Incubator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1,000,000</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1,021,778</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1,000,000</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0.40%</w:t>
            </w:r>
          </w:p>
        </w:tc>
      </w:tr>
      <w:tr>
        <w:trPr>
          <w:trHeight w:val="183"/>
        </w:trPr>
        <w:tc>
          <w:tcPr>
            <w:tcW w:w="20" w:type="dxa"/>
            <w:vAlign w:val="bottom"/>
            <w:shd w:val="clear" w:color="auto" w:fill="CCFFCC"/>
          </w:tcPr>
          <w:p>
            <w:pPr>
              <w:spacing w:after="0"/>
              <w:rPr>
                <w:sz w:val="15"/>
                <w:szCs w:val="15"/>
                <w:color w:val="auto"/>
              </w:rPr>
            </w:pPr>
          </w:p>
        </w:tc>
        <w:tc>
          <w:tcPr>
            <w:tcW w:w="1940" w:type="dxa"/>
            <w:vAlign w:val="bottom"/>
            <w:gridSpan w:val="15"/>
            <w:shd w:val="clear" w:color="auto" w:fill="CCFFCC"/>
          </w:tcPr>
          <w:p>
            <w:pPr>
              <w:spacing w:after="0" w:line="162" w:lineRule="exact"/>
              <w:rPr>
                <w:sz w:val="20"/>
                <w:szCs w:val="20"/>
                <w:color w:val="auto"/>
              </w:rPr>
            </w:pPr>
            <w:r>
              <w:rPr>
                <w:rFonts w:ascii="Arial" w:cs="Arial" w:eastAsia="Arial" w:hAnsi="Arial"/>
                <w:sz w:val="16"/>
                <w:szCs w:val="16"/>
                <w:b w:val="1"/>
                <w:bCs w:val="1"/>
                <w:color w:val="auto"/>
              </w:rPr>
              <w:t>DreamBox Learning, Inc.</w:t>
            </w:r>
          </w:p>
        </w:tc>
        <w:tc>
          <w:tcPr>
            <w:tcW w:w="80" w:type="dxa"/>
            <w:vAlign w:val="bottom"/>
            <w:shd w:val="clear" w:color="auto" w:fill="CCFFCC"/>
          </w:tcPr>
          <w:p>
            <w:pPr>
              <w:spacing w:after="0"/>
              <w:rPr>
                <w:sz w:val="15"/>
                <w:szCs w:val="15"/>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5"/>
              </w:rPr>
              <w:t>Bellevue, WA</w:t>
            </w:r>
          </w:p>
        </w:tc>
        <w:tc>
          <w:tcPr>
            <w:tcW w:w="8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r>
      <w:tr>
        <w:trPr>
          <w:trHeight w:val="203"/>
        </w:trPr>
        <w:tc>
          <w:tcPr>
            <w:tcW w:w="20" w:type="dxa"/>
            <w:vAlign w:val="bottom"/>
            <w:tcBorders>
              <w:top w:val="single" w:sz="8" w:color="CCFFCC"/>
            </w:tcBorders>
          </w:tcPr>
          <w:p>
            <w:pPr>
              <w:spacing w:after="0"/>
              <w:rPr>
                <w:sz w:val="17"/>
                <w:szCs w:val="17"/>
                <w:color w:val="auto"/>
              </w:rPr>
            </w:pPr>
          </w:p>
        </w:tc>
        <w:tc>
          <w:tcPr>
            <w:tcW w:w="1760" w:type="dxa"/>
            <w:vAlign w:val="bottom"/>
            <w:tcBorders>
              <w:top w:val="single" w:sz="8" w:color="auto"/>
            </w:tcBorders>
            <w:gridSpan w:val="14"/>
          </w:tcPr>
          <w:p>
            <w:pPr>
              <w:spacing w:after="0"/>
              <w:rPr>
                <w:sz w:val="20"/>
                <w:szCs w:val="20"/>
                <w:color w:val="auto"/>
              </w:rPr>
            </w:pPr>
            <w:r>
              <w:rPr>
                <w:rFonts w:ascii="Arial" w:cs="Arial" w:eastAsia="Arial" w:hAnsi="Arial"/>
                <w:sz w:val="16"/>
                <w:szCs w:val="16"/>
                <w:color w:val="auto"/>
                <w:w w:val="92"/>
              </w:rPr>
              <w:t>Preferred shares, Series A</w:t>
            </w:r>
          </w:p>
        </w:tc>
        <w:tc>
          <w:tcPr>
            <w:tcW w:w="18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2460" w:type="dxa"/>
            <w:vAlign w:val="bottom"/>
            <w:tcBorders>
              <w:top w:val="single" w:sz="8" w:color="CCFFCC"/>
            </w:tcBorders>
          </w:tcPr>
          <w:p>
            <w:pPr>
              <w:jc w:val="center"/>
              <w:spacing w:after="0"/>
              <w:rPr>
                <w:sz w:val="20"/>
                <w:szCs w:val="20"/>
                <w:color w:val="auto"/>
              </w:rPr>
            </w:pPr>
            <w:r>
              <w:rPr>
                <w:rFonts w:ascii="Arial" w:cs="Arial" w:eastAsia="Arial" w:hAnsi="Arial"/>
                <w:sz w:val="16"/>
                <w:szCs w:val="16"/>
                <w:color w:val="auto"/>
                <w:w w:val="92"/>
              </w:rPr>
              <w:t>Education Technology</w:t>
            </w:r>
          </w:p>
        </w:tc>
        <w:tc>
          <w:tcPr>
            <w:tcW w:w="80" w:type="dxa"/>
            <w:vAlign w:val="bottom"/>
            <w:tcBorders>
              <w:top w:val="single" w:sz="8" w:color="CCFFCC"/>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760" w:type="dxa"/>
            <w:vAlign w:val="bottom"/>
            <w:tcBorders>
              <w:top w:val="single" w:sz="8" w:color="CCFFCC"/>
            </w:tcBorders>
          </w:tcPr>
          <w:p>
            <w:pPr>
              <w:jc w:val="right"/>
              <w:spacing w:after="0"/>
              <w:rPr>
                <w:sz w:val="20"/>
                <w:szCs w:val="20"/>
                <w:color w:val="auto"/>
              </w:rPr>
            </w:pPr>
            <w:r>
              <w:rPr>
                <w:rFonts w:ascii="Arial" w:cs="Arial" w:eastAsia="Arial" w:hAnsi="Arial"/>
                <w:sz w:val="16"/>
                <w:szCs w:val="16"/>
                <w:color w:val="auto"/>
                <w:w w:val="98"/>
              </w:rPr>
              <w:t>3,579,610</w:t>
            </w:r>
          </w:p>
        </w:tc>
        <w:tc>
          <w:tcPr>
            <w:tcW w:w="980" w:type="dxa"/>
            <w:vAlign w:val="bottom"/>
            <w:tcBorders>
              <w:top w:val="single" w:sz="8" w:color="CCFFCC"/>
            </w:tcBorders>
            <w:gridSpan w:val="3"/>
          </w:tcPr>
          <w:p>
            <w:pPr>
              <w:jc w:val="right"/>
              <w:ind w:right="60"/>
              <w:spacing w:after="0"/>
              <w:rPr>
                <w:sz w:val="20"/>
                <w:szCs w:val="20"/>
                <w:color w:val="auto"/>
              </w:rPr>
            </w:pPr>
            <w:r>
              <w:rPr>
                <w:rFonts w:ascii="Arial" w:cs="Arial" w:eastAsia="Arial" w:hAnsi="Arial"/>
                <w:sz w:val="16"/>
                <w:szCs w:val="16"/>
                <w:color w:val="auto"/>
              </w:rPr>
              <w:t>758,017</w:t>
            </w:r>
          </w:p>
        </w:tc>
        <w:tc>
          <w:tcPr>
            <w:tcW w:w="980" w:type="dxa"/>
            <w:vAlign w:val="bottom"/>
            <w:tcBorders>
              <w:top w:val="single" w:sz="8" w:color="CCFFCC"/>
            </w:tcBorders>
            <w:gridSpan w:val="3"/>
          </w:tcPr>
          <w:p>
            <w:pPr>
              <w:jc w:val="right"/>
              <w:ind w:right="60"/>
              <w:spacing w:after="0"/>
              <w:rPr>
                <w:sz w:val="20"/>
                <w:szCs w:val="20"/>
                <w:color w:val="auto"/>
              </w:rPr>
            </w:pPr>
            <w:r>
              <w:rPr>
                <w:rFonts w:ascii="Arial" w:cs="Arial" w:eastAsia="Arial" w:hAnsi="Arial"/>
                <w:sz w:val="16"/>
                <w:szCs w:val="16"/>
                <w:color w:val="auto"/>
              </w:rPr>
              <w:t>751,718</w:t>
            </w:r>
          </w:p>
        </w:tc>
        <w:tc>
          <w:tcPr>
            <w:tcW w:w="760" w:type="dxa"/>
            <w:vAlign w:val="bottom"/>
            <w:tcBorders>
              <w:top w:val="single" w:sz="8" w:color="CCFFCC"/>
            </w:tcBorders>
            <w:gridSpan w:val="3"/>
          </w:tcPr>
          <w:p>
            <w:pPr>
              <w:jc w:val="center"/>
              <w:ind w:left="59"/>
              <w:spacing w:after="0"/>
              <w:rPr>
                <w:sz w:val="20"/>
                <w:szCs w:val="20"/>
                <w:color w:val="auto"/>
              </w:rPr>
            </w:pPr>
            <w:r>
              <w:rPr>
                <w:rFonts w:ascii="Arial" w:cs="Arial" w:eastAsia="Arial" w:hAnsi="Arial"/>
                <w:sz w:val="16"/>
                <w:szCs w:val="16"/>
                <w:color w:val="auto"/>
                <w:w w:val="92"/>
              </w:rPr>
              <w:t>0.30%</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5"/>
            <w:shd w:val="clear" w:color="auto" w:fill="CCFFCC"/>
          </w:tcPr>
          <w:p>
            <w:pPr>
              <w:spacing w:after="0" w:line="202" w:lineRule="exact"/>
              <w:rPr>
                <w:sz w:val="20"/>
                <w:szCs w:val="20"/>
                <w:color w:val="auto"/>
              </w:rPr>
            </w:pPr>
            <w:r>
              <w:rPr>
                <w:rFonts w:ascii="Arial" w:cs="Arial" w:eastAsia="Arial" w:hAnsi="Arial"/>
                <w:sz w:val="14"/>
                <w:szCs w:val="14"/>
                <w:b w:val="1"/>
                <w:bCs w:val="1"/>
                <w:color w:val="auto"/>
              </w:rPr>
              <w:t>SinoLending Ltd.</w:t>
            </w:r>
            <w:r>
              <w:rPr>
                <w:rFonts w:ascii="Arial" w:cs="Arial" w:eastAsia="Arial" w:hAnsi="Arial"/>
                <w:sz w:val="23"/>
                <w:szCs w:val="23"/>
                <w:b w:val="1"/>
                <w:bCs w:val="1"/>
                <w:color w:val="auto"/>
                <w:vertAlign w:val="superscript"/>
              </w:rPr>
              <w:t>(2)(10)</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Shanghai, China</w:t>
            </w: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4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5"/>
          </w:tcPr>
          <w:p>
            <w:pPr>
              <w:spacing w:after="0"/>
              <w:rPr>
                <w:sz w:val="20"/>
                <w:szCs w:val="20"/>
                <w:color w:val="auto"/>
              </w:rPr>
            </w:pPr>
            <w:r>
              <w:rPr>
                <w:rFonts w:ascii="Arial" w:cs="Arial" w:eastAsia="Arial" w:hAnsi="Arial"/>
                <w:sz w:val="16"/>
                <w:szCs w:val="16"/>
                <w:color w:val="auto"/>
              </w:rPr>
              <w:t>Preferred shares, Class A</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0"/>
              </w:rPr>
              <w:t>Chinese P2P Lending</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6,414,368</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501,998</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500,321</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0.20%</w:t>
            </w:r>
          </w:p>
        </w:tc>
      </w:tr>
      <w:tr>
        <w:trPr>
          <w:trHeight w:val="162"/>
        </w:trPr>
        <w:tc>
          <w:tcPr>
            <w:tcW w:w="20" w:type="dxa"/>
            <w:vAlign w:val="bottom"/>
            <w:shd w:val="clear" w:color="auto" w:fill="CCFFCC"/>
          </w:tcPr>
          <w:p>
            <w:pPr>
              <w:spacing w:after="0"/>
              <w:rPr>
                <w:sz w:val="14"/>
                <w:szCs w:val="14"/>
                <w:color w:val="auto"/>
              </w:rPr>
            </w:pPr>
          </w:p>
        </w:tc>
        <w:tc>
          <w:tcPr>
            <w:tcW w:w="1940" w:type="dxa"/>
            <w:vAlign w:val="bottom"/>
            <w:gridSpan w:val="15"/>
            <w:shd w:val="clear" w:color="auto" w:fill="CCFFCC"/>
          </w:tcPr>
          <w:p>
            <w:pPr>
              <w:spacing w:after="0" w:line="162" w:lineRule="exact"/>
              <w:rPr>
                <w:sz w:val="20"/>
                <w:szCs w:val="20"/>
                <w:color w:val="auto"/>
              </w:rPr>
            </w:pPr>
            <w:r>
              <w:rPr>
                <w:rFonts w:ascii="Arial" w:cs="Arial" w:eastAsia="Arial" w:hAnsi="Arial"/>
                <w:sz w:val="16"/>
                <w:szCs w:val="16"/>
                <w:b w:val="1"/>
                <w:bCs w:val="1"/>
                <w:color w:val="auto"/>
              </w:rPr>
              <w:t>Ozy Media, Inc.</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6"/>
              </w:rPr>
              <w:t>Mountain View, CA</w:t>
            </w: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4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5"/>
          </w:tcPr>
          <w:p>
            <w:pPr>
              <w:spacing w:after="0"/>
              <w:rPr>
                <w:sz w:val="20"/>
                <w:szCs w:val="20"/>
                <w:color w:val="auto"/>
              </w:rPr>
            </w:pPr>
            <w:r>
              <w:rPr>
                <w:rFonts w:ascii="Arial" w:cs="Arial" w:eastAsia="Arial" w:hAnsi="Arial"/>
                <w:sz w:val="16"/>
                <w:szCs w:val="16"/>
                <w:color w:val="auto"/>
                <w:w w:val="89"/>
              </w:rPr>
              <w:t>Preferred shares, Series Seed</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Social Media</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500,000</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500,000</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500,000</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0.20%</w:t>
            </w:r>
          </w:p>
        </w:tc>
      </w:tr>
      <w:tr>
        <w:trPr>
          <w:trHeight w:val="162"/>
        </w:trPr>
        <w:tc>
          <w:tcPr>
            <w:tcW w:w="20" w:type="dxa"/>
            <w:vAlign w:val="bottom"/>
            <w:shd w:val="clear" w:color="auto" w:fill="CCFFCC"/>
          </w:tcPr>
          <w:p>
            <w:pPr>
              <w:spacing w:after="0"/>
              <w:rPr>
                <w:sz w:val="14"/>
                <w:szCs w:val="14"/>
                <w:color w:val="auto"/>
              </w:rPr>
            </w:pPr>
          </w:p>
        </w:tc>
        <w:tc>
          <w:tcPr>
            <w:tcW w:w="1940" w:type="dxa"/>
            <w:vAlign w:val="bottom"/>
            <w:gridSpan w:val="15"/>
            <w:shd w:val="clear" w:color="auto" w:fill="CCFFCC"/>
          </w:tcPr>
          <w:p>
            <w:pPr>
              <w:spacing w:after="0" w:line="162" w:lineRule="exact"/>
              <w:rPr>
                <w:sz w:val="20"/>
                <w:szCs w:val="20"/>
                <w:color w:val="auto"/>
              </w:rPr>
            </w:pPr>
            <w:r>
              <w:rPr>
                <w:rFonts w:ascii="Arial" w:cs="Arial" w:eastAsia="Arial" w:hAnsi="Arial"/>
                <w:sz w:val="16"/>
                <w:szCs w:val="16"/>
                <w:b w:val="1"/>
                <w:bCs w:val="1"/>
                <w:color w:val="auto"/>
              </w:rPr>
              <w:t>NestGSV Silicon Valley,</w:t>
            </w:r>
          </w:p>
        </w:tc>
        <w:tc>
          <w:tcPr>
            <w:tcW w:w="80" w:type="dxa"/>
            <w:vAlign w:val="bottom"/>
            <w:shd w:val="clear" w:color="auto" w:fill="CCFFCC"/>
          </w:tcPr>
          <w:p>
            <w:pPr>
              <w:spacing w:after="0"/>
              <w:rPr>
                <w:sz w:val="14"/>
                <w:szCs w:val="14"/>
                <w:color w:val="auto"/>
              </w:rPr>
            </w:pPr>
          </w:p>
        </w:tc>
        <w:tc>
          <w:tcPr>
            <w:tcW w:w="2460" w:type="dxa"/>
            <w:vAlign w:val="bottom"/>
            <w:shd w:val="clear" w:color="auto" w:fill="CCFFCC"/>
          </w:tcPr>
          <w:p>
            <w:pPr>
              <w:jc w:val="center"/>
              <w:spacing w:after="0" w:line="162" w:lineRule="exact"/>
              <w:rPr>
                <w:sz w:val="20"/>
                <w:szCs w:val="20"/>
                <w:color w:val="auto"/>
              </w:rPr>
            </w:pPr>
            <w:r>
              <w:rPr>
                <w:rFonts w:ascii="Arial" w:cs="Arial" w:eastAsia="Arial" w:hAnsi="Arial"/>
                <w:sz w:val="16"/>
                <w:szCs w:val="16"/>
                <w:color w:val="auto"/>
                <w:w w:val="94"/>
              </w:rPr>
              <w:t>Redwood City, CA</w:t>
            </w: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r>
      <w:tr>
        <w:trPr>
          <w:trHeight w:val="223"/>
        </w:trPr>
        <w:tc>
          <w:tcPr>
            <w:tcW w:w="20" w:type="dxa"/>
            <w:vAlign w:val="bottom"/>
            <w:tcBorders>
              <w:top w:val="single" w:sz="8" w:color="CCFFCC"/>
            </w:tcBorders>
            <w:shd w:val="clear" w:color="auto" w:fill="CCFFCC"/>
          </w:tcPr>
          <w:p>
            <w:pPr>
              <w:spacing w:after="0"/>
              <w:rPr>
                <w:sz w:val="19"/>
                <w:szCs w:val="19"/>
                <w:color w:val="auto"/>
              </w:rPr>
            </w:pPr>
          </w:p>
        </w:tc>
        <w:tc>
          <w:tcPr>
            <w:tcW w:w="1640" w:type="dxa"/>
            <w:vAlign w:val="bottom"/>
            <w:tcBorders>
              <w:top w:val="single" w:sz="8" w:color="auto"/>
            </w:tcBorders>
            <w:gridSpan w:val="12"/>
            <w:shd w:val="clear" w:color="auto" w:fill="CCFFCC"/>
          </w:tcPr>
          <w:p>
            <w:pPr>
              <w:spacing w:after="0" w:line="223" w:lineRule="exact"/>
              <w:rPr>
                <w:sz w:val="20"/>
                <w:szCs w:val="20"/>
                <w:color w:val="auto"/>
              </w:rPr>
            </w:pPr>
            <w:r>
              <w:rPr>
                <w:rFonts w:ascii="Arial" w:cs="Arial" w:eastAsia="Arial" w:hAnsi="Arial"/>
                <w:sz w:val="25"/>
                <w:szCs w:val="25"/>
                <w:b w:val="1"/>
                <w:bCs w:val="1"/>
                <w:color w:val="auto"/>
                <w:vertAlign w:val="subscript"/>
              </w:rPr>
              <w:t>LLC</w:t>
            </w:r>
            <w:r>
              <w:rPr>
                <w:rFonts w:ascii="Arial" w:cs="Arial" w:eastAsia="Arial" w:hAnsi="Arial"/>
                <w:sz w:val="12"/>
                <w:szCs w:val="12"/>
                <w:b w:val="1"/>
                <w:bCs w:val="1"/>
                <w:color w:val="auto"/>
              </w:rPr>
              <w:t>(2)(9)</w:t>
            </w:r>
          </w:p>
        </w:tc>
        <w:tc>
          <w:tcPr>
            <w:tcW w:w="300" w:type="dxa"/>
            <w:vAlign w:val="bottom"/>
            <w:tcBorders>
              <w:top w:val="single" w:sz="8" w:color="CCFFCC"/>
            </w:tcBorders>
            <w:gridSpan w:val="3"/>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246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160" w:type="dxa"/>
            <w:vAlign w:val="bottom"/>
            <w:tcBorders>
              <w:top w:val="single" w:sz="8" w:color="CCFFCC"/>
            </w:tcBorders>
            <w:shd w:val="clear" w:color="auto" w:fill="CCFFCC"/>
          </w:tcPr>
          <w:p>
            <w:pPr>
              <w:spacing w:after="0"/>
              <w:rPr>
                <w:sz w:val="19"/>
                <w:szCs w:val="19"/>
                <w:color w:val="auto"/>
              </w:rPr>
            </w:pPr>
          </w:p>
        </w:tc>
        <w:tc>
          <w:tcPr>
            <w:tcW w:w="76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20" w:type="dxa"/>
            <w:vAlign w:val="bottom"/>
            <w:tcBorders>
              <w:top w:val="single" w:sz="8" w:color="CCFFCC"/>
            </w:tcBorders>
            <w:shd w:val="clear" w:color="auto" w:fill="CCFFCC"/>
          </w:tcPr>
          <w:p>
            <w:pPr>
              <w:spacing w:after="0"/>
              <w:rPr>
                <w:sz w:val="19"/>
                <w:szCs w:val="19"/>
                <w:color w:val="auto"/>
              </w:rPr>
            </w:pPr>
          </w:p>
        </w:tc>
        <w:tc>
          <w:tcPr>
            <w:tcW w:w="6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820" w:type="dxa"/>
            <w:vAlign w:val="bottom"/>
            <w:tcBorders>
              <w:top w:val="single" w:sz="8" w:color="CCFFCC"/>
            </w:tcBorders>
            <w:shd w:val="clear" w:color="auto" w:fill="CCFFCC"/>
          </w:tcPr>
          <w:p>
            <w:pPr>
              <w:spacing w:after="0"/>
              <w:rPr>
                <w:sz w:val="19"/>
                <w:szCs w:val="19"/>
                <w:color w:val="auto"/>
              </w:rPr>
            </w:pPr>
          </w:p>
        </w:tc>
        <w:tc>
          <w:tcPr>
            <w:tcW w:w="60" w:type="dxa"/>
            <w:vAlign w:val="bottom"/>
            <w:tcBorders>
              <w:top w:val="single" w:sz="8" w:color="CCFFCC"/>
            </w:tcBorders>
            <w:shd w:val="clear" w:color="auto" w:fill="CCFFCC"/>
          </w:tcPr>
          <w:p>
            <w:pPr>
              <w:spacing w:after="0"/>
              <w:rPr>
                <w:sz w:val="19"/>
                <w:szCs w:val="19"/>
                <w:color w:val="auto"/>
              </w:rPr>
            </w:pPr>
          </w:p>
        </w:tc>
        <w:tc>
          <w:tcPr>
            <w:tcW w:w="80" w:type="dxa"/>
            <w:vAlign w:val="bottom"/>
            <w:tcBorders>
              <w:top w:val="single" w:sz="8" w:color="CCFFCC"/>
            </w:tcBorders>
            <w:shd w:val="clear" w:color="auto" w:fill="CCFFCC"/>
          </w:tcPr>
          <w:p>
            <w:pPr>
              <w:spacing w:after="0"/>
              <w:rPr>
                <w:sz w:val="19"/>
                <w:szCs w:val="19"/>
                <w:color w:val="auto"/>
              </w:rPr>
            </w:pPr>
          </w:p>
        </w:tc>
        <w:tc>
          <w:tcPr>
            <w:tcW w:w="440" w:type="dxa"/>
            <w:vAlign w:val="bottom"/>
            <w:tcBorders>
              <w:top w:val="single" w:sz="8" w:color="CCFFCC"/>
            </w:tcBorders>
            <w:shd w:val="clear" w:color="auto" w:fill="CCFFCC"/>
          </w:tcPr>
          <w:p>
            <w:pPr>
              <w:spacing w:after="0"/>
              <w:rPr>
                <w:sz w:val="19"/>
                <w:szCs w:val="19"/>
                <w:color w:val="auto"/>
              </w:rPr>
            </w:pPr>
          </w:p>
        </w:tc>
        <w:tc>
          <w:tcPr>
            <w:tcW w:w="240" w:type="dxa"/>
            <w:vAlign w:val="bottom"/>
            <w:tcBorders>
              <w:top w:val="single" w:sz="8" w:color="CCFFCC"/>
            </w:tcBorders>
            <w:shd w:val="clear" w:color="auto" w:fill="CCFFCC"/>
          </w:tcPr>
          <w:p>
            <w:pPr>
              <w:spacing w:after="0"/>
              <w:rPr>
                <w:sz w:val="19"/>
                <w:szCs w:val="19"/>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gridSpan w:val="15"/>
          </w:tcPr>
          <w:p>
            <w:pPr>
              <w:spacing w:after="0"/>
              <w:rPr>
                <w:sz w:val="20"/>
                <w:szCs w:val="20"/>
                <w:color w:val="auto"/>
              </w:rPr>
            </w:pPr>
            <w:r>
              <w:rPr>
                <w:rFonts w:ascii="Arial" w:cs="Arial" w:eastAsia="Arial" w:hAnsi="Arial"/>
                <w:sz w:val="16"/>
                <w:szCs w:val="16"/>
                <w:color w:val="auto"/>
              </w:rPr>
              <w:t>Common membership</w:t>
            </w:r>
          </w:p>
        </w:tc>
        <w:tc>
          <w:tcPr>
            <w:tcW w:w="8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2"/>
              </w:rPr>
              <w:t>Incubator</w:t>
            </w: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500,000</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500,000</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500,000</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0.20%</w:t>
            </w:r>
          </w:p>
        </w:tc>
      </w:tr>
      <w:tr>
        <w:trPr>
          <w:trHeight w:val="209"/>
        </w:trPr>
        <w:tc>
          <w:tcPr>
            <w:tcW w:w="20" w:type="dxa"/>
            <w:vAlign w:val="bottom"/>
          </w:tcPr>
          <w:p>
            <w:pPr>
              <w:spacing w:after="0"/>
              <w:rPr>
                <w:sz w:val="18"/>
                <w:szCs w:val="18"/>
                <w:color w:val="auto"/>
              </w:rPr>
            </w:pPr>
          </w:p>
        </w:tc>
        <w:tc>
          <w:tcPr>
            <w:tcW w:w="1940" w:type="dxa"/>
            <w:vAlign w:val="bottom"/>
            <w:gridSpan w:val="15"/>
          </w:tcPr>
          <w:p>
            <w:pPr>
              <w:ind w:left="180"/>
              <w:spacing w:after="0"/>
              <w:rPr>
                <w:sz w:val="20"/>
                <w:szCs w:val="20"/>
                <w:color w:val="auto"/>
              </w:rPr>
            </w:pPr>
            <w:r>
              <w:rPr>
                <w:rFonts w:ascii="Arial" w:cs="Arial" w:eastAsia="Arial" w:hAnsi="Arial"/>
                <w:sz w:val="16"/>
                <w:szCs w:val="16"/>
                <w:color w:val="auto"/>
              </w:rPr>
              <w:t>interest</w:t>
            </w:r>
          </w:p>
        </w:tc>
        <w:tc>
          <w:tcPr>
            <w:tcW w:w="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6"/>
        </w:trPr>
        <w:tc>
          <w:tcPr>
            <w:tcW w:w="20" w:type="dxa"/>
            <w:vAlign w:val="bottom"/>
            <w:shd w:val="clear" w:color="auto" w:fill="CCFFCC"/>
          </w:tcPr>
          <w:p>
            <w:pPr>
              <w:spacing w:after="0"/>
              <w:rPr>
                <w:sz w:val="17"/>
                <w:szCs w:val="17"/>
                <w:color w:val="auto"/>
              </w:rPr>
            </w:pPr>
          </w:p>
        </w:tc>
        <w:tc>
          <w:tcPr>
            <w:tcW w:w="1940" w:type="dxa"/>
            <w:vAlign w:val="bottom"/>
            <w:gridSpan w:val="15"/>
            <w:shd w:val="clear" w:color="auto" w:fill="CCFFCC"/>
          </w:tcPr>
          <w:p>
            <w:pPr>
              <w:spacing w:after="0" w:line="205" w:lineRule="exact"/>
              <w:rPr>
                <w:sz w:val="20"/>
                <w:szCs w:val="20"/>
                <w:color w:val="auto"/>
              </w:rPr>
            </w:pPr>
            <w:r>
              <w:rPr>
                <w:rFonts w:ascii="Arial" w:cs="Arial" w:eastAsia="Arial" w:hAnsi="Arial"/>
                <w:sz w:val="14"/>
                <w:szCs w:val="14"/>
                <w:b w:val="1"/>
                <w:bCs w:val="1"/>
                <w:color w:val="auto"/>
              </w:rPr>
              <w:t>Groupon, Inc.</w:t>
            </w:r>
            <w:r>
              <w:rPr>
                <w:rFonts w:ascii="Arial" w:cs="Arial" w:eastAsia="Arial" w:hAnsi="Arial"/>
                <w:sz w:val="23"/>
                <w:szCs w:val="23"/>
                <w:b w:val="1"/>
                <w:bCs w:val="1"/>
                <w:color w:val="auto"/>
                <w:vertAlign w:val="superscript"/>
              </w:rPr>
              <w:t>(4)(10)</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3"/>
              </w:rPr>
              <w:t>Chicago, IL</w:t>
            </w: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4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5"/>
          </w:tcPr>
          <w:p>
            <w:pPr>
              <w:spacing w:after="0"/>
              <w:rPr>
                <w:sz w:val="20"/>
                <w:szCs w:val="20"/>
                <w:color w:val="auto"/>
              </w:rPr>
            </w:pPr>
            <w:r>
              <w:rPr>
                <w:rFonts w:ascii="Arial" w:cs="Arial" w:eastAsia="Arial" w:hAnsi="Arial"/>
                <w:sz w:val="16"/>
                <w:szCs w:val="16"/>
                <w:color w:val="auto"/>
              </w:rPr>
              <w:t>Common shares</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1"/>
              </w:rPr>
              <w:t>Online Deals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80,000</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2,128,774</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388,800</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0.15%</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15"/>
            <w:shd w:val="clear" w:color="auto" w:fill="CCFFCC"/>
          </w:tcPr>
          <w:p>
            <w:pPr>
              <w:spacing w:after="0" w:line="202" w:lineRule="exact"/>
              <w:rPr>
                <w:sz w:val="20"/>
                <w:szCs w:val="20"/>
                <w:color w:val="auto"/>
              </w:rPr>
            </w:pPr>
            <w:r>
              <w:rPr>
                <w:rFonts w:ascii="Arial" w:cs="Arial" w:eastAsia="Arial" w:hAnsi="Arial"/>
                <w:sz w:val="14"/>
                <w:szCs w:val="14"/>
                <w:b w:val="1"/>
                <w:bCs w:val="1"/>
                <w:color w:val="auto"/>
              </w:rPr>
              <w:t>AlwaysOn, Inc.</w:t>
            </w:r>
            <w:r>
              <w:rPr>
                <w:rFonts w:ascii="Arial" w:cs="Arial" w:eastAsia="Arial" w:hAnsi="Arial"/>
                <w:sz w:val="23"/>
                <w:szCs w:val="23"/>
                <w:b w:val="1"/>
                <w:bCs w:val="1"/>
                <w:color w:val="auto"/>
                <w:vertAlign w:val="superscript"/>
              </w:rPr>
              <w:t>(1)(2)</w:t>
            </w:r>
          </w:p>
        </w:tc>
        <w:tc>
          <w:tcPr>
            <w:tcW w:w="80" w:type="dxa"/>
            <w:vAlign w:val="bottom"/>
            <w:shd w:val="clear" w:color="auto" w:fill="CCFFCC"/>
          </w:tcPr>
          <w:p>
            <w:pPr>
              <w:spacing w:after="0"/>
              <w:rPr>
                <w:sz w:val="17"/>
                <w:szCs w:val="17"/>
                <w:color w:val="auto"/>
              </w:rPr>
            </w:pPr>
          </w:p>
        </w:tc>
        <w:tc>
          <w:tcPr>
            <w:tcW w:w="2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3"/>
              </w:rPr>
              <w:t>Woodside, CA</w:t>
            </w: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40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CCFFCC"/>
          </w:tcPr>
          <w:p>
            <w:pPr>
              <w:spacing w:after="0" w:line="20" w:lineRule="exact"/>
              <w:rPr>
                <w:sz w:val="1"/>
                <w:szCs w:val="1"/>
                <w:color w:val="auto"/>
              </w:rPr>
            </w:pPr>
          </w:p>
        </w:tc>
        <w:tc>
          <w:tcPr>
            <w:tcW w:w="60" w:type="dxa"/>
            <w:vAlign w:val="bottom"/>
            <w:tcBorders>
              <w:top w:val="single" w:sz="8" w:color="auto"/>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auto"/>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gridSpan w:val="15"/>
          </w:tcPr>
          <w:p>
            <w:pPr>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3"/>
              </w:rPr>
              <w:t>Social Media</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1,066,626</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1,027,391</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298,655</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0.12%</w:t>
            </w:r>
          </w:p>
        </w:tc>
      </w:tr>
      <w:tr>
        <w:trPr>
          <w:trHeight w:val="162"/>
        </w:trPr>
        <w:tc>
          <w:tcPr>
            <w:tcW w:w="20" w:type="dxa"/>
            <w:vAlign w:val="bottom"/>
            <w:tcBorders>
              <w:bottom w:val="single" w:sz="8" w:color="CCFFCC"/>
            </w:tcBorders>
            <w:shd w:val="clear" w:color="auto" w:fill="CCFFCC"/>
          </w:tcPr>
          <w:p>
            <w:pPr>
              <w:spacing w:after="0"/>
              <w:rPr>
                <w:sz w:val="14"/>
                <w:szCs w:val="14"/>
                <w:color w:val="auto"/>
              </w:rPr>
            </w:pPr>
          </w:p>
        </w:tc>
        <w:tc>
          <w:tcPr>
            <w:tcW w:w="1060" w:type="dxa"/>
            <w:vAlign w:val="bottom"/>
            <w:tcBorders>
              <w:bottom w:val="single" w:sz="8" w:color="auto"/>
            </w:tcBorders>
            <w:gridSpan w:val="6"/>
            <w:shd w:val="clear" w:color="auto" w:fill="CCFFCC"/>
          </w:tcPr>
          <w:p>
            <w:pPr>
              <w:spacing w:after="0" w:line="162" w:lineRule="exact"/>
              <w:rPr>
                <w:sz w:val="20"/>
                <w:szCs w:val="20"/>
                <w:color w:val="auto"/>
              </w:rPr>
            </w:pPr>
            <w:r>
              <w:rPr>
                <w:rFonts w:ascii="Arial" w:cs="Arial" w:eastAsia="Arial" w:hAnsi="Arial"/>
                <w:sz w:val="16"/>
                <w:szCs w:val="16"/>
                <w:b w:val="1"/>
                <w:bCs w:val="1"/>
                <w:color w:val="auto"/>
                <w:w w:val="92"/>
              </w:rPr>
              <w:t>NewZoom, Inc.</w:t>
            </w:r>
          </w:p>
        </w:tc>
        <w:tc>
          <w:tcPr>
            <w:tcW w:w="880" w:type="dxa"/>
            <w:vAlign w:val="bottom"/>
            <w:tcBorders>
              <w:bottom w:val="single" w:sz="8" w:color="CCFFCC"/>
            </w:tcBorders>
            <w:gridSpan w:val="9"/>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2460" w:type="dxa"/>
            <w:vAlign w:val="bottom"/>
            <w:tcBorders>
              <w:bottom w:val="single" w:sz="8" w:color="CCFFCC"/>
            </w:tcBorders>
            <w:shd w:val="clear" w:color="auto" w:fill="CCFFCC"/>
          </w:tcPr>
          <w:p>
            <w:pPr>
              <w:jc w:val="center"/>
              <w:spacing w:after="0" w:line="162" w:lineRule="exact"/>
              <w:rPr>
                <w:sz w:val="20"/>
                <w:szCs w:val="20"/>
                <w:color w:val="auto"/>
              </w:rPr>
            </w:pPr>
            <w:r>
              <w:rPr>
                <w:rFonts w:ascii="Arial" w:cs="Arial" w:eastAsia="Arial" w:hAnsi="Arial"/>
                <w:sz w:val="16"/>
                <w:szCs w:val="16"/>
                <w:color w:val="auto"/>
                <w:w w:val="91"/>
              </w:rPr>
              <w:t>San Francisco, CA</w:t>
            </w:r>
          </w:p>
        </w:tc>
        <w:tc>
          <w:tcPr>
            <w:tcW w:w="80" w:type="dxa"/>
            <w:vAlign w:val="bottom"/>
            <w:tcBorders>
              <w:bottom w:val="single" w:sz="8" w:color="CCFFCC"/>
            </w:tcBorders>
            <w:shd w:val="clear" w:color="auto" w:fill="CCFFCC"/>
          </w:tcPr>
          <w:p>
            <w:pPr>
              <w:spacing w:after="0"/>
              <w:rPr>
                <w:sz w:val="14"/>
                <w:szCs w:val="14"/>
                <w:color w:val="auto"/>
              </w:rPr>
            </w:pPr>
          </w:p>
        </w:tc>
        <w:tc>
          <w:tcPr>
            <w:tcW w:w="160" w:type="dxa"/>
            <w:vAlign w:val="bottom"/>
            <w:tcBorders>
              <w:bottom w:val="single" w:sz="8" w:color="CCFFCC"/>
            </w:tcBorders>
            <w:shd w:val="clear" w:color="auto" w:fill="CCFFCC"/>
          </w:tcPr>
          <w:p>
            <w:pPr>
              <w:spacing w:after="0"/>
              <w:rPr>
                <w:sz w:val="14"/>
                <w:szCs w:val="14"/>
                <w:color w:val="auto"/>
              </w:rPr>
            </w:pPr>
          </w:p>
        </w:tc>
        <w:tc>
          <w:tcPr>
            <w:tcW w:w="76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820" w:type="dxa"/>
            <w:vAlign w:val="bottom"/>
            <w:tcBorders>
              <w:bottom w:val="single" w:sz="8" w:color="CCFFCC"/>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820" w:type="dxa"/>
            <w:vAlign w:val="bottom"/>
            <w:tcBorders>
              <w:bottom w:val="single" w:sz="8" w:color="CCFFCC"/>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440" w:type="dxa"/>
            <w:vAlign w:val="bottom"/>
            <w:tcBorders>
              <w:bottom w:val="single" w:sz="8" w:color="CCFFCC"/>
            </w:tcBorders>
            <w:shd w:val="clear" w:color="auto" w:fill="CCFFCC"/>
          </w:tcPr>
          <w:p>
            <w:pPr>
              <w:spacing w:after="0"/>
              <w:rPr>
                <w:sz w:val="14"/>
                <w:szCs w:val="14"/>
                <w:color w:val="auto"/>
              </w:rPr>
            </w:pPr>
          </w:p>
        </w:tc>
        <w:tc>
          <w:tcPr>
            <w:tcW w:w="240" w:type="dxa"/>
            <w:vAlign w:val="bottom"/>
            <w:tcBorders>
              <w:bottom w:val="single" w:sz="8" w:color="CCFFCC"/>
            </w:tcBorders>
            <w:shd w:val="clear" w:color="auto" w:fill="CCFFCC"/>
          </w:tcPr>
          <w:p>
            <w:pPr>
              <w:spacing w:after="0"/>
              <w:rPr>
                <w:sz w:val="14"/>
                <w:szCs w:val="14"/>
                <w:color w:val="auto"/>
              </w:rPr>
            </w:pPr>
          </w:p>
        </w:tc>
      </w:tr>
      <w:tr>
        <w:trPr>
          <w:trHeight w:val="203"/>
        </w:trPr>
        <w:tc>
          <w:tcPr>
            <w:tcW w:w="20" w:type="dxa"/>
            <w:vAlign w:val="bottom"/>
            <w:tcBorders>
              <w:bottom w:val="single" w:sz="8" w:color="CCFFCC"/>
            </w:tcBorders>
            <w:shd w:val="clear" w:color="auto" w:fill="CCFFCC"/>
          </w:tcPr>
          <w:p>
            <w:pPr>
              <w:spacing w:after="0"/>
              <w:rPr>
                <w:sz w:val="17"/>
                <w:szCs w:val="17"/>
                <w:color w:val="auto"/>
              </w:rPr>
            </w:pPr>
          </w:p>
        </w:tc>
        <w:tc>
          <w:tcPr>
            <w:tcW w:w="1460" w:type="dxa"/>
            <w:vAlign w:val="bottom"/>
            <w:tcBorders>
              <w:bottom w:val="single" w:sz="8" w:color="auto"/>
            </w:tcBorders>
            <w:gridSpan w:val="11"/>
            <w:shd w:val="clear" w:color="auto" w:fill="CCFFCC"/>
          </w:tcPr>
          <w:p>
            <w:pPr>
              <w:spacing w:after="0" w:line="183" w:lineRule="exact"/>
              <w:rPr>
                <w:sz w:val="20"/>
                <w:szCs w:val="20"/>
                <w:color w:val="auto"/>
              </w:rPr>
            </w:pPr>
            <w:r>
              <w:rPr>
                <w:rFonts w:ascii="Arial" w:cs="Arial" w:eastAsia="Arial" w:hAnsi="Arial"/>
                <w:sz w:val="16"/>
                <w:szCs w:val="16"/>
                <w:b w:val="1"/>
                <w:bCs w:val="1"/>
                <w:color w:val="auto"/>
                <w:w w:val="88"/>
              </w:rPr>
              <w:t>(d/b/a ZoomSystems)</w:t>
            </w:r>
          </w:p>
        </w:tc>
        <w:tc>
          <w:tcPr>
            <w:tcW w:w="480" w:type="dxa"/>
            <w:vAlign w:val="bottom"/>
            <w:tcBorders>
              <w:bottom w:val="single" w:sz="8" w:color="CCFFCC"/>
            </w:tcBorders>
            <w:gridSpan w:val="4"/>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246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76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820" w:type="dxa"/>
            <w:vAlign w:val="bottom"/>
            <w:tcBorders>
              <w:bottom w:val="single" w:sz="8" w:color="CCFFCC"/>
            </w:tcBorders>
            <w:shd w:val="clear" w:color="auto" w:fill="CCFFCC"/>
          </w:tcPr>
          <w:p>
            <w:pPr>
              <w:spacing w:after="0"/>
              <w:rPr>
                <w:sz w:val="17"/>
                <w:szCs w:val="17"/>
                <w:color w:val="auto"/>
              </w:rPr>
            </w:pPr>
          </w:p>
        </w:tc>
        <w:tc>
          <w:tcPr>
            <w:tcW w:w="6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820" w:type="dxa"/>
            <w:vAlign w:val="bottom"/>
            <w:tcBorders>
              <w:bottom w:val="single" w:sz="8" w:color="CCFFCC"/>
            </w:tcBorders>
            <w:shd w:val="clear" w:color="auto" w:fill="CCFFCC"/>
          </w:tcPr>
          <w:p>
            <w:pPr>
              <w:spacing w:after="0"/>
              <w:rPr>
                <w:sz w:val="17"/>
                <w:szCs w:val="17"/>
                <w:color w:val="auto"/>
              </w:rPr>
            </w:pPr>
          </w:p>
        </w:tc>
        <w:tc>
          <w:tcPr>
            <w:tcW w:w="6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440" w:type="dxa"/>
            <w:vAlign w:val="bottom"/>
            <w:tcBorders>
              <w:bottom w:val="single" w:sz="8" w:color="CCFFCC"/>
            </w:tcBorders>
            <w:shd w:val="clear" w:color="auto" w:fill="CCFFCC"/>
          </w:tcPr>
          <w:p>
            <w:pPr>
              <w:spacing w:after="0"/>
              <w:rPr>
                <w:sz w:val="17"/>
                <w:szCs w:val="17"/>
                <w:color w:val="auto"/>
              </w:rPr>
            </w:pPr>
          </w:p>
        </w:tc>
        <w:tc>
          <w:tcPr>
            <w:tcW w:w="240" w:type="dxa"/>
            <w:vAlign w:val="bottom"/>
            <w:tcBorders>
              <w:bottom w:val="single" w:sz="8" w:color="CCFFCC"/>
            </w:tcBorders>
            <w:shd w:val="clear" w:color="auto" w:fill="CCFFCC"/>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940" w:type="dxa"/>
            <w:vAlign w:val="bottom"/>
            <w:gridSpan w:val="15"/>
          </w:tcPr>
          <w:p>
            <w:pPr>
              <w:spacing w:after="0"/>
              <w:rPr>
                <w:sz w:val="20"/>
                <w:szCs w:val="20"/>
                <w:color w:val="auto"/>
              </w:rPr>
            </w:pPr>
            <w:r>
              <w:rPr>
                <w:rFonts w:ascii="Arial" w:cs="Arial" w:eastAsia="Arial" w:hAnsi="Arial"/>
                <w:sz w:val="16"/>
                <w:szCs w:val="16"/>
                <w:color w:val="auto"/>
              </w:rPr>
              <w:t>Preferred shares, Series A</w:t>
            </w:r>
          </w:p>
        </w:tc>
        <w:tc>
          <w:tcPr>
            <w:tcW w:w="8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Arial" w:cs="Arial" w:eastAsia="Arial" w:hAnsi="Arial"/>
                <w:sz w:val="16"/>
                <w:szCs w:val="16"/>
                <w:color w:val="auto"/>
                <w:w w:val="94"/>
              </w:rPr>
              <w:t>Smart e-tail (Retail)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1,250,000</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260,476</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250,000</w:t>
            </w:r>
          </w:p>
        </w:tc>
        <w:tc>
          <w:tcPr>
            <w:tcW w:w="760" w:type="dxa"/>
            <w:vAlign w:val="bottom"/>
            <w:gridSpan w:val="3"/>
          </w:tcPr>
          <w:p>
            <w:pPr>
              <w:jc w:val="center"/>
              <w:ind w:left="59"/>
              <w:spacing w:after="0"/>
              <w:rPr>
                <w:sz w:val="20"/>
                <w:szCs w:val="20"/>
                <w:color w:val="auto"/>
              </w:rPr>
            </w:pPr>
            <w:r>
              <w:rPr>
                <w:rFonts w:ascii="Arial" w:cs="Arial" w:eastAsia="Arial" w:hAnsi="Arial"/>
                <w:sz w:val="16"/>
                <w:szCs w:val="16"/>
                <w:color w:val="auto"/>
                <w:w w:val="92"/>
              </w:rPr>
              <w:t>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-2720340</wp:posOffset>
            </wp:positionV>
            <wp:extent cx="5213985"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958" w:right="1440" w:bottom="1440" w:gutter="0" w:footer="0" w:header="0"/>
        </w:sectPr>
      </w:pPr>
    </w:p>
    <w:bookmarkStart w:id="15" w:name="page16"/>
    <w:bookmarkEnd w:id="15"/>
    <w:p>
      <w:pPr>
        <w:jc w:val="center"/>
        <w:ind w:right="519"/>
        <w:spacing w:after="0" w:line="257" w:lineRule="auto"/>
        <w:rPr>
          <w:sz w:val="20"/>
          <w:szCs w:val="20"/>
          <w:color w:val="auto"/>
        </w:rPr>
      </w:pPr>
      <w:r>
        <w:rPr>
          <w:rFonts w:ascii="Arial" w:cs="Arial" w:eastAsia="Arial" w:hAnsi="Arial"/>
          <w:sz w:val="18"/>
          <w:szCs w:val="18"/>
          <w:b w:val="1"/>
          <w:bCs w:val="1"/>
          <w:color w:val="auto"/>
        </w:rPr>
        <w:t>GSV CAPITAL CORP. AND SUBSIDIARY CONSOLIDATED SCHEDULE OF INVESTMENTS (continued)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52139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1"/>
        </w:trPr>
        <w:tc>
          <w:tcPr>
            <w:tcW w:w="1960" w:type="dxa"/>
            <w:vAlign w:val="bottom"/>
            <w:gridSpan w:val="6"/>
          </w:tcPr>
          <w:p>
            <w:pPr>
              <w:ind w:left="20"/>
              <w:spacing w:after="0" w:line="141" w:lineRule="exact"/>
              <w:rPr>
                <w:sz w:val="20"/>
                <w:szCs w:val="20"/>
                <w:color w:val="auto"/>
              </w:rPr>
            </w:pPr>
            <w:r>
              <w:rPr>
                <w:rFonts w:ascii="Arial" w:cs="Arial" w:eastAsia="Arial" w:hAnsi="Arial"/>
                <w:sz w:val="14"/>
                <w:szCs w:val="14"/>
                <w:b w:val="1"/>
                <w:bCs w:val="1"/>
                <w:color w:val="auto"/>
              </w:rPr>
              <w:t>Portfolio Investments*</w:t>
            </w:r>
          </w:p>
        </w:tc>
        <w:tc>
          <w:tcPr>
            <w:tcW w:w="60" w:type="dxa"/>
            <w:vAlign w:val="bottom"/>
          </w:tcPr>
          <w:p>
            <w:pPr>
              <w:spacing w:after="0"/>
              <w:rPr>
                <w:sz w:val="12"/>
                <w:szCs w:val="12"/>
                <w:color w:val="auto"/>
              </w:rPr>
            </w:pPr>
          </w:p>
        </w:tc>
        <w:tc>
          <w:tcPr>
            <w:tcW w:w="24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5"/>
              </w:rPr>
              <w:t>Headquarters/Industry</w:t>
            </w:r>
          </w:p>
        </w:tc>
        <w:tc>
          <w:tcPr>
            <w:tcW w:w="80" w:type="dxa"/>
            <w:vAlign w:val="bottom"/>
          </w:tcPr>
          <w:p>
            <w:pPr>
              <w:spacing w:after="0"/>
              <w:rPr>
                <w:sz w:val="12"/>
                <w:szCs w:val="12"/>
                <w:color w:val="auto"/>
              </w:rPr>
            </w:pPr>
          </w:p>
        </w:tc>
        <w:tc>
          <w:tcPr>
            <w:tcW w:w="920" w:type="dxa"/>
            <w:vAlign w:val="bottom"/>
          </w:tcPr>
          <w:p>
            <w:pPr>
              <w:jc w:val="right"/>
              <w:ind w:right="188"/>
              <w:spacing w:after="0" w:line="141"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260"/>
              <w:spacing w:after="0" w:line="141"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1"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1" w:lineRule="exact"/>
              <w:rPr>
                <w:sz w:val="20"/>
                <w:szCs w:val="20"/>
                <w:color w:val="auto"/>
              </w:rPr>
            </w:pPr>
            <w:r>
              <w:rPr>
                <w:rFonts w:ascii="Arial" w:cs="Arial" w:eastAsia="Arial" w:hAnsi="Arial"/>
                <w:sz w:val="14"/>
                <w:szCs w:val="14"/>
                <w:b w:val="1"/>
                <w:bCs w:val="1"/>
                <w:color w:val="auto"/>
              </w:rPr>
              <w:t>% of</w:t>
            </w:r>
          </w:p>
        </w:tc>
      </w:tr>
      <w:tr>
        <w:trPr>
          <w:trHeight w:val="171"/>
        </w:trPr>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8"/>
              </w:rPr>
              <w:t>Net Assets</w:t>
            </w:r>
          </w:p>
        </w:tc>
      </w:tr>
      <w:tr>
        <w:trPr>
          <w:trHeight w:val="156"/>
        </w:trPr>
        <w:tc>
          <w:tcPr>
            <w:tcW w:w="1960" w:type="dxa"/>
            <w:vAlign w:val="bottom"/>
            <w:gridSpan w:val="6"/>
            <w:shd w:val="clear" w:color="auto" w:fill="CCFFCC"/>
          </w:tcPr>
          <w:p>
            <w:pPr>
              <w:ind w:left="20"/>
              <w:spacing w:after="0" w:line="155" w:lineRule="exact"/>
              <w:rPr>
                <w:sz w:val="20"/>
                <w:szCs w:val="20"/>
                <w:color w:val="auto"/>
              </w:rPr>
            </w:pPr>
            <w:r>
              <w:rPr>
                <w:rFonts w:ascii="Arial" w:cs="Arial" w:eastAsia="Arial" w:hAnsi="Arial"/>
                <w:sz w:val="16"/>
                <w:szCs w:val="16"/>
                <w:b w:val="1"/>
                <w:bCs w:val="1"/>
                <w:color w:val="auto"/>
              </w:rPr>
              <w:t>Neuron Fuel, Inc.</w:t>
            </w:r>
          </w:p>
        </w:tc>
        <w:tc>
          <w:tcPr>
            <w:tcW w:w="60" w:type="dxa"/>
            <w:vAlign w:val="bottom"/>
            <w:shd w:val="clear" w:color="auto" w:fill="CCFFCC"/>
          </w:tcPr>
          <w:p>
            <w:pPr>
              <w:spacing w:after="0"/>
              <w:rPr>
                <w:sz w:val="13"/>
                <w:szCs w:val="13"/>
                <w:color w:val="auto"/>
              </w:rPr>
            </w:pPr>
          </w:p>
        </w:tc>
        <w:tc>
          <w:tcPr>
            <w:tcW w:w="2440" w:type="dxa"/>
            <w:vAlign w:val="bottom"/>
            <w:shd w:val="clear" w:color="auto" w:fill="CCFFCC"/>
          </w:tcPr>
          <w:p>
            <w:pPr>
              <w:jc w:val="center"/>
              <w:spacing w:after="0" w:line="155" w:lineRule="exact"/>
              <w:rPr>
                <w:sz w:val="20"/>
                <w:szCs w:val="20"/>
                <w:color w:val="auto"/>
              </w:rPr>
            </w:pPr>
            <w:r>
              <w:rPr>
                <w:rFonts w:ascii="Arial" w:cs="Arial" w:eastAsia="Arial" w:hAnsi="Arial"/>
                <w:sz w:val="16"/>
                <w:szCs w:val="16"/>
                <w:color w:val="auto"/>
                <w:w w:val="89"/>
              </w:rPr>
              <w:t>San Jose, CA</w:t>
            </w:r>
          </w:p>
        </w:tc>
        <w:tc>
          <w:tcPr>
            <w:tcW w:w="80" w:type="dxa"/>
            <w:vAlign w:val="bottom"/>
            <w:shd w:val="clear" w:color="auto" w:fill="CCFFCC"/>
          </w:tcPr>
          <w:p>
            <w:pPr>
              <w:spacing w:after="0"/>
              <w:rPr>
                <w:sz w:val="13"/>
                <w:szCs w:val="13"/>
                <w:color w:val="auto"/>
              </w:rPr>
            </w:pPr>
          </w:p>
        </w:tc>
        <w:tc>
          <w:tcPr>
            <w:tcW w:w="92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20" w:type="dxa"/>
            <w:vAlign w:val="bottom"/>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00" w:type="dxa"/>
            <w:vAlign w:val="bottom"/>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480" w:type="dxa"/>
            <w:vAlign w:val="bottom"/>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6"/>
          </w:tcPr>
          <w:p>
            <w:pPr>
              <w:ind w:left="20"/>
              <w:spacing w:after="0"/>
              <w:rPr>
                <w:sz w:val="20"/>
                <w:szCs w:val="20"/>
                <w:color w:val="auto"/>
              </w:rPr>
            </w:pPr>
            <w:r>
              <w:rPr>
                <w:rFonts w:ascii="Arial" w:cs="Arial" w:eastAsia="Arial" w:hAnsi="Arial"/>
                <w:sz w:val="16"/>
                <w:szCs w:val="16"/>
                <w:color w:val="auto"/>
                <w:w w:val="94"/>
              </w:rPr>
              <w:t>Preferred shares, Series AAI</w:t>
            </w:r>
          </w:p>
        </w:tc>
        <w:tc>
          <w:tcPr>
            <w:tcW w:w="6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2"/>
              </w:rPr>
              <w:t>Computer Software</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250,000</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262,530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250,000</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0.10%</w:t>
            </w:r>
          </w:p>
        </w:tc>
      </w:tr>
      <w:tr>
        <w:trPr>
          <w:trHeight w:val="203"/>
        </w:trPr>
        <w:tc>
          <w:tcPr>
            <w:tcW w:w="1960" w:type="dxa"/>
            <w:vAlign w:val="bottom"/>
            <w:gridSpan w:val="6"/>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Serious Energy, Inc.</w:t>
            </w:r>
            <w:r>
              <w:rPr>
                <w:rFonts w:ascii="Arial" w:cs="Arial" w:eastAsia="Arial" w:hAnsi="Arial"/>
                <w:sz w:val="23"/>
                <w:szCs w:val="23"/>
                <w:b w:val="1"/>
                <w:bCs w:val="1"/>
                <w:color w:val="auto"/>
                <w:vertAlign w:val="superscript"/>
              </w:rPr>
              <w:t>(10)</w:t>
            </w:r>
          </w:p>
        </w:tc>
        <w:tc>
          <w:tcPr>
            <w:tcW w:w="60" w:type="dxa"/>
            <w:vAlign w:val="bottom"/>
            <w:shd w:val="clear" w:color="auto" w:fill="CCFFCC"/>
          </w:tcPr>
          <w:p>
            <w:pPr>
              <w:spacing w:after="0"/>
              <w:rPr>
                <w:sz w:val="17"/>
                <w:szCs w:val="17"/>
                <w:color w:val="auto"/>
              </w:rPr>
            </w:pPr>
          </w:p>
        </w:tc>
        <w:tc>
          <w:tcPr>
            <w:tcW w:w="24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4"/>
              </w:rPr>
              <w:t>Sunnyvale, CA</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6"/>
          </w:tcPr>
          <w:p>
            <w:pPr>
              <w:ind w:left="20"/>
              <w:spacing w:after="0"/>
              <w:rPr>
                <w:sz w:val="20"/>
                <w:szCs w:val="20"/>
                <w:color w:val="auto"/>
              </w:rPr>
            </w:pPr>
            <w:r>
              <w:rPr>
                <w:rFonts w:ascii="Arial" w:cs="Arial" w:eastAsia="Arial" w:hAnsi="Arial"/>
                <w:sz w:val="16"/>
                <w:szCs w:val="16"/>
                <w:color w:val="auto"/>
              </w:rPr>
              <w:t>Common shares</w:t>
            </w:r>
          </w:p>
        </w:tc>
        <w:tc>
          <w:tcPr>
            <w:tcW w:w="6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1"/>
              </w:rPr>
              <w:t>Green Materials</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178,095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739,130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3"/>
        </w:trPr>
        <w:tc>
          <w:tcPr>
            <w:tcW w:w="1960" w:type="dxa"/>
            <w:vAlign w:val="bottom"/>
            <w:gridSpan w:val="6"/>
            <w:shd w:val="clear" w:color="auto" w:fill="CCFFCC"/>
          </w:tcPr>
          <w:p>
            <w:pPr>
              <w:ind w:left="20"/>
              <w:spacing w:after="0" w:line="202" w:lineRule="exact"/>
              <w:rPr>
                <w:sz w:val="20"/>
                <w:szCs w:val="20"/>
                <w:color w:val="auto"/>
              </w:rPr>
            </w:pPr>
            <w:r>
              <w:rPr>
                <w:rFonts w:ascii="Arial" w:cs="Arial" w:eastAsia="Arial" w:hAnsi="Arial"/>
                <w:sz w:val="14"/>
                <w:szCs w:val="14"/>
                <w:b w:val="1"/>
                <w:bCs w:val="1"/>
                <w:color w:val="auto"/>
              </w:rPr>
              <w:t>Top Hat 430, Inc.</w:t>
            </w:r>
            <w:r>
              <w:rPr>
                <w:rFonts w:ascii="Arial" w:cs="Arial" w:eastAsia="Arial" w:hAnsi="Arial"/>
                <w:sz w:val="23"/>
                <w:szCs w:val="23"/>
                <w:b w:val="1"/>
                <w:bCs w:val="1"/>
                <w:color w:val="auto"/>
                <w:vertAlign w:val="superscript"/>
              </w:rPr>
              <w:t>(2)(10)</w:t>
            </w:r>
          </w:p>
        </w:tc>
        <w:tc>
          <w:tcPr>
            <w:tcW w:w="60" w:type="dxa"/>
            <w:vAlign w:val="bottom"/>
            <w:shd w:val="clear" w:color="auto" w:fill="CCFFCC"/>
          </w:tcPr>
          <w:p>
            <w:pPr>
              <w:spacing w:after="0"/>
              <w:rPr>
                <w:sz w:val="17"/>
                <w:szCs w:val="17"/>
                <w:color w:val="auto"/>
              </w:rPr>
            </w:pPr>
          </w:p>
        </w:tc>
        <w:tc>
          <w:tcPr>
            <w:tcW w:w="24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0"/>
              </w:rPr>
              <w:t>Shakopee, MN</w:t>
            </w: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4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r>
      <w:tr>
        <w:trPr>
          <w:trHeight w:val="203"/>
        </w:trPr>
        <w:tc>
          <w:tcPr>
            <w:tcW w:w="1960" w:type="dxa"/>
            <w:vAlign w:val="bottom"/>
            <w:gridSpan w:val="6"/>
          </w:tcPr>
          <w:p>
            <w:pPr>
              <w:ind w:left="20"/>
              <w:spacing w:after="0"/>
              <w:rPr>
                <w:sz w:val="20"/>
                <w:szCs w:val="20"/>
                <w:color w:val="auto"/>
              </w:rPr>
            </w:pPr>
            <w:r>
              <w:rPr>
                <w:rFonts w:ascii="Arial" w:cs="Arial" w:eastAsia="Arial" w:hAnsi="Arial"/>
                <w:sz w:val="16"/>
                <w:szCs w:val="16"/>
                <w:color w:val="auto"/>
              </w:rPr>
              <w:t>Preferred shares, Series A</w:t>
            </w:r>
          </w:p>
        </w:tc>
        <w:tc>
          <w:tcPr>
            <w:tcW w:w="60" w:type="dxa"/>
            <w:vAlign w:val="bottom"/>
          </w:tcPr>
          <w:p>
            <w:pPr>
              <w:spacing w:after="0"/>
              <w:rPr>
                <w:sz w:val="17"/>
                <w:szCs w:val="17"/>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3"/>
              </w:rPr>
              <w:t>Jewelry Retailing Technology</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1,844,444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4,167,943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93"/>
        </w:trPr>
        <w:tc>
          <w:tcPr>
            <w:tcW w:w="1960" w:type="dxa"/>
            <w:vAlign w:val="bottom"/>
            <w:gridSpan w:val="6"/>
            <w:shd w:val="clear" w:color="auto" w:fill="CCFFCC"/>
          </w:tcPr>
          <w:p>
            <w:pPr>
              <w:ind w:left="20"/>
              <w:spacing w:after="0"/>
              <w:rPr>
                <w:sz w:val="20"/>
                <w:szCs w:val="20"/>
                <w:color w:val="auto"/>
              </w:rPr>
            </w:pPr>
            <w:r>
              <w:rPr>
                <w:rFonts w:ascii="Arial" w:cs="Arial" w:eastAsia="Arial" w:hAnsi="Arial"/>
                <w:sz w:val="16"/>
                <w:szCs w:val="16"/>
                <w:color w:val="auto"/>
              </w:rPr>
              <w:t>Preferred warrants, $2.25</w:t>
            </w:r>
          </w:p>
        </w:tc>
        <w:tc>
          <w:tcPr>
            <w:tcW w:w="60" w:type="dxa"/>
            <w:vAlign w:val="bottom"/>
            <w:shd w:val="clear" w:color="auto" w:fill="CCFFCC"/>
          </w:tcPr>
          <w:p>
            <w:pPr>
              <w:spacing w:after="0"/>
              <w:rPr>
                <w:sz w:val="16"/>
                <w:szCs w:val="16"/>
                <w:color w:val="auto"/>
              </w:rPr>
            </w:pPr>
          </w:p>
        </w:tc>
        <w:tc>
          <w:tcPr>
            <w:tcW w:w="244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13,333</w:t>
            </w:r>
          </w:p>
        </w:tc>
        <w:tc>
          <w:tcPr>
            <w:tcW w:w="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6"/>
                <w:szCs w:val="16"/>
                <w:color w:val="auto"/>
              </w:rPr>
            </w:pPr>
          </w:p>
        </w:tc>
        <w:tc>
          <w:tcPr>
            <w:tcW w:w="68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shd w:val="clear" w:color="auto" w:fill="CCFFCC"/>
          </w:tcPr>
          <w:p>
            <w:pPr>
              <w:spacing w:after="0"/>
              <w:rPr>
                <w:sz w:val="17"/>
                <w:szCs w:val="17"/>
                <w:color w:val="auto"/>
              </w:rPr>
            </w:pPr>
          </w:p>
        </w:tc>
        <w:tc>
          <w:tcPr>
            <w:tcW w:w="1940" w:type="dxa"/>
            <w:vAlign w:val="bottom"/>
            <w:gridSpan w:val="5"/>
            <w:shd w:val="clear" w:color="auto" w:fill="CCFFCC"/>
          </w:tcPr>
          <w:p>
            <w:pPr>
              <w:ind w:left="180"/>
              <w:spacing w:after="0"/>
              <w:rPr>
                <w:sz w:val="20"/>
                <w:szCs w:val="20"/>
                <w:color w:val="auto"/>
              </w:rPr>
            </w:pPr>
            <w:r>
              <w:rPr>
                <w:rFonts w:ascii="Arial" w:cs="Arial" w:eastAsia="Arial" w:hAnsi="Arial"/>
                <w:sz w:val="16"/>
                <w:szCs w:val="16"/>
                <w:color w:val="auto"/>
              </w:rPr>
              <w:t>strike price, expire</w:t>
            </w:r>
          </w:p>
        </w:tc>
        <w:tc>
          <w:tcPr>
            <w:tcW w:w="60" w:type="dxa"/>
            <w:vAlign w:val="bottom"/>
            <w:shd w:val="clear" w:color="auto" w:fill="CCFFCC"/>
          </w:tcPr>
          <w:p>
            <w:pPr>
              <w:spacing w:after="0"/>
              <w:rPr>
                <w:sz w:val="17"/>
                <w:szCs w:val="17"/>
                <w:color w:val="auto"/>
              </w:rPr>
            </w:pPr>
          </w:p>
        </w:tc>
        <w:tc>
          <w:tcPr>
            <w:tcW w:w="24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09"/>
        </w:trPr>
        <w:tc>
          <w:tcPr>
            <w:tcW w:w="1000" w:type="dxa"/>
            <w:vAlign w:val="bottom"/>
            <w:tcBorders>
              <w:bottom w:val="single" w:sz="8" w:color="CCFFCC"/>
            </w:tcBorders>
            <w:gridSpan w:val="2"/>
            <w:shd w:val="clear" w:color="auto" w:fill="CCFFCC"/>
          </w:tcPr>
          <w:p>
            <w:pPr>
              <w:ind w:left="200"/>
              <w:spacing w:after="0"/>
              <w:rPr>
                <w:sz w:val="20"/>
                <w:szCs w:val="20"/>
                <w:color w:val="auto"/>
              </w:rPr>
            </w:pPr>
            <w:r>
              <w:rPr>
                <w:rFonts w:ascii="Arial" w:cs="Arial" w:eastAsia="Arial" w:hAnsi="Arial"/>
                <w:sz w:val="16"/>
                <w:szCs w:val="16"/>
                <w:color w:val="auto"/>
              </w:rPr>
              <w:t>11/2/2017</w:t>
            </w:r>
          </w:p>
        </w:tc>
        <w:tc>
          <w:tcPr>
            <w:tcW w:w="22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44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24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80" w:type="dxa"/>
            <w:vAlign w:val="bottom"/>
            <w:tcBorders>
              <w:bottom w:val="single" w:sz="8" w:color="auto"/>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1940" w:type="dxa"/>
            <w:vAlign w:val="bottom"/>
            <w:gridSpan w:val="5"/>
          </w:tcPr>
          <w:p>
            <w:pPr>
              <w:ind w:left="36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4,167,943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960" w:type="dxa"/>
            <w:vAlign w:val="bottom"/>
            <w:gridSpan w:val="6"/>
            <w:shd w:val="clear" w:color="auto" w:fill="CCFFCC"/>
          </w:tcPr>
          <w:p>
            <w:pPr>
              <w:ind w:left="20"/>
              <w:spacing w:after="0"/>
              <w:rPr>
                <w:sz w:val="20"/>
                <w:szCs w:val="20"/>
                <w:color w:val="auto"/>
              </w:rPr>
            </w:pPr>
            <w:r>
              <w:rPr>
                <w:rFonts w:ascii="Arial" w:cs="Arial" w:eastAsia="Arial" w:hAnsi="Arial"/>
                <w:sz w:val="16"/>
                <w:szCs w:val="16"/>
                <w:b w:val="1"/>
                <w:bCs w:val="1"/>
                <w:color w:val="auto"/>
                <w:w w:val="93"/>
              </w:rPr>
              <w:t>Total Portfolio Investments</w:t>
            </w:r>
          </w:p>
        </w:tc>
        <w:tc>
          <w:tcPr>
            <w:tcW w:w="60" w:type="dxa"/>
            <w:vAlign w:val="bottom"/>
            <w:shd w:val="clear" w:color="auto" w:fill="CCFFCC"/>
          </w:tcPr>
          <w:p>
            <w:pPr>
              <w:spacing w:after="0"/>
              <w:rPr>
                <w:sz w:val="17"/>
                <w:szCs w:val="17"/>
                <w:color w:val="auto"/>
              </w:rPr>
            </w:pPr>
          </w:p>
        </w:tc>
        <w:tc>
          <w:tcPr>
            <w:tcW w:w="24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237,147,735</w:t>
            </w:r>
          </w:p>
        </w:tc>
        <w:tc>
          <w:tcPr>
            <w:tcW w:w="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87"/>
              </w:rPr>
              <w:t>225,397,085</w:t>
            </w:r>
          </w:p>
        </w:tc>
        <w:tc>
          <w:tcPr>
            <w:tcW w:w="76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89.23%</w:t>
            </w:r>
          </w:p>
        </w:tc>
      </w:tr>
      <w:tr>
        <w:trPr>
          <w:trHeight w:val="196"/>
        </w:trPr>
        <w:tc>
          <w:tcPr>
            <w:tcW w:w="1960" w:type="dxa"/>
            <w:vAlign w:val="bottom"/>
            <w:tcBorders>
              <w:top w:val="single" w:sz="8" w:color="CCFFCC"/>
            </w:tcBorders>
            <w:gridSpan w:val="6"/>
          </w:tcPr>
          <w:p>
            <w:pPr>
              <w:ind w:left="20"/>
              <w:spacing w:after="0" w:line="197" w:lineRule="exact"/>
              <w:rPr>
                <w:sz w:val="20"/>
                <w:szCs w:val="20"/>
                <w:color w:val="auto"/>
              </w:rPr>
            </w:pPr>
            <w:r>
              <w:rPr>
                <w:rFonts w:ascii="Arial" w:cs="Arial" w:eastAsia="Arial" w:hAnsi="Arial"/>
                <w:sz w:val="14"/>
                <w:szCs w:val="14"/>
                <w:b w:val="1"/>
                <w:bCs w:val="1"/>
                <w:color w:val="auto"/>
              </w:rPr>
              <w:t>Money Market Funds</w:t>
            </w:r>
            <w:r>
              <w:rPr>
                <w:rFonts w:ascii="Arial" w:cs="Arial" w:eastAsia="Arial" w:hAnsi="Arial"/>
                <w:sz w:val="22"/>
                <w:szCs w:val="22"/>
                <w:b w:val="1"/>
                <w:bCs w:val="1"/>
                <w:color w:val="auto"/>
                <w:vertAlign w:val="superscript"/>
              </w:rPr>
              <w:t>(1)</w:t>
            </w:r>
          </w:p>
        </w:tc>
        <w:tc>
          <w:tcPr>
            <w:tcW w:w="60" w:type="dxa"/>
            <w:vAlign w:val="bottom"/>
            <w:tcBorders>
              <w:top w:val="single" w:sz="8" w:color="CCFFCC"/>
            </w:tcBorders>
          </w:tcPr>
          <w:p>
            <w:pPr>
              <w:spacing w:after="0"/>
              <w:rPr>
                <w:sz w:val="17"/>
                <w:szCs w:val="17"/>
                <w:color w:val="auto"/>
              </w:rPr>
            </w:pPr>
          </w:p>
        </w:tc>
        <w:tc>
          <w:tcPr>
            <w:tcW w:w="244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920" w:type="dxa"/>
            <w:vAlign w:val="bottom"/>
            <w:tcBorders>
              <w:top w:val="single" w:sz="8" w:color="CCFFCC"/>
            </w:tcBorders>
          </w:tcPr>
          <w:p>
            <w:pPr>
              <w:spacing w:after="0"/>
              <w:rPr>
                <w:sz w:val="17"/>
                <w:szCs w:val="17"/>
                <w:color w:val="auto"/>
              </w:rPr>
            </w:pPr>
          </w:p>
        </w:tc>
        <w:tc>
          <w:tcPr>
            <w:tcW w:w="60" w:type="dxa"/>
            <w:vAlign w:val="bottom"/>
            <w:tcBorders>
              <w:top w:val="single" w:sz="8" w:color="CCFFC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3"/>
        </w:trPr>
        <w:tc>
          <w:tcPr>
            <w:tcW w:w="1960" w:type="dxa"/>
            <w:vAlign w:val="bottom"/>
            <w:gridSpan w:val="6"/>
            <w:shd w:val="clear" w:color="auto" w:fill="CCFFCC"/>
          </w:tcPr>
          <w:p>
            <w:pPr>
              <w:ind w:left="20"/>
              <w:spacing w:after="0"/>
              <w:rPr>
                <w:sz w:val="20"/>
                <w:szCs w:val="20"/>
                <w:color w:val="auto"/>
              </w:rPr>
            </w:pPr>
            <w:r>
              <w:rPr>
                <w:rFonts w:ascii="Arial" w:cs="Arial" w:eastAsia="Arial" w:hAnsi="Arial"/>
                <w:sz w:val="16"/>
                <w:szCs w:val="16"/>
                <w:color w:val="auto"/>
              </w:rPr>
              <w:t>Fidelity Institutional Money</w:t>
            </w:r>
          </w:p>
        </w:tc>
        <w:tc>
          <w:tcPr>
            <w:tcW w:w="60" w:type="dxa"/>
            <w:vAlign w:val="bottom"/>
            <w:shd w:val="clear" w:color="auto" w:fill="CCFFCC"/>
          </w:tcPr>
          <w:p>
            <w:pPr>
              <w:spacing w:after="0"/>
              <w:rPr>
                <w:sz w:val="16"/>
                <w:szCs w:val="16"/>
                <w:color w:val="auto"/>
              </w:rPr>
            </w:pPr>
          </w:p>
        </w:tc>
        <w:tc>
          <w:tcPr>
            <w:tcW w:w="24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92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0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4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r>
      <w:tr>
        <w:trPr>
          <w:trHeight w:val="212"/>
        </w:trPr>
        <w:tc>
          <w:tcPr>
            <w:tcW w:w="20" w:type="dxa"/>
            <w:vAlign w:val="bottom"/>
            <w:shd w:val="clear" w:color="auto" w:fill="CCFFCC"/>
          </w:tcPr>
          <w:p>
            <w:pPr>
              <w:spacing w:after="0"/>
              <w:rPr>
                <w:sz w:val="18"/>
                <w:szCs w:val="18"/>
                <w:color w:val="auto"/>
              </w:rPr>
            </w:pPr>
          </w:p>
        </w:tc>
        <w:tc>
          <w:tcPr>
            <w:tcW w:w="1940" w:type="dxa"/>
            <w:vAlign w:val="bottom"/>
            <w:gridSpan w:val="5"/>
            <w:shd w:val="clear" w:color="auto" w:fill="CCFFCC"/>
          </w:tcPr>
          <w:p>
            <w:pPr>
              <w:ind w:left="180"/>
              <w:spacing w:after="0"/>
              <w:rPr>
                <w:sz w:val="20"/>
                <w:szCs w:val="20"/>
                <w:color w:val="auto"/>
              </w:rPr>
            </w:pPr>
            <w:r>
              <w:rPr>
                <w:rFonts w:ascii="Arial" w:cs="Arial" w:eastAsia="Arial" w:hAnsi="Arial"/>
                <w:sz w:val="16"/>
                <w:szCs w:val="16"/>
                <w:color w:val="auto"/>
              </w:rPr>
              <w:t>Market Funds</w:t>
            </w:r>
          </w:p>
        </w:tc>
        <w:tc>
          <w:tcPr>
            <w:tcW w:w="60" w:type="dxa"/>
            <w:vAlign w:val="bottom"/>
            <w:shd w:val="clear" w:color="auto" w:fill="CCFFCC"/>
          </w:tcPr>
          <w:p>
            <w:pPr>
              <w:spacing w:after="0"/>
              <w:rPr>
                <w:sz w:val="18"/>
                <w:szCs w:val="18"/>
                <w:color w:val="auto"/>
              </w:rPr>
            </w:pPr>
          </w:p>
        </w:tc>
        <w:tc>
          <w:tcPr>
            <w:tcW w:w="24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1940" w:type="dxa"/>
            <w:vAlign w:val="bottom"/>
            <w:gridSpan w:val="5"/>
          </w:tcPr>
          <w:p>
            <w:pPr>
              <w:ind w:left="180"/>
              <w:spacing w:after="0"/>
              <w:rPr>
                <w:sz w:val="20"/>
                <w:szCs w:val="20"/>
                <w:color w:val="auto"/>
              </w:rPr>
            </w:pPr>
            <w:r>
              <w:rPr>
                <w:rFonts w:ascii="Arial" w:cs="Arial" w:eastAsia="Arial" w:hAnsi="Arial"/>
                <w:sz w:val="16"/>
                <w:szCs w:val="16"/>
                <w:color w:val="auto"/>
              </w:rPr>
              <w:t>Money Market Portfolio</w:t>
            </w:r>
          </w:p>
        </w:tc>
        <w:tc>
          <w:tcPr>
            <w:tcW w:w="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8,000,000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8,000,000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8,000,000</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3.17%</w:t>
            </w:r>
          </w:p>
        </w:tc>
      </w:tr>
      <w:tr>
        <w:trPr>
          <w:trHeight w:val="193"/>
        </w:trPr>
        <w:tc>
          <w:tcPr>
            <w:tcW w:w="20" w:type="dxa"/>
            <w:vAlign w:val="bottom"/>
            <w:shd w:val="clear" w:color="auto" w:fill="CCFFCC"/>
          </w:tcPr>
          <w:p>
            <w:pPr>
              <w:spacing w:after="0"/>
              <w:rPr>
                <w:sz w:val="16"/>
                <w:szCs w:val="16"/>
                <w:color w:val="auto"/>
              </w:rPr>
            </w:pPr>
          </w:p>
        </w:tc>
        <w:tc>
          <w:tcPr>
            <w:tcW w:w="1940" w:type="dxa"/>
            <w:vAlign w:val="bottom"/>
            <w:gridSpan w:val="5"/>
            <w:shd w:val="clear" w:color="auto" w:fill="CCFFCC"/>
          </w:tcPr>
          <w:p>
            <w:pPr>
              <w:ind w:left="180"/>
              <w:spacing w:after="0"/>
              <w:rPr>
                <w:sz w:val="20"/>
                <w:szCs w:val="20"/>
                <w:color w:val="auto"/>
              </w:rPr>
            </w:pPr>
            <w:r>
              <w:rPr>
                <w:rFonts w:ascii="Arial" w:cs="Arial" w:eastAsia="Arial" w:hAnsi="Arial"/>
                <w:sz w:val="16"/>
                <w:szCs w:val="16"/>
                <w:color w:val="auto"/>
              </w:rPr>
              <w:t>Prime Money Market</w:t>
            </w:r>
          </w:p>
        </w:tc>
        <w:tc>
          <w:tcPr>
            <w:tcW w:w="60" w:type="dxa"/>
            <w:vAlign w:val="bottom"/>
            <w:shd w:val="clear" w:color="auto" w:fill="CCFFCC"/>
          </w:tcPr>
          <w:p>
            <w:pPr>
              <w:spacing w:after="0"/>
              <w:rPr>
                <w:sz w:val="16"/>
                <w:szCs w:val="16"/>
                <w:color w:val="auto"/>
              </w:rPr>
            </w:pPr>
          </w:p>
        </w:tc>
        <w:tc>
          <w:tcPr>
            <w:tcW w:w="244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8,000,000</w:t>
            </w:r>
          </w:p>
        </w:tc>
        <w:tc>
          <w:tcPr>
            <w:tcW w:w="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8,000,000</w:t>
            </w:r>
          </w:p>
        </w:tc>
        <w:tc>
          <w:tcPr>
            <w:tcW w:w="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8,000,000</w:t>
            </w:r>
          </w:p>
        </w:tc>
        <w:tc>
          <w:tcPr>
            <w:tcW w:w="76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3.17%</w:t>
            </w:r>
          </w:p>
        </w:tc>
      </w:tr>
      <w:tr>
        <w:trPr>
          <w:trHeight w:val="209"/>
        </w:trPr>
        <w:tc>
          <w:tcPr>
            <w:tcW w:w="20" w:type="dxa"/>
            <w:vAlign w:val="bottom"/>
            <w:tcBorders>
              <w:bottom w:val="single" w:sz="8" w:color="CCFFCC"/>
            </w:tcBorders>
            <w:shd w:val="clear" w:color="auto" w:fill="CCFFCC"/>
          </w:tcPr>
          <w:p>
            <w:pPr>
              <w:spacing w:after="0"/>
              <w:rPr>
                <w:sz w:val="18"/>
                <w:szCs w:val="18"/>
                <w:color w:val="auto"/>
              </w:rPr>
            </w:pPr>
          </w:p>
        </w:tc>
        <w:tc>
          <w:tcPr>
            <w:tcW w:w="1940" w:type="dxa"/>
            <w:vAlign w:val="bottom"/>
            <w:tcBorders>
              <w:bottom w:val="single" w:sz="8" w:color="CCFFCC"/>
            </w:tcBorders>
            <w:gridSpan w:val="5"/>
            <w:shd w:val="clear" w:color="auto" w:fill="CCFFCC"/>
          </w:tcPr>
          <w:p>
            <w:pPr>
              <w:ind w:left="360"/>
              <w:spacing w:after="0"/>
              <w:rPr>
                <w:sz w:val="20"/>
                <w:szCs w:val="20"/>
                <w:color w:val="auto"/>
              </w:rPr>
            </w:pPr>
            <w:r>
              <w:rPr>
                <w:rFonts w:ascii="Arial" w:cs="Arial" w:eastAsia="Arial" w:hAnsi="Arial"/>
                <w:sz w:val="16"/>
                <w:szCs w:val="16"/>
                <w:color w:val="auto"/>
              </w:rPr>
              <w:t>Portfolio</w:t>
            </w:r>
          </w:p>
        </w:tc>
        <w:tc>
          <w:tcPr>
            <w:tcW w:w="60" w:type="dxa"/>
            <w:vAlign w:val="bottom"/>
            <w:tcBorders>
              <w:bottom w:val="single" w:sz="8" w:color="CCFFCC"/>
            </w:tcBorders>
            <w:shd w:val="clear" w:color="auto" w:fill="CCFFCC"/>
          </w:tcPr>
          <w:p>
            <w:pPr>
              <w:spacing w:after="0"/>
              <w:rPr>
                <w:sz w:val="18"/>
                <w:szCs w:val="18"/>
                <w:color w:val="auto"/>
              </w:rPr>
            </w:pPr>
          </w:p>
        </w:tc>
        <w:tc>
          <w:tcPr>
            <w:tcW w:w="24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92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80" w:type="dxa"/>
            <w:vAlign w:val="bottom"/>
            <w:tcBorders>
              <w:bottom w:val="single" w:sz="8" w:color="auto"/>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r>
      <w:tr>
        <w:trPr>
          <w:trHeight w:val="199"/>
        </w:trPr>
        <w:tc>
          <w:tcPr>
            <w:tcW w:w="1960" w:type="dxa"/>
            <w:vAlign w:val="bottom"/>
            <w:gridSpan w:val="6"/>
          </w:tcPr>
          <w:p>
            <w:pPr>
              <w:ind w:left="20"/>
              <w:spacing w:after="0"/>
              <w:rPr>
                <w:sz w:val="20"/>
                <w:szCs w:val="20"/>
                <w:color w:val="auto"/>
              </w:rPr>
            </w:pPr>
            <w:r>
              <w:rPr>
                <w:rFonts w:ascii="Arial" w:cs="Arial" w:eastAsia="Arial" w:hAnsi="Arial"/>
                <w:sz w:val="16"/>
                <w:szCs w:val="16"/>
                <w:color w:val="auto"/>
              </w:rPr>
              <w:t>Total Money Market Funds</w:t>
            </w:r>
          </w:p>
        </w:tc>
        <w:tc>
          <w:tcPr>
            <w:tcW w:w="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16,000,000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w w:val="97"/>
              </w:rPr>
              <w:t>16,000,000</w:t>
            </w: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rPr>
              <w:t>6.34%</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1960" w:type="dxa"/>
            <w:vAlign w:val="bottom"/>
            <w:gridSpan w:val="6"/>
            <w:shd w:val="clear" w:color="auto" w:fill="CCFFCC"/>
          </w:tcPr>
          <w:p>
            <w:pPr>
              <w:ind w:left="20"/>
              <w:spacing w:after="0"/>
              <w:rPr>
                <w:sz w:val="20"/>
                <w:szCs w:val="20"/>
                <w:color w:val="auto"/>
              </w:rPr>
            </w:pPr>
            <w:r>
              <w:rPr>
                <w:rFonts w:ascii="Arial" w:cs="Arial" w:eastAsia="Arial" w:hAnsi="Arial"/>
                <w:sz w:val="16"/>
                <w:szCs w:val="16"/>
                <w:b w:val="1"/>
                <w:bCs w:val="1"/>
                <w:color w:val="auto"/>
              </w:rPr>
              <w:t>Total Investments</w:t>
            </w:r>
          </w:p>
        </w:tc>
        <w:tc>
          <w:tcPr>
            <w:tcW w:w="60" w:type="dxa"/>
            <w:vAlign w:val="bottom"/>
            <w:shd w:val="clear" w:color="auto" w:fill="CCFFCC"/>
          </w:tcPr>
          <w:p>
            <w:pPr>
              <w:spacing w:after="0"/>
              <w:rPr>
                <w:sz w:val="20"/>
                <w:szCs w:val="20"/>
                <w:color w:val="auto"/>
              </w:rPr>
            </w:pPr>
          </w:p>
        </w:tc>
        <w:tc>
          <w:tcPr>
            <w:tcW w:w="24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253,147,735</w:t>
            </w:r>
          </w:p>
        </w:tc>
        <w:tc>
          <w:tcPr>
            <w:tcW w:w="40" w:type="dxa"/>
            <w:vAlign w:val="bottom"/>
            <w:shd w:val="clear" w:color="auto" w:fill="CCFFCC"/>
          </w:tcPr>
          <w:p>
            <w:pPr>
              <w:spacing w:after="0"/>
              <w:rPr>
                <w:sz w:val="20"/>
                <w:szCs w:val="20"/>
                <w:color w:val="auto"/>
              </w:rPr>
            </w:pP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6"/>
                <w:szCs w:val="16"/>
                <w:u w:val="single" w:color="auto"/>
                <w:color w:val="auto"/>
              </w:rPr>
              <w:t>$</w:t>
            </w: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87"/>
              </w:rPr>
              <w:t>241,397,085</w:t>
            </w:r>
          </w:p>
        </w:tc>
        <w:tc>
          <w:tcPr>
            <w:tcW w:w="76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95.57%</w:t>
            </w:r>
          </w:p>
        </w:tc>
      </w:tr>
      <w:tr>
        <w:trPr>
          <w:trHeight w:val="264"/>
        </w:trPr>
        <w:tc>
          <w:tcPr>
            <w:tcW w:w="20" w:type="dxa"/>
            <w:vAlign w:val="bottom"/>
            <w:tcBorders>
              <w:top w:val="single" w:sz="8" w:color="CCFFCC"/>
            </w:tcBorders>
          </w:tcPr>
          <w:p>
            <w:pPr>
              <w:spacing w:after="0"/>
              <w:rPr>
                <w:sz w:val="22"/>
                <w:szCs w:val="22"/>
                <w:color w:val="auto"/>
              </w:rPr>
            </w:pPr>
          </w:p>
        </w:tc>
        <w:tc>
          <w:tcPr>
            <w:tcW w:w="980" w:type="dxa"/>
            <w:vAlign w:val="bottom"/>
            <w:tcBorders>
              <w:top w:val="single" w:sz="8" w:color="CCFFCC"/>
              <w:bottom w:val="single" w:sz="8" w:color="auto"/>
            </w:tcBorders>
          </w:tcPr>
          <w:p>
            <w:pPr>
              <w:spacing w:after="0"/>
              <w:rPr>
                <w:sz w:val="22"/>
                <w:szCs w:val="22"/>
                <w:color w:val="auto"/>
              </w:rPr>
            </w:pPr>
          </w:p>
        </w:tc>
        <w:tc>
          <w:tcPr>
            <w:tcW w:w="220" w:type="dxa"/>
            <w:vAlign w:val="bottom"/>
            <w:tcBorders>
              <w:top w:val="single" w:sz="8" w:color="CCFFCC"/>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440" w:type="dxa"/>
            <w:vAlign w:val="bottom"/>
            <w:tcBorders>
              <w:top w:val="single" w:sz="8" w:color="CCFFCC"/>
            </w:tcBorders>
          </w:tcPr>
          <w:p>
            <w:pPr>
              <w:spacing w:after="0"/>
              <w:rPr>
                <w:sz w:val="22"/>
                <w:szCs w:val="22"/>
                <w:color w:val="auto"/>
              </w:rPr>
            </w:pPr>
          </w:p>
        </w:tc>
        <w:tc>
          <w:tcPr>
            <w:tcW w:w="60" w:type="dxa"/>
            <w:vAlign w:val="bottom"/>
            <w:tcBorders>
              <w:top w:val="single" w:sz="8" w:color="CCFFCC"/>
            </w:tcBorders>
          </w:tcPr>
          <w:p>
            <w:pPr>
              <w:spacing w:after="0"/>
              <w:rPr>
                <w:sz w:val="22"/>
                <w:szCs w:val="22"/>
                <w:color w:val="auto"/>
              </w:rPr>
            </w:pPr>
          </w:p>
        </w:tc>
        <w:tc>
          <w:tcPr>
            <w:tcW w:w="244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920" w:type="dxa"/>
            <w:vAlign w:val="bottom"/>
            <w:tcBorders>
              <w:top w:val="single" w:sz="8" w:color="CCFFCC"/>
            </w:tcBorders>
          </w:tcPr>
          <w:p>
            <w:pPr>
              <w:spacing w:after="0"/>
              <w:rPr>
                <w:sz w:val="22"/>
                <w:szCs w:val="22"/>
                <w:color w:val="auto"/>
              </w:rPr>
            </w:pPr>
          </w:p>
        </w:tc>
        <w:tc>
          <w:tcPr>
            <w:tcW w:w="60" w:type="dxa"/>
            <w:vAlign w:val="bottom"/>
            <w:tcBorders>
              <w:top w:val="single" w:sz="8" w:color="CCFFCC"/>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4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4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00" w:type="dxa"/>
            <w:vAlign w:val="bottom"/>
            <w:tcBorders>
              <w:top w:val="single" w:sz="8" w:color="CCFFCC"/>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-1568450</wp:posOffset>
            </wp:positionV>
            <wp:extent cx="5213985"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-1294130</wp:posOffset>
            </wp:positionV>
            <wp:extent cx="5213985"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-488315</wp:posOffset>
            </wp:positionV>
            <wp:extent cx="5213985"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300" w:hanging="27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 is income producing.</w:t>
      </w:r>
    </w:p>
    <w:p>
      <w:pPr>
        <w:spacing w:after="0" w:line="117" w:lineRule="exact"/>
        <w:rPr>
          <w:rFonts w:ascii="Arial" w:cs="Arial" w:eastAsia="Arial" w:hAnsi="Arial"/>
          <w:sz w:val="18"/>
          <w:szCs w:val="18"/>
          <w:color w:val="auto"/>
        </w:rPr>
      </w:pPr>
    </w:p>
    <w:p>
      <w:pPr>
        <w:jc w:val="both"/>
        <w:ind w:left="300" w:right="519" w:hanging="272"/>
        <w:spacing w:after="0" w:line="264"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Denotes an Affiliate Investment. “Affiliate Investments” are investments in those companies that are “Affiliated Companies” of GSV Capital Corp., as defined in the Investment Company Act of 1940. A company is deemed to be an “Affiliate” of GSV Capital Corp. if GSV Capital Corp. owns 5% or more of the voting securities of such company.</w:t>
      </w:r>
    </w:p>
    <w:p>
      <w:pPr>
        <w:spacing w:after="0" w:line="73" w:lineRule="exact"/>
        <w:rPr>
          <w:rFonts w:ascii="Arial" w:cs="Arial" w:eastAsia="Arial" w:hAnsi="Arial"/>
          <w:sz w:val="18"/>
          <w:szCs w:val="18"/>
          <w:color w:val="auto"/>
        </w:rPr>
      </w:pPr>
    </w:p>
    <w:p>
      <w:pPr>
        <w:jc w:val="both"/>
        <w:ind w:left="300" w:right="519" w:hanging="272"/>
        <w:spacing w:after="0" w:line="286" w:lineRule="auto"/>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May 17, 2012, Facebook, Inc. priced its initial public offering, selling 421,233,615 shares at a price of $38.00 per share. GSV Capital Corp.’s shares in Facebook, Inc. are subject to a lock-up agreement that expired on November 14, 2012. At December 31, 2012, GSV Capital Corp. valued Facebook based on its December 31, 2012 closing price.</w:t>
      </w:r>
    </w:p>
    <w:p>
      <w:pPr>
        <w:spacing w:after="0" w:line="57" w:lineRule="exact"/>
        <w:rPr>
          <w:rFonts w:ascii="Arial" w:cs="Arial" w:eastAsia="Arial" w:hAnsi="Arial"/>
          <w:sz w:val="17"/>
          <w:szCs w:val="17"/>
          <w:color w:val="auto"/>
        </w:rPr>
      </w:pPr>
    </w:p>
    <w:p>
      <w:pPr>
        <w:jc w:val="both"/>
        <w:ind w:left="300" w:right="519" w:hanging="272"/>
        <w:spacing w:after="0" w:line="286" w:lineRule="auto"/>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November 8, 2011, Groupon, Inc. priced its initial public offering, selling 35,000,000 shares at a price of $20.00 per share. GSV Capital Corp.’s shares in Groupon, Inc. are subject to a lock-up agreement that expired on June 1, 2012. At December 31, 2012, GSV Capital Corp. valued Groupon, Inc. based on its December 31, 2012 closing price.</w:t>
      </w:r>
    </w:p>
    <w:p>
      <w:pPr>
        <w:spacing w:after="0" w:line="57" w:lineRule="exact"/>
        <w:rPr>
          <w:rFonts w:ascii="Arial" w:cs="Arial" w:eastAsia="Arial" w:hAnsi="Arial"/>
          <w:sz w:val="17"/>
          <w:szCs w:val="17"/>
          <w:color w:val="auto"/>
        </w:rPr>
      </w:pPr>
    </w:p>
    <w:p>
      <w:pPr>
        <w:ind w:left="300" w:right="519" w:hanging="272"/>
        <w:spacing w:after="0" w:line="277"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GSV Capital Corp.’s investment in Avenues World Holdings LLC is held through its wholly-owned subsidiary GSVC AV Holdings, Inc.</w:t>
      </w:r>
    </w:p>
    <w:p>
      <w:pPr>
        <w:spacing w:after="0" w:line="62" w:lineRule="exact"/>
        <w:rPr>
          <w:rFonts w:ascii="Arial" w:cs="Arial" w:eastAsia="Arial" w:hAnsi="Arial"/>
          <w:sz w:val="18"/>
          <w:szCs w:val="18"/>
          <w:color w:val="auto"/>
        </w:rPr>
      </w:pPr>
    </w:p>
    <w:p>
      <w:pPr>
        <w:ind w:left="300" w:hanging="272"/>
        <w:spacing w:after="0"/>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GSV Capital Corp.’s investment in Whittle Schools, LLC is held through its wholly-owned subsidiary GSVC WS Holdings, Inc.</w:t>
      </w:r>
    </w:p>
    <w:p>
      <w:pPr>
        <w:spacing w:after="0" w:line="140" w:lineRule="exact"/>
        <w:rPr>
          <w:rFonts w:ascii="Arial" w:cs="Arial" w:eastAsia="Arial" w:hAnsi="Arial"/>
          <w:sz w:val="16"/>
          <w:szCs w:val="16"/>
          <w:color w:val="auto"/>
        </w:rPr>
      </w:pPr>
    </w:p>
    <w:p>
      <w:pPr>
        <w:ind w:left="300" w:hanging="272"/>
        <w:spacing w:after="0"/>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wholly-owned subsidiary GSVC SW Holdings, Inc.</w:t>
      </w:r>
    </w:p>
    <w:p>
      <w:pPr>
        <w:spacing w:after="0" w:line="128" w:lineRule="exact"/>
        <w:rPr>
          <w:rFonts w:ascii="Arial" w:cs="Arial" w:eastAsia="Arial" w:hAnsi="Arial"/>
          <w:sz w:val="17"/>
          <w:szCs w:val="17"/>
          <w:color w:val="auto"/>
        </w:rPr>
      </w:pPr>
    </w:p>
    <w:p>
      <w:pPr>
        <w:ind w:left="300" w:hanging="272"/>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GSV Capital Corp.’s investment in AltEgo, LLC is held through its wholly-owned subsidiary GSVC AE Holdings, Inc.</w:t>
      </w:r>
    </w:p>
    <w:p>
      <w:pPr>
        <w:spacing w:after="0" w:line="117"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GSV Capital Corp.’s investment in NestGSV Silicon Valley, LLC is held through its wholly-owned subsidiary GSVC NG Holdings, Inc.</w:t>
      </w:r>
    </w:p>
    <w:p>
      <w:pPr>
        <w:spacing w:after="0" w:line="62" w:lineRule="exact"/>
        <w:rPr>
          <w:rFonts w:ascii="Arial" w:cs="Arial" w:eastAsia="Arial" w:hAnsi="Arial"/>
          <w:sz w:val="18"/>
          <w:szCs w:val="18"/>
          <w:color w:val="auto"/>
        </w:rPr>
      </w:pPr>
    </w:p>
    <w:p>
      <w:pPr>
        <w:jc w:val="both"/>
        <w:ind w:left="340" w:right="519" w:hanging="312"/>
        <w:spacing w:after="0" w:line="286"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Indicates assets that GSV Capital Corp. believes do not represent “qualifying assets” under Section 55(a) of the Investment Company Act of 1940, as amended. Qualifying assets must represent at least 70% of GSV Capital Corp.’s total assets at the time of acquisition of any additional non-qualifying assets.</w:t>
      </w:r>
    </w:p>
    <w:p>
      <w:pPr>
        <w:spacing w:after="0" w:line="57" w:lineRule="exact"/>
        <w:rPr>
          <w:sz w:val="20"/>
          <w:szCs w:val="20"/>
          <w:color w:val="auto"/>
        </w:rPr>
      </w:pPr>
    </w:p>
    <w:p>
      <w:pPr>
        <w:ind w:left="320" w:right="539" w:hanging="296"/>
        <w:spacing w:after="0" w:line="277" w:lineRule="auto"/>
        <w:rPr>
          <w:sz w:val="20"/>
          <w:szCs w:val="20"/>
          <w:color w:val="auto"/>
        </w:rPr>
      </w:pPr>
      <w:r>
        <w:rPr>
          <w:rFonts w:ascii="Arial" w:cs="Arial" w:eastAsia="Arial" w:hAnsi="Arial"/>
          <w:sz w:val="18"/>
          <w:szCs w:val="18"/>
          <w:color w:val="auto"/>
        </w:rPr>
        <w:t>(11)On February 11, 2013, Silver Spring Networks, Inc. conducted a five-for-one reverse stock split of its common stock, which has not been reflected above.</w:t>
      </w:r>
    </w:p>
    <w:p>
      <w:pPr>
        <w:spacing w:after="0" w:line="200" w:lineRule="exact"/>
        <w:rPr>
          <w:sz w:val="20"/>
          <w:szCs w:val="20"/>
          <w:color w:val="auto"/>
        </w:rPr>
      </w:pPr>
    </w:p>
    <w:p>
      <w:pPr>
        <w:spacing w:after="0" w:line="295"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See Notes to the Consolidated Financial Statements.</w:t>
      </w:r>
    </w:p>
    <w:p>
      <w:pPr>
        <w:spacing w:after="0" w:line="200" w:lineRule="exact"/>
        <w:rPr>
          <w:sz w:val="20"/>
          <w:szCs w:val="20"/>
          <w:color w:val="auto"/>
        </w:rPr>
      </w:pPr>
    </w:p>
    <w:p>
      <w:pPr>
        <w:spacing w:after="0" w:line="37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958" w:right="1440" w:bottom="1440" w:gutter="0" w:footer="0" w:header="0"/>
        </w:sectPr>
      </w:pPr>
    </w:p>
    <w:bookmarkStart w:id="16" w:name="page17"/>
    <w:bookmarkEnd w:id="16"/>
    <w:p>
      <w:pPr>
        <w:jc w:val="center"/>
        <w:ind w:right="579"/>
        <w:spacing w:after="0"/>
        <w:rPr>
          <w:sz w:val="20"/>
          <w:szCs w:val="20"/>
          <w:color w:val="auto"/>
        </w:rPr>
      </w:pPr>
      <w:r>
        <w:rPr>
          <w:rFonts w:ascii="Arial" w:cs="Arial" w:eastAsia="Arial" w:hAnsi="Arial"/>
          <w:sz w:val="18"/>
          <w:szCs w:val="18"/>
          <w:b w:val="1"/>
          <w:bCs w:val="1"/>
          <w:color w:val="auto"/>
        </w:rPr>
        <w:t>GSV CAPITAL CORP. AND SUBSIDIARY</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right="2979"/>
        <w:spacing w:after="0" w:line="393"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w:t>
      </w:r>
      <w:r>
        <w:rPr>
          <w:rFonts w:ascii="Arial" w:cs="Arial" w:eastAsia="Arial" w:hAnsi="Arial"/>
          <w:sz w:val="18"/>
          <w:szCs w:val="18"/>
          <w:b w:val="1"/>
          <w:bCs w:val="1"/>
          <w:u w:val="single" w:color="auto"/>
          <w:color w:val="auto"/>
        </w:rPr>
        <w:t>Nature of Operations</w:t>
      </w:r>
    </w:p>
    <w:p>
      <w:pPr>
        <w:spacing w:after="0" w:line="1" w:lineRule="exact"/>
        <w:rPr>
          <w:sz w:val="20"/>
          <w:szCs w:val="20"/>
          <w:color w:val="auto"/>
        </w:rPr>
      </w:pPr>
    </w:p>
    <w:p>
      <w:pPr>
        <w:jc w:val="both"/>
        <w:ind w:right="519" w:firstLine="270"/>
        <w:spacing w:after="0" w:line="279" w:lineRule="auto"/>
        <w:rPr>
          <w:sz w:val="20"/>
          <w:szCs w:val="20"/>
          <w:color w:val="auto"/>
        </w:rPr>
      </w:pPr>
      <w:r>
        <w:rPr>
          <w:rFonts w:ascii="Arial" w:cs="Arial" w:eastAsia="Arial" w:hAnsi="Arial"/>
          <w:sz w:val="17"/>
          <w:szCs w:val="17"/>
          <w:color w:val="auto"/>
        </w:rPr>
        <w:t>GSV Capital Corp. (the “Company”, “we”, “our” or “GSV Capital”) was formed in September 2010 as a Maryland corporation structured as an externally managed, non-diversified closed-end management investment company. The Company has elected to be treated as a business development company under the Investment Company Act of 1940, as amended (the “1940 Act”). The Company is managed by GSV Asset Management, LLC (“GSV Asset Management”).</w:t>
      </w:r>
    </w:p>
    <w:p>
      <w:pPr>
        <w:spacing w:after="0" w:line="63" w:lineRule="exact"/>
        <w:rPr>
          <w:sz w:val="20"/>
          <w:szCs w:val="20"/>
          <w:color w:val="auto"/>
        </w:rPr>
      </w:pPr>
    </w:p>
    <w:p>
      <w:pPr>
        <w:jc w:val="both"/>
        <w:ind w:right="519" w:firstLine="270"/>
        <w:spacing w:after="0" w:line="264" w:lineRule="auto"/>
        <w:rPr>
          <w:sz w:val="20"/>
          <w:szCs w:val="20"/>
          <w:color w:val="auto"/>
        </w:rPr>
      </w:pPr>
      <w:r>
        <w:rPr>
          <w:rFonts w:ascii="Arial" w:cs="Arial" w:eastAsia="Arial" w:hAnsi="Arial"/>
          <w:sz w:val="18"/>
          <w:szCs w:val="18"/>
          <w:color w:val="auto"/>
        </w:rPr>
        <w:t>The Company’s date of inception is January 6, 2011, which is the date it commenced its development stage activities. The Company’s shares are currently listed on the NASDAQ Capital Market under the symbol “GSVC”. The Company began its investment operations during the second quarter.</w:t>
      </w:r>
    </w:p>
    <w:p>
      <w:pPr>
        <w:spacing w:after="0" w:line="73" w:lineRule="exact"/>
        <w:rPr>
          <w:sz w:val="20"/>
          <w:szCs w:val="20"/>
          <w:color w:val="auto"/>
        </w:rPr>
      </w:pPr>
    </w:p>
    <w:p>
      <w:pPr>
        <w:jc w:val="both"/>
        <w:ind w:right="519" w:firstLine="270"/>
        <w:spacing w:after="0" w:line="259" w:lineRule="auto"/>
        <w:rPr>
          <w:sz w:val="20"/>
          <w:szCs w:val="20"/>
          <w:color w:val="auto"/>
        </w:rPr>
      </w:pPr>
      <w:r>
        <w:rPr>
          <w:rFonts w:ascii="Arial" w:cs="Arial" w:eastAsia="Arial" w:hAnsi="Arial"/>
          <w:sz w:val="18"/>
          <w:szCs w:val="18"/>
          <w:color w:val="auto"/>
        </w:rPr>
        <w:t>On April 13, 2012, the Company formed a wholly-owned subsidiary, GSV Capital Lending, LLC (“GCL”), a Delaware limited liability company, which will originate portfolio loan investments within the state of California. An application for a California lender license was submitted by GCL to the California Department of Corporations and GCL is awaiting receipt of its license from the State.</w:t>
      </w:r>
    </w:p>
    <w:p>
      <w:pPr>
        <w:spacing w:after="0" w:line="79" w:lineRule="exact"/>
        <w:rPr>
          <w:sz w:val="20"/>
          <w:szCs w:val="20"/>
          <w:color w:val="auto"/>
        </w:rPr>
      </w:pPr>
    </w:p>
    <w:p>
      <w:pPr>
        <w:jc w:val="both"/>
        <w:ind w:right="539" w:firstLine="270"/>
        <w:spacing w:after="0" w:line="264" w:lineRule="auto"/>
        <w:rPr>
          <w:sz w:val="20"/>
          <w:szCs w:val="20"/>
          <w:color w:val="auto"/>
        </w:rPr>
      </w:pPr>
      <w:r>
        <w:rPr>
          <w:rFonts w:ascii="Arial" w:cs="Arial" w:eastAsia="Arial" w:hAnsi="Arial"/>
          <w:sz w:val="18"/>
          <w:szCs w:val="18"/>
          <w:color w:val="auto"/>
        </w:rPr>
        <w:t>On November 28, 2012, the Company formed wholly-owned subsidiaries, GSVC AE Holdings, Inc. (“GAE”), GSVC AV Holdings, Inc. (“GAV”), GSVC NG Holdings, Inc. (“GNG”), GSVC SW Holdings, Inc. (“GSW”) and GSVC WS Holdings, Inc. (“GWS”) (collectively the “GSVC Holdings”), all Delaware corporations, to hold portfolio investments.</w:t>
      </w:r>
    </w:p>
    <w:p>
      <w:pPr>
        <w:spacing w:after="0" w:line="73" w:lineRule="exact"/>
        <w:rPr>
          <w:sz w:val="20"/>
          <w:szCs w:val="20"/>
          <w:color w:val="auto"/>
        </w:rPr>
      </w:pPr>
    </w:p>
    <w:p>
      <w:pPr>
        <w:jc w:val="both"/>
        <w:ind w:right="519" w:firstLine="270"/>
        <w:spacing w:after="0" w:line="259" w:lineRule="auto"/>
        <w:rPr>
          <w:sz w:val="20"/>
          <w:szCs w:val="20"/>
          <w:color w:val="auto"/>
        </w:rPr>
      </w:pPr>
      <w:r>
        <w:rPr>
          <w:rFonts w:ascii="Arial" w:cs="Arial" w:eastAsia="Arial" w:hAnsi="Arial"/>
          <w:sz w:val="18"/>
          <w:szCs w:val="18"/>
          <w:color w:val="auto"/>
        </w:rPr>
        <w:t>The Company’s investment objective is to maximize our portfolio’s total return, principally by seeking capital gains on our equity investments. The Company invests principally in the equity securities of venture capital-backed and rapidly growing emerging companies. The Company may also invest on an opportunistic basis in select publicly-traded equity securities of rapidly growing companies that otherwise meet its investment criteria.</w:t>
      </w:r>
    </w:p>
    <w:p>
      <w:pPr>
        <w:spacing w:after="0" w:line="79" w:lineRule="exact"/>
        <w:rPr>
          <w:sz w:val="20"/>
          <w:szCs w:val="20"/>
          <w:color w:val="auto"/>
        </w:rPr>
      </w:pPr>
    </w:p>
    <w:p>
      <w:pPr>
        <w:jc w:val="both"/>
        <w:ind w:right="519" w:firstLine="270"/>
        <w:spacing w:after="0" w:line="259" w:lineRule="auto"/>
        <w:rPr>
          <w:sz w:val="20"/>
          <w:szCs w:val="20"/>
          <w:color w:val="auto"/>
        </w:rPr>
      </w:pPr>
      <w:r>
        <w:rPr>
          <w:rFonts w:ascii="Arial" w:cs="Arial" w:eastAsia="Arial" w:hAnsi="Arial"/>
          <w:sz w:val="18"/>
          <w:szCs w:val="18"/>
          <w:color w:val="auto"/>
        </w:rPr>
        <w:t>On February 10, 2012, the Company priced a subsequent follow-on equity offering, selling 6,900,000 of common shares at a price of $15.00 per share, including an exercise in full by the underwriters of their option to purchase an additional 900,000 shares of common stock to cover overallotments. The follow-on equity offering resulted in net proceeds to the Company of approximately $96.2 million.</w:t>
      </w:r>
    </w:p>
    <w:p>
      <w:pPr>
        <w:spacing w:after="0" w:line="79" w:lineRule="exact"/>
        <w:rPr>
          <w:sz w:val="20"/>
          <w:szCs w:val="20"/>
          <w:color w:val="auto"/>
        </w:rPr>
      </w:pPr>
    </w:p>
    <w:p>
      <w:pPr>
        <w:jc w:val="both"/>
        <w:ind w:right="519" w:firstLine="270"/>
        <w:spacing w:after="0" w:line="259" w:lineRule="auto"/>
        <w:rPr>
          <w:sz w:val="20"/>
          <w:szCs w:val="20"/>
          <w:color w:val="auto"/>
        </w:rPr>
      </w:pPr>
      <w:r>
        <w:rPr>
          <w:rFonts w:ascii="Arial" w:cs="Arial" w:eastAsia="Arial" w:hAnsi="Arial"/>
          <w:sz w:val="18"/>
          <w:szCs w:val="18"/>
          <w:color w:val="auto"/>
        </w:rPr>
        <w:t>On May 11, 2012, the Company priced an additional follow-on equity offering, selling 6,900,000 of common shares at a price of $16.25 per share, including an exercise in full by the underwriters of their option to purchase an additional 900,000 shares of common stock to cover overallotments. The follow-on equity offering resulted in net proceeds to the Company of approximately $105.4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Significant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519" w:firstLine="270"/>
        <w:spacing w:after="0" w:line="271" w:lineRule="auto"/>
        <w:rPr>
          <w:sz w:val="20"/>
          <w:szCs w:val="20"/>
          <w:color w:val="auto"/>
        </w:rPr>
      </w:pPr>
      <w:r>
        <w:rPr>
          <w:rFonts w:ascii="Arial" w:cs="Arial" w:eastAsia="Arial" w:hAnsi="Arial"/>
          <w:sz w:val="17"/>
          <w:szCs w:val="17"/>
          <w:color w:val="auto"/>
        </w:rPr>
        <w:t>The interim consolidated financial statements of the Company are prepared in accordance with accounting principles generally accepted in the United States of America (“GAAP”) for interim financial information and pursuant to the requirements for reporting on Form 10-Q and Regulation S-X. In the opinion of management, all adjustments, all of which were of a normal recurring nature, considered necessary for the fair presentation of financial statements for the interim period have been included. The results of operations for the current period are not necessarily indicative of results that ultimately may be achieved for any other interim period or for the year ending December 31, 2013. The interim unaudited consolidated financial statements and notes hereto should be read in conjunction with the audited financial statements and notes thereto contained in the Company’s Annual Report on Form 10-K for the year ended December 31, 2012.</w:t>
      </w: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105410</wp:posOffset>
            </wp:positionV>
            <wp:extent cx="6114415" cy="59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958" w:right="1440" w:bottom="1440" w:gutter="0" w:footer="0" w:header="0"/>
        </w:sectPr>
      </w:pPr>
    </w:p>
    <w:bookmarkStart w:id="17" w:name="page18"/>
    <w:bookmarkEnd w:id="17"/>
    <w:p>
      <w:pPr>
        <w:jc w:val="both"/>
        <w:ind w:right="519" w:firstLine="270"/>
        <w:spacing w:after="0" w:line="264" w:lineRule="auto"/>
        <w:rPr>
          <w:sz w:val="20"/>
          <w:szCs w:val="20"/>
          <w:color w:val="auto"/>
        </w:rPr>
      </w:pPr>
      <w:r>
        <w:rPr>
          <w:rFonts w:ascii="Arial" w:cs="Arial" w:eastAsia="Arial" w:hAnsi="Arial"/>
          <w:sz w:val="18"/>
          <w:szCs w:val="18"/>
          <w:color w:val="auto"/>
        </w:rPr>
        <w:t>In accordance with Regulation S-X under the Securities Act of 1933, as amended, and the Securities Exchange Act of 1934, as amended, the Company does not consolidate portfolio company investments. The Company has not consolidated the GSVC Holdings which hold portfolio investments.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jc w:val="both"/>
        <w:ind w:right="519" w:firstLine="270"/>
        <w:spacing w:after="0" w:line="257" w:lineRule="auto"/>
        <w:rPr>
          <w:sz w:val="20"/>
          <w:szCs w:val="20"/>
          <w:color w:val="auto"/>
        </w:rPr>
      </w:pPr>
      <w:r>
        <w:rPr>
          <w:rFonts w:ascii="Arial" w:cs="Arial" w:eastAsia="Arial" w:hAnsi="Arial"/>
          <w:sz w:val="18"/>
          <w:szCs w:val="18"/>
          <w:color w:val="auto"/>
        </w:rPr>
        <w:t>Under Article 6 of Regulation S-X and the American Institute of Certified Public Accountants’ Audit and Accounting Guide for Investment Companies, we are precluded from consolidating any entity other than another investment company or a controlled operating company which provides substantially all of its services and benefits to us. Accordingly, our financial statements include our accounts and the accounts of GCL, our wholly-owned subsidiary. All intercompany balances and transactions have been eliminated in consolidation.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right="519" w:firstLine="270"/>
        <w:spacing w:after="0" w:line="297" w:lineRule="auto"/>
        <w:rPr>
          <w:sz w:val="20"/>
          <w:szCs w:val="20"/>
          <w:color w:val="auto"/>
        </w:rPr>
      </w:pPr>
      <w:r>
        <w:rPr>
          <w:rFonts w:ascii="Arial" w:cs="Arial" w:eastAsia="Arial" w:hAnsi="Arial"/>
          <w:sz w:val="16"/>
          <w:szCs w:val="16"/>
          <w:color w:val="auto"/>
        </w:rPr>
        <w:t>The preparation of consolidated financial statements requires the Company to make a number of significant estimates. These include estimates of fair value of certain assets and liabilities and other estimates that affect the reported amounts of certain assets and liabilities as of the date of the consolidated financial statements and the reported amounts of certain revenues and expenses during the reported period. It is likely that changes in these estimates will occur in the near term. Our estimates are inherently subjective in nature and actual results could differ from our estimates and the differences could be material.</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ind w:right="519" w:firstLine="270"/>
        <w:spacing w:after="0" w:line="255" w:lineRule="auto"/>
        <w:rPr>
          <w:sz w:val="20"/>
          <w:szCs w:val="20"/>
          <w:color w:val="auto"/>
        </w:rPr>
      </w:pPr>
      <w:r>
        <w:rPr>
          <w:rFonts w:ascii="Arial" w:cs="Arial" w:eastAsia="Arial" w:hAnsi="Arial"/>
          <w:sz w:val="18"/>
          <w:szCs w:val="18"/>
          <w:color w:val="auto"/>
        </w:rPr>
        <w:t>The Company applies fair value accounting in accordance with GAAP. The Company generally values its assets on a quarterly basis, or more frequently if required under the 1940 Act. Securities for which market quotations are readily available on an exchange are valued at the closing price of such security on the valuation date; however, if they remain subject to lock-up restrictions they are discounted accordingly. The Company may also obtain quotes with respect to certain of its investments from pricing services or brokers or dealers in order to value assets. When doing so, the Company determines whether the quote obtained is sufficient according to GAAP to determine the fair value of the security. If determined adequate, the Company uses the quote obtained.</w:t>
      </w:r>
    </w:p>
    <w:p>
      <w:pPr>
        <w:spacing w:after="0" w:line="81" w:lineRule="exact"/>
        <w:rPr>
          <w:sz w:val="20"/>
          <w:szCs w:val="20"/>
          <w:color w:val="auto"/>
        </w:rPr>
      </w:pPr>
    </w:p>
    <w:p>
      <w:pPr>
        <w:jc w:val="both"/>
        <w:ind w:right="519" w:firstLine="270"/>
        <w:spacing w:after="0" w:line="312" w:lineRule="auto"/>
        <w:rPr>
          <w:sz w:val="20"/>
          <w:szCs w:val="20"/>
          <w:color w:val="auto"/>
        </w:rPr>
      </w:pPr>
      <w:r>
        <w:rPr>
          <w:rFonts w:ascii="Arial" w:cs="Arial" w:eastAsia="Arial" w:hAnsi="Arial"/>
          <w:sz w:val="16"/>
          <w:szCs w:val="16"/>
          <w:color w:val="auto"/>
        </w:rPr>
        <w:t>Securities for which reliable market quotations are not readily available or for which the pricing source does not provide a valuation or methodology or provides a valuation or methodology that, in the judgment of GSV Asset Management, the Board or the Valuation Committee of the Board (the “Valuation Committee”), does not represent fair value, shall each be valued as follows:</w:t>
      </w:r>
    </w:p>
    <w:p>
      <w:pPr>
        <w:spacing w:after="0" w:line="39" w:lineRule="exact"/>
        <w:rPr>
          <w:sz w:val="20"/>
          <w:szCs w:val="20"/>
          <w:color w:val="auto"/>
        </w:rPr>
      </w:pPr>
    </w:p>
    <w:p>
      <w:pPr>
        <w:ind w:left="500" w:right="539" w:hanging="26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responsible for the portfolio investment;</w:t>
      </w:r>
    </w:p>
    <w:p>
      <w:pPr>
        <w:spacing w:after="0" w:line="62" w:lineRule="exact"/>
        <w:rPr>
          <w:rFonts w:ascii="Arial" w:cs="Arial" w:eastAsia="Arial" w:hAnsi="Arial"/>
          <w:sz w:val="18"/>
          <w:szCs w:val="18"/>
          <w:color w:val="auto"/>
        </w:rPr>
      </w:pPr>
    </w:p>
    <w:p>
      <w:pPr>
        <w:ind w:left="500" w:hanging="262"/>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GSV Asset Management senior management;</w:t>
      </w:r>
    </w:p>
    <w:p>
      <w:pPr>
        <w:spacing w:after="0" w:line="140" w:lineRule="exact"/>
        <w:rPr>
          <w:rFonts w:ascii="Arial" w:cs="Arial" w:eastAsia="Arial" w:hAnsi="Arial"/>
          <w:sz w:val="16"/>
          <w:szCs w:val="16"/>
          <w:color w:val="auto"/>
        </w:rPr>
      </w:pPr>
    </w:p>
    <w:p>
      <w:pPr>
        <w:jc w:val="both"/>
        <w:ind w:left="500" w:right="539" w:hanging="262"/>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or on behalf of, the Valuation Committee to conduct independent appraisals and review management’s preliminary valuations and make their own independent assessment, for all material investments;</w:t>
      </w:r>
    </w:p>
    <w:p>
      <w:pPr>
        <w:spacing w:after="0" w:line="73" w:lineRule="exact"/>
        <w:rPr>
          <w:rFonts w:ascii="Arial" w:cs="Arial" w:eastAsia="Arial" w:hAnsi="Arial"/>
          <w:sz w:val="18"/>
          <w:szCs w:val="18"/>
          <w:color w:val="auto"/>
        </w:rPr>
      </w:pPr>
    </w:p>
    <w:p>
      <w:pPr>
        <w:ind w:left="500" w:right="539" w:hanging="26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Valuation Committee discusses valuations and recommends the fair value of each investment in the portfolio in good faith based on the input of GSV Asset Management and the independent third-party valuation firm; and,</w:t>
      </w:r>
    </w:p>
    <w:p>
      <w:pPr>
        <w:spacing w:after="0" w:line="62" w:lineRule="exact"/>
        <w:rPr>
          <w:rFonts w:ascii="Arial" w:cs="Arial" w:eastAsia="Arial" w:hAnsi="Arial"/>
          <w:sz w:val="18"/>
          <w:szCs w:val="18"/>
          <w:color w:val="auto"/>
        </w:rPr>
      </w:pPr>
    </w:p>
    <w:p>
      <w:pPr>
        <w:jc w:val="both"/>
        <w:ind w:left="500" w:right="519" w:hanging="262"/>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Board then discusses the valuations and determines in good faith the fair value of each investment in the portfolio based upon input of GSV Asset Management, estimates from the independent valuation firm and the recommendations of the Valuation Committee.</w:t>
      </w:r>
    </w:p>
    <w:p>
      <w:pPr>
        <w:spacing w:after="0" w:line="73" w:lineRule="exact"/>
        <w:rPr>
          <w:sz w:val="20"/>
          <w:szCs w:val="20"/>
          <w:color w:val="auto"/>
        </w:rPr>
      </w:pPr>
    </w:p>
    <w:p>
      <w:pPr>
        <w:jc w:val="both"/>
        <w:ind w:right="519" w:firstLine="270"/>
        <w:spacing w:after="0" w:line="257" w:lineRule="auto"/>
        <w:rPr>
          <w:sz w:val="20"/>
          <w:szCs w:val="20"/>
          <w:color w:val="auto"/>
        </w:rPr>
      </w:pPr>
      <w:r>
        <w:rPr>
          <w:rFonts w:ascii="Arial" w:cs="Arial" w:eastAsia="Arial" w:hAnsi="Arial"/>
          <w:sz w:val="18"/>
          <w:szCs w:val="18"/>
          <w:color w:val="auto"/>
        </w:rPr>
        <w:t>In making our good faith determination of the fair value of investments, we consider valuation methodologies consistent with industry practice. Valuation methods, among other measures and as applicable, may include comparisons to prices from secondary market transactions and recent venture capital financings, analysis of financial ratios and valuation metrics of the portfolio companies that issued such private equity securities to peer companies that are public, analysis of the portfolio companies’ most recent financial</w:t>
      </w:r>
    </w:p>
    <w:p>
      <w:pPr>
        <w:spacing w:after="0" w:line="200" w:lineRule="exact"/>
        <w:rPr>
          <w:sz w:val="20"/>
          <w:szCs w:val="20"/>
          <w:color w:val="auto"/>
        </w:rPr>
      </w:pPr>
    </w:p>
    <w:p>
      <w:pPr>
        <w:spacing w:after="0" w:line="32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105410</wp:posOffset>
            </wp:positionV>
            <wp:extent cx="6114415" cy="596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854" w:right="1440" w:bottom="1440" w:gutter="0" w:footer="0" w:header="0"/>
        </w:sectPr>
      </w:pPr>
    </w:p>
    <w:bookmarkStart w:id="18" w:name="page19"/>
    <w:bookmarkEnd w:id="18"/>
    <w:p>
      <w:pPr>
        <w:jc w:val="both"/>
        <w:ind w:right="539"/>
        <w:spacing w:after="0" w:line="308" w:lineRule="auto"/>
        <w:rPr>
          <w:sz w:val="20"/>
          <w:szCs w:val="20"/>
          <w:color w:val="auto"/>
        </w:rPr>
      </w:pPr>
      <w:r>
        <w:rPr>
          <w:rFonts w:ascii="Arial" w:cs="Arial" w:eastAsia="Arial" w:hAnsi="Arial"/>
          <w:sz w:val="17"/>
          <w:szCs w:val="17"/>
          <w:color w:val="auto"/>
        </w:rPr>
        <w:t>statements and forecasts, and the markets in which the portfolio company does business, and other relevant factors. The Company assigns a weighting based upon the relevance of each factor to determine the fair value of each investment.</w:t>
      </w:r>
    </w:p>
    <w:p>
      <w:pPr>
        <w:spacing w:after="0" w:line="38" w:lineRule="exact"/>
        <w:rPr>
          <w:sz w:val="20"/>
          <w:szCs w:val="20"/>
          <w:color w:val="auto"/>
        </w:rPr>
      </w:pPr>
    </w:p>
    <w:p>
      <w:pPr>
        <w:jc w:val="both"/>
        <w:ind w:right="519" w:firstLine="270"/>
        <w:spacing w:after="0" w:line="257"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Company will consider the pricing indicated by the external event to corroborate the private equity valuation. Due to the inherent uncertainty of determining the fair value of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80" w:lineRule="exact"/>
        <w:rPr>
          <w:sz w:val="20"/>
          <w:szCs w:val="20"/>
          <w:color w:val="auto"/>
        </w:rPr>
      </w:pPr>
    </w:p>
    <w:p>
      <w:pPr>
        <w:jc w:val="both"/>
        <w:ind w:right="519" w:firstLine="27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81" w:lineRule="exact"/>
        <w:rPr>
          <w:sz w:val="20"/>
          <w:szCs w:val="20"/>
          <w:color w:val="auto"/>
        </w:rPr>
      </w:pPr>
    </w:p>
    <w:p>
      <w:pPr>
        <w:jc w:val="both"/>
        <w:ind w:right="519" w:firstLine="270"/>
        <w:spacing w:after="0" w:line="266"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an active market that the Company has the ability to access (examples include active exchange-traded equity securities, exchange-traded derivatives, and most U.S. Government and agency securities).</w:t>
      </w:r>
    </w:p>
    <w:p>
      <w:pPr>
        <w:spacing w:after="0" w:line="68" w:lineRule="exact"/>
        <w:rPr>
          <w:sz w:val="20"/>
          <w:szCs w:val="20"/>
          <w:color w:val="auto"/>
        </w:rPr>
      </w:pPr>
    </w:p>
    <w:p>
      <w:pPr>
        <w:jc w:val="both"/>
        <w:ind w:right="519" w:firstLine="270"/>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observable either directly or indirectly for substantially the full term of the asset or liability. Level 2 inputs include the following:</w:t>
      </w:r>
    </w:p>
    <w:p>
      <w:pPr>
        <w:spacing w:after="0" w:line="72" w:lineRule="exact"/>
        <w:rPr>
          <w:sz w:val="20"/>
          <w:szCs w:val="20"/>
          <w:color w:val="auto"/>
        </w:rPr>
      </w:pPr>
    </w:p>
    <w:p>
      <w:pPr>
        <w:ind w:left="500" w:hanging="26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17" w:lineRule="exact"/>
        <w:rPr>
          <w:rFonts w:ascii="Arial" w:cs="Arial" w:eastAsia="Arial" w:hAnsi="Arial"/>
          <w:sz w:val="18"/>
          <w:szCs w:val="18"/>
          <w:color w:val="auto"/>
        </w:rPr>
      </w:pPr>
    </w:p>
    <w:p>
      <w:pPr>
        <w:ind w:left="500" w:right="539" w:hanging="26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 (examples include corporate and municipal bonds, which trade infrequently);</w:t>
      </w:r>
    </w:p>
    <w:p>
      <w:pPr>
        <w:spacing w:after="0" w:line="62" w:lineRule="exact"/>
        <w:rPr>
          <w:rFonts w:ascii="Arial" w:cs="Arial" w:eastAsia="Arial" w:hAnsi="Arial"/>
          <w:sz w:val="18"/>
          <w:szCs w:val="18"/>
          <w:color w:val="auto"/>
        </w:rPr>
      </w:pPr>
    </w:p>
    <w:p>
      <w:pPr>
        <w:ind w:left="500" w:right="539" w:hanging="26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asset or liability (examples include most over-the-counter derivatives, including foreign exchange forward contracts); and,</w:t>
      </w:r>
    </w:p>
    <w:p>
      <w:pPr>
        <w:spacing w:after="0" w:line="62" w:lineRule="exact"/>
        <w:rPr>
          <w:rFonts w:ascii="Arial" w:cs="Arial" w:eastAsia="Arial" w:hAnsi="Arial"/>
          <w:sz w:val="18"/>
          <w:szCs w:val="18"/>
          <w:color w:val="auto"/>
        </w:rPr>
      </w:pPr>
    </w:p>
    <w:p>
      <w:pPr>
        <w:ind w:left="500" w:right="519" w:hanging="26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asset or liability.</w:t>
      </w:r>
    </w:p>
    <w:p>
      <w:pPr>
        <w:spacing w:after="0" w:line="58" w:lineRule="exact"/>
        <w:rPr>
          <w:sz w:val="20"/>
          <w:szCs w:val="20"/>
          <w:color w:val="auto"/>
        </w:rPr>
      </w:pPr>
    </w:p>
    <w:p>
      <w:pPr>
        <w:jc w:val="both"/>
        <w:ind w:right="519" w:firstLine="270"/>
        <w:spacing w:after="0" w:line="261"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Financial assets and liabilities whose values are based on prices or valuation techniques that require inputs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both unobservable and significant to the overall fair value measurement. These inputs reflect management’s own assumptions about the assumptions a market participant would use in pricing the asset or liability (examples include certain of our private equity investments).</w:t>
      </w:r>
    </w:p>
    <w:p>
      <w:pPr>
        <w:spacing w:after="0" w:line="76" w:lineRule="exact"/>
        <w:rPr>
          <w:sz w:val="20"/>
          <w:szCs w:val="20"/>
          <w:color w:val="auto"/>
        </w:rPr>
      </w:pPr>
    </w:p>
    <w:p>
      <w:pPr>
        <w:jc w:val="both"/>
        <w:ind w:right="519" w:firstLine="270"/>
        <w:spacing w:after="0" w:line="297" w:lineRule="auto"/>
        <w:rPr>
          <w:sz w:val="20"/>
          <w:szCs w:val="20"/>
          <w:color w:val="auto"/>
        </w:rPr>
      </w:pPr>
      <w:r>
        <w:rPr>
          <w:rFonts w:ascii="Arial" w:cs="Arial" w:eastAsia="Arial" w:hAnsi="Arial"/>
          <w:sz w:val="16"/>
          <w:szCs w:val="16"/>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3 may include changes in fair value that are attributable to both observable inputs (Levels 1 and 2) and unobservable inputs (Level 3).</w:t>
      </w:r>
    </w:p>
    <w:p>
      <w:pPr>
        <w:spacing w:after="0" w:line="50" w:lineRule="exact"/>
        <w:rPr>
          <w:sz w:val="20"/>
          <w:szCs w:val="20"/>
          <w:color w:val="auto"/>
        </w:rPr>
      </w:pPr>
    </w:p>
    <w:p>
      <w:pPr>
        <w:jc w:val="both"/>
        <w:ind w:right="519" w:firstLine="270"/>
        <w:spacing w:after="0" w:line="259" w:lineRule="auto"/>
        <w:rPr>
          <w:sz w:val="20"/>
          <w:szCs w:val="20"/>
          <w:color w:val="auto"/>
        </w:rPr>
      </w:pPr>
      <w:r>
        <w:rPr>
          <w:rFonts w:ascii="Arial" w:cs="Arial" w:eastAsia="Arial" w:hAnsi="Arial"/>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quarter in which the reclassifications occur.</w:t>
      </w:r>
    </w:p>
    <w:p>
      <w:pPr>
        <w:spacing w:after="0" w:line="200" w:lineRule="exact"/>
        <w:rPr>
          <w:sz w:val="20"/>
          <w:szCs w:val="20"/>
          <w:color w:val="auto"/>
        </w:rPr>
      </w:pPr>
    </w:p>
    <w:p>
      <w:pPr>
        <w:spacing w:after="0" w:line="3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105410</wp:posOffset>
            </wp:positionV>
            <wp:extent cx="6114415" cy="596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854" w:right="1440"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Valuation of Financial Instruments</w:t>
      </w:r>
    </w:p>
    <w:p>
      <w:pPr>
        <w:spacing w:after="0" w:line="117" w:lineRule="exact"/>
        <w:rPr>
          <w:sz w:val="20"/>
          <w:szCs w:val="20"/>
          <w:color w:val="auto"/>
        </w:rPr>
      </w:pPr>
    </w:p>
    <w:p>
      <w:pPr>
        <w:jc w:val="both"/>
        <w:ind w:right="539" w:firstLine="270"/>
        <w:spacing w:after="0" w:line="277" w:lineRule="auto"/>
        <w:rPr>
          <w:sz w:val="20"/>
          <w:szCs w:val="20"/>
          <w:color w:val="auto"/>
        </w:rPr>
      </w:pPr>
      <w:r>
        <w:rPr>
          <w:rFonts w:ascii="Arial" w:cs="Arial" w:eastAsia="Arial" w:hAnsi="Arial"/>
          <w:sz w:val="18"/>
          <w:szCs w:val="18"/>
          <w:color w:val="auto"/>
        </w:rPr>
        <w:t>The carrying amounts of our financial instruments, consisting of cash, receivables, accounts payable, and accrued expenses, approximate fair value due to their short-term nature.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Transactions</w:t>
      </w:r>
    </w:p>
    <w:p>
      <w:pPr>
        <w:spacing w:after="0" w:line="117" w:lineRule="exact"/>
        <w:rPr>
          <w:sz w:val="20"/>
          <w:szCs w:val="20"/>
          <w:color w:val="auto"/>
        </w:rPr>
      </w:pPr>
    </w:p>
    <w:p>
      <w:pPr>
        <w:jc w:val="both"/>
        <w:ind w:right="519" w:firstLine="270"/>
        <w:spacing w:after="0" w:line="279" w:lineRule="auto"/>
        <w:rPr>
          <w:sz w:val="20"/>
          <w:szCs w:val="20"/>
          <w:color w:val="auto"/>
        </w:rPr>
      </w:pPr>
      <w:r>
        <w:rPr>
          <w:rFonts w:ascii="Arial" w:cs="Arial" w:eastAsia="Arial" w:hAnsi="Arial"/>
          <w:sz w:val="17"/>
          <w:szCs w:val="17"/>
          <w:color w:val="auto"/>
        </w:rPr>
        <w:t>Securities transactions are accounted for on the date the transaction for the purchase or sale of the securities is entered into by the Company (i.e.,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117" w:lineRule="exact"/>
        <w:rPr>
          <w:sz w:val="20"/>
          <w:szCs w:val="20"/>
          <w:color w:val="auto"/>
        </w:rPr>
      </w:pPr>
    </w:p>
    <w:p>
      <w:pPr>
        <w:jc w:val="both"/>
        <w:ind w:right="519" w:firstLine="270"/>
        <w:spacing w:after="0" w:line="273" w:lineRule="auto"/>
        <w:rPr>
          <w:sz w:val="20"/>
          <w:szCs w:val="20"/>
          <w:color w:val="auto"/>
        </w:rPr>
      </w:pPr>
      <w:r>
        <w:rPr>
          <w:rFonts w:ascii="Arial" w:cs="Arial" w:eastAsia="Arial" w:hAnsi="Arial"/>
          <w:sz w:val="17"/>
          <w:szCs w:val="17"/>
          <w:color w:val="auto"/>
        </w:rPr>
        <w:t>We are a non-diversified company within the meaning of the 1940 Act. We classify our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another person.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117" w:lineRule="exact"/>
        <w:rPr>
          <w:sz w:val="20"/>
          <w:szCs w:val="20"/>
          <w:color w:val="auto"/>
        </w:rPr>
      </w:pPr>
    </w:p>
    <w:p>
      <w:pPr>
        <w:jc w:val="both"/>
        <w:ind w:right="519" w:firstLine="270"/>
        <w:spacing w:after="0" w:line="264" w:lineRule="auto"/>
        <w:rPr>
          <w:sz w:val="20"/>
          <w:szCs w:val="20"/>
          <w:color w:val="auto"/>
        </w:rPr>
      </w:pPr>
      <w:r>
        <w:rPr>
          <w:rFonts w:ascii="Arial" w:cs="Arial" w:eastAsia="Arial" w:hAnsi="Arial"/>
          <w:sz w:val="18"/>
          <w:szCs w:val="18"/>
          <w:color w:val="auto"/>
        </w:rPr>
        <w:t>The Company places its cash with U.S. Bank, N.A. and First Republic Bank, N.A., and at times, cash held in these accounts may exceed the Federal Deposit Insurance Corporation insured limit. The Company may invest a portion of its cash in money market funds, within limitations of the 1940 Act.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Gains or losses on the sale of investments are determined using the specific identification method.</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 xml:space="preserve">Interest: </w:t>
      </w:r>
      <w:r>
        <w:rPr>
          <w:rFonts w:ascii="Arial" w:cs="Arial" w:eastAsia="Arial" w:hAnsi="Arial"/>
          <w:sz w:val="17"/>
          <w:szCs w:val="17"/>
          <w:color w:val="auto"/>
        </w:rPr>
        <w:t>Interest income, adjusted for amortization of premium and accretion of discount, is recorded on an accrual basis.</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Dividend income is recognized on the ex-dividend 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 Costs and Escrow Deposits</w:t>
      </w:r>
    </w:p>
    <w:p>
      <w:pPr>
        <w:spacing w:after="0" w:line="117" w:lineRule="exact"/>
        <w:rPr>
          <w:sz w:val="20"/>
          <w:szCs w:val="20"/>
          <w:color w:val="auto"/>
        </w:rPr>
      </w:pPr>
    </w:p>
    <w:p>
      <w:pPr>
        <w:jc w:val="both"/>
        <w:ind w:right="519" w:firstLine="270"/>
        <w:spacing w:after="0" w:line="272" w:lineRule="auto"/>
        <w:rPr>
          <w:sz w:val="20"/>
          <w:szCs w:val="20"/>
          <w:color w:val="auto"/>
        </w:rPr>
      </w:pPr>
      <w:r>
        <w:rPr>
          <w:rFonts w:ascii="Arial" w:cs="Arial" w:eastAsia="Arial" w:hAnsi="Arial"/>
          <w:sz w:val="17"/>
          <w:szCs w:val="17"/>
          <w:color w:val="auto"/>
        </w:rPr>
        <w:t>Commissions and other costs associated with an investment transaction, including legal expenses not reimbursed by the issuer, are included in the cost basis of purchases and deducted from the proceeds of sales. The Company makes certain acquisitions on the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These transactions are reflected on the Consolidated Statement of Assets and Liabilities as Escrow deposits. At March 31, 2013 and December 31, 2012, the Company had $0 in Escrow deposits.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w:t>
      </w:r>
    </w:p>
    <w:p>
      <w:pPr>
        <w:spacing w:after="0" w:line="117" w:lineRule="exact"/>
        <w:rPr>
          <w:sz w:val="20"/>
          <w:szCs w:val="20"/>
          <w:color w:val="auto"/>
        </w:rPr>
      </w:pPr>
    </w:p>
    <w:p>
      <w:pPr>
        <w:jc w:val="both"/>
        <w:ind w:right="539" w:firstLine="270"/>
        <w:spacing w:after="0" w:line="277" w:lineRule="auto"/>
        <w:rPr>
          <w:sz w:val="20"/>
          <w:szCs w:val="20"/>
          <w:color w:val="auto"/>
        </w:rPr>
      </w:pPr>
      <w:r>
        <w:rPr>
          <w:rFonts w:ascii="Arial" w:cs="Arial" w:eastAsia="Arial" w:hAnsi="Arial"/>
          <w:sz w:val="18"/>
          <w:szCs w:val="18"/>
          <w:color w:val="auto"/>
        </w:rPr>
        <w:t>Unrealized appreciation or depreciation is calculated as the difference between the fair value of the investment and the cost basis of such investment.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117" w:lineRule="exact"/>
        <w:rPr>
          <w:sz w:val="20"/>
          <w:szCs w:val="20"/>
          <w:color w:val="auto"/>
        </w:rPr>
      </w:pPr>
    </w:p>
    <w:p>
      <w:pPr>
        <w:jc w:val="both"/>
        <w:ind w:right="519" w:firstLine="270"/>
        <w:spacing w:after="0" w:line="259" w:lineRule="auto"/>
        <w:rPr>
          <w:sz w:val="20"/>
          <w:szCs w:val="20"/>
          <w:color w:val="auto"/>
        </w:rPr>
      </w:pPr>
      <w:r>
        <w:rPr>
          <w:rFonts w:ascii="Arial" w:cs="Arial" w:eastAsia="Arial" w:hAnsi="Arial"/>
          <w:sz w:val="18"/>
          <w:szCs w:val="18"/>
          <w:color w:val="auto"/>
        </w:rPr>
        <w:t>The Company was taxed as a regular corporation (a “C corporation”) under subchapter C of the Internal Revenue Code of 1986, as amended, for its 2012 taxable year. The Company uses the liability method of accounting for income taxes. Deferred tax assets and liabilities are recorded for tax loss carryforwards and temporary differences between the tax basis of assets and liabilities and their reported amounts in the</w:t>
      </w:r>
    </w:p>
    <w:p>
      <w:pPr>
        <w:spacing w:after="0" w:line="200" w:lineRule="exact"/>
        <w:rPr>
          <w:sz w:val="20"/>
          <w:szCs w:val="20"/>
          <w:color w:val="auto"/>
        </w:rPr>
      </w:pPr>
    </w:p>
    <w:p>
      <w:pPr>
        <w:spacing w:after="0" w:line="3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105410</wp:posOffset>
            </wp:positionV>
            <wp:extent cx="6114415" cy="596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895" w:right="1440" w:bottom="1440" w:gutter="0" w:footer="0" w:header="0"/>
        </w:sectPr>
      </w:pPr>
    </w:p>
    <w:bookmarkStart w:id="20" w:name="page21"/>
    <w:bookmarkEnd w:id="20"/>
    <w:p>
      <w:pPr>
        <w:jc w:val="both"/>
        <w:ind w:right="519"/>
        <w:spacing w:after="0" w:line="312" w:lineRule="auto"/>
        <w:rPr>
          <w:sz w:val="20"/>
          <w:szCs w:val="20"/>
          <w:color w:val="auto"/>
        </w:rPr>
      </w:pPr>
      <w:r>
        <w:rPr>
          <w:rFonts w:ascii="Arial" w:cs="Arial" w:eastAsia="Arial" w:hAnsi="Arial"/>
          <w:sz w:val="16"/>
          <w:szCs w:val="16"/>
          <w:color w:val="auto"/>
        </w:rPr>
        <w:t>consolidated financial statements, using statutory tax rates in effect for the year in which the temporary differences are expected to reverse. Certain tax attributes may be subject to limitations on timing and usage. A valuation allowance is provided against deferred tax assets when it is more likely than not that some portion or all of the deferred tax assets will not be realized.</w:t>
      </w:r>
    </w:p>
    <w:p>
      <w:pPr>
        <w:spacing w:after="0" w:line="39" w:lineRule="exact"/>
        <w:rPr>
          <w:sz w:val="20"/>
          <w:szCs w:val="20"/>
          <w:color w:val="auto"/>
        </w:rPr>
      </w:pPr>
    </w:p>
    <w:p>
      <w:pPr>
        <w:jc w:val="both"/>
        <w:ind w:right="519" w:firstLine="270"/>
        <w:spacing w:after="0" w:line="287" w:lineRule="auto"/>
        <w:rPr>
          <w:sz w:val="20"/>
          <w:szCs w:val="20"/>
          <w:color w:val="auto"/>
        </w:rPr>
      </w:pPr>
      <w:r>
        <w:rPr>
          <w:rFonts w:ascii="Arial" w:cs="Arial" w:eastAsia="Arial" w:hAnsi="Arial"/>
          <w:sz w:val="16"/>
          <w:szCs w:val="16"/>
          <w:color w:val="auto"/>
        </w:rPr>
        <w:t>Beginning with its 2013 taxable year, the Company may elect to be treated as a regulated investment company (“RIC”) under subchapter M of the Internal Revenue Code of 1986, as amended (the “Code”), if management determines that it is in the best interests of the Company to do so and the Company is able to satisfy the requirements under subchapter M of the Code. In order to qualify as a RIC, among other things, the Company is required to distribute to its stockholders on a timely basis at least 90% of investment company taxable income, as defined by the Code, for each year, and meet certain asset diversification requirements on a quarterly basis. So long as the Company qualifies and maintains its status as a RIC, it generally will not pay corporate-level U.S. federal and state income taxes on any ordinary income or capital gains that it distributes at least annually to its stockholders as dividends. Rather, any tax liability related to income earned by the Company will represent obligations of the Company’s investors and will not be reflected in the consolidated financial statements of the Company. Although it is currently its intention to do so, at the present time, the Company cannot assure you whether it will elect to be treated as a RIC for its 2013 taxable year. If it opts not to do so, the Company will continue to be taxed as a C corporation under the Code for its 2013 taxable year.</w:t>
      </w:r>
    </w:p>
    <w:p>
      <w:pPr>
        <w:spacing w:after="0" w:line="65" w:lineRule="exact"/>
        <w:rPr>
          <w:sz w:val="20"/>
          <w:szCs w:val="20"/>
          <w:color w:val="auto"/>
        </w:rPr>
      </w:pPr>
    </w:p>
    <w:p>
      <w:pPr>
        <w:jc w:val="both"/>
        <w:ind w:right="519" w:firstLine="270"/>
        <w:spacing w:after="0" w:line="273" w:lineRule="auto"/>
        <w:rPr>
          <w:sz w:val="20"/>
          <w:szCs w:val="20"/>
          <w:color w:val="auto"/>
        </w:rPr>
      </w:pPr>
      <w:r>
        <w:rPr>
          <w:rFonts w:ascii="Arial" w:cs="Arial" w:eastAsia="Arial" w:hAnsi="Arial"/>
          <w:sz w:val="17"/>
          <w:szCs w:val="17"/>
          <w:color w:val="auto"/>
        </w:rPr>
        <w:t>The Company evaluates tax positions taken or expected to be taken in the course of preparing its consolidated financial statements to determine whether the tax positions are “more-likely-than-not” of being sustained by the applicable tax authority. The Company recognizes the tax benefits of uncertain tax positions only where the position has met the “more-likely-than-not” threshold. The Company classifies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w:t>
      </w:r>
    </w:p>
    <w:p>
      <w:pPr>
        <w:spacing w:after="0" w:line="117" w:lineRule="exact"/>
        <w:rPr>
          <w:sz w:val="20"/>
          <w:szCs w:val="20"/>
          <w:color w:val="auto"/>
        </w:rPr>
      </w:pPr>
    </w:p>
    <w:p>
      <w:pPr>
        <w:jc w:val="both"/>
        <w:ind w:right="519" w:firstLine="270"/>
        <w:spacing w:after="0" w:line="264" w:lineRule="auto"/>
        <w:rPr>
          <w:sz w:val="20"/>
          <w:szCs w:val="20"/>
          <w:color w:val="auto"/>
        </w:rPr>
      </w:pPr>
      <w:r>
        <w:rPr>
          <w:rFonts w:ascii="Arial" w:cs="Arial" w:eastAsia="Arial" w:hAnsi="Arial"/>
          <w:sz w:val="18"/>
          <w:szCs w:val="18"/>
          <w:color w:val="auto"/>
        </w:rPr>
        <w:t>Offering costs include legal fees and other costs pertaining to the public offerings. As of March 31, 2013 there were no deferred offering costs. As of December 31, 2012, $738,697 of offering costs were offset against capital proceeds from the secondary offerings on May 11, 2012 and February 10, 2012.</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117" w:lineRule="exact"/>
        <w:rPr>
          <w:sz w:val="20"/>
          <w:szCs w:val="20"/>
          <w:color w:val="auto"/>
        </w:rPr>
      </w:pPr>
    </w:p>
    <w:p>
      <w:pPr>
        <w:jc w:val="both"/>
        <w:ind w:right="519" w:firstLine="270"/>
        <w:spacing w:after="0" w:line="277" w:lineRule="auto"/>
        <w:rPr>
          <w:sz w:val="20"/>
          <w:szCs w:val="20"/>
          <w:color w:val="auto"/>
        </w:rPr>
      </w:pPr>
      <w:r>
        <w:rPr>
          <w:rFonts w:ascii="Arial" w:cs="Arial" w:eastAsia="Arial" w:hAnsi="Arial"/>
          <w:sz w:val="18"/>
          <w:szCs w:val="18"/>
          <w:color w:val="auto"/>
        </w:rPr>
        <w:t>Basic and diluted earnings (loss) per common share is calculated using the weighted average number of shares outstanding for the period presented.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Accounts</w:t>
      </w:r>
    </w:p>
    <w:p>
      <w:pPr>
        <w:spacing w:after="0" w:line="117" w:lineRule="exact"/>
        <w:rPr>
          <w:sz w:val="20"/>
          <w:szCs w:val="20"/>
          <w:color w:val="auto"/>
        </w:rPr>
      </w:pPr>
    </w:p>
    <w:p>
      <w:pPr>
        <w:jc w:val="both"/>
        <w:ind w:right="519" w:firstLine="270"/>
        <w:spacing w:after="0" w:line="272" w:lineRule="auto"/>
        <w:rPr>
          <w:sz w:val="20"/>
          <w:szCs w:val="20"/>
          <w:color w:val="auto"/>
        </w:rPr>
      </w:pPr>
      <w:r>
        <w:rPr>
          <w:rFonts w:ascii="Arial" w:cs="Arial" w:eastAsia="Arial" w:hAnsi="Arial"/>
          <w:sz w:val="17"/>
          <w:szCs w:val="17"/>
          <w:color w:val="auto"/>
        </w:rPr>
        <w:t>Certain capital accounts including undistributed net investment income, accumulated net realized gain or loss, net unrealized appreciation or depreciation, and paid-in capital in excess of par, are adjusted, at least annually, for permanent differences between book and tax. In addition, the character of income and gains to be distributed is determined in accordance with income tax regulations that may differ from GAAP. GAAP requires that certain components of net assets relating to permanent differences be reclassified between financial and tax reporting. These reclassifications have no effect on the net assets or net asset value per share and are intended to enable the Company’s stockholders to determine the amount of accumulated and undistributed earnings they potentially could receive in the future and on which they could be taxed.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jc w:val="both"/>
        <w:ind w:right="519" w:firstLine="270"/>
        <w:spacing w:after="0" w:line="293" w:lineRule="auto"/>
        <w:rPr>
          <w:sz w:val="20"/>
          <w:szCs w:val="20"/>
          <w:color w:val="auto"/>
        </w:rPr>
      </w:pPr>
      <w:r>
        <w:rPr>
          <w:rFonts w:ascii="Arial" w:cs="Arial" w:eastAsia="Arial" w:hAnsi="Arial"/>
          <w:sz w:val="16"/>
          <w:szCs w:val="16"/>
          <w:color w:val="auto"/>
        </w:rPr>
        <w:t>In May 2011, the Financial Accounting Standards Board (“FASB”) issued guidance clarifying how to measure and disclose fair value. This guidance amends the application of the “highest and best use” concept to be used only in the measurement of fair value of nonfinancial assets, clarifies that the measurement of the fair value of equity-classified financial instruments should be performed from the perspective of a market participant who holds the instrument as an asset, clarifies that an entity that manages a group of financial assets and liabilities on the basis of its net risk exposure can measure those financial instruments on the basis of its net exposure to those risks, and clarifies when premiums and discounts should be taken into account</w:t>
      </w: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105410</wp:posOffset>
            </wp:positionV>
            <wp:extent cx="6114415" cy="59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854" w:right="1440" w:bottom="1440" w:gutter="0" w:footer="0" w:header="0"/>
        </w:sectPr>
      </w:pPr>
    </w:p>
    <w:bookmarkStart w:id="21" w:name="page22"/>
    <w:bookmarkEnd w:id="21"/>
    <w:p>
      <w:pPr>
        <w:jc w:val="both"/>
        <w:ind w:right="539"/>
        <w:spacing w:after="0" w:line="312" w:lineRule="auto"/>
        <w:rPr>
          <w:sz w:val="20"/>
          <w:szCs w:val="20"/>
          <w:color w:val="auto"/>
        </w:rPr>
      </w:pPr>
      <w:r>
        <w:rPr>
          <w:rFonts w:ascii="Arial" w:cs="Arial" w:eastAsia="Arial" w:hAnsi="Arial"/>
          <w:sz w:val="16"/>
          <w:szCs w:val="16"/>
          <w:color w:val="auto"/>
        </w:rPr>
        <w:t>when measuring fair value. The fair value disclosure requirements also were amended. The amended guidance is to be applied prospectively. For public entities, the guidance is effective during interim and annual periods beginning after December 15, 2011. The adoption of this guidance did not have a significant impact on our financial condition, results of operations or cash flows.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RELATED PARTY ARRANGEMENTS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Advisory Agreement</w:t>
      </w:r>
    </w:p>
    <w:p>
      <w:pPr>
        <w:spacing w:after="0" w:line="121" w:lineRule="exact"/>
        <w:rPr>
          <w:sz w:val="20"/>
          <w:szCs w:val="20"/>
          <w:color w:val="auto"/>
        </w:rPr>
      </w:pPr>
    </w:p>
    <w:p>
      <w:pPr>
        <w:jc w:val="both"/>
        <w:ind w:right="519" w:firstLine="270"/>
        <w:spacing w:after="0" w:line="270" w:lineRule="auto"/>
        <w:rPr>
          <w:sz w:val="20"/>
          <w:szCs w:val="20"/>
          <w:color w:val="auto"/>
        </w:rPr>
      </w:pPr>
      <w:r>
        <w:rPr>
          <w:rFonts w:ascii="Arial" w:cs="Arial" w:eastAsia="Arial" w:hAnsi="Arial"/>
          <w:sz w:val="17"/>
          <w:szCs w:val="17"/>
          <w:color w:val="auto"/>
        </w:rPr>
        <w:t>The Company entered into an investment advisory agreement with GSV Asset Management (the “Advisory Agreement”) in connection with its initial public offering. Pursuant to the Advisory Agreement, GSV Asset Management will be paid a base annual fee of 2% of gross assets, and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For the three months ended March 31, 2013 and March 31, 2012, GSV Asset Management earned $1,283,599 and $621,926, respectively, in base management fees and $0 and $0 in incentive fees, respectively.</w:t>
      </w:r>
    </w:p>
    <w:p>
      <w:pPr>
        <w:spacing w:after="0" w:line="74" w:lineRule="exact"/>
        <w:rPr>
          <w:sz w:val="20"/>
          <w:szCs w:val="20"/>
          <w:color w:val="auto"/>
        </w:rPr>
      </w:pPr>
    </w:p>
    <w:p>
      <w:pPr>
        <w:jc w:val="both"/>
        <w:ind w:right="519" w:firstLine="270"/>
        <w:spacing w:after="0" w:line="264" w:lineRule="auto"/>
        <w:rPr>
          <w:sz w:val="20"/>
          <w:szCs w:val="20"/>
          <w:color w:val="auto"/>
        </w:rPr>
      </w:pPr>
      <w:r>
        <w:rPr>
          <w:rFonts w:ascii="Arial" w:cs="Arial" w:eastAsia="Arial" w:hAnsi="Arial"/>
          <w:sz w:val="18"/>
          <w:szCs w:val="18"/>
          <w:color w:val="auto"/>
        </w:rPr>
        <w:t>As of March 31, 2013, the Company was due $8,505 from GSV Asset Management for reimbursement of expenses paid for by the Company that were the responsibility of GSV Asset Management, and is included in the Consolidated Statement of Assets and Liabilities.</w:t>
      </w:r>
    </w:p>
    <w:p>
      <w:pPr>
        <w:spacing w:after="0" w:line="73" w:lineRule="exact"/>
        <w:rPr>
          <w:sz w:val="20"/>
          <w:szCs w:val="20"/>
          <w:color w:val="auto"/>
        </w:rPr>
      </w:pPr>
    </w:p>
    <w:p>
      <w:pPr>
        <w:jc w:val="both"/>
        <w:ind w:right="519" w:firstLine="270"/>
        <w:spacing w:after="0" w:line="277" w:lineRule="auto"/>
        <w:rPr>
          <w:sz w:val="20"/>
          <w:szCs w:val="20"/>
          <w:color w:val="auto"/>
        </w:rPr>
      </w:pPr>
      <w:r>
        <w:rPr>
          <w:rFonts w:ascii="Arial" w:cs="Arial" w:eastAsia="Arial" w:hAnsi="Arial"/>
          <w:sz w:val="18"/>
          <w:szCs w:val="18"/>
          <w:color w:val="auto"/>
        </w:rPr>
        <w:t>As of March 31, 2013, the Company owed GSV Asset Management $39,012 for reimbursements of travel-related and other expenses, and is included in the Consolidated Statement of Assets and Liabilities.</w:t>
      </w:r>
    </w:p>
    <w:p>
      <w:pPr>
        <w:spacing w:after="0" w:line="62" w:lineRule="exact"/>
        <w:rPr>
          <w:sz w:val="20"/>
          <w:szCs w:val="20"/>
          <w:color w:val="auto"/>
        </w:rPr>
      </w:pPr>
    </w:p>
    <w:p>
      <w:pPr>
        <w:jc w:val="both"/>
        <w:ind w:right="519" w:firstLine="270"/>
        <w:spacing w:after="0" w:line="264" w:lineRule="auto"/>
        <w:rPr>
          <w:sz w:val="20"/>
          <w:szCs w:val="20"/>
          <w:color w:val="auto"/>
        </w:rPr>
      </w:pPr>
      <w:r>
        <w:rPr>
          <w:rFonts w:ascii="Arial" w:cs="Arial" w:eastAsia="Arial" w:hAnsi="Arial"/>
          <w:sz w:val="18"/>
          <w:szCs w:val="18"/>
          <w:color w:val="auto"/>
        </w:rPr>
        <w:t>As of December 31, 2012, the Company was due $5,723 from GSV Asset Management for reimbursement of expenses paid by the Company that were the responsibility of GSV Asset Management, and is included in the Consolidated Statement of Assets and Liabilities.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December 31, 2012, the Company owed GSV Asset Management $51,194 for reimbursements of travel-related expenses.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are included in the Consolidated Statement of Assets and Liabilities.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Administration Agreement</w:t>
      </w:r>
    </w:p>
    <w:p>
      <w:pPr>
        <w:spacing w:after="0" w:line="121" w:lineRule="exact"/>
        <w:rPr>
          <w:sz w:val="20"/>
          <w:szCs w:val="20"/>
          <w:color w:val="auto"/>
        </w:rPr>
      </w:pPr>
    </w:p>
    <w:p>
      <w:pPr>
        <w:jc w:val="both"/>
        <w:ind w:right="519" w:firstLine="270"/>
        <w:spacing w:after="0" w:line="273" w:lineRule="auto"/>
        <w:rPr>
          <w:sz w:val="20"/>
          <w:szCs w:val="20"/>
          <w:color w:val="auto"/>
        </w:rPr>
      </w:pPr>
      <w:r>
        <w:rPr>
          <w:rFonts w:ascii="Arial" w:cs="Arial" w:eastAsia="Arial" w:hAnsi="Arial"/>
          <w:sz w:val="17"/>
          <w:szCs w:val="17"/>
          <w:color w:val="auto"/>
        </w:rPr>
        <w:t>The Company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in connection with its initial public offering and ongoing operations. The Company reimburses GSV Capital Service Company an allocable portion of overhead and other expenses in performing its obligations under the Administration Agreement. There were $887,984 and $345,594 in such costs incurred under the Administration Agreement for the three months ended March 31, 2013 and March 31, 2012,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Agreement</w:t>
      </w:r>
    </w:p>
    <w:p>
      <w:pPr>
        <w:spacing w:after="0" w:line="121" w:lineRule="exact"/>
        <w:rPr>
          <w:sz w:val="20"/>
          <w:szCs w:val="20"/>
          <w:color w:val="auto"/>
        </w:rPr>
      </w:pPr>
    </w:p>
    <w:p>
      <w:pPr>
        <w:jc w:val="both"/>
        <w:ind w:right="519" w:firstLine="270"/>
        <w:spacing w:after="0" w:line="279" w:lineRule="auto"/>
        <w:rPr>
          <w:sz w:val="20"/>
          <w:szCs w:val="20"/>
          <w:color w:val="auto"/>
        </w:rPr>
      </w:pPr>
      <w:r>
        <w:rPr>
          <w:rFonts w:ascii="Arial" w:cs="Arial" w:eastAsia="Arial" w:hAnsi="Arial"/>
          <w:sz w:val="17"/>
          <w:szCs w:val="17"/>
          <w:color w:val="auto"/>
        </w:rPr>
        <w:t>The Company entered into a license agreement with GSV Asset Management pursuant to which GSV Asset Management has agreed to grant the Company a non-exclusive, royalty-free license to use the name “GSV.” Under this agreement, the Company has the right to use the GSV name for so long as the Advisory Agreement with GSV Asset Management is in effect. Other than with respect to this limited license, the Company has no legal right to the “GSV” name.</w:t>
      </w:r>
    </w:p>
    <w:p>
      <w:pPr>
        <w:spacing w:after="0" w:line="200" w:lineRule="exact"/>
        <w:rPr>
          <w:sz w:val="20"/>
          <w:szCs w:val="20"/>
          <w:color w:val="auto"/>
        </w:rPr>
      </w:pPr>
    </w:p>
    <w:p>
      <w:pPr>
        <w:spacing w:after="0" w:line="3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105410</wp:posOffset>
            </wp:positionV>
            <wp:extent cx="6114415" cy="59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854"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b w:val="1"/>
          <w:bCs w:val="1"/>
          <w:color w:val="auto"/>
        </w:rPr>
        <w:t>NOTE 3 — PORTFOLIO INVESTMENTS AND FAIR VALUE</w:t>
      </w:r>
    </w:p>
    <w:p>
      <w:pPr>
        <w:spacing w:after="0" w:line="121"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At March 31, 2013, the Company had 63 positions in 45 portfolio companies. The total cost and fair value of the 63 positions were $235,481,893 and $222,154,605, respectively. At December 31, 2012, the Company had 61 positions in 47 portfolio companies. The total cost and fair value of the 61 positions were $237,147,735 and $225,397,085, respectively. The composition of our investments as of March 31, 2013 and December 31, 2012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-85725</wp:posOffset>
            </wp:positionV>
            <wp:extent cx="51796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March 31, 2013 (Unaudited)</w:t>
            </w:r>
          </w:p>
        </w:tc>
        <w:tc>
          <w:tcPr>
            <w:tcW w:w="160" w:type="dxa"/>
            <w:vAlign w:val="bottom"/>
          </w:tcPr>
          <w:p>
            <w:pPr>
              <w:spacing w:after="0"/>
              <w:rPr>
                <w:sz w:val="16"/>
                <w:szCs w:val="16"/>
                <w:color w:val="auto"/>
              </w:rPr>
            </w:pPr>
          </w:p>
        </w:tc>
        <w:tc>
          <w:tcPr>
            <w:tcW w:w="252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96"/>
        </w:trPr>
        <w:tc>
          <w:tcPr>
            <w:tcW w:w="3160" w:type="dxa"/>
            <w:vAlign w:val="bottom"/>
            <w:vMerge w:val="restart"/>
          </w:tcPr>
          <w:p>
            <w:pPr>
              <w:ind w:left="20"/>
              <w:spacing w:after="0"/>
              <w:rPr>
                <w:sz w:val="20"/>
                <w:szCs w:val="20"/>
                <w:color w:val="auto"/>
              </w:rPr>
            </w:pPr>
            <w:r>
              <w:rPr>
                <w:rFonts w:ascii="Arial" w:cs="Arial" w:eastAsia="Arial" w:hAnsi="Arial"/>
                <w:sz w:val="18"/>
                <w:szCs w:val="18"/>
                <w:color w:val="auto"/>
              </w:rPr>
              <w:t>Common Stock</w:t>
            </w: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7"/>
                <w:szCs w:val="17"/>
                <w:color w:val="auto"/>
              </w:rPr>
            </w:pPr>
          </w:p>
        </w:tc>
        <w:tc>
          <w:tcPr>
            <w:tcW w:w="11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3160" w:type="dxa"/>
            <w:vAlign w:val="bottom"/>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0"/>
              </w:rPr>
              <w:t>$ 127,701,404</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88"/>
              </w:rPr>
              <w:t>$ 118,790,833</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$ 132,833,640</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123,820,141</w:t>
            </w:r>
          </w:p>
        </w:tc>
        <w:tc>
          <w:tcPr>
            <w:tcW w:w="0" w:type="dxa"/>
            <w:vAlign w:val="bottom"/>
          </w:tcPr>
          <w:p>
            <w:pPr>
              <w:spacing w:after="0"/>
              <w:rPr>
                <w:sz w:val="1"/>
                <w:szCs w:val="1"/>
                <w:color w:val="auto"/>
              </w:rPr>
            </w:pPr>
          </w:p>
        </w:tc>
      </w:tr>
      <w:tr>
        <w:trPr>
          <w:trHeight w:val="216"/>
        </w:trPr>
        <w:tc>
          <w:tcPr>
            <w:tcW w:w="3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Preferred Stock</w:t>
            </w:r>
          </w:p>
        </w:tc>
        <w:tc>
          <w:tcPr>
            <w:tcW w:w="11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107,150,019</w:t>
            </w:r>
          </w:p>
        </w:tc>
        <w:tc>
          <w:tcPr>
            <w:tcW w:w="126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102,657,139</w:t>
            </w:r>
          </w:p>
        </w:tc>
        <w:tc>
          <w:tcPr>
            <w:tcW w:w="128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103,683,625</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5"/>
              </w:rPr>
              <w:t>100,853,882</w:t>
            </w: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Common Membership Interest</w:t>
            </w:r>
          </w:p>
        </w:tc>
        <w:tc>
          <w:tcPr>
            <w:tcW w:w="1120" w:type="dxa"/>
            <w:vAlign w:val="bottom"/>
          </w:tcPr>
          <w:p>
            <w:pPr>
              <w:jc w:val="right"/>
              <w:spacing w:after="0"/>
              <w:rPr>
                <w:sz w:val="20"/>
                <w:szCs w:val="20"/>
                <w:color w:val="auto"/>
              </w:rPr>
            </w:pPr>
            <w:r>
              <w:rPr>
                <w:rFonts w:ascii="Arial" w:cs="Arial" w:eastAsia="Arial" w:hAnsi="Arial"/>
                <w:sz w:val="18"/>
                <w:szCs w:val="18"/>
                <w:color w:val="auto"/>
              </w:rPr>
              <w:t>500,000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3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Warrants</w:t>
            </w:r>
          </w:p>
        </w:tc>
        <w:tc>
          <w:tcPr>
            <w:tcW w:w="11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130,470</w:t>
            </w:r>
          </w:p>
        </w:tc>
        <w:tc>
          <w:tcPr>
            <w:tcW w:w="126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206,633</w:t>
            </w:r>
          </w:p>
        </w:tc>
        <w:tc>
          <w:tcPr>
            <w:tcW w:w="128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130,470</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223,062</w:t>
            </w:r>
          </w:p>
        </w:tc>
        <w:tc>
          <w:tcPr>
            <w:tcW w:w="0" w:type="dxa"/>
            <w:vAlign w:val="bottom"/>
          </w:tcPr>
          <w:p>
            <w:pPr>
              <w:spacing w:after="0"/>
              <w:rPr>
                <w:sz w:val="1"/>
                <w:szCs w:val="1"/>
                <w:color w:val="auto"/>
              </w:rPr>
            </w:pPr>
          </w:p>
        </w:tc>
      </w:tr>
      <w:tr>
        <w:trPr>
          <w:trHeight w:val="20"/>
        </w:trPr>
        <w:tc>
          <w:tcPr>
            <w:tcW w:w="3160" w:type="dxa"/>
            <w:vAlign w:val="bottom"/>
            <w:shd w:val="clear" w:color="auto" w:fill="CCFFCC"/>
          </w:tcPr>
          <w:p>
            <w:pPr>
              <w:spacing w:after="0" w:line="20" w:lineRule="exact"/>
              <w:rPr>
                <w:sz w:val="1"/>
                <w:szCs w:val="1"/>
                <w:color w:val="auto"/>
              </w:rPr>
            </w:pPr>
          </w:p>
        </w:tc>
        <w:tc>
          <w:tcPr>
            <w:tcW w:w="112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0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tcPr>
          <w:p>
            <w:pPr>
              <w:ind w:left="20"/>
              <w:spacing w:after="0"/>
              <w:rPr>
                <w:sz w:val="20"/>
                <w:szCs w:val="20"/>
                <w:color w:val="auto"/>
              </w:rPr>
            </w:pPr>
            <w:r>
              <w:rPr>
                <w:rFonts w:ascii="Arial" w:cs="Arial" w:eastAsia="Arial" w:hAnsi="Arial"/>
                <w:sz w:val="18"/>
                <w:szCs w:val="18"/>
                <w:color w:val="auto"/>
              </w:rPr>
              <w:t>Total Portfolio Investments</w:t>
            </w:r>
          </w:p>
        </w:tc>
        <w:tc>
          <w:tcPr>
            <w:tcW w:w="1120" w:type="dxa"/>
            <w:vAlign w:val="bottom"/>
          </w:tcPr>
          <w:p>
            <w:pPr>
              <w:jc w:val="right"/>
              <w:spacing w:after="0"/>
              <w:rPr>
                <w:sz w:val="20"/>
                <w:szCs w:val="20"/>
                <w:color w:val="auto"/>
              </w:rPr>
            </w:pPr>
            <w:r>
              <w:rPr>
                <w:rFonts w:ascii="Arial" w:cs="Arial" w:eastAsia="Arial" w:hAnsi="Arial"/>
                <w:sz w:val="18"/>
                <w:szCs w:val="18"/>
                <w:color w:val="auto"/>
              </w:rPr>
              <w:t>235,481,893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222,154,605</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237,147,735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225,397,085</w:t>
            </w:r>
          </w:p>
        </w:tc>
        <w:tc>
          <w:tcPr>
            <w:tcW w:w="0" w:type="dxa"/>
            <w:vAlign w:val="bottom"/>
          </w:tcPr>
          <w:p>
            <w:pPr>
              <w:spacing w:after="0"/>
              <w:rPr>
                <w:sz w:val="1"/>
                <w:szCs w:val="1"/>
                <w:color w:val="auto"/>
              </w:rPr>
            </w:pPr>
          </w:p>
        </w:tc>
      </w:tr>
      <w:tr>
        <w:trPr>
          <w:trHeight w:val="216"/>
        </w:trPr>
        <w:tc>
          <w:tcPr>
            <w:tcW w:w="3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Non-Portfolio Investments</w:t>
            </w:r>
          </w:p>
        </w:tc>
        <w:tc>
          <w:tcPr>
            <w:tcW w:w="11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16,000,000</w:t>
            </w:r>
          </w:p>
        </w:tc>
        <w:tc>
          <w:tcPr>
            <w:tcW w:w="126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16,000,000</w:t>
            </w:r>
          </w:p>
        </w:tc>
        <w:tc>
          <w:tcPr>
            <w:tcW w:w="128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16,000,000</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20"/>
        </w:trPr>
        <w:tc>
          <w:tcPr>
            <w:tcW w:w="3160" w:type="dxa"/>
            <w:vAlign w:val="bottom"/>
            <w:shd w:val="clear" w:color="auto" w:fill="CCFFCC"/>
          </w:tcPr>
          <w:p>
            <w:pPr>
              <w:spacing w:after="0" w:line="20" w:lineRule="exact"/>
              <w:rPr>
                <w:sz w:val="1"/>
                <w:szCs w:val="1"/>
                <w:color w:val="auto"/>
              </w:rPr>
            </w:pPr>
          </w:p>
        </w:tc>
        <w:tc>
          <w:tcPr>
            <w:tcW w:w="112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0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1120" w:type="dxa"/>
            <w:vAlign w:val="bottom"/>
          </w:tcPr>
          <w:p>
            <w:pPr>
              <w:jc w:val="right"/>
              <w:spacing w:after="0"/>
              <w:rPr>
                <w:sz w:val="20"/>
                <w:szCs w:val="20"/>
                <w:color w:val="auto"/>
              </w:rPr>
            </w:pPr>
            <w:r>
              <w:rPr>
                <w:rFonts w:ascii="Arial" w:cs="Arial" w:eastAsia="Arial" w:hAnsi="Arial"/>
                <w:sz w:val="18"/>
                <w:szCs w:val="18"/>
                <w:color w:val="auto"/>
                <w:w w:val="90"/>
              </w:rPr>
              <w:t>$ 251,481,893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$ 238,154,605</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$ 253,147,735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241,397,085</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-462280</wp:posOffset>
            </wp:positionV>
            <wp:extent cx="5213985"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60" w:right="519" w:firstLine="270"/>
        <w:spacing w:after="0" w:line="269" w:lineRule="auto"/>
        <w:rPr>
          <w:sz w:val="20"/>
          <w:szCs w:val="20"/>
          <w:color w:val="auto"/>
        </w:rPr>
      </w:pPr>
      <w:r>
        <w:rPr>
          <w:rFonts w:ascii="Arial" w:cs="Arial" w:eastAsia="Arial" w:hAnsi="Arial"/>
          <w:sz w:val="18"/>
          <w:szCs w:val="18"/>
          <w:color w:val="auto"/>
        </w:rPr>
        <w:t>The table below presents the valuation techniques and the nature of significant inputs used to determine the fair values of our Level 3 investments as of March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1398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Asset</w:t>
            </w:r>
          </w:p>
        </w:tc>
        <w:tc>
          <w:tcPr>
            <w:tcW w:w="160" w:type="dxa"/>
            <w:vAlign w:val="bottom"/>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Valuation Techniques</w:t>
            </w:r>
          </w:p>
        </w:tc>
        <w:tc>
          <w:tcPr>
            <w:tcW w:w="18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Unobservable inputs</w:t>
            </w:r>
          </w:p>
        </w:tc>
        <w:tc>
          <w:tcPr>
            <w:tcW w:w="16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Range (Average)</w:t>
            </w:r>
          </w:p>
        </w:tc>
      </w:tr>
      <w:tr>
        <w:trPr>
          <w:trHeight w:val="195"/>
        </w:trPr>
        <w:tc>
          <w:tcPr>
            <w:tcW w:w="1920" w:type="dxa"/>
            <w:vAlign w:val="bottom"/>
          </w:tcPr>
          <w:p>
            <w:pPr>
              <w:jc w:val="center"/>
              <w:spacing w:after="0" w:line="195" w:lineRule="exact"/>
              <w:rPr>
                <w:sz w:val="20"/>
                <w:szCs w:val="20"/>
                <w:color w:val="auto"/>
              </w:rPr>
            </w:pPr>
            <w:r>
              <w:rPr>
                <w:rFonts w:ascii="Arial" w:cs="Arial" w:eastAsia="Arial" w:hAnsi="Arial"/>
                <w:sz w:val="18"/>
                <w:szCs w:val="18"/>
                <w:color w:val="auto"/>
                <w:w w:val="91"/>
              </w:rPr>
              <w:t>Common stock in private</w:t>
            </w:r>
          </w:p>
        </w:tc>
        <w:tc>
          <w:tcPr>
            <w:tcW w:w="160" w:type="dxa"/>
            <w:vAlign w:val="bottom"/>
          </w:tcPr>
          <w:p>
            <w:pPr>
              <w:spacing w:after="0"/>
              <w:rPr>
                <w:sz w:val="16"/>
                <w:szCs w:val="16"/>
                <w:color w:val="auto"/>
              </w:rPr>
            </w:pPr>
          </w:p>
        </w:tc>
        <w:tc>
          <w:tcPr>
            <w:tcW w:w="1000" w:type="dxa"/>
            <w:vAlign w:val="bottom"/>
          </w:tcPr>
          <w:p>
            <w:pPr>
              <w:ind w:left="20"/>
              <w:spacing w:after="0" w:line="195" w:lineRule="exact"/>
              <w:rPr>
                <w:sz w:val="20"/>
                <w:szCs w:val="20"/>
                <w:color w:val="auto"/>
              </w:rPr>
            </w:pPr>
            <w:r>
              <w:rPr>
                <w:rFonts w:ascii="Arial" w:cs="Arial" w:eastAsia="Arial" w:hAnsi="Arial"/>
                <w:sz w:val="18"/>
                <w:szCs w:val="18"/>
                <w:color w:val="auto"/>
                <w:w w:val="87"/>
              </w:rPr>
              <w:t>$108,246,502</w:t>
            </w:r>
          </w:p>
        </w:tc>
        <w:tc>
          <w:tcPr>
            <w:tcW w:w="180" w:type="dxa"/>
            <w:vAlign w:val="bottom"/>
          </w:tcPr>
          <w:p>
            <w:pPr>
              <w:spacing w:after="0"/>
              <w:rPr>
                <w:sz w:val="16"/>
                <w:szCs w:val="16"/>
                <w:color w:val="auto"/>
              </w:rPr>
            </w:pPr>
          </w:p>
        </w:tc>
        <w:tc>
          <w:tcPr>
            <w:tcW w:w="1400" w:type="dxa"/>
            <w:vAlign w:val="bottom"/>
          </w:tcPr>
          <w:p>
            <w:pPr>
              <w:jc w:val="center"/>
              <w:spacing w:after="0" w:line="195" w:lineRule="exact"/>
              <w:rPr>
                <w:sz w:val="20"/>
                <w:szCs w:val="20"/>
                <w:color w:val="auto"/>
              </w:rPr>
            </w:pPr>
            <w:r>
              <w:rPr>
                <w:rFonts w:ascii="Arial" w:cs="Arial" w:eastAsia="Arial" w:hAnsi="Arial"/>
                <w:sz w:val="18"/>
                <w:szCs w:val="18"/>
                <w:color w:val="auto"/>
                <w:w w:val="90"/>
              </w:rPr>
              <w:t>Market approach</w:t>
            </w:r>
          </w:p>
        </w:tc>
        <w:tc>
          <w:tcPr>
            <w:tcW w:w="180" w:type="dxa"/>
            <w:vAlign w:val="bottom"/>
          </w:tcPr>
          <w:p>
            <w:pPr>
              <w:spacing w:after="0"/>
              <w:rPr>
                <w:sz w:val="16"/>
                <w:szCs w:val="16"/>
                <w:color w:val="auto"/>
              </w:rPr>
            </w:pPr>
          </w:p>
        </w:tc>
        <w:tc>
          <w:tcPr>
            <w:tcW w:w="1660" w:type="dxa"/>
            <w:vAlign w:val="bottom"/>
          </w:tcPr>
          <w:p>
            <w:pPr>
              <w:jc w:val="center"/>
              <w:spacing w:after="0" w:line="195" w:lineRule="exact"/>
              <w:rPr>
                <w:sz w:val="20"/>
                <w:szCs w:val="20"/>
                <w:color w:val="auto"/>
              </w:rPr>
            </w:pPr>
            <w:r>
              <w:rPr>
                <w:rFonts w:ascii="Arial" w:cs="Arial" w:eastAsia="Arial" w:hAnsi="Arial"/>
                <w:sz w:val="18"/>
                <w:szCs w:val="18"/>
                <w:color w:val="auto"/>
                <w:w w:val="87"/>
              </w:rPr>
              <w:t>Precedent transactions</w:t>
            </w:r>
          </w:p>
        </w:tc>
        <w:tc>
          <w:tcPr>
            <w:tcW w:w="160" w:type="dxa"/>
            <w:vAlign w:val="bottom"/>
          </w:tcPr>
          <w:p>
            <w:pPr>
              <w:spacing w:after="0"/>
              <w:rPr>
                <w:sz w:val="16"/>
                <w:szCs w:val="16"/>
                <w:color w:val="auto"/>
              </w:rPr>
            </w:pPr>
          </w:p>
        </w:tc>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99"/>
              </w:rPr>
              <w:t>N/A</w:t>
            </w:r>
          </w:p>
        </w:tc>
      </w:tr>
      <w:tr>
        <w:trPr>
          <w:trHeight w:val="216"/>
        </w:trPr>
        <w:tc>
          <w:tcPr>
            <w:tcW w:w="1920" w:type="dxa"/>
            <w:vAlign w:val="bottom"/>
          </w:tcPr>
          <w:p>
            <w:pPr>
              <w:jc w:val="center"/>
              <w:spacing w:after="0"/>
              <w:rPr>
                <w:sz w:val="20"/>
                <w:szCs w:val="20"/>
                <w:color w:val="auto"/>
              </w:rPr>
            </w:pPr>
            <w:r>
              <w:rPr>
                <w:rFonts w:ascii="Arial" w:cs="Arial" w:eastAsia="Arial" w:hAnsi="Arial"/>
                <w:sz w:val="18"/>
                <w:szCs w:val="18"/>
                <w:color w:val="auto"/>
                <w:w w:val="89"/>
              </w:rPr>
              <w:t>companies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Income approach</w:t>
            </w:r>
          </w:p>
        </w:tc>
        <w:tc>
          <w:tcPr>
            <w:tcW w:w="1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Revenue multiples</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1.3x – 9.4x (3.4x)</w:t>
            </w:r>
          </w:p>
        </w:tc>
      </w:tr>
      <w:tr>
        <w:trPr>
          <w:trHeight w:val="216"/>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Revenue growth rate</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20% – 50% (38%)</w:t>
            </w:r>
          </w:p>
        </w:tc>
      </w:tr>
      <w:tr>
        <w:trPr>
          <w:trHeight w:val="216"/>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(5 year)</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6"/>
              </w:rPr>
              <w:t>EBIT multiples</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9.3x – 40.7x (23.8x)</w:t>
            </w:r>
          </w:p>
        </w:tc>
      </w:tr>
      <w:tr>
        <w:trPr>
          <w:trHeight w:val="216"/>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EBIT margin (5 year)</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15% – 30% (24%)</w:t>
            </w:r>
          </w:p>
        </w:tc>
      </w:tr>
      <w:tr>
        <w:trPr>
          <w:trHeight w:val="216"/>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Discount rate</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35% – 50% (38%)</w:t>
            </w:r>
          </w:p>
        </w:tc>
      </w:tr>
      <w:tr>
        <w:trPr>
          <w:trHeight w:val="216"/>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Scenario analysis</w:t>
            </w:r>
          </w:p>
        </w:tc>
        <w:tc>
          <w:tcPr>
            <w:tcW w:w="1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8"/>
              </w:rPr>
              <w:t>IPO/M&amp;A probability</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50/50% – 80/20%</w:t>
            </w:r>
          </w:p>
        </w:tc>
      </w:tr>
      <w:tr>
        <w:trPr>
          <w:trHeight w:val="216"/>
        </w:trPr>
        <w:tc>
          <w:tcPr>
            <w:tcW w:w="1920" w:type="dxa"/>
            <w:vAlign w:val="bottom"/>
          </w:tcPr>
          <w:p>
            <w:pPr>
              <w:jc w:val="center"/>
              <w:spacing w:after="0"/>
              <w:rPr>
                <w:sz w:val="20"/>
                <w:szCs w:val="20"/>
                <w:color w:val="auto"/>
              </w:rPr>
            </w:pPr>
            <w:r>
              <w:rPr>
                <w:rFonts w:ascii="Arial" w:cs="Arial" w:eastAsia="Arial" w:hAnsi="Arial"/>
                <w:sz w:val="18"/>
                <w:szCs w:val="18"/>
                <w:color w:val="auto"/>
                <w:w w:val="90"/>
              </w:rPr>
              <w:t>Preferred stock in private</w:t>
            </w: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w w:val="95"/>
              </w:rPr>
              <w:t>102,657,139</w:t>
            </w: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Market approach</w:t>
            </w:r>
          </w:p>
        </w:tc>
        <w:tc>
          <w:tcPr>
            <w:tcW w:w="1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Precedent transactions</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16"/>
        </w:trPr>
        <w:tc>
          <w:tcPr>
            <w:tcW w:w="1920" w:type="dxa"/>
            <w:vAlign w:val="bottom"/>
          </w:tcPr>
          <w:p>
            <w:pPr>
              <w:jc w:val="center"/>
              <w:spacing w:after="0"/>
              <w:rPr>
                <w:sz w:val="20"/>
                <w:szCs w:val="20"/>
                <w:color w:val="auto"/>
              </w:rPr>
            </w:pPr>
            <w:r>
              <w:rPr>
                <w:rFonts w:ascii="Arial" w:cs="Arial" w:eastAsia="Arial" w:hAnsi="Arial"/>
                <w:sz w:val="18"/>
                <w:szCs w:val="18"/>
                <w:color w:val="auto"/>
                <w:w w:val="89"/>
              </w:rPr>
              <w:t>companies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Income approach</w:t>
            </w:r>
          </w:p>
        </w:tc>
        <w:tc>
          <w:tcPr>
            <w:tcW w:w="1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Revenue multiples</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0.8x – 9.4x (2.8x)</w:t>
            </w:r>
          </w:p>
        </w:tc>
      </w:tr>
      <w:tr>
        <w:trPr>
          <w:trHeight w:val="216"/>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Revenue growth rate</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15% – 50% (44%)</w:t>
            </w:r>
          </w:p>
        </w:tc>
      </w:tr>
      <w:tr>
        <w:trPr>
          <w:trHeight w:val="216"/>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(5 year)</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6"/>
              </w:rPr>
              <w:t>EBIT multiples</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6.9x – 40.7x (16.8x)</w:t>
            </w:r>
          </w:p>
        </w:tc>
      </w:tr>
      <w:tr>
        <w:trPr>
          <w:trHeight w:val="216"/>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EBIT margin (5 year)</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5% – 50% (23%)</w:t>
            </w:r>
          </w:p>
        </w:tc>
      </w:tr>
      <w:tr>
        <w:trPr>
          <w:trHeight w:val="216"/>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Discount rate</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35% – 50% (43%)</w:t>
            </w:r>
          </w:p>
        </w:tc>
      </w:tr>
      <w:tr>
        <w:trPr>
          <w:trHeight w:val="216"/>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Scenario analysis</w:t>
            </w:r>
          </w:p>
        </w:tc>
        <w:tc>
          <w:tcPr>
            <w:tcW w:w="1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8"/>
              </w:rPr>
              <w:t>IPO/M&amp;A probability</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75/25% – 25/75%</w:t>
            </w:r>
          </w:p>
        </w:tc>
      </w:tr>
      <w:tr>
        <w:trPr>
          <w:trHeight w:val="216"/>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4"/>
              </w:rPr>
              <w:t>Liquidity preference</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16"/>
        </w:trPr>
        <w:tc>
          <w:tcPr>
            <w:tcW w:w="1920" w:type="dxa"/>
            <w:vAlign w:val="bottom"/>
          </w:tcPr>
          <w:p>
            <w:pPr>
              <w:jc w:val="center"/>
              <w:spacing w:after="0"/>
              <w:rPr>
                <w:sz w:val="20"/>
                <w:szCs w:val="20"/>
                <w:color w:val="auto"/>
              </w:rPr>
            </w:pPr>
            <w:r>
              <w:rPr>
                <w:rFonts w:ascii="Arial" w:cs="Arial" w:eastAsia="Arial" w:hAnsi="Arial"/>
                <w:sz w:val="18"/>
                <w:szCs w:val="18"/>
                <w:color w:val="auto"/>
                <w:w w:val="90"/>
              </w:rPr>
              <w:t>Common membership</w:t>
            </w: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500,000</w:t>
            </w: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Market approach</w:t>
            </w:r>
          </w:p>
        </w:tc>
        <w:tc>
          <w:tcPr>
            <w:tcW w:w="1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Precedent transactions</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16"/>
        </w:trPr>
        <w:tc>
          <w:tcPr>
            <w:tcW w:w="1920" w:type="dxa"/>
            <w:vAlign w:val="bottom"/>
          </w:tcPr>
          <w:p>
            <w:pPr>
              <w:jc w:val="center"/>
              <w:spacing w:after="0"/>
              <w:rPr>
                <w:sz w:val="20"/>
                <w:szCs w:val="20"/>
                <w:color w:val="auto"/>
              </w:rPr>
            </w:pPr>
            <w:r>
              <w:rPr>
                <w:rFonts w:ascii="Arial" w:cs="Arial" w:eastAsia="Arial" w:hAnsi="Arial"/>
                <w:sz w:val="18"/>
                <w:szCs w:val="18"/>
                <w:color w:val="auto"/>
                <w:w w:val="91"/>
              </w:rPr>
              <w:t>interest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1920" w:type="dxa"/>
            <w:vAlign w:val="bottom"/>
          </w:tcPr>
          <w:p>
            <w:pPr>
              <w:jc w:val="center"/>
              <w:spacing w:after="0"/>
              <w:rPr>
                <w:sz w:val="20"/>
                <w:szCs w:val="20"/>
                <w:color w:val="auto"/>
              </w:rPr>
            </w:pPr>
            <w:r>
              <w:rPr>
                <w:rFonts w:ascii="Arial" w:cs="Arial" w:eastAsia="Arial" w:hAnsi="Arial"/>
                <w:sz w:val="18"/>
                <w:szCs w:val="18"/>
                <w:color w:val="auto"/>
                <w:w w:val="87"/>
              </w:rPr>
              <w:t>Warrants</w:t>
            </w: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206,633</w:t>
            </w: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Option pricing</w:t>
            </w:r>
          </w:p>
        </w:tc>
        <w:tc>
          <w:tcPr>
            <w:tcW w:w="1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Term to expiration*</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See below</w:t>
            </w:r>
          </w:p>
        </w:tc>
      </w:tr>
      <w:tr>
        <w:trPr>
          <w:trHeight w:val="216"/>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model</w:t>
            </w:r>
          </w:p>
        </w:tc>
        <w:tc>
          <w:tcPr>
            <w:tcW w:w="1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Stock price*</w:t>
            </w:r>
          </w:p>
        </w:tc>
        <w:tc>
          <w:tcPr>
            <w:tcW w:w="16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See below</w:t>
            </w:r>
          </w:p>
        </w:tc>
      </w:tr>
      <w:tr>
        <w:trPr>
          <w:trHeight w:val="230"/>
        </w:trPr>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rPr>
              <w:t>Volatility*</w:t>
            </w:r>
          </w:p>
        </w:tc>
        <w:tc>
          <w:tcPr>
            <w:tcW w:w="16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See below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171450</wp:posOffset>
            </wp:positionV>
            <wp:extent cx="6172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00" w:right="539" w:hanging="272"/>
        <w:spacing w:after="0" w:line="308" w:lineRule="auto"/>
        <w:tabs>
          <w:tab w:leader="none" w:pos="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Echo System Corp. warrants have an estimated term of 3.63 years, a stock price of $3.20 and a volatility of 36%, and the SharesPost, Inc. warrants have an estimated term of 2.75 years, a stock price of $0.31 and a volatility of 47%.</w:t>
      </w:r>
    </w:p>
    <w:p>
      <w:pPr>
        <w:spacing w:after="0" w:line="200" w:lineRule="exact"/>
        <w:rPr>
          <w:sz w:val="20"/>
          <w:szCs w:val="20"/>
          <w:color w:val="auto"/>
        </w:rPr>
      </w:pPr>
    </w:p>
    <w:p>
      <w:pPr>
        <w:spacing w:after="0" w:line="28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91" w:right="1440" w:bottom="1440" w:gutter="0" w:footer="0" w:header="0"/>
        </w:sectPr>
      </w:pPr>
    </w:p>
    <w:bookmarkStart w:id="23" w:name="page24"/>
    <w:bookmarkEnd w:id="23"/>
    <w:p>
      <w:pPr>
        <w:jc w:val="both"/>
        <w:ind w:left="60" w:right="519" w:firstLine="270"/>
        <w:spacing w:after="0" w:line="264" w:lineRule="auto"/>
        <w:rPr>
          <w:sz w:val="20"/>
          <w:szCs w:val="20"/>
          <w:color w:val="auto"/>
        </w:rPr>
      </w:pPr>
      <w:r>
        <w:rPr>
          <w:rFonts w:ascii="Arial" w:cs="Arial" w:eastAsia="Arial" w:hAnsi="Arial"/>
          <w:sz w:val="18"/>
          <w:szCs w:val="18"/>
          <w:color w:val="auto"/>
        </w:rPr>
        <w:t>The significant unobservable inputs used in determining the fair value of the warrants are the term to expiration, stock price and volatility. Volatility is based on a combination of implied and historical volatility indications. A higher stock price and a longer time to expiration result in higher values, all else equal.</w:t>
      </w:r>
    </w:p>
    <w:p>
      <w:pPr>
        <w:spacing w:after="0" w:line="73" w:lineRule="exact"/>
        <w:rPr>
          <w:sz w:val="20"/>
          <w:szCs w:val="20"/>
          <w:color w:val="auto"/>
        </w:rPr>
      </w:pPr>
    </w:p>
    <w:p>
      <w:pPr>
        <w:jc w:val="both"/>
        <w:ind w:left="60" w:right="519" w:firstLine="270"/>
        <w:spacing w:after="0" w:line="269" w:lineRule="auto"/>
        <w:rPr>
          <w:sz w:val="20"/>
          <w:szCs w:val="20"/>
          <w:color w:val="auto"/>
        </w:rPr>
      </w:pPr>
      <w:r>
        <w:rPr>
          <w:rFonts w:ascii="Arial" w:cs="Arial" w:eastAsia="Arial" w:hAnsi="Arial"/>
          <w:sz w:val="18"/>
          <w:szCs w:val="18"/>
          <w:color w:val="auto"/>
        </w:rPr>
        <w:t>The fair values of our investments disaggregated into the three levels of the fair value hierarchy based upon the lowest level of significant input used in the valuation as of March 31, 2013 and December 31, 2012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139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3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w w:val="97"/>
              </w:rPr>
              <w:t>As of March 31, 2013 (Unaudited)</w:t>
            </w: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93"/>
              </w:rPr>
              <w:t>Quoted Prices in</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4"/>
          </w:tcPr>
          <w:p>
            <w:pPr>
              <w:jc w:val="center"/>
              <w:ind w:right="20"/>
              <w:spacing w:after="0" w:line="160" w:lineRule="exact"/>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3"/>
                <w:szCs w:val="13"/>
                <w:color w:val="auto"/>
              </w:rPr>
            </w:pPr>
          </w:p>
        </w:tc>
        <w:tc>
          <w:tcPr>
            <w:tcW w:w="110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280"/>
              <w:spacing w:after="0" w:line="160"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Identical Securities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80" w:type="dxa"/>
            <w:vAlign w:val="bottom"/>
            <w:vMerge w:val="restart"/>
          </w:tcPr>
          <w:p>
            <w:pPr>
              <w:ind w:left="20"/>
              <w:spacing w:after="0"/>
              <w:rPr>
                <w:sz w:val="20"/>
                <w:szCs w:val="20"/>
                <w:color w:val="auto"/>
              </w:rPr>
            </w:pPr>
            <w:r>
              <w:rPr>
                <w:rFonts w:ascii="Arial" w:cs="Arial" w:eastAsia="Arial" w:hAnsi="Arial"/>
                <w:sz w:val="18"/>
                <w:szCs w:val="18"/>
                <w:color w:val="auto"/>
              </w:rPr>
              <w:t>Common Stock</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8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8,953,000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1,591,331</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$ 108,246,502</w:t>
            </w:r>
          </w:p>
        </w:tc>
        <w:tc>
          <w:tcPr>
            <w:tcW w:w="1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118,790,833</w:t>
            </w:r>
          </w:p>
        </w:tc>
        <w:tc>
          <w:tcPr>
            <w:tcW w:w="0" w:type="dxa"/>
            <w:vAlign w:val="bottom"/>
          </w:tcPr>
          <w:p>
            <w:pPr>
              <w:spacing w:after="0"/>
              <w:rPr>
                <w:sz w:val="1"/>
                <w:szCs w:val="1"/>
                <w:color w:val="auto"/>
              </w:rPr>
            </w:pPr>
          </w:p>
        </w:tc>
      </w:tr>
      <w:tr>
        <w:trPr>
          <w:trHeight w:val="216"/>
        </w:trPr>
        <w:tc>
          <w:tcPr>
            <w:tcW w:w="308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102,657,139</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3"/>
              </w:rPr>
              <w:t>102,657,139</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16,000,000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216"/>
        </w:trPr>
        <w:tc>
          <w:tcPr>
            <w:tcW w:w="30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Common Membership Interest</w:t>
            </w: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500,000</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206,633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206,633</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8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24,953,000</w:t>
            </w:r>
          </w:p>
        </w:tc>
        <w:tc>
          <w:tcPr>
            <w:tcW w:w="80" w:type="dxa"/>
            <w:vAlign w:val="bottom"/>
            <w:tcBorders>
              <w:left w:val="single" w:sz="8" w:color="CCFFCC"/>
            </w:tcBorders>
            <w:shd w:val="clear" w:color="auto" w:fill="CCFFCC"/>
          </w:tcPr>
          <w:p>
            <w:pPr>
              <w:spacing w:after="0"/>
              <w:rPr>
                <w:sz w:val="20"/>
                <w:szCs w:val="20"/>
                <w:color w:val="auto"/>
              </w:rPr>
            </w:pPr>
          </w:p>
        </w:tc>
        <w:tc>
          <w:tcPr>
            <w:tcW w:w="340" w:type="dxa"/>
            <w:vAlign w:val="bottom"/>
            <w:gridSpan w:val="3"/>
            <w:shd w:val="clear" w:color="auto" w:fill="CCFFCC"/>
          </w:tcPr>
          <w:p>
            <w:pPr>
              <w:jc w:val="right"/>
              <w:ind w:right="9"/>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1,591,331</w:t>
            </w:r>
          </w:p>
        </w:tc>
        <w:tc>
          <w:tcPr>
            <w:tcW w:w="12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$ 211,610,274</w:t>
            </w:r>
          </w:p>
        </w:tc>
        <w:tc>
          <w:tcPr>
            <w:tcW w:w="320" w:type="dxa"/>
            <w:vAlign w:val="bottom"/>
            <w:gridSpan w:val="2"/>
            <w:shd w:val="clear" w:color="auto" w:fill="CCFFCC"/>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3"/>
              </w:rPr>
              <w:t>238,154,605</w:t>
            </w:r>
          </w:p>
        </w:tc>
        <w:tc>
          <w:tcPr>
            <w:tcW w:w="0" w:type="dxa"/>
            <w:vAlign w:val="bottom"/>
          </w:tcPr>
          <w:p>
            <w:pPr>
              <w:spacing w:after="0"/>
              <w:rPr>
                <w:sz w:val="1"/>
                <w:szCs w:val="1"/>
                <w:color w:val="auto"/>
              </w:rPr>
            </w:pPr>
          </w:p>
        </w:tc>
      </w:tr>
      <w:tr>
        <w:trPr>
          <w:trHeight w:val="20"/>
        </w:trPr>
        <w:tc>
          <w:tcPr>
            <w:tcW w:w="30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rPr>
              <w:t>As of December 31, 2012</w:t>
            </w: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60"/>
              <w:spacing w:after="0" w:line="160" w:lineRule="exact"/>
              <w:rPr>
                <w:sz w:val="20"/>
                <w:szCs w:val="20"/>
                <w:color w:val="auto"/>
              </w:rPr>
            </w:pPr>
            <w:r>
              <w:rPr>
                <w:rFonts w:ascii="Arial" w:cs="Arial" w:eastAsia="Arial" w:hAnsi="Arial"/>
                <w:sz w:val="14"/>
                <w:szCs w:val="14"/>
                <w:b w:val="1"/>
                <w:bCs w:val="1"/>
                <w:color w:val="auto"/>
                <w:w w:val="93"/>
              </w:rPr>
              <w:t>Quoted Prices in</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4"/>
          </w:tcPr>
          <w:p>
            <w:pPr>
              <w:jc w:val="center"/>
              <w:spacing w:after="0" w:line="160" w:lineRule="exact"/>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3"/>
                <w:szCs w:val="13"/>
                <w:color w:val="auto"/>
              </w:rPr>
            </w:pPr>
          </w:p>
        </w:tc>
        <w:tc>
          <w:tcPr>
            <w:tcW w:w="110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280"/>
              <w:spacing w:after="0" w:line="160"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Identical Securities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80" w:type="dxa"/>
            <w:vAlign w:val="bottom"/>
            <w:vMerge w:val="restart"/>
          </w:tcPr>
          <w:p>
            <w:pPr>
              <w:ind w:left="20"/>
              <w:spacing w:after="0"/>
              <w:rPr>
                <w:sz w:val="20"/>
                <w:szCs w:val="20"/>
                <w:color w:val="auto"/>
              </w:rPr>
            </w:pPr>
            <w:r>
              <w:rPr>
                <w:rFonts w:ascii="Arial" w:cs="Arial" w:eastAsia="Arial" w:hAnsi="Arial"/>
                <w:sz w:val="18"/>
                <w:szCs w:val="18"/>
                <w:color w:val="auto"/>
              </w:rPr>
              <w:t>Common Stock</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8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10,964,466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$ 112,855,675</w:t>
            </w:r>
          </w:p>
        </w:tc>
        <w:tc>
          <w:tcPr>
            <w:tcW w:w="1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123,820,141</w:t>
            </w:r>
          </w:p>
        </w:tc>
        <w:tc>
          <w:tcPr>
            <w:tcW w:w="0" w:type="dxa"/>
            <w:vAlign w:val="bottom"/>
          </w:tcPr>
          <w:p>
            <w:pPr>
              <w:spacing w:after="0"/>
              <w:rPr>
                <w:sz w:val="1"/>
                <w:szCs w:val="1"/>
                <w:color w:val="auto"/>
              </w:rPr>
            </w:pPr>
          </w:p>
        </w:tc>
      </w:tr>
      <w:tr>
        <w:trPr>
          <w:trHeight w:val="216"/>
        </w:trPr>
        <w:tc>
          <w:tcPr>
            <w:tcW w:w="308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100,853,882</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3"/>
              </w:rPr>
              <w:t>100,853,882</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16,000,000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216"/>
        </w:trPr>
        <w:tc>
          <w:tcPr>
            <w:tcW w:w="30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Common Membership Interest</w:t>
            </w: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500,000</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223,062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223,062</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8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26,964,466</w:t>
            </w:r>
          </w:p>
        </w:tc>
        <w:tc>
          <w:tcPr>
            <w:tcW w:w="3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$ 214,432,619</w:t>
            </w:r>
          </w:p>
        </w:tc>
        <w:tc>
          <w:tcPr>
            <w:tcW w:w="320" w:type="dxa"/>
            <w:vAlign w:val="bottom"/>
            <w:gridSpan w:val="2"/>
            <w:shd w:val="clear" w:color="auto" w:fill="CCFFCC"/>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3"/>
              </w:rPr>
              <w:t>241,397,085</w:t>
            </w:r>
          </w:p>
        </w:tc>
        <w:tc>
          <w:tcPr>
            <w:tcW w:w="0" w:type="dxa"/>
            <w:vAlign w:val="bottom"/>
          </w:tcPr>
          <w:p>
            <w:pPr>
              <w:spacing w:after="0"/>
              <w:rPr>
                <w:sz w:val="1"/>
                <w:szCs w:val="1"/>
                <w:color w:val="auto"/>
              </w:rPr>
            </w:pPr>
          </w:p>
        </w:tc>
      </w:tr>
      <w:tr>
        <w:trPr>
          <w:trHeight w:val="20"/>
        </w:trPr>
        <w:tc>
          <w:tcPr>
            <w:tcW w:w="30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left w:val="single" w:sz="8" w:color="auto"/>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-1448435</wp:posOffset>
            </wp:positionV>
            <wp:extent cx="19551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-1423035</wp:posOffset>
            </wp:positionV>
            <wp:extent cx="19551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2707640</wp:posOffset>
            </wp:positionH>
            <wp:positionV relativeFrom="paragraph">
              <wp:posOffset>-1448435</wp:posOffset>
            </wp:positionV>
            <wp:extent cx="1543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2707640</wp:posOffset>
            </wp:positionH>
            <wp:positionV relativeFrom="paragraph">
              <wp:posOffset>-1423035</wp:posOffset>
            </wp:positionV>
            <wp:extent cx="1543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3522345</wp:posOffset>
            </wp:positionH>
            <wp:positionV relativeFrom="paragraph">
              <wp:posOffset>-1448435</wp:posOffset>
            </wp:positionV>
            <wp:extent cx="1543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3522345</wp:posOffset>
            </wp:positionH>
            <wp:positionV relativeFrom="paragraph">
              <wp:posOffset>-1423035</wp:posOffset>
            </wp:positionV>
            <wp:extent cx="1543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-1448435</wp:posOffset>
            </wp:positionV>
            <wp:extent cx="1460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-1423035</wp:posOffset>
            </wp:positionV>
            <wp:extent cx="1460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5177155</wp:posOffset>
            </wp:positionH>
            <wp:positionV relativeFrom="paragraph">
              <wp:posOffset>-1448435</wp:posOffset>
            </wp:positionV>
            <wp:extent cx="431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5177155</wp:posOffset>
            </wp:positionH>
            <wp:positionV relativeFrom="paragraph">
              <wp:posOffset>-1423035</wp:posOffset>
            </wp:positionV>
            <wp:extent cx="431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19551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19551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2733040</wp:posOffset>
            </wp:positionH>
            <wp:positionV relativeFrom="paragraph">
              <wp:posOffset>-33655</wp:posOffset>
            </wp:positionV>
            <wp:extent cx="1543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2733040</wp:posOffset>
            </wp:positionH>
            <wp:positionV relativeFrom="paragraph">
              <wp:posOffset>-8255</wp:posOffset>
            </wp:positionV>
            <wp:extent cx="1543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-33655</wp:posOffset>
            </wp:positionV>
            <wp:extent cx="2489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-8255</wp:posOffset>
            </wp:positionV>
            <wp:extent cx="2489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-33655</wp:posOffset>
            </wp:positionV>
            <wp:extent cx="1460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-8255</wp:posOffset>
            </wp:positionV>
            <wp:extent cx="1460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5177155</wp:posOffset>
            </wp:positionH>
            <wp:positionV relativeFrom="paragraph">
              <wp:posOffset>-33655</wp:posOffset>
            </wp:positionV>
            <wp:extent cx="431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5177155</wp:posOffset>
            </wp:positionH>
            <wp:positionV relativeFrom="paragraph">
              <wp:posOffset>-8255</wp:posOffset>
            </wp:positionV>
            <wp:extent cx="431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-1491615</wp:posOffset>
            </wp:positionV>
            <wp:extent cx="52139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4" w:lineRule="exact"/>
        <w:rPr>
          <w:sz w:val="20"/>
          <w:szCs w:val="20"/>
          <w:color w:val="auto"/>
        </w:rPr>
      </w:pPr>
    </w:p>
    <w:p>
      <w:pPr>
        <w:ind w:left="60" w:right="539" w:firstLine="270"/>
        <w:spacing w:after="0" w:line="269" w:lineRule="auto"/>
        <w:rPr>
          <w:sz w:val="20"/>
          <w:szCs w:val="20"/>
          <w:color w:val="auto"/>
        </w:rPr>
      </w:pPr>
      <w:r>
        <w:rPr>
          <w:rFonts w:ascii="Arial" w:cs="Arial" w:eastAsia="Arial" w:hAnsi="Arial"/>
          <w:sz w:val="18"/>
          <w:szCs w:val="18"/>
          <w:color w:val="auto"/>
        </w:rPr>
        <w:t>The aggregate values of Level 3 portfolio investments changed during the three months ended March 31, 2013 and the year ended December 31, 2012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139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9"/>
          </w:tcPr>
          <w:p>
            <w:pPr>
              <w:jc w:val="center"/>
              <w:ind w:right="60"/>
              <w:spacing w:after="0"/>
              <w:rPr>
                <w:sz w:val="20"/>
                <w:szCs w:val="20"/>
                <w:color w:val="auto"/>
              </w:rPr>
            </w:pPr>
            <w:r>
              <w:rPr>
                <w:rFonts w:ascii="Arial" w:cs="Arial" w:eastAsia="Arial" w:hAnsi="Arial"/>
                <w:sz w:val="14"/>
                <w:szCs w:val="14"/>
                <w:b w:val="1"/>
                <w:bCs w:val="1"/>
                <w:color w:val="auto"/>
                <w:w w:val="93"/>
              </w:rPr>
              <w:t>Three months ended March 31, 2013 (Unaudited)</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60"/>
              <w:spacing w:after="0" w:line="160" w:lineRule="exact"/>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300"/>
              <w:spacing w:after="0" w:line="160" w:lineRule="exact"/>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3"/>
                <w:szCs w:val="13"/>
                <w:color w:val="auto"/>
              </w:rPr>
            </w:pPr>
          </w:p>
        </w:tc>
        <w:tc>
          <w:tcPr>
            <w:tcW w:w="96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240"/>
              <w:spacing w:after="0" w:line="160" w:lineRule="exact"/>
              <w:rPr>
                <w:sz w:val="20"/>
                <w:szCs w:val="20"/>
                <w:color w:val="auto"/>
              </w:rPr>
            </w:pPr>
            <w:r>
              <w:rPr>
                <w:rFonts w:ascii="Arial" w:cs="Arial" w:eastAsia="Arial" w:hAnsi="Arial"/>
                <w:sz w:val="14"/>
                <w:szCs w:val="14"/>
                <w:b w:val="1"/>
                <w:bCs w:val="1"/>
                <w:color w:val="auto"/>
              </w:rPr>
              <w:t>Warrants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400"/>
              <w:spacing w:after="0" w:line="160"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Membership</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00" w:type="dxa"/>
            <w:vAlign w:val="bottom"/>
            <w:vMerge w:val="restart"/>
          </w:tcPr>
          <w:p>
            <w:pPr>
              <w:ind w:left="20"/>
              <w:spacing w:after="0"/>
              <w:rPr>
                <w:sz w:val="20"/>
                <w:szCs w:val="20"/>
                <w:color w:val="auto"/>
              </w:rPr>
            </w:pPr>
            <w:r>
              <w:rPr>
                <w:rFonts w:ascii="Arial" w:cs="Arial" w:eastAsia="Arial" w:hAnsi="Arial"/>
                <w:sz w:val="18"/>
                <w:szCs w:val="18"/>
                <w:color w:val="auto"/>
                <w:w w:val="97"/>
              </w:rPr>
              <w:t>Fair value as of December 31,</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400" w:type="dxa"/>
            <w:vAlign w:val="bottom"/>
            <w:vMerge w:val="continue"/>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w w:val="87"/>
              </w:rPr>
              <w:t>112,855,675</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line="195" w:lineRule="exact"/>
              <w:rPr>
                <w:sz w:val="20"/>
                <w:szCs w:val="20"/>
                <w:color w:val="auto"/>
              </w:rPr>
            </w:pPr>
            <w:r>
              <w:rPr>
                <w:rFonts w:ascii="Arial" w:cs="Arial" w:eastAsia="Arial" w:hAnsi="Arial"/>
                <w:sz w:val="18"/>
                <w:szCs w:val="18"/>
                <w:color w:val="auto"/>
                <w:w w:val="87"/>
              </w:rPr>
              <w:t>100,853,882</w:t>
            </w: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rPr>
              <w:t>500,000</w:t>
            </w:r>
          </w:p>
        </w:tc>
        <w:tc>
          <w:tcPr>
            <w:tcW w:w="8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line="195" w:lineRule="exact"/>
              <w:rPr>
                <w:sz w:val="20"/>
                <w:szCs w:val="20"/>
                <w:color w:val="auto"/>
              </w:rPr>
            </w:pPr>
            <w:r>
              <w:rPr>
                <w:rFonts w:ascii="Arial" w:cs="Arial" w:eastAsia="Arial" w:hAnsi="Arial"/>
                <w:sz w:val="18"/>
                <w:szCs w:val="18"/>
                <w:color w:val="auto"/>
              </w:rPr>
              <w:t>223,062</w:t>
            </w:r>
          </w:p>
        </w:tc>
        <w:tc>
          <w:tcPr>
            <w:tcW w:w="80" w:type="dxa"/>
            <w:vAlign w:val="bottom"/>
          </w:tcPr>
          <w:p>
            <w:pPr>
              <w:spacing w:after="0"/>
              <w:rPr>
                <w:sz w:val="16"/>
                <w:szCs w:val="16"/>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w w:val="87"/>
              </w:rPr>
              <w:t>214,432,619</w:t>
            </w:r>
          </w:p>
        </w:tc>
        <w:tc>
          <w:tcPr>
            <w:tcW w:w="0" w:type="dxa"/>
            <w:vAlign w:val="bottom"/>
          </w:tcPr>
          <w:p>
            <w:pPr>
              <w:spacing w:after="0"/>
              <w:rPr>
                <w:sz w:val="1"/>
                <w:szCs w:val="1"/>
                <w:color w:val="auto"/>
              </w:rPr>
            </w:pPr>
          </w:p>
        </w:tc>
      </w:tr>
      <w:tr>
        <w:trPr>
          <w:trHeight w:val="230"/>
        </w:trPr>
        <w:tc>
          <w:tcPr>
            <w:tcW w:w="2400" w:type="dxa"/>
            <w:vAlign w:val="bottom"/>
          </w:tcPr>
          <w:p>
            <w:pPr>
              <w:ind w:left="20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Purchases of investments</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3,466,394</w:t>
            </w:r>
          </w:p>
        </w:tc>
        <w:tc>
          <w:tcPr>
            <w:tcW w:w="1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3,466,394</w:t>
            </w:r>
          </w:p>
        </w:tc>
        <w:tc>
          <w:tcPr>
            <w:tcW w:w="0" w:type="dxa"/>
            <w:vAlign w:val="bottom"/>
          </w:tcPr>
          <w:p>
            <w:pPr>
              <w:spacing w:after="0"/>
              <w:rPr>
                <w:sz w:val="1"/>
                <w:szCs w:val="1"/>
                <w:color w:val="auto"/>
              </w:rPr>
            </w:pPr>
          </w:p>
        </w:tc>
      </w:tr>
      <w:tr>
        <w:trPr>
          <w:trHeight w:val="202"/>
        </w:trPr>
        <w:tc>
          <w:tcPr>
            <w:tcW w:w="2400" w:type="dxa"/>
            <w:vAlign w:val="bottom"/>
          </w:tcPr>
          <w:p>
            <w:pPr>
              <w:ind w:left="20"/>
              <w:spacing w:after="0" w:line="201" w:lineRule="exact"/>
              <w:rPr>
                <w:sz w:val="20"/>
                <w:szCs w:val="20"/>
                <w:color w:val="auto"/>
              </w:rPr>
            </w:pPr>
            <w:r>
              <w:rPr>
                <w:rFonts w:ascii="Arial" w:cs="Arial" w:eastAsia="Arial" w:hAnsi="Arial"/>
                <w:sz w:val="18"/>
                <w:szCs w:val="18"/>
                <w:color w:val="auto"/>
              </w:rPr>
              <w:t>Change in unrealized</w:t>
            </w:r>
          </w:p>
        </w:tc>
        <w:tc>
          <w:tcPr>
            <w:tcW w:w="100" w:type="dxa"/>
            <w:vAlign w:val="bottom"/>
          </w:tcPr>
          <w:p>
            <w:pPr>
              <w:spacing w:after="0"/>
              <w:rPr>
                <w:sz w:val="17"/>
                <w:szCs w:val="17"/>
                <w:color w:val="auto"/>
              </w:rPr>
            </w:pPr>
          </w:p>
        </w:tc>
        <w:tc>
          <w:tcPr>
            <w:tcW w:w="100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(3,017,842)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(1,663,137)</w:t>
            </w:r>
          </w:p>
        </w:tc>
        <w:tc>
          <w:tcPr>
            <w:tcW w:w="140" w:type="dxa"/>
            <w:vAlign w:val="bottom"/>
          </w:tcPr>
          <w:p>
            <w:pPr>
              <w:spacing w:after="0"/>
              <w:rPr>
                <w:sz w:val="17"/>
                <w:szCs w:val="17"/>
                <w:color w:val="auto"/>
              </w:rPr>
            </w:pPr>
          </w:p>
        </w:tc>
        <w:tc>
          <w:tcPr>
            <w:tcW w:w="96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(16,429)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(4,697,408)</w:t>
            </w:r>
          </w:p>
        </w:tc>
        <w:tc>
          <w:tcPr>
            <w:tcW w:w="0" w:type="dxa"/>
            <w:vAlign w:val="bottom"/>
          </w:tcPr>
          <w:p>
            <w:pPr>
              <w:spacing w:after="0"/>
              <w:rPr>
                <w:sz w:val="1"/>
                <w:szCs w:val="1"/>
                <w:color w:val="auto"/>
              </w:rPr>
            </w:pPr>
          </w:p>
        </w:tc>
      </w:tr>
      <w:tr>
        <w:trPr>
          <w:trHeight w:val="216"/>
        </w:trPr>
        <w:tc>
          <w:tcPr>
            <w:tcW w:w="2400" w:type="dxa"/>
            <w:vAlign w:val="bottom"/>
          </w:tcPr>
          <w:p>
            <w:pPr>
              <w:ind w:left="200"/>
              <w:spacing w:after="0"/>
              <w:rPr>
                <w:sz w:val="20"/>
                <w:szCs w:val="20"/>
                <w:color w:val="auto"/>
              </w:rPr>
            </w:pPr>
            <w:r>
              <w:rPr>
                <w:rFonts w:ascii="Arial" w:cs="Arial" w:eastAsia="Arial" w:hAnsi="Arial"/>
                <w:sz w:val="18"/>
                <w:szCs w:val="18"/>
                <w:color w:val="auto"/>
              </w:rPr>
              <w:t>depreciation included in</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20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Transfer to Level 2</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(1,591,331)</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(1,591,331)</w:t>
            </w:r>
          </w:p>
        </w:tc>
        <w:tc>
          <w:tcPr>
            <w:tcW w:w="0" w:type="dxa"/>
            <w:vAlign w:val="bottom"/>
          </w:tcPr>
          <w:p>
            <w:pPr>
              <w:spacing w:after="0"/>
              <w:rPr>
                <w:sz w:val="1"/>
                <w:szCs w:val="1"/>
                <w:color w:val="auto"/>
              </w:rPr>
            </w:pPr>
          </w:p>
        </w:tc>
      </w:tr>
      <w:tr>
        <w:trPr>
          <w:trHeight w:val="20"/>
        </w:trPr>
        <w:tc>
          <w:tcPr>
            <w:tcW w:w="24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400" w:type="dxa"/>
            <w:vAlign w:val="bottom"/>
          </w:tcPr>
          <w:p>
            <w:pPr>
              <w:ind w:left="20"/>
              <w:spacing w:after="0" w:line="195" w:lineRule="exact"/>
              <w:rPr>
                <w:sz w:val="20"/>
                <w:szCs w:val="20"/>
                <w:color w:val="auto"/>
              </w:rPr>
            </w:pPr>
            <w:r>
              <w:rPr>
                <w:rFonts w:ascii="Arial" w:cs="Arial" w:eastAsia="Arial" w:hAnsi="Arial"/>
                <w:sz w:val="18"/>
                <w:szCs w:val="18"/>
                <w:color w:val="auto"/>
              </w:rPr>
              <w:t>Fair Value as of March 31,</w:t>
            </w: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w w:val="87"/>
              </w:rPr>
              <w:t>108,246,502</w:t>
            </w:r>
          </w:p>
        </w:tc>
        <w:tc>
          <w:tcPr>
            <w:tcW w:w="1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line="195" w:lineRule="exact"/>
              <w:rPr>
                <w:sz w:val="20"/>
                <w:szCs w:val="20"/>
                <w:color w:val="auto"/>
              </w:rPr>
            </w:pPr>
            <w:r>
              <w:rPr>
                <w:rFonts w:ascii="Arial" w:cs="Arial" w:eastAsia="Arial" w:hAnsi="Arial"/>
                <w:sz w:val="18"/>
                <w:szCs w:val="18"/>
                <w:color w:val="auto"/>
                <w:w w:val="87"/>
              </w:rPr>
              <w:t>102,657,139</w:t>
            </w: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rPr>
              <w:t>500,000</w:t>
            </w:r>
          </w:p>
        </w:tc>
        <w:tc>
          <w:tcPr>
            <w:tcW w:w="240" w:type="dxa"/>
            <w:vAlign w:val="bottom"/>
            <w:gridSpan w:val="2"/>
          </w:tcPr>
          <w:p>
            <w:pPr>
              <w:jc w:val="right"/>
              <w:ind w:right="5"/>
              <w:spacing w:after="0" w:line="195"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line="195" w:lineRule="exact"/>
              <w:rPr>
                <w:sz w:val="20"/>
                <w:szCs w:val="20"/>
                <w:color w:val="auto"/>
              </w:rPr>
            </w:pPr>
            <w:r>
              <w:rPr>
                <w:rFonts w:ascii="Arial" w:cs="Arial" w:eastAsia="Arial" w:hAnsi="Arial"/>
                <w:sz w:val="18"/>
                <w:szCs w:val="18"/>
                <w:color w:val="auto"/>
              </w:rPr>
              <w:t>206,633</w:t>
            </w:r>
          </w:p>
        </w:tc>
        <w:tc>
          <w:tcPr>
            <w:tcW w:w="2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w w:val="87"/>
              </w:rPr>
              <w:t>211,610,274</w:t>
            </w:r>
          </w:p>
        </w:tc>
        <w:tc>
          <w:tcPr>
            <w:tcW w:w="0" w:type="dxa"/>
            <w:vAlign w:val="bottom"/>
          </w:tcPr>
          <w:p>
            <w:pPr>
              <w:spacing w:after="0"/>
              <w:rPr>
                <w:sz w:val="1"/>
                <w:szCs w:val="1"/>
                <w:color w:val="auto"/>
              </w:rPr>
            </w:pPr>
          </w:p>
        </w:tc>
      </w:tr>
      <w:tr>
        <w:trPr>
          <w:trHeight w:val="230"/>
        </w:trPr>
        <w:tc>
          <w:tcPr>
            <w:tcW w:w="2400" w:type="dxa"/>
            <w:vAlign w:val="bottom"/>
          </w:tcPr>
          <w:p>
            <w:pPr>
              <w:ind w:left="20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400" w:type="dxa"/>
            <w:vAlign w:val="bottom"/>
            <w:vMerge w:val="restart"/>
          </w:tcPr>
          <w:p>
            <w:pPr>
              <w:ind w:left="20"/>
              <w:spacing w:after="0"/>
              <w:rPr>
                <w:sz w:val="20"/>
                <w:szCs w:val="20"/>
                <w:color w:val="auto"/>
              </w:rPr>
            </w:pPr>
            <w:r>
              <w:rPr>
                <w:rFonts w:ascii="Arial" w:cs="Arial" w:eastAsia="Arial" w:hAnsi="Arial"/>
                <w:sz w:val="18"/>
                <w:szCs w:val="18"/>
                <w:color w:val="auto"/>
              </w:rPr>
              <w:t>Change in unrealized</w:t>
            </w: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400" w:type="dxa"/>
            <w:vAlign w:val="bottom"/>
            <w:vMerge w:val="continue"/>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w w:val="95"/>
              </w:rPr>
              <w:t>(2,632,369)</w:t>
            </w:r>
          </w:p>
        </w:tc>
        <w:tc>
          <w:tcPr>
            <w:tcW w:w="10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w w:val="95"/>
              </w:rPr>
              <w:t>(1,663,137)</w:t>
            </w:r>
          </w:p>
        </w:tc>
        <w:tc>
          <w:tcPr>
            <w:tcW w:w="160" w:type="dxa"/>
            <w:vAlign w:val="bottom"/>
            <w:vMerge w:val="continue"/>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Pr>
          <w:p>
            <w:pPr>
              <w:ind w:left="700"/>
              <w:spacing w:after="0" w:line="195" w:lineRule="exact"/>
              <w:rPr>
                <w:sz w:val="20"/>
                <w:szCs w:val="20"/>
                <w:color w:val="auto"/>
              </w:rPr>
            </w:pPr>
            <w:r>
              <w:rPr>
                <w:rFonts w:ascii="Arial" w:cs="Arial" w:eastAsia="Arial" w:hAnsi="Arial"/>
                <w:sz w:val="18"/>
                <w:szCs w:val="18"/>
                <w:color w:val="auto"/>
                <w:w w:val="77"/>
              </w:rPr>
              <w:t>—</w:t>
            </w:r>
          </w:p>
        </w:tc>
        <w:tc>
          <w:tcPr>
            <w:tcW w:w="10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rPr>
              <w:t>(16,429)</w:t>
            </w:r>
          </w:p>
        </w:tc>
        <w:tc>
          <w:tcPr>
            <w:tcW w:w="16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w w:val="95"/>
              </w:rPr>
              <w:t>(4,311,935)</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200"/>
              <w:spacing w:after="0"/>
              <w:rPr>
                <w:sz w:val="20"/>
                <w:szCs w:val="20"/>
                <w:color w:val="auto"/>
              </w:rPr>
            </w:pPr>
            <w:r>
              <w:rPr>
                <w:rFonts w:ascii="Arial" w:cs="Arial" w:eastAsia="Arial" w:hAnsi="Arial"/>
                <w:sz w:val="18"/>
                <w:szCs w:val="18"/>
                <w:color w:val="auto"/>
              </w:rPr>
              <w:t>depreciation on Level 3</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-591185</wp:posOffset>
            </wp:positionV>
            <wp:extent cx="5213985" cy="900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3985" cy="90043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investments still held as of</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31, 2013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54"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5"/>
        </w:trPr>
        <w:tc>
          <w:tcPr>
            <w:tcW w:w="17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4"/>
              </w:rPr>
              <w:t>Year ended December 31, 2012</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00"/>
              <w:spacing w:after="0" w:line="147" w:lineRule="exact"/>
              <w:rPr>
                <w:sz w:val="20"/>
                <w:szCs w:val="20"/>
                <w:color w:val="auto"/>
              </w:rPr>
            </w:pPr>
            <w:r>
              <w:rPr>
                <w:rFonts w:ascii="Arial" w:cs="Arial" w:eastAsia="Arial" w:hAnsi="Arial"/>
                <w:sz w:val="14"/>
                <w:szCs w:val="14"/>
                <w:b w:val="1"/>
                <w:bCs w:val="1"/>
                <w:color w:val="auto"/>
              </w:rPr>
              <w:t>Preferred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7" w:lineRule="exact"/>
              <w:rPr>
                <w:sz w:val="20"/>
                <w:szCs w:val="20"/>
                <w:color w:val="auto"/>
              </w:rPr>
            </w:pPr>
            <w:r>
              <w:rPr>
                <w:rFonts w:ascii="Arial" w:cs="Arial" w:eastAsia="Arial" w:hAnsi="Arial"/>
                <w:sz w:val="14"/>
                <w:szCs w:val="14"/>
                <w:b w:val="1"/>
                <w:bCs w:val="1"/>
                <w:color w:val="auto"/>
              </w:rPr>
              <w:t>Structured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Warrants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60"/>
              <w:spacing w:after="0" w:line="14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Note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Membership</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80" w:type="dxa"/>
            <w:vAlign w:val="bottom"/>
            <w:vMerge w:val="restart"/>
          </w:tcPr>
          <w:p>
            <w:pPr>
              <w:ind w:left="20"/>
              <w:spacing w:after="0"/>
              <w:rPr>
                <w:sz w:val="20"/>
                <w:szCs w:val="20"/>
                <w:color w:val="auto"/>
              </w:rPr>
            </w:pPr>
            <w:r>
              <w:rPr>
                <w:rFonts w:ascii="Arial" w:cs="Arial" w:eastAsia="Arial" w:hAnsi="Arial"/>
                <w:sz w:val="16"/>
                <w:szCs w:val="16"/>
                <w:color w:val="auto"/>
              </w:rPr>
              <w:t>Fair value as of</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78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40,865,381</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17,453,085</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4,500,000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71,396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62,889,862</w:t>
            </w:r>
          </w:p>
        </w:tc>
        <w:tc>
          <w:tcPr>
            <w:tcW w:w="0" w:type="dxa"/>
            <w:vAlign w:val="bottom"/>
          </w:tcPr>
          <w:p>
            <w:pPr>
              <w:spacing w:after="0"/>
              <w:rPr>
                <w:sz w:val="1"/>
                <w:szCs w:val="1"/>
                <w:color w:val="auto"/>
              </w:rPr>
            </w:pPr>
          </w:p>
        </w:tc>
      </w:tr>
      <w:tr>
        <w:trPr>
          <w:trHeight w:val="209"/>
        </w:trPr>
        <w:tc>
          <w:tcPr>
            <w:tcW w:w="1780" w:type="dxa"/>
            <w:vAlign w:val="bottom"/>
          </w:tcPr>
          <w:p>
            <w:pPr>
              <w:ind w:left="200"/>
              <w:spacing w:after="0"/>
              <w:rPr>
                <w:sz w:val="20"/>
                <w:szCs w:val="20"/>
                <w:color w:val="auto"/>
              </w:rPr>
            </w:pPr>
            <w:r>
              <w:rPr>
                <w:rFonts w:ascii="Arial" w:cs="Arial" w:eastAsia="Arial" w:hAnsi="Arial"/>
                <w:sz w:val="16"/>
                <w:szCs w:val="16"/>
                <w:color w:val="auto"/>
              </w:rPr>
              <w:t>December 31, 2011</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780" w:type="dxa"/>
            <w:vAlign w:val="bottom"/>
            <w:shd w:val="clear" w:color="auto" w:fill="CCFFCC"/>
          </w:tcPr>
          <w:p>
            <w:pPr>
              <w:ind w:left="20"/>
              <w:spacing w:after="0"/>
              <w:rPr>
                <w:sz w:val="20"/>
                <w:szCs w:val="20"/>
                <w:color w:val="auto"/>
              </w:rPr>
            </w:pPr>
            <w:r>
              <w:rPr>
                <w:rFonts w:ascii="Arial" w:cs="Arial" w:eastAsia="Arial" w:hAnsi="Arial"/>
                <w:sz w:val="16"/>
                <w:szCs w:val="16"/>
                <w:color w:val="auto"/>
                <w:w w:val="94"/>
              </w:rPr>
              <w:t>Purchases of investments</w:t>
            </w:r>
          </w:p>
        </w:tc>
        <w:tc>
          <w:tcPr>
            <w:tcW w:w="8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w w:val="99"/>
              </w:rPr>
              <w:t>86,378,395</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w w:val="99"/>
              </w:rPr>
              <w:t>85,104,161</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854,236</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31,354</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w w:val="92"/>
              </w:rPr>
              <w:t>172,868,146</w:t>
            </w:r>
          </w:p>
        </w:tc>
        <w:tc>
          <w:tcPr>
            <w:tcW w:w="0" w:type="dxa"/>
            <w:vAlign w:val="bottom"/>
          </w:tcPr>
          <w:p>
            <w:pPr>
              <w:spacing w:after="0"/>
              <w:rPr>
                <w:sz w:val="1"/>
                <w:szCs w:val="1"/>
                <w:color w:val="auto"/>
              </w:rPr>
            </w:pPr>
          </w:p>
        </w:tc>
      </w:tr>
      <w:tr>
        <w:trPr>
          <w:trHeight w:val="192"/>
        </w:trPr>
        <w:tc>
          <w:tcPr>
            <w:tcW w:w="1780" w:type="dxa"/>
            <w:vAlign w:val="bottom"/>
          </w:tcPr>
          <w:p>
            <w:pPr>
              <w:ind w:left="20"/>
              <w:spacing w:after="0"/>
              <w:rPr>
                <w:sz w:val="20"/>
                <w:szCs w:val="20"/>
                <w:color w:val="auto"/>
              </w:rPr>
            </w:pPr>
            <w:r>
              <w:rPr>
                <w:rFonts w:ascii="Arial" w:cs="Arial" w:eastAsia="Arial" w:hAnsi="Arial"/>
                <w:sz w:val="16"/>
                <w:szCs w:val="16"/>
                <w:color w:val="auto"/>
              </w:rPr>
              <w:t>Exercises, conversions</w:t>
            </w:r>
          </w:p>
        </w:tc>
        <w:tc>
          <w:tcPr>
            <w:tcW w:w="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984,067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(1,006,390)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22,323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1780" w:type="dxa"/>
            <w:vAlign w:val="bottom"/>
          </w:tcPr>
          <w:p>
            <w:pPr>
              <w:ind w:left="200"/>
              <w:spacing w:after="0" w:line="254" w:lineRule="exact"/>
              <w:rPr>
                <w:sz w:val="20"/>
                <w:szCs w:val="20"/>
                <w:color w:val="auto"/>
              </w:rPr>
            </w:pPr>
            <w:r>
              <w:rPr>
                <w:rFonts w:ascii="Arial" w:cs="Arial" w:eastAsia="Arial" w:hAnsi="Arial"/>
                <w:sz w:val="16"/>
                <w:szCs w:val="16"/>
                <w:color w:val="auto"/>
              </w:rPr>
              <w:t>and assignments</w:t>
            </w:r>
            <w:r>
              <w:rPr>
                <w:rFonts w:ascii="Arial" w:cs="Arial" w:eastAsia="Arial" w:hAnsi="Arial"/>
                <w:sz w:val="27"/>
                <w:szCs w:val="27"/>
                <w:color w:val="auto"/>
                <w:vertAlign w:val="superscript"/>
              </w:rPr>
              <w:t>(1)</w:t>
            </w: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780" w:type="dxa"/>
            <w:vAlign w:val="bottom"/>
            <w:shd w:val="clear" w:color="auto" w:fill="CCFFCC"/>
          </w:tcPr>
          <w:p>
            <w:pPr>
              <w:ind w:left="20"/>
              <w:spacing w:after="0"/>
              <w:rPr>
                <w:sz w:val="20"/>
                <w:szCs w:val="20"/>
                <w:color w:val="auto"/>
              </w:rPr>
            </w:pPr>
            <w:r>
              <w:rPr>
                <w:rFonts w:ascii="Arial" w:cs="Arial" w:eastAsia="Arial" w:hAnsi="Arial"/>
                <w:sz w:val="16"/>
                <w:szCs w:val="16"/>
                <w:color w:val="auto"/>
              </w:rPr>
              <w:t>Sales and settlements</w:t>
            </w:r>
          </w:p>
        </w:tc>
        <w:tc>
          <w:tcPr>
            <w:tcW w:w="8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(3,002,665)</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(3,002,665)</w:t>
            </w:r>
          </w:p>
        </w:tc>
        <w:tc>
          <w:tcPr>
            <w:tcW w:w="0" w:type="dxa"/>
            <w:vAlign w:val="bottom"/>
          </w:tcPr>
          <w:p>
            <w:pPr>
              <w:spacing w:after="0"/>
              <w:rPr>
                <w:sz w:val="1"/>
                <w:szCs w:val="1"/>
                <w:color w:val="auto"/>
              </w:rPr>
            </w:pPr>
          </w:p>
        </w:tc>
      </w:tr>
      <w:tr>
        <w:trPr>
          <w:trHeight w:val="193"/>
        </w:trPr>
        <w:tc>
          <w:tcPr>
            <w:tcW w:w="1780" w:type="dxa"/>
            <w:vAlign w:val="bottom"/>
          </w:tcPr>
          <w:p>
            <w:pPr>
              <w:ind w:left="20"/>
              <w:spacing w:after="0"/>
              <w:rPr>
                <w:sz w:val="20"/>
                <w:szCs w:val="20"/>
                <w:color w:val="auto"/>
              </w:rPr>
            </w:pPr>
            <w:r>
              <w:rPr>
                <w:rFonts w:ascii="Arial" w:cs="Arial" w:eastAsia="Arial" w:hAnsi="Arial"/>
                <w:sz w:val="16"/>
                <w:szCs w:val="16"/>
                <w:color w:val="auto"/>
                <w:w w:val="98"/>
              </w:rPr>
              <w:t>Realized loss included in</w:t>
            </w:r>
          </w:p>
        </w:tc>
        <w:tc>
          <w:tcPr>
            <w:tcW w:w="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(1,380,263)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(1,380,263)</w:t>
            </w:r>
          </w:p>
        </w:tc>
        <w:tc>
          <w:tcPr>
            <w:tcW w:w="0" w:type="dxa"/>
            <w:vAlign w:val="bottom"/>
          </w:tcPr>
          <w:p>
            <w:pPr>
              <w:spacing w:after="0"/>
              <w:rPr>
                <w:sz w:val="1"/>
                <w:szCs w:val="1"/>
                <w:color w:val="auto"/>
              </w:rPr>
            </w:pPr>
          </w:p>
        </w:tc>
      </w:tr>
      <w:tr>
        <w:trPr>
          <w:trHeight w:val="209"/>
        </w:trPr>
        <w:tc>
          <w:tcPr>
            <w:tcW w:w="1780" w:type="dxa"/>
            <w:vAlign w:val="bottom"/>
          </w:tcPr>
          <w:p>
            <w:pPr>
              <w:ind w:left="200"/>
              <w:spacing w:after="0"/>
              <w:rPr>
                <w:sz w:val="20"/>
                <w:szCs w:val="20"/>
                <w:color w:val="auto"/>
              </w:rPr>
            </w:pPr>
            <w:r>
              <w:rPr>
                <w:rFonts w:ascii="Arial" w:cs="Arial" w:eastAsia="Arial" w:hAnsi="Arial"/>
                <w:sz w:val="16"/>
                <w:szCs w:val="16"/>
                <w:color w:val="auto"/>
              </w:rPr>
              <w:t>earnings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80" w:type="dxa"/>
            <w:vAlign w:val="bottom"/>
            <w:shd w:val="clear" w:color="auto" w:fill="CCFFCC"/>
          </w:tcPr>
          <w:p>
            <w:pPr>
              <w:ind w:left="20"/>
              <w:spacing w:after="0"/>
              <w:rPr>
                <w:sz w:val="20"/>
                <w:szCs w:val="20"/>
                <w:color w:val="auto"/>
              </w:rPr>
            </w:pPr>
            <w:r>
              <w:rPr>
                <w:rFonts w:ascii="Arial" w:cs="Arial" w:eastAsia="Arial" w:hAnsi="Arial"/>
                <w:sz w:val="16"/>
                <w:szCs w:val="16"/>
                <w:color w:val="auto"/>
              </w:rPr>
              <w:t>Change in unrealized</w:t>
            </w:r>
          </w:p>
        </w:tc>
        <w:tc>
          <w:tcPr>
            <w:tcW w:w="8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(5,027,001)</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(2,687,431)</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35,082</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97,989</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(7,581,361)</w:t>
            </w:r>
          </w:p>
        </w:tc>
        <w:tc>
          <w:tcPr>
            <w:tcW w:w="0" w:type="dxa"/>
            <w:vAlign w:val="bottom"/>
          </w:tcPr>
          <w:p>
            <w:pPr>
              <w:spacing w:after="0"/>
              <w:rPr>
                <w:sz w:val="1"/>
                <w:szCs w:val="1"/>
                <w:color w:val="auto"/>
              </w:rPr>
            </w:pPr>
          </w:p>
        </w:tc>
      </w:tr>
      <w:tr>
        <w:trPr>
          <w:trHeight w:val="203"/>
        </w:trPr>
        <w:tc>
          <w:tcPr>
            <w:tcW w:w="1780" w:type="dxa"/>
            <w:vAlign w:val="bottom"/>
            <w:shd w:val="clear" w:color="auto" w:fill="CCFFCC"/>
          </w:tcPr>
          <w:p>
            <w:pPr>
              <w:ind w:left="200"/>
              <w:spacing w:after="0"/>
              <w:rPr>
                <w:sz w:val="20"/>
                <w:szCs w:val="20"/>
                <w:color w:val="auto"/>
              </w:rPr>
            </w:pPr>
            <w:r>
              <w:rPr>
                <w:rFonts w:ascii="Arial" w:cs="Arial" w:eastAsia="Arial" w:hAnsi="Arial"/>
                <w:sz w:val="16"/>
                <w:szCs w:val="16"/>
                <w:color w:val="auto"/>
              </w:rPr>
              <w:t>appreciation</w:t>
            </w: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shd w:val="clear" w:color="auto" w:fill="CCFFCC"/>
          </w:tcPr>
          <w:p>
            <w:pPr>
              <w:ind w:left="200"/>
              <w:spacing w:after="0"/>
              <w:rPr>
                <w:sz w:val="20"/>
                <w:szCs w:val="20"/>
                <w:color w:val="auto"/>
              </w:rPr>
            </w:pPr>
            <w:r>
              <w:rPr>
                <w:rFonts w:ascii="Arial" w:cs="Arial" w:eastAsia="Arial" w:hAnsi="Arial"/>
                <w:sz w:val="16"/>
                <w:szCs w:val="16"/>
                <w:color w:val="auto"/>
                <w:w w:val="96"/>
              </w:rPr>
              <w:t>(depreciation) included</w:t>
            </w: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780" w:type="dxa"/>
            <w:vAlign w:val="bottom"/>
            <w:shd w:val="clear" w:color="auto" w:fill="CCFFCC"/>
          </w:tcPr>
          <w:p>
            <w:pPr>
              <w:ind w:left="200"/>
              <w:spacing w:after="0"/>
              <w:rPr>
                <w:sz w:val="20"/>
                <w:szCs w:val="20"/>
                <w:color w:val="auto"/>
              </w:rPr>
            </w:pPr>
            <w:r>
              <w:rPr>
                <w:rFonts w:ascii="Arial" w:cs="Arial" w:eastAsia="Arial" w:hAnsi="Arial"/>
                <w:sz w:val="16"/>
                <w:szCs w:val="16"/>
                <w:color w:val="auto"/>
              </w:rPr>
              <w:t>in earnings</w:t>
            </w: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80" w:type="dxa"/>
            <w:vAlign w:val="bottom"/>
          </w:tcPr>
          <w:p>
            <w:pPr>
              <w:ind w:left="20"/>
              <w:spacing w:after="0"/>
              <w:rPr>
                <w:sz w:val="20"/>
                <w:szCs w:val="20"/>
                <w:color w:val="auto"/>
              </w:rPr>
            </w:pPr>
            <w:r>
              <w:rPr>
                <w:rFonts w:ascii="Arial" w:cs="Arial" w:eastAsia="Arial" w:hAnsi="Arial"/>
                <w:sz w:val="16"/>
                <w:szCs w:val="16"/>
                <w:color w:val="auto"/>
              </w:rPr>
              <w:t>Transfer to Level 2</w:t>
            </w: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(9,361,100)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(9,361,100)</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780" w:type="dxa"/>
            <w:vAlign w:val="bottom"/>
            <w:shd w:val="clear" w:color="auto" w:fill="CCFFCC"/>
          </w:tcPr>
          <w:p>
            <w:pPr>
              <w:ind w:left="20"/>
              <w:spacing w:after="0"/>
              <w:rPr>
                <w:sz w:val="20"/>
                <w:szCs w:val="20"/>
                <w:color w:val="auto"/>
              </w:rPr>
            </w:pPr>
            <w:r>
              <w:rPr>
                <w:rFonts w:ascii="Arial" w:cs="Arial" w:eastAsia="Arial" w:hAnsi="Arial"/>
                <w:sz w:val="16"/>
                <w:szCs w:val="16"/>
                <w:color w:val="auto"/>
              </w:rPr>
              <w:t>Fair Value as of</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112,855,675</w:t>
            </w:r>
          </w:p>
        </w:tc>
        <w:tc>
          <w:tcPr>
            <w:tcW w:w="10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100,853,882</w:t>
            </w:r>
          </w:p>
        </w:tc>
        <w:tc>
          <w:tcPr>
            <w:tcW w:w="10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500,000</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223,062</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w w:val="92"/>
              </w:rPr>
              <w:t>214,432,619</w:t>
            </w:r>
          </w:p>
        </w:tc>
        <w:tc>
          <w:tcPr>
            <w:tcW w:w="0" w:type="dxa"/>
            <w:vAlign w:val="bottom"/>
          </w:tcPr>
          <w:p>
            <w:pPr>
              <w:spacing w:after="0"/>
              <w:rPr>
                <w:sz w:val="1"/>
                <w:szCs w:val="1"/>
                <w:color w:val="auto"/>
              </w:rPr>
            </w:pPr>
          </w:p>
        </w:tc>
      </w:tr>
      <w:tr>
        <w:trPr>
          <w:trHeight w:val="253"/>
        </w:trPr>
        <w:tc>
          <w:tcPr>
            <w:tcW w:w="17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6"/>
                <w:szCs w:val="16"/>
                <w:color w:val="auto"/>
              </w:rPr>
              <w:t>December 31, 2012</w:t>
            </w:r>
          </w:p>
        </w:tc>
        <w:tc>
          <w:tcPr>
            <w:tcW w:w="8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780" w:type="dxa"/>
            <w:vAlign w:val="bottom"/>
            <w:tcBorders>
              <w:bottom w:val="single" w:sz="8" w:color="auto"/>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spacing w:after="0"/>
              <w:rPr>
                <w:sz w:val="21"/>
                <w:szCs w:val="21"/>
                <w:color w:val="auto"/>
              </w:rPr>
            </w:pPr>
          </w:p>
        </w:tc>
        <w:tc>
          <w:tcPr>
            <w:tcW w:w="6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spacing w:after="0"/>
              <w:rPr>
                <w:sz w:val="21"/>
                <w:szCs w:val="21"/>
                <w:color w:val="auto"/>
              </w:rPr>
            </w:pPr>
          </w:p>
        </w:tc>
        <w:tc>
          <w:tcPr>
            <w:tcW w:w="6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780" w:type="dxa"/>
            <w:vAlign w:val="bottom"/>
          </w:tcPr>
          <w:p>
            <w:pPr>
              <w:ind w:left="20"/>
              <w:spacing w:after="0"/>
              <w:rPr>
                <w:sz w:val="20"/>
                <w:szCs w:val="20"/>
                <w:color w:val="auto"/>
              </w:rPr>
            </w:pPr>
            <w:r>
              <w:rPr>
                <w:rFonts w:ascii="Arial" w:cs="Arial" w:eastAsia="Arial" w:hAnsi="Arial"/>
                <w:sz w:val="16"/>
                <w:szCs w:val="16"/>
                <w:color w:val="auto"/>
              </w:rPr>
              <w:t>Change in unrealized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(3,919,288)</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(2,687,431)</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97,989</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(6,508,730)</w:t>
            </w:r>
          </w:p>
        </w:tc>
        <w:tc>
          <w:tcPr>
            <w:tcW w:w="0" w:type="dxa"/>
            <w:vAlign w:val="bottom"/>
          </w:tcPr>
          <w:p>
            <w:pPr>
              <w:spacing w:after="0"/>
              <w:rPr>
                <w:sz w:val="1"/>
                <w:szCs w:val="1"/>
                <w:color w:val="auto"/>
              </w:rPr>
            </w:pPr>
          </w:p>
        </w:tc>
      </w:tr>
      <w:tr>
        <w:trPr>
          <w:trHeight w:val="203"/>
        </w:trPr>
        <w:tc>
          <w:tcPr>
            <w:tcW w:w="1780" w:type="dxa"/>
            <w:vAlign w:val="bottom"/>
          </w:tcPr>
          <w:p>
            <w:pPr>
              <w:ind w:left="200"/>
              <w:spacing w:after="0"/>
              <w:rPr>
                <w:sz w:val="20"/>
                <w:szCs w:val="20"/>
                <w:color w:val="auto"/>
              </w:rPr>
            </w:pPr>
            <w:r>
              <w:rPr>
                <w:rFonts w:ascii="Arial" w:cs="Arial" w:eastAsia="Arial" w:hAnsi="Arial"/>
                <w:sz w:val="16"/>
                <w:szCs w:val="16"/>
                <w:color w:val="auto"/>
              </w:rPr>
              <w:t>appreciation</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80" w:type="dxa"/>
            <w:vAlign w:val="bottom"/>
          </w:tcPr>
          <w:p>
            <w:pPr>
              <w:ind w:left="200"/>
              <w:spacing w:after="0"/>
              <w:rPr>
                <w:sz w:val="20"/>
                <w:szCs w:val="20"/>
                <w:color w:val="auto"/>
              </w:rPr>
            </w:pPr>
            <w:r>
              <w:rPr>
                <w:rFonts w:ascii="Arial" w:cs="Arial" w:eastAsia="Arial" w:hAnsi="Arial"/>
                <w:sz w:val="16"/>
                <w:szCs w:val="16"/>
                <w:color w:val="auto"/>
              </w:rPr>
              <w:t>(depreciation) on</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234950</wp:posOffset>
            </wp:positionH>
            <wp:positionV relativeFrom="page">
              <wp:posOffset>406400</wp:posOffset>
            </wp:positionV>
            <wp:extent cx="521398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-415925</wp:posOffset>
            </wp:positionV>
            <wp:extent cx="5213985" cy="8407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13985" cy="84074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Level 3 investments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still held as of</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1129665</wp:posOffset>
            </wp:positionH>
            <wp:positionV relativeFrom="paragraph">
              <wp:posOffset>15875</wp:posOffset>
            </wp:positionV>
            <wp:extent cx="402209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022090" cy="342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221615</wp:posOffset>
            </wp:positionV>
            <wp:extent cx="6172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jc w:val="both"/>
        <w:ind w:left="300" w:right="519" w:hanging="272"/>
        <w:spacing w:after="0" w:line="286" w:lineRule="auto"/>
        <w:tabs>
          <w:tab w:leader="none" w:pos="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During the year ended December 31, 2012, the Company converted its structured notes to preferred shares in AlwaysOn, Inc. and The Echo System Corp., and exercised its warrants for preferred shares in StormWind, LLC. A portion of The Echo System Corp. structured notes attributable to the warrants was reclassified during the same period.</w:t>
      </w:r>
    </w:p>
    <w:p>
      <w:pPr>
        <w:spacing w:after="0" w:line="57"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During the three months ended March 31, 2013, there was one transfer between levels related to our investment in Silver Spring Networks, Inc. Due to a public offering on March 12, 2013; observable inputs became available for our valuation at March 31, 2013. Our shares in Silver Spring Networks, Inc. are presently subject to a lock-up agreement that expires on September 8, 2013. The fair value for Silver Spring was estimated using the close price on a public exchange as of the valuation date, adjusted for a discount due to lack of marketability of 10% that was primarily based on the market price of publicly traded put options with a similar term as the lock-up as of March 31, 2013.</w:t>
      </w:r>
    </w:p>
    <w:p>
      <w:pPr>
        <w:spacing w:after="0" w:line="85" w:lineRule="exact"/>
        <w:rPr>
          <w:sz w:val="20"/>
          <w:szCs w:val="20"/>
          <w:color w:val="auto"/>
        </w:rPr>
      </w:pPr>
    </w:p>
    <w:p>
      <w:pPr>
        <w:jc w:val="both"/>
        <w:ind w:left="60" w:right="519" w:firstLine="270"/>
        <w:spacing w:after="0" w:line="269" w:lineRule="auto"/>
        <w:rPr>
          <w:sz w:val="20"/>
          <w:szCs w:val="20"/>
          <w:color w:val="auto"/>
        </w:rPr>
      </w:pPr>
      <w:r>
        <w:rPr>
          <w:rFonts w:ascii="Arial" w:cs="Arial" w:eastAsia="Arial" w:hAnsi="Arial"/>
          <w:sz w:val="17"/>
          <w:szCs w:val="17"/>
          <w:color w:val="auto"/>
        </w:rPr>
        <w:t>During the year ended December 31, 2012, there were three transfers between levels. Two of these transfers occurred as of June 30, 2012. Due to the expiration of the lock-up agreement on our shares in Groupon, Inc. on June 1, 2012, the closing price on a public exchange on June 29, 2012 was used for our valuation as of June 30, 2012. This resulted in a transfer of Groupon, Inc. from Level 2 to Level 1. At December 31, 2012, Groupon, Inc. was valued using the closing price on a public exchange on December 31, 2012. Due to the initial public offering of Facebook, Inc. on May 17, 2012, observable inputs became available for our valuation as of June 30, 2012. However, our shares in Facebook, Inc. were subject to a lock-up agreement that expired on November 14, 2012. As such, the fair value for Facebook, Inc. was estimated using the closing price on a public exchange as of June 29, 2012, adjusted for a discount due to a lack of marketability of 14% that was primarily based on the market price of publicly traded put options with a similar term as our lock-up as of June 30, 2012. This resulted in a transfer of Facebook, Inc. from Level 3 to Level 2. Due to the expiration of the lock-up agreement on our shares in Facebook, Inc. on November 14, 2012, the closing price on a public exchange on December 31, 2012 was used for our valuation as of December 31, 2012. This resulted in a transfer of Facebook, Inc. from Level 2 to Level 1.</w:t>
      </w:r>
    </w:p>
    <w:p>
      <w:pPr>
        <w:spacing w:after="0" w:line="72"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During the year ended December 31, 2012, the Company recorded a realized loss on our investment in PJB Fund LLC. The note matured and was repaid by transfer of shares of common stock of Zynga, Inc.</w:t>
      </w:r>
    </w:p>
    <w:p>
      <w:pPr>
        <w:spacing w:after="0" w:line="200" w:lineRule="exact"/>
        <w:rPr>
          <w:sz w:val="20"/>
          <w:szCs w:val="20"/>
          <w:color w:val="auto"/>
        </w:rPr>
      </w:pPr>
    </w:p>
    <w:p>
      <w:pPr>
        <w:spacing w:after="0" w:line="3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5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b w:val="1"/>
          <w:bCs w:val="1"/>
          <w:color w:val="auto"/>
        </w:rPr>
        <w:t>NOTE 4 — EQUITY OFFERINGS AND RELATED EXPENSES</w:t>
      </w:r>
    </w:p>
    <w:p>
      <w:pPr>
        <w:spacing w:after="0" w:line="121" w:lineRule="exact"/>
        <w:rPr>
          <w:sz w:val="20"/>
          <w:szCs w:val="20"/>
          <w:color w:val="auto"/>
        </w:rPr>
      </w:pPr>
    </w:p>
    <w:p>
      <w:pPr>
        <w:jc w:val="both"/>
        <w:ind w:left="60" w:right="519" w:firstLine="270"/>
        <w:spacing w:after="0" w:line="262" w:lineRule="auto"/>
        <w:rPr>
          <w:sz w:val="20"/>
          <w:szCs w:val="20"/>
          <w:color w:val="auto"/>
        </w:rPr>
      </w:pPr>
      <w:r>
        <w:rPr>
          <w:rFonts w:ascii="Arial" w:cs="Arial" w:eastAsia="Arial" w:hAnsi="Arial"/>
          <w:sz w:val="18"/>
          <w:szCs w:val="18"/>
          <w:color w:val="auto"/>
        </w:rPr>
        <w:t>We issued 13,800,000 shares of our common stock during the year ended December 31, 2012. No new shares of our common stock were issued during the three months ended March 31, 2013. The proceeds raised, the related underwriting fees, the offering expenses and the prices at which these shares were issued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521398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1"/>
        </w:trPr>
        <w:tc>
          <w:tcPr>
            <w:tcW w:w="2780" w:type="dxa"/>
            <w:vAlign w:val="bottom"/>
            <w:gridSpan w:val="3"/>
          </w:tcPr>
          <w:p>
            <w:pPr>
              <w:ind w:left="20"/>
              <w:spacing w:after="0" w:line="151" w:lineRule="exact"/>
              <w:rPr>
                <w:sz w:val="20"/>
                <w:szCs w:val="20"/>
                <w:color w:val="auto"/>
              </w:rPr>
            </w:pPr>
            <w:r>
              <w:rPr>
                <w:rFonts w:ascii="Arial" w:cs="Arial" w:eastAsia="Arial" w:hAnsi="Arial"/>
                <w:sz w:val="14"/>
                <w:szCs w:val="14"/>
                <w:b w:val="1"/>
                <w:bCs w:val="1"/>
                <w:color w:val="auto"/>
              </w:rPr>
              <w:t>Issuances of Common Stock</w:t>
            </w:r>
          </w:p>
        </w:tc>
        <w:tc>
          <w:tcPr>
            <w:tcW w:w="60" w:type="dxa"/>
            <w:vAlign w:val="bottom"/>
          </w:tcPr>
          <w:p>
            <w:pPr>
              <w:spacing w:after="0"/>
              <w:rPr>
                <w:sz w:val="13"/>
                <w:szCs w:val="13"/>
                <w:color w:val="auto"/>
              </w:rPr>
            </w:pPr>
          </w:p>
        </w:tc>
        <w:tc>
          <w:tcPr>
            <w:tcW w:w="1000" w:type="dxa"/>
            <w:vAlign w:val="bottom"/>
          </w:tcPr>
          <w:p>
            <w:pPr>
              <w:jc w:val="right"/>
              <w:ind w:right="88"/>
              <w:spacing w:after="0" w:line="151"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253"/>
              <w:spacing w:after="0" w:line="151"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3"/>
                <w:szCs w:val="13"/>
                <w:color w:val="auto"/>
              </w:rPr>
            </w:pPr>
          </w:p>
        </w:tc>
        <w:tc>
          <w:tcPr>
            <w:tcW w:w="1180" w:type="dxa"/>
            <w:vAlign w:val="bottom"/>
            <w:gridSpan w:val="4"/>
          </w:tcPr>
          <w:p>
            <w:pPr>
              <w:jc w:val="right"/>
              <w:ind w:right="260"/>
              <w:spacing w:after="0" w:line="151" w:lineRule="exact"/>
              <w:rPr>
                <w:sz w:val="20"/>
                <w:szCs w:val="20"/>
                <w:color w:val="auto"/>
              </w:rPr>
            </w:pPr>
            <w:r>
              <w:rPr>
                <w:rFonts w:ascii="Arial" w:cs="Arial" w:eastAsia="Arial" w:hAnsi="Arial"/>
                <w:sz w:val="14"/>
                <w:szCs w:val="14"/>
                <w:b w:val="1"/>
                <w:bCs w:val="1"/>
                <w:color w:val="auto"/>
              </w:rPr>
              <w:t>Underwriting</w:t>
            </w:r>
          </w:p>
        </w:tc>
        <w:tc>
          <w:tcPr>
            <w:tcW w:w="880" w:type="dxa"/>
            <w:vAlign w:val="bottom"/>
          </w:tcPr>
          <w:p>
            <w:pPr>
              <w:jc w:val="right"/>
              <w:ind w:right="156"/>
              <w:spacing w:after="0" w:line="151" w:lineRule="exact"/>
              <w:rPr>
                <w:sz w:val="20"/>
                <w:szCs w:val="20"/>
                <w:color w:val="auto"/>
              </w:rPr>
            </w:pPr>
            <w:r>
              <w:rPr>
                <w:rFonts w:ascii="Arial" w:cs="Arial" w:eastAsia="Arial" w:hAnsi="Arial"/>
                <w:sz w:val="14"/>
                <w:szCs w:val="14"/>
                <w:b w:val="1"/>
                <w:bCs w:val="1"/>
                <w:color w:val="auto"/>
              </w:rPr>
              <w:t>Offering</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175"/>
              <w:spacing w:after="0" w:line="151" w:lineRule="exact"/>
              <w:rPr>
                <w:sz w:val="20"/>
                <w:szCs w:val="20"/>
                <w:color w:val="auto"/>
              </w:rPr>
            </w:pPr>
            <w:r>
              <w:rPr>
                <w:rFonts w:ascii="Arial" w:cs="Arial" w:eastAsia="Arial" w:hAnsi="Arial"/>
                <w:sz w:val="14"/>
                <w:szCs w:val="14"/>
                <w:b w:val="1"/>
                <w:bCs w:val="1"/>
                <w:color w:val="auto"/>
              </w:rPr>
              <w:t>Offering</w:t>
            </w:r>
          </w:p>
        </w:tc>
      </w:tr>
      <w:tr>
        <w:trPr>
          <w:trHeight w:val="171"/>
        </w:trPr>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Proceeds Raised</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Fees</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7"/>
              </w:rPr>
              <w:t>Expenses</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Price</w:t>
            </w:r>
          </w:p>
        </w:tc>
      </w:tr>
      <w:tr>
        <w:trPr>
          <w:trHeight w:val="210"/>
        </w:trPr>
        <w:tc>
          <w:tcPr>
            <w:tcW w:w="27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February 28, 2011</w:t>
            </w:r>
          </w:p>
        </w:tc>
        <w:tc>
          <w:tcPr>
            <w:tcW w:w="106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100</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1,500</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FFCC"/>
          </w:tcPr>
          <w:p>
            <w:pPr>
              <w:ind w:left="60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FFCC"/>
          </w:tcPr>
          <w:p>
            <w:pPr>
              <w:jc w:val="right"/>
              <w:ind w:right="176"/>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35"/>
              <w:spacing w:after="0"/>
              <w:rPr>
                <w:sz w:val="20"/>
                <w:szCs w:val="20"/>
                <w:color w:val="auto"/>
              </w:rPr>
            </w:pPr>
            <w:r>
              <w:rPr>
                <w:rFonts w:ascii="Arial" w:cs="Arial" w:eastAsia="Arial" w:hAnsi="Arial"/>
                <w:sz w:val="18"/>
                <w:szCs w:val="18"/>
                <w:color w:val="auto"/>
              </w:rPr>
              <w:t>15.00</w:t>
            </w:r>
          </w:p>
        </w:tc>
      </w:tr>
      <w:tr>
        <w:trPr>
          <w:trHeight w:val="257"/>
        </w:trPr>
        <w:tc>
          <w:tcPr>
            <w:tcW w:w="2780" w:type="dxa"/>
            <w:vAlign w:val="bottom"/>
            <w:gridSpan w:val="3"/>
          </w:tcPr>
          <w:p>
            <w:pPr>
              <w:ind w:left="20"/>
              <w:spacing w:after="0"/>
              <w:rPr>
                <w:sz w:val="20"/>
                <w:szCs w:val="20"/>
                <w:color w:val="auto"/>
              </w:rPr>
            </w:pPr>
            <w:r>
              <w:rPr>
                <w:rFonts w:ascii="Arial" w:cs="Arial" w:eastAsia="Arial" w:hAnsi="Arial"/>
                <w:sz w:val="18"/>
                <w:szCs w:val="18"/>
                <w:color w:val="auto"/>
              </w:rPr>
              <w:t>April 28, 2011</w:t>
            </w:r>
          </w:p>
        </w:tc>
        <w:tc>
          <w:tcPr>
            <w:tcW w:w="1060" w:type="dxa"/>
            <w:vAlign w:val="bottom"/>
            <w:gridSpan w:val="2"/>
          </w:tcPr>
          <w:p>
            <w:pPr>
              <w:jc w:val="right"/>
              <w:ind w:right="8"/>
              <w:spacing w:after="0"/>
              <w:rPr>
                <w:sz w:val="20"/>
                <w:szCs w:val="20"/>
                <w:color w:val="auto"/>
              </w:rPr>
            </w:pPr>
            <w:r>
              <w:rPr>
                <w:rFonts w:ascii="Arial" w:cs="Arial" w:eastAsia="Arial" w:hAnsi="Arial"/>
                <w:sz w:val="18"/>
                <w:szCs w:val="18"/>
                <w:color w:val="auto"/>
              </w:rPr>
              <w:t>3,335,000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50,025,000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3,501,750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16"/>
              <w:spacing w:after="0" w:line="256" w:lineRule="exact"/>
              <w:rPr>
                <w:sz w:val="20"/>
                <w:szCs w:val="20"/>
                <w:color w:val="auto"/>
              </w:rPr>
            </w:pPr>
            <w:r>
              <w:rPr>
                <w:rFonts w:ascii="Arial" w:cs="Arial" w:eastAsia="Arial" w:hAnsi="Arial"/>
                <w:sz w:val="18"/>
                <w:szCs w:val="18"/>
                <w:color w:val="auto"/>
                <w:w w:val="85"/>
              </w:rPr>
              <w:t>527,166</w:t>
            </w:r>
            <w:r>
              <w:rPr>
                <w:rFonts w:ascii="Arial" w:cs="Arial" w:eastAsia="Arial" w:hAnsi="Arial"/>
                <w:sz w:val="29"/>
                <w:szCs w:val="29"/>
                <w:color w:val="auto"/>
                <w:w w:val="85"/>
                <w:vertAlign w:val="superscript"/>
              </w:rPr>
              <w:t>(1)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15.00</w:t>
            </w:r>
          </w:p>
        </w:tc>
      </w:tr>
      <w:tr>
        <w:trPr>
          <w:trHeight w:val="257"/>
        </w:trPr>
        <w:tc>
          <w:tcPr>
            <w:tcW w:w="27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September 27, 2011</w:t>
            </w:r>
          </w:p>
        </w:tc>
        <w:tc>
          <w:tcPr>
            <w:tcW w:w="106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2,185,000</w:t>
            </w:r>
          </w:p>
        </w:tc>
        <w:tc>
          <w:tcPr>
            <w:tcW w:w="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30,917,750</w:t>
            </w:r>
          </w:p>
        </w:tc>
        <w:tc>
          <w:tcPr>
            <w:tcW w:w="8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4"/>
              </w:rPr>
              <w:t>1,267,300</w:t>
            </w:r>
          </w:p>
        </w:tc>
        <w:tc>
          <w:tcPr>
            <w:tcW w:w="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80" w:type="dxa"/>
            <w:vAlign w:val="bottom"/>
            <w:shd w:val="clear" w:color="auto" w:fill="CCFFCC"/>
          </w:tcPr>
          <w:p>
            <w:pPr>
              <w:jc w:val="right"/>
              <w:ind w:right="16"/>
              <w:spacing w:after="0" w:line="256" w:lineRule="exact"/>
              <w:rPr>
                <w:sz w:val="20"/>
                <w:szCs w:val="20"/>
                <w:color w:val="auto"/>
              </w:rPr>
            </w:pPr>
            <w:r>
              <w:rPr>
                <w:rFonts w:ascii="Arial" w:cs="Arial" w:eastAsia="Arial" w:hAnsi="Arial"/>
                <w:sz w:val="18"/>
                <w:szCs w:val="18"/>
                <w:color w:val="auto"/>
                <w:w w:val="85"/>
              </w:rPr>
              <w:t>531,122</w:t>
            </w:r>
            <w:r>
              <w:rPr>
                <w:rFonts w:ascii="Arial" w:cs="Arial" w:eastAsia="Arial" w:hAnsi="Arial"/>
                <w:sz w:val="29"/>
                <w:szCs w:val="29"/>
                <w:color w:val="auto"/>
                <w:w w:val="85"/>
                <w:vertAlign w:val="superscript"/>
              </w:rPr>
              <w:t>(2)</w:t>
            </w:r>
          </w:p>
        </w:tc>
        <w:tc>
          <w:tcPr>
            <w:tcW w:w="8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35"/>
              <w:spacing w:after="0"/>
              <w:rPr>
                <w:sz w:val="20"/>
                <w:szCs w:val="20"/>
                <w:color w:val="auto"/>
              </w:rPr>
            </w:pPr>
            <w:r>
              <w:rPr>
                <w:rFonts w:ascii="Arial" w:cs="Arial" w:eastAsia="Arial" w:hAnsi="Arial"/>
                <w:sz w:val="18"/>
                <w:szCs w:val="18"/>
                <w:color w:val="auto"/>
              </w:rPr>
              <w:t>14.15</w:t>
            </w:r>
          </w:p>
        </w:tc>
      </w:tr>
      <w:tr>
        <w:trPr>
          <w:trHeight w:val="216"/>
        </w:trPr>
        <w:tc>
          <w:tcPr>
            <w:tcW w:w="2780" w:type="dxa"/>
            <w:vAlign w:val="bottom"/>
            <w:gridSpan w:val="3"/>
          </w:tcPr>
          <w:p>
            <w:pPr>
              <w:ind w:left="20"/>
              <w:spacing w:after="0"/>
              <w:rPr>
                <w:sz w:val="20"/>
                <w:szCs w:val="20"/>
                <w:color w:val="auto"/>
              </w:rPr>
            </w:pPr>
            <w:r>
              <w:rPr>
                <w:rFonts w:ascii="Arial" w:cs="Arial" w:eastAsia="Arial" w:hAnsi="Arial"/>
                <w:sz w:val="18"/>
                <w:szCs w:val="18"/>
                <w:color w:val="auto"/>
              </w:rPr>
              <w:t>February 10, 2012</w:t>
            </w:r>
          </w:p>
        </w:tc>
        <w:tc>
          <w:tcPr>
            <w:tcW w:w="1060" w:type="dxa"/>
            <w:vAlign w:val="bottom"/>
            <w:gridSpan w:val="2"/>
          </w:tcPr>
          <w:p>
            <w:pPr>
              <w:jc w:val="right"/>
              <w:ind w:right="8"/>
              <w:spacing w:after="0"/>
              <w:rPr>
                <w:sz w:val="20"/>
                <w:szCs w:val="20"/>
                <w:color w:val="auto"/>
              </w:rPr>
            </w:pPr>
            <w:r>
              <w:rPr>
                <w:rFonts w:ascii="Arial" w:cs="Arial" w:eastAsia="Arial" w:hAnsi="Arial"/>
                <w:sz w:val="18"/>
                <w:szCs w:val="18"/>
                <w:color w:val="auto"/>
              </w:rPr>
              <w:t>6,900,000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103,500,000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7,245,000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76"/>
              <w:spacing w:after="0"/>
              <w:rPr>
                <w:sz w:val="20"/>
                <w:szCs w:val="20"/>
                <w:color w:val="auto"/>
              </w:rPr>
            </w:pPr>
            <w:r>
              <w:rPr>
                <w:rFonts w:ascii="Arial" w:cs="Arial" w:eastAsia="Arial" w:hAnsi="Arial"/>
                <w:sz w:val="18"/>
                <w:szCs w:val="18"/>
                <w:color w:val="auto"/>
                <w:w w:val="92"/>
              </w:rPr>
              <w:t>326,077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15.00</w:t>
            </w:r>
          </w:p>
        </w:tc>
      </w:tr>
      <w:tr>
        <w:trPr>
          <w:trHeight w:val="257"/>
        </w:trPr>
        <w:tc>
          <w:tcPr>
            <w:tcW w:w="27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May 11, 2012</w:t>
            </w:r>
          </w:p>
        </w:tc>
        <w:tc>
          <w:tcPr>
            <w:tcW w:w="106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6,900,000</w:t>
            </w:r>
          </w:p>
        </w:tc>
        <w:tc>
          <w:tcPr>
            <w:tcW w:w="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7"/>
              </w:rPr>
              <w:t>112,125,000</w:t>
            </w:r>
          </w:p>
        </w:tc>
        <w:tc>
          <w:tcPr>
            <w:tcW w:w="8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4"/>
              </w:rPr>
              <w:t>6,727,500</w:t>
            </w:r>
          </w:p>
        </w:tc>
        <w:tc>
          <w:tcPr>
            <w:tcW w:w="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80" w:type="dxa"/>
            <w:vAlign w:val="bottom"/>
            <w:shd w:val="clear" w:color="auto" w:fill="CCFFCC"/>
          </w:tcPr>
          <w:p>
            <w:pPr>
              <w:jc w:val="right"/>
              <w:ind w:right="16"/>
              <w:spacing w:after="0" w:line="256" w:lineRule="exact"/>
              <w:rPr>
                <w:sz w:val="20"/>
                <w:szCs w:val="20"/>
                <w:color w:val="auto"/>
              </w:rPr>
            </w:pPr>
            <w:r>
              <w:rPr>
                <w:rFonts w:ascii="Arial" w:cs="Arial" w:eastAsia="Arial" w:hAnsi="Arial"/>
                <w:sz w:val="18"/>
                <w:szCs w:val="18"/>
                <w:color w:val="auto"/>
                <w:w w:val="85"/>
              </w:rPr>
              <w:t>412,620</w:t>
            </w:r>
            <w:r>
              <w:rPr>
                <w:rFonts w:ascii="Arial" w:cs="Arial" w:eastAsia="Arial" w:hAnsi="Arial"/>
                <w:sz w:val="29"/>
                <w:szCs w:val="29"/>
                <w:color w:val="auto"/>
                <w:w w:val="85"/>
                <w:vertAlign w:val="superscript"/>
              </w:rPr>
              <w:t>(3)</w:t>
            </w:r>
          </w:p>
        </w:tc>
        <w:tc>
          <w:tcPr>
            <w:tcW w:w="8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860" w:type="dxa"/>
            <w:vAlign w:val="bottom"/>
            <w:shd w:val="clear" w:color="auto" w:fill="CCFFCC"/>
          </w:tcPr>
          <w:p>
            <w:pPr>
              <w:jc w:val="right"/>
              <w:ind w:right="35"/>
              <w:spacing w:after="0"/>
              <w:rPr>
                <w:sz w:val="20"/>
                <w:szCs w:val="20"/>
                <w:color w:val="auto"/>
              </w:rPr>
            </w:pPr>
            <w:r>
              <w:rPr>
                <w:rFonts w:ascii="Arial" w:cs="Arial" w:eastAsia="Arial" w:hAnsi="Arial"/>
                <w:sz w:val="18"/>
                <w:szCs w:val="18"/>
                <w:color w:val="auto"/>
              </w:rPr>
              <w:t>16.25</w:t>
            </w: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r>
    </w:tbl>
    <w:p>
      <w:pPr>
        <w:spacing w:after="0" w:line="256" w:lineRule="exact"/>
        <w:rPr>
          <w:sz w:val="20"/>
          <w:szCs w:val="20"/>
          <w:color w:val="auto"/>
        </w:rPr>
      </w:pPr>
    </w:p>
    <w:p>
      <w:pPr>
        <w:ind w:left="300" w:hanging="27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$3,585 of offering expenses that were accrued as of September 30, 2011.</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was reduced by $18,878 after actual expenses for the offering were determined as of December 31, 2011.</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$960 of offering expenses that were accrued as of September 30, 2012.</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NET DECREASE IN NET ASSETS PER COMMON SHARE</w:t>
      </w:r>
    </w:p>
    <w:p>
      <w:pPr>
        <w:spacing w:after="0" w:line="121" w:lineRule="exact"/>
        <w:rPr>
          <w:sz w:val="20"/>
          <w:szCs w:val="20"/>
          <w:color w:val="auto"/>
        </w:rPr>
      </w:pPr>
    </w:p>
    <w:p>
      <w:pPr>
        <w:jc w:val="both"/>
        <w:ind w:left="60" w:right="539" w:firstLine="270"/>
        <w:spacing w:after="0" w:line="269" w:lineRule="auto"/>
        <w:rPr>
          <w:sz w:val="20"/>
          <w:szCs w:val="20"/>
          <w:color w:val="auto"/>
        </w:rPr>
      </w:pPr>
      <w:r>
        <w:rPr>
          <w:rFonts w:ascii="Arial" w:cs="Arial" w:eastAsia="Arial" w:hAnsi="Arial"/>
          <w:sz w:val="18"/>
          <w:szCs w:val="18"/>
          <w:color w:val="auto"/>
        </w:rPr>
        <w:t>The following information sets forth the computation of net decrease in net assets resulting from operations per common share for the three months ended March 31, 2013, and March 31, 2012,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057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Three months ended</w:t>
            </w:r>
          </w:p>
        </w:tc>
      </w:tr>
      <w:tr>
        <w:trPr>
          <w:trHeight w:val="171"/>
        </w:trPr>
        <w:tc>
          <w:tcPr>
            <w:tcW w:w="4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March 31, 2013</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March 31, 2012</w:t>
            </w:r>
          </w:p>
        </w:tc>
      </w:tr>
      <w:tr>
        <w:trPr>
          <w:trHeight w:val="210"/>
        </w:trPr>
        <w:tc>
          <w:tcPr>
            <w:tcW w:w="482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decrease in net assets resulting from operations</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(7,491,255)</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(83,063)</w:t>
            </w: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Weighted average common shares</w:t>
            </w: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19,320,100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9,387,133</w:t>
            </w:r>
          </w:p>
        </w:tc>
      </w:tr>
      <w:tr>
        <w:trPr>
          <w:trHeight w:val="20"/>
        </w:trPr>
        <w:tc>
          <w:tcPr>
            <w:tcW w:w="4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4820" w:type="dxa"/>
            <w:vAlign w:val="bottom"/>
            <w:shd w:val="clear" w:color="auto" w:fill="CCFFCC"/>
          </w:tcPr>
          <w:p>
            <w:pPr>
              <w:ind w:left="20"/>
              <w:spacing w:after="0"/>
              <w:rPr>
                <w:sz w:val="20"/>
                <w:szCs w:val="20"/>
                <w:color w:val="auto"/>
              </w:rPr>
            </w:pPr>
            <w:r>
              <w:rPr>
                <w:rFonts w:ascii="Arial" w:cs="Arial" w:eastAsia="Arial" w:hAnsi="Arial"/>
                <w:sz w:val="18"/>
                <w:szCs w:val="18"/>
                <w:color w:val="auto"/>
              </w:rPr>
              <w:t>Basic and diluted earnings per common share</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(0.38)</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(0.01)</w:t>
            </w:r>
          </w:p>
        </w:tc>
      </w:tr>
      <w:tr>
        <w:trPr>
          <w:trHeight w:val="20"/>
        </w:trPr>
        <w:tc>
          <w:tcPr>
            <w:tcW w:w="48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LEGAL CONTINGENCIES</w:t>
      </w:r>
    </w:p>
    <w:p>
      <w:pPr>
        <w:spacing w:after="0" w:line="121"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The Company is currently not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business, financial condition or results of operations.</w:t>
      </w:r>
    </w:p>
    <w:p>
      <w:pPr>
        <w:spacing w:after="0" w:line="200" w:lineRule="exact"/>
        <w:rPr>
          <w:sz w:val="20"/>
          <w:szCs w:val="20"/>
          <w:color w:val="auto"/>
        </w:rPr>
      </w:pPr>
    </w:p>
    <w:p>
      <w:pPr>
        <w:spacing w:after="0" w:line="33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91"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b w:val="1"/>
          <w:bCs w:val="1"/>
          <w:color w:val="auto"/>
        </w:rPr>
        <w:t>NOTE 7 —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057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Three months ended March</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6"/>
              </w:rPr>
              <w:t>Three months ended March</w:t>
            </w:r>
          </w:p>
        </w:tc>
        <w:tc>
          <w:tcPr>
            <w:tcW w:w="2180" w:type="dxa"/>
            <w:vAlign w:val="bottom"/>
          </w:tcPr>
          <w:p>
            <w:pPr>
              <w:spacing w:after="0"/>
              <w:rPr>
                <w:sz w:val="14"/>
                <w:szCs w:val="14"/>
                <w:color w:val="auto"/>
              </w:rPr>
            </w:pPr>
          </w:p>
        </w:tc>
      </w:tr>
      <w:tr>
        <w:trPr>
          <w:trHeight w:val="171"/>
        </w:trPr>
        <w:tc>
          <w:tcPr>
            <w:tcW w:w="8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31, 2013</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31, 2012</w:t>
            </w:r>
          </w:p>
        </w:tc>
        <w:tc>
          <w:tcPr>
            <w:tcW w:w="520" w:type="dxa"/>
            <w:vAlign w:val="bottom"/>
            <w:tcBorders>
              <w:bottom w:val="single" w:sz="8" w:color="auto"/>
            </w:tcBorders>
          </w:tcPr>
          <w:p>
            <w:pPr>
              <w:spacing w:after="0"/>
              <w:rPr>
                <w:sz w:val="14"/>
                <w:szCs w:val="14"/>
                <w:color w:val="auto"/>
              </w:rPr>
            </w:pPr>
          </w:p>
        </w:tc>
        <w:tc>
          <w:tcPr>
            <w:tcW w:w="2180" w:type="dxa"/>
            <w:vAlign w:val="bottom"/>
          </w:tcPr>
          <w:p>
            <w:pPr>
              <w:spacing w:after="0"/>
              <w:rPr>
                <w:sz w:val="14"/>
                <w:szCs w:val="14"/>
                <w:color w:val="auto"/>
              </w:rPr>
            </w:pPr>
          </w:p>
        </w:tc>
      </w:tr>
      <w:tr>
        <w:trPr>
          <w:trHeight w:val="210"/>
        </w:trPr>
        <w:tc>
          <w:tcPr>
            <w:tcW w:w="438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Per Share Data:</w:t>
            </w:r>
          </w:p>
        </w:tc>
        <w:tc>
          <w:tcPr>
            <w:tcW w:w="1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Net asset value at beginning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3"/>
          </w:tcPr>
          <w:p>
            <w:pPr>
              <w:jc w:val="right"/>
              <w:ind w:right="480"/>
              <w:spacing w:after="0"/>
              <w:rPr>
                <w:sz w:val="20"/>
                <w:szCs w:val="20"/>
                <w:color w:val="auto"/>
              </w:rPr>
            </w:pPr>
            <w:r>
              <w:rPr>
                <w:rFonts w:ascii="Arial" w:cs="Arial" w:eastAsia="Arial" w:hAnsi="Arial"/>
                <w:sz w:val="18"/>
                <w:szCs w:val="18"/>
                <w:color w:val="auto"/>
              </w:rPr>
              <w:t>13.07</w:t>
            </w:r>
          </w:p>
        </w:tc>
        <w:tc>
          <w:tcPr>
            <w:tcW w:w="80" w:type="dxa"/>
            <w:vAlign w:val="bottom"/>
          </w:tcPr>
          <w:p>
            <w:pPr>
              <w:spacing w:after="0"/>
              <w:rPr>
                <w:sz w:val="18"/>
                <w:szCs w:val="18"/>
                <w:color w:val="auto"/>
              </w:rPr>
            </w:pPr>
          </w:p>
        </w:tc>
        <w:tc>
          <w:tcPr>
            <w:tcW w:w="44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520"/>
              <w:spacing w:after="0"/>
              <w:rPr>
                <w:sz w:val="20"/>
                <w:szCs w:val="20"/>
                <w:color w:val="auto"/>
              </w:rPr>
            </w:pPr>
            <w:r>
              <w:rPr>
                <w:rFonts w:ascii="Arial" w:cs="Arial" w:eastAsia="Arial" w:hAnsi="Arial"/>
                <w:sz w:val="18"/>
                <w:szCs w:val="18"/>
                <w:color w:val="auto"/>
              </w:rPr>
              <w:t>12.95</w:t>
            </w:r>
          </w:p>
        </w:tc>
        <w:tc>
          <w:tcPr>
            <w:tcW w:w="2180" w:type="dxa"/>
            <w:vAlign w:val="bottom"/>
          </w:tcPr>
          <w:p>
            <w:pPr>
              <w:spacing w:after="0"/>
              <w:rPr>
                <w:sz w:val="18"/>
                <w:szCs w:val="18"/>
                <w:color w:val="auto"/>
              </w:rPr>
            </w:pPr>
          </w:p>
        </w:tc>
      </w:tr>
      <w:tr>
        <w:trPr>
          <w:trHeight w:val="257"/>
        </w:trPr>
        <w:tc>
          <w:tcPr>
            <w:tcW w:w="43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Issuance of common shares</w:t>
            </w:r>
          </w:p>
        </w:tc>
        <w:tc>
          <w:tcPr>
            <w:tcW w:w="140" w:type="dxa"/>
            <w:vAlign w:val="bottom"/>
            <w:shd w:val="clear" w:color="auto" w:fill="CCFFCC"/>
          </w:tcPr>
          <w:p>
            <w:pPr>
              <w:spacing w:after="0"/>
              <w:rPr>
                <w:sz w:val="22"/>
                <w:szCs w:val="22"/>
                <w:color w:val="auto"/>
              </w:rPr>
            </w:pPr>
          </w:p>
        </w:tc>
        <w:tc>
          <w:tcPr>
            <w:tcW w:w="1680" w:type="dxa"/>
            <w:vAlign w:val="bottom"/>
            <w:gridSpan w:val="4"/>
            <w:shd w:val="clear" w:color="auto" w:fill="CCFFCC"/>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1580" w:type="dxa"/>
            <w:vAlign w:val="bottom"/>
            <w:gridSpan w:val="3"/>
            <w:shd w:val="clear" w:color="auto" w:fill="CCFFCC"/>
          </w:tcPr>
          <w:p>
            <w:pPr>
              <w:jc w:val="right"/>
              <w:ind w:right="340"/>
              <w:spacing w:after="0" w:line="256" w:lineRule="exact"/>
              <w:rPr>
                <w:sz w:val="20"/>
                <w:szCs w:val="20"/>
                <w:color w:val="auto"/>
              </w:rPr>
            </w:pPr>
            <w:r>
              <w:rPr>
                <w:rFonts w:ascii="Arial" w:cs="Arial" w:eastAsia="Arial" w:hAnsi="Arial"/>
                <w:sz w:val="18"/>
                <w:szCs w:val="18"/>
                <w:color w:val="auto"/>
              </w:rPr>
              <w:t>1.14</w:t>
            </w:r>
            <w:r>
              <w:rPr>
                <w:rFonts w:ascii="Arial" w:cs="Arial" w:eastAsia="Arial" w:hAnsi="Arial"/>
                <w:sz w:val="29"/>
                <w:szCs w:val="29"/>
                <w:color w:val="auto"/>
                <w:vertAlign w:val="superscript"/>
              </w:rPr>
              <w:t>(3)</w:t>
            </w:r>
          </w:p>
        </w:tc>
        <w:tc>
          <w:tcPr>
            <w:tcW w:w="2180" w:type="dxa"/>
            <w:vAlign w:val="bottom"/>
          </w:tcPr>
          <w:p>
            <w:pPr>
              <w:spacing w:after="0"/>
              <w:rPr>
                <w:sz w:val="22"/>
                <w:szCs w:val="22"/>
                <w:color w:val="auto"/>
              </w:rPr>
            </w:pPr>
          </w:p>
        </w:tc>
      </w:tr>
      <w:tr>
        <w:trPr>
          <w:trHeight w:val="257"/>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Underwriters’ discount</w:t>
            </w:r>
          </w:p>
        </w:tc>
        <w:tc>
          <w:tcPr>
            <w:tcW w:w="140" w:type="dxa"/>
            <w:vAlign w:val="bottom"/>
          </w:tcPr>
          <w:p>
            <w:pPr>
              <w:spacing w:after="0"/>
              <w:rPr>
                <w:sz w:val="22"/>
                <w:szCs w:val="22"/>
                <w:color w:val="auto"/>
              </w:rPr>
            </w:pPr>
          </w:p>
        </w:tc>
        <w:tc>
          <w:tcPr>
            <w:tcW w:w="168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gridSpan w:val="3"/>
          </w:tcPr>
          <w:p>
            <w:pPr>
              <w:jc w:val="right"/>
              <w:ind w:right="280"/>
              <w:spacing w:after="0" w:line="256" w:lineRule="exact"/>
              <w:rPr>
                <w:sz w:val="20"/>
                <w:szCs w:val="20"/>
                <w:color w:val="auto"/>
              </w:rPr>
            </w:pPr>
            <w:r>
              <w:rPr>
                <w:rFonts w:ascii="Arial" w:cs="Arial" w:eastAsia="Arial" w:hAnsi="Arial"/>
                <w:sz w:val="18"/>
                <w:szCs w:val="18"/>
                <w:color w:val="auto"/>
              </w:rPr>
              <w:t>(0.58)</w:t>
            </w:r>
            <w:r>
              <w:rPr>
                <w:rFonts w:ascii="Arial" w:cs="Arial" w:eastAsia="Arial" w:hAnsi="Arial"/>
                <w:sz w:val="29"/>
                <w:szCs w:val="29"/>
                <w:color w:val="auto"/>
                <w:vertAlign w:val="superscript"/>
              </w:rPr>
              <w:t>(2)</w:t>
            </w:r>
          </w:p>
        </w:tc>
        <w:tc>
          <w:tcPr>
            <w:tcW w:w="2180" w:type="dxa"/>
            <w:vAlign w:val="bottom"/>
          </w:tcPr>
          <w:p>
            <w:pPr>
              <w:spacing w:after="0"/>
              <w:rPr>
                <w:sz w:val="22"/>
                <w:szCs w:val="22"/>
                <w:color w:val="auto"/>
              </w:rPr>
            </w:pPr>
          </w:p>
        </w:tc>
      </w:tr>
      <w:tr>
        <w:trPr>
          <w:trHeight w:val="257"/>
        </w:trPr>
        <w:tc>
          <w:tcPr>
            <w:tcW w:w="43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Offering costs</w:t>
            </w:r>
          </w:p>
        </w:tc>
        <w:tc>
          <w:tcPr>
            <w:tcW w:w="140" w:type="dxa"/>
            <w:vAlign w:val="bottom"/>
            <w:shd w:val="clear" w:color="auto" w:fill="CCFFCC"/>
          </w:tcPr>
          <w:p>
            <w:pPr>
              <w:spacing w:after="0"/>
              <w:rPr>
                <w:sz w:val="22"/>
                <w:szCs w:val="22"/>
                <w:color w:val="auto"/>
              </w:rPr>
            </w:pPr>
          </w:p>
        </w:tc>
        <w:tc>
          <w:tcPr>
            <w:tcW w:w="1680" w:type="dxa"/>
            <w:vAlign w:val="bottom"/>
            <w:gridSpan w:val="4"/>
            <w:shd w:val="clear" w:color="auto" w:fill="CCFFCC"/>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1580" w:type="dxa"/>
            <w:vAlign w:val="bottom"/>
            <w:gridSpan w:val="3"/>
            <w:shd w:val="clear" w:color="auto" w:fill="CCFFCC"/>
          </w:tcPr>
          <w:p>
            <w:pPr>
              <w:jc w:val="right"/>
              <w:ind w:right="280"/>
              <w:spacing w:after="0" w:line="256" w:lineRule="exact"/>
              <w:rPr>
                <w:sz w:val="20"/>
                <w:szCs w:val="20"/>
                <w:color w:val="auto"/>
              </w:rPr>
            </w:pPr>
            <w:r>
              <w:rPr>
                <w:rFonts w:ascii="Arial" w:cs="Arial" w:eastAsia="Arial" w:hAnsi="Arial"/>
                <w:sz w:val="18"/>
                <w:szCs w:val="18"/>
                <w:color w:val="auto"/>
              </w:rPr>
              <w:t>(0.03)</w:t>
            </w:r>
            <w:r>
              <w:rPr>
                <w:rFonts w:ascii="Arial" w:cs="Arial" w:eastAsia="Arial" w:hAnsi="Arial"/>
                <w:sz w:val="29"/>
                <w:szCs w:val="29"/>
                <w:color w:val="auto"/>
                <w:vertAlign w:val="superscript"/>
              </w:rPr>
              <w:t>(2)</w:t>
            </w:r>
          </w:p>
        </w:tc>
        <w:tc>
          <w:tcPr>
            <w:tcW w:w="2180" w:type="dxa"/>
            <w:vAlign w:val="bottom"/>
          </w:tcPr>
          <w:p>
            <w:pPr>
              <w:spacing w:after="0"/>
              <w:rPr>
                <w:sz w:val="22"/>
                <w:szCs w:val="22"/>
                <w:color w:val="auto"/>
              </w:rPr>
            </w:pPr>
          </w:p>
        </w:tc>
      </w:tr>
      <w:tr>
        <w:trPr>
          <w:trHeight w:val="257"/>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Net investment loss</w:t>
            </w:r>
          </w:p>
        </w:tc>
        <w:tc>
          <w:tcPr>
            <w:tcW w:w="140" w:type="dxa"/>
            <w:vAlign w:val="bottom"/>
          </w:tcPr>
          <w:p>
            <w:pPr>
              <w:spacing w:after="0"/>
              <w:rPr>
                <w:sz w:val="22"/>
                <w:szCs w:val="22"/>
                <w:color w:val="auto"/>
              </w:rPr>
            </w:pPr>
          </w:p>
        </w:tc>
        <w:tc>
          <w:tcPr>
            <w:tcW w:w="1600" w:type="dxa"/>
            <w:vAlign w:val="bottom"/>
            <w:gridSpan w:val="3"/>
          </w:tcPr>
          <w:p>
            <w:pPr>
              <w:jc w:val="right"/>
              <w:ind w:right="240"/>
              <w:spacing w:after="0" w:line="256" w:lineRule="exact"/>
              <w:rPr>
                <w:sz w:val="20"/>
                <w:szCs w:val="20"/>
                <w:color w:val="auto"/>
              </w:rPr>
            </w:pPr>
            <w:r>
              <w:rPr>
                <w:rFonts w:ascii="Arial" w:cs="Arial" w:eastAsia="Arial" w:hAnsi="Arial"/>
                <w:sz w:val="18"/>
                <w:szCs w:val="18"/>
                <w:color w:val="auto"/>
              </w:rPr>
              <w:t>(0.13)</w:t>
            </w:r>
            <w:r>
              <w:rPr>
                <w:rFonts w:ascii="Arial" w:cs="Arial" w:eastAsia="Arial" w:hAnsi="Arial"/>
                <w:sz w:val="29"/>
                <w:szCs w:val="29"/>
                <w:color w:val="auto"/>
                <w:vertAlign w:val="superscript"/>
              </w:rPr>
              <w:t>(1)</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gridSpan w:val="3"/>
          </w:tcPr>
          <w:p>
            <w:pPr>
              <w:jc w:val="right"/>
              <w:ind w:right="280"/>
              <w:spacing w:after="0" w:line="256" w:lineRule="exact"/>
              <w:rPr>
                <w:sz w:val="20"/>
                <w:szCs w:val="20"/>
                <w:color w:val="auto"/>
              </w:rPr>
            </w:pPr>
            <w:r>
              <w:rPr>
                <w:rFonts w:ascii="Arial" w:cs="Arial" w:eastAsia="Arial" w:hAnsi="Arial"/>
                <w:sz w:val="18"/>
                <w:szCs w:val="18"/>
                <w:color w:val="auto"/>
              </w:rPr>
              <w:t>(0.12)</w:t>
            </w:r>
            <w:r>
              <w:rPr>
                <w:rFonts w:ascii="Arial" w:cs="Arial" w:eastAsia="Arial" w:hAnsi="Arial"/>
                <w:sz w:val="29"/>
                <w:szCs w:val="29"/>
                <w:color w:val="auto"/>
                <w:vertAlign w:val="superscript"/>
              </w:rPr>
              <w:t>(2)</w:t>
            </w:r>
          </w:p>
        </w:tc>
        <w:tc>
          <w:tcPr>
            <w:tcW w:w="2180" w:type="dxa"/>
            <w:vAlign w:val="bottom"/>
          </w:tcPr>
          <w:p>
            <w:pPr>
              <w:spacing w:after="0"/>
              <w:rPr>
                <w:sz w:val="22"/>
                <w:szCs w:val="22"/>
                <w:color w:val="auto"/>
              </w:rPr>
            </w:pPr>
          </w:p>
        </w:tc>
      </w:tr>
      <w:tr>
        <w:trPr>
          <w:trHeight w:val="257"/>
        </w:trPr>
        <w:tc>
          <w:tcPr>
            <w:tcW w:w="43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Realized loss</w:t>
            </w:r>
          </w:p>
        </w:tc>
        <w:tc>
          <w:tcPr>
            <w:tcW w:w="140" w:type="dxa"/>
            <w:vAlign w:val="bottom"/>
            <w:shd w:val="clear" w:color="auto" w:fill="CCFFCC"/>
          </w:tcPr>
          <w:p>
            <w:pPr>
              <w:spacing w:after="0"/>
              <w:rPr>
                <w:sz w:val="22"/>
                <w:szCs w:val="22"/>
                <w:color w:val="auto"/>
              </w:rPr>
            </w:pPr>
          </w:p>
        </w:tc>
        <w:tc>
          <w:tcPr>
            <w:tcW w:w="1600" w:type="dxa"/>
            <w:vAlign w:val="bottom"/>
            <w:gridSpan w:val="3"/>
            <w:shd w:val="clear" w:color="auto" w:fill="CCFFCC"/>
          </w:tcPr>
          <w:p>
            <w:pPr>
              <w:jc w:val="right"/>
              <w:ind w:right="240"/>
              <w:spacing w:after="0" w:line="256" w:lineRule="exact"/>
              <w:rPr>
                <w:sz w:val="20"/>
                <w:szCs w:val="20"/>
                <w:color w:val="auto"/>
              </w:rPr>
            </w:pPr>
            <w:r>
              <w:rPr>
                <w:rFonts w:ascii="Arial" w:cs="Arial" w:eastAsia="Arial" w:hAnsi="Arial"/>
                <w:sz w:val="18"/>
                <w:szCs w:val="18"/>
                <w:color w:val="auto"/>
              </w:rPr>
              <w:t>(0.17)</w:t>
            </w:r>
            <w:r>
              <w:rPr>
                <w:rFonts w:ascii="Arial" w:cs="Arial" w:eastAsia="Arial" w:hAnsi="Arial"/>
                <w:sz w:val="29"/>
                <w:szCs w:val="29"/>
                <w:color w:val="auto"/>
                <w:vertAlign w:val="superscript"/>
              </w:rPr>
              <w:t>(1)</w:t>
            </w:r>
          </w:p>
        </w:tc>
        <w:tc>
          <w:tcPr>
            <w:tcW w:w="8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1580" w:type="dxa"/>
            <w:vAlign w:val="bottom"/>
            <w:gridSpan w:val="3"/>
            <w:shd w:val="clear" w:color="auto" w:fill="CCFFCC"/>
          </w:tcPr>
          <w:p>
            <w:pPr>
              <w:jc w:val="right"/>
              <w:ind w:right="52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22"/>
                <w:szCs w:val="22"/>
                <w:color w:val="auto"/>
              </w:rPr>
            </w:pPr>
          </w:p>
        </w:tc>
      </w:tr>
      <w:tr>
        <w:trPr>
          <w:trHeight w:val="257"/>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Change in unrealized appreciation (depreciation)</w:t>
            </w:r>
          </w:p>
        </w:tc>
        <w:tc>
          <w:tcPr>
            <w:tcW w:w="140" w:type="dxa"/>
            <w:vAlign w:val="bottom"/>
          </w:tcPr>
          <w:p>
            <w:pPr>
              <w:spacing w:after="0"/>
              <w:rPr>
                <w:sz w:val="22"/>
                <w:szCs w:val="22"/>
                <w:color w:val="auto"/>
              </w:rPr>
            </w:pPr>
          </w:p>
        </w:tc>
        <w:tc>
          <w:tcPr>
            <w:tcW w:w="1600" w:type="dxa"/>
            <w:vAlign w:val="bottom"/>
            <w:gridSpan w:val="3"/>
          </w:tcPr>
          <w:p>
            <w:pPr>
              <w:jc w:val="right"/>
              <w:ind w:right="240"/>
              <w:spacing w:after="0" w:line="256" w:lineRule="exact"/>
              <w:rPr>
                <w:sz w:val="20"/>
                <w:szCs w:val="20"/>
                <w:color w:val="auto"/>
              </w:rPr>
            </w:pPr>
            <w:r>
              <w:rPr>
                <w:rFonts w:ascii="Arial" w:cs="Arial" w:eastAsia="Arial" w:hAnsi="Arial"/>
                <w:sz w:val="18"/>
                <w:szCs w:val="18"/>
                <w:color w:val="auto"/>
              </w:rPr>
              <w:t>(0.08)</w:t>
            </w:r>
            <w:r>
              <w:rPr>
                <w:rFonts w:ascii="Arial" w:cs="Arial" w:eastAsia="Arial" w:hAnsi="Arial"/>
                <w:sz w:val="29"/>
                <w:szCs w:val="29"/>
                <w:color w:val="auto"/>
                <w:vertAlign w:val="superscript"/>
              </w:rPr>
              <w:t>(1)</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gridSpan w:val="3"/>
          </w:tcPr>
          <w:p>
            <w:pPr>
              <w:jc w:val="right"/>
              <w:ind w:right="340"/>
              <w:spacing w:after="0" w:line="256" w:lineRule="exact"/>
              <w:rPr>
                <w:sz w:val="20"/>
                <w:szCs w:val="20"/>
                <w:color w:val="auto"/>
              </w:rPr>
            </w:pPr>
            <w:r>
              <w:rPr>
                <w:rFonts w:ascii="Arial" w:cs="Arial" w:eastAsia="Arial" w:hAnsi="Arial"/>
                <w:sz w:val="18"/>
                <w:szCs w:val="18"/>
                <w:color w:val="auto"/>
              </w:rPr>
              <w:t>0.11</w:t>
            </w:r>
            <w:r>
              <w:rPr>
                <w:rFonts w:ascii="Arial" w:cs="Arial" w:eastAsia="Arial" w:hAnsi="Arial"/>
                <w:sz w:val="29"/>
                <w:szCs w:val="29"/>
                <w:color w:val="auto"/>
                <w:vertAlign w:val="superscript"/>
              </w:rPr>
              <w:t>(2)</w:t>
            </w:r>
          </w:p>
        </w:tc>
        <w:tc>
          <w:tcPr>
            <w:tcW w:w="2180" w:type="dxa"/>
            <w:vAlign w:val="bottom"/>
          </w:tcPr>
          <w:p>
            <w:pPr>
              <w:spacing w:after="0"/>
              <w:rPr>
                <w:sz w:val="22"/>
                <w:szCs w:val="22"/>
                <w:color w:val="auto"/>
              </w:rPr>
            </w:pPr>
          </w:p>
        </w:tc>
      </w:tr>
      <w:tr>
        <w:trPr>
          <w:trHeight w:val="20"/>
        </w:trPr>
        <w:tc>
          <w:tcPr>
            <w:tcW w:w="8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30"/>
        </w:trPr>
        <w:tc>
          <w:tcPr>
            <w:tcW w:w="43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Net asset value at end of period</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12.69</w:t>
            </w:r>
          </w:p>
        </w:tc>
        <w:tc>
          <w:tcPr>
            <w:tcW w:w="80" w:type="dxa"/>
            <w:vAlign w:val="bottom"/>
            <w:shd w:val="clear" w:color="auto" w:fill="CCFFCC"/>
          </w:tcPr>
          <w:p>
            <w:pPr>
              <w:spacing w:after="0"/>
              <w:rPr>
                <w:sz w:val="20"/>
                <w:szCs w:val="20"/>
                <w:color w:val="auto"/>
              </w:rPr>
            </w:pPr>
          </w:p>
        </w:tc>
        <w:tc>
          <w:tcPr>
            <w:tcW w:w="440" w:type="dxa"/>
            <w:vAlign w:val="bottom"/>
            <w:gridSpan w:val="3"/>
            <w:shd w:val="clear" w:color="auto" w:fill="CCFFCC"/>
          </w:tcPr>
          <w:p>
            <w:pPr>
              <w:jc w:val="right"/>
              <w:ind w:right="108"/>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FFCC"/>
          </w:tcPr>
          <w:p>
            <w:pPr>
              <w:jc w:val="right"/>
              <w:ind w:right="520"/>
              <w:spacing w:after="0"/>
              <w:rPr>
                <w:sz w:val="20"/>
                <w:szCs w:val="20"/>
                <w:color w:val="auto"/>
              </w:rPr>
            </w:pPr>
            <w:r>
              <w:rPr>
                <w:rFonts w:ascii="Arial" w:cs="Arial" w:eastAsia="Arial" w:hAnsi="Arial"/>
                <w:sz w:val="18"/>
                <w:szCs w:val="18"/>
                <w:color w:val="auto"/>
              </w:rPr>
              <w:t>13.47</w:t>
            </w:r>
          </w:p>
        </w:tc>
        <w:tc>
          <w:tcPr>
            <w:tcW w:w="2180" w:type="dxa"/>
            <w:vAlign w:val="bottom"/>
          </w:tcPr>
          <w:p>
            <w:pPr>
              <w:spacing w:after="0"/>
              <w:rPr>
                <w:sz w:val="20"/>
                <w:szCs w:val="20"/>
                <w:color w:val="auto"/>
              </w:rPr>
            </w:pPr>
          </w:p>
        </w:tc>
      </w:tr>
      <w:tr>
        <w:trPr>
          <w:trHeight w:val="20"/>
        </w:trPr>
        <w:tc>
          <w:tcPr>
            <w:tcW w:w="800" w:type="dxa"/>
            <w:vAlign w:val="bottom"/>
            <w:tcBorders>
              <w:top w:val="single" w:sz="8" w:color="CCFFCC"/>
            </w:tcBorders>
            <w:shd w:val="clear" w:color="auto" w:fill="CCFFCC"/>
          </w:tcPr>
          <w:p>
            <w:pPr>
              <w:spacing w:after="0" w:line="20" w:lineRule="exact"/>
              <w:rPr>
                <w:sz w:val="1"/>
                <w:szCs w:val="1"/>
                <w:color w:val="auto"/>
              </w:rPr>
            </w:pPr>
          </w:p>
        </w:tc>
        <w:tc>
          <w:tcPr>
            <w:tcW w:w="35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Per share market value at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3"/>
          </w:tcPr>
          <w:p>
            <w:pPr>
              <w:jc w:val="right"/>
              <w:ind w:right="480"/>
              <w:spacing w:after="0"/>
              <w:rPr>
                <w:sz w:val="20"/>
                <w:szCs w:val="20"/>
                <w:color w:val="auto"/>
              </w:rPr>
            </w:pPr>
            <w:r>
              <w:rPr>
                <w:rFonts w:ascii="Arial" w:cs="Arial" w:eastAsia="Arial" w:hAnsi="Arial"/>
                <w:sz w:val="18"/>
                <w:szCs w:val="18"/>
                <w:color w:val="auto"/>
              </w:rPr>
              <w:t>8.26</w:t>
            </w:r>
          </w:p>
        </w:tc>
        <w:tc>
          <w:tcPr>
            <w:tcW w:w="80" w:type="dxa"/>
            <w:vAlign w:val="bottom"/>
          </w:tcPr>
          <w:p>
            <w:pPr>
              <w:spacing w:after="0"/>
              <w:rPr>
                <w:sz w:val="18"/>
                <w:szCs w:val="18"/>
                <w:color w:val="auto"/>
              </w:rPr>
            </w:pPr>
          </w:p>
        </w:tc>
        <w:tc>
          <w:tcPr>
            <w:tcW w:w="44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520"/>
              <w:spacing w:after="0"/>
              <w:rPr>
                <w:sz w:val="20"/>
                <w:szCs w:val="20"/>
                <w:color w:val="auto"/>
              </w:rPr>
            </w:pPr>
            <w:r>
              <w:rPr>
                <w:rFonts w:ascii="Arial" w:cs="Arial" w:eastAsia="Arial" w:hAnsi="Arial"/>
                <w:sz w:val="18"/>
                <w:szCs w:val="18"/>
                <w:color w:val="auto"/>
              </w:rPr>
              <w:t>18.70</w:t>
            </w:r>
          </w:p>
        </w:tc>
        <w:tc>
          <w:tcPr>
            <w:tcW w:w="2180" w:type="dxa"/>
            <w:vAlign w:val="bottom"/>
          </w:tcPr>
          <w:p>
            <w:pPr>
              <w:spacing w:after="0"/>
              <w:rPr>
                <w:sz w:val="18"/>
                <w:szCs w:val="18"/>
                <w:color w:val="auto"/>
              </w:rPr>
            </w:pPr>
          </w:p>
        </w:tc>
      </w:tr>
      <w:tr>
        <w:trPr>
          <w:trHeight w:val="257"/>
        </w:trPr>
        <w:tc>
          <w:tcPr>
            <w:tcW w:w="43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Total return based on market value</w:t>
            </w:r>
          </w:p>
        </w:tc>
        <w:tc>
          <w:tcPr>
            <w:tcW w:w="140" w:type="dxa"/>
            <w:vAlign w:val="bottom"/>
            <w:shd w:val="clear" w:color="auto" w:fill="CCFFCC"/>
          </w:tcPr>
          <w:p>
            <w:pPr>
              <w:spacing w:after="0"/>
              <w:rPr>
                <w:sz w:val="22"/>
                <w:szCs w:val="22"/>
                <w:color w:val="auto"/>
              </w:rPr>
            </w:pPr>
          </w:p>
        </w:tc>
        <w:tc>
          <w:tcPr>
            <w:tcW w:w="1600" w:type="dxa"/>
            <w:vAlign w:val="bottom"/>
            <w:gridSpan w:val="3"/>
            <w:shd w:val="clear" w:color="auto" w:fill="CCFFCC"/>
          </w:tcPr>
          <w:p>
            <w:pPr>
              <w:jc w:val="right"/>
              <w:ind w:right="80"/>
              <w:spacing w:after="0" w:line="256" w:lineRule="exact"/>
              <w:rPr>
                <w:sz w:val="20"/>
                <w:szCs w:val="20"/>
                <w:color w:val="auto"/>
              </w:rPr>
            </w:pPr>
            <w:r>
              <w:rPr>
                <w:rFonts w:ascii="Arial" w:cs="Arial" w:eastAsia="Arial" w:hAnsi="Arial"/>
                <w:sz w:val="18"/>
                <w:szCs w:val="18"/>
                <w:color w:val="auto"/>
              </w:rPr>
              <w:t>(2.02)%</w:t>
            </w:r>
            <w:r>
              <w:rPr>
                <w:rFonts w:ascii="Arial" w:cs="Arial" w:eastAsia="Arial" w:hAnsi="Arial"/>
                <w:sz w:val="29"/>
                <w:szCs w:val="29"/>
                <w:color w:val="auto"/>
                <w:vertAlign w:val="superscript"/>
              </w:rPr>
              <w:t>(7)</w:t>
            </w:r>
          </w:p>
        </w:tc>
        <w:tc>
          <w:tcPr>
            <w:tcW w:w="8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1580" w:type="dxa"/>
            <w:vAlign w:val="bottom"/>
            <w:gridSpan w:val="3"/>
            <w:shd w:val="clear" w:color="auto" w:fill="CCFFCC"/>
          </w:tcPr>
          <w:p>
            <w:pPr>
              <w:jc w:val="right"/>
              <w:ind w:right="200"/>
              <w:spacing w:after="0" w:line="256" w:lineRule="exact"/>
              <w:rPr>
                <w:sz w:val="20"/>
                <w:szCs w:val="20"/>
                <w:color w:val="auto"/>
              </w:rPr>
            </w:pPr>
            <w:r>
              <w:rPr>
                <w:rFonts w:ascii="Arial" w:cs="Arial" w:eastAsia="Arial" w:hAnsi="Arial"/>
                <w:sz w:val="18"/>
                <w:szCs w:val="18"/>
                <w:color w:val="auto"/>
              </w:rPr>
              <w:t>34.05%</w:t>
            </w:r>
            <w:r>
              <w:rPr>
                <w:rFonts w:ascii="Arial" w:cs="Arial" w:eastAsia="Arial" w:hAnsi="Arial"/>
                <w:sz w:val="29"/>
                <w:szCs w:val="29"/>
                <w:color w:val="auto"/>
                <w:vertAlign w:val="superscript"/>
              </w:rPr>
              <w:t>(7)</w:t>
            </w:r>
          </w:p>
        </w:tc>
        <w:tc>
          <w:tcPr>
            <w:tcW w:w="2180" w:type="dxa"/>
            <w:vAlign w:val="bottom"/>
          </w:tcPr>
          <w:p>
            <w:pPr>
              <w:spacing w:after="0"/>
              <w:rPr>
                <w:sz w:val="22"/>
                <w:szCs w:val="22"/>
                <w:color w:val="auto"/>
              </w:rPr>
            </w:pPr>
          </w:p>
        </w:tc>
      </w:tr>
      <w:tr>
        <w:trPr>
          <w:trHeight w:val="257"/>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Total return based on net asset value</w:t>
            </w:r>
          </w:p>
        </w:tc>
        <w:tc>
          <w:tcPr>
            <w:tcW w:w="140" w:type="dxa"/>
            <w:vAlign w:val="bottom"/>
          </w:tcPr>
          <w:p>
            <w:pPr>
              <w:spacing w:after="0"/>
              <w:rPr>
                <w:sz w:val="22"/>
                <w:szCs w:val="22"/>
                <w:color w:val="auto"/>
              </w:rPr>
            </w:pPr>
          </w:p>
        </w:tc>
        <w:tc>
          <w:tcPr>
            <w:tcW w:w="1600" w:type="dxa"/>
            <w:vAlign w:val="bottom"/>
            <w:gridSpan w:val="3"/>
          </w:tcPr>
          <w:p>
            <w:pPr>
              <w:jc w:val="right"/>
              <w:ind w:right="80"/>
              <w:spacing w:after="0" w:line="256" w:lineRule="exact"/>
              <w:rPr>
                <w:sz w:val="20"/>
                <w:szCs w:val="20"/>
                <w:color w:val="auto"/>
              </w:rPr>
            </w:pPr>
            <w:r>
              <w:rPr>
                <w:rFonts w:ascii="Arial" w:cs="Arial" w:eastAsia="Arial" w:hAnsi="Arial"/>
                <w:sz w:val="18"/>
                <w:szCs w:val="18"/>
                <w:color w:val="auto"/>
              </w:rPr>
              <w:t>(2.91)%</w:t>
            </w:r>
            <w:r>
              <w:rPr>
                <w:rFonts w:ascii="Arial" w:cs="Arial" w:eastAsia="Arial" w:hAnsi="Arial"/>
                <w:sz w:val="29"/>
                <w:szCs w:val="29"/>
                <w:color w:val="auto"/>
                <w:vertAlign w:val="superscript"/>
              </w:rPr>
              <w:t>(7)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gridSpan w:val="3"/>
          </w:tcPr>
          <w:p>
            <w:pPr>
              <w:jc w:val="right"/>
              <w:ind w:right="200"/>
              <w:spacing w:after="0" w:line="256" w:lineRule="exact"/>
              <w:rPr>
                <w:sz w:val="20"/>
                <w:szCs w:val="20"/>
                <w:color w:val="auto"/>
              </w:rPr>
            </w:pPr>
            <w:r>
              <w:rPr>
                <w:rFonts w:ascii="Arial" w:cs="Arial" w:eastAsia="Arial" w:hAnsi="Arial"/>
                <w:sz w:val="18"/>
                <w:szCs w:val="18"/>
                <w:color w:val="auto"/>
              </w:rPr>
              <w:t>4.02%</w:t>
            </w:r>
            <w:r>
              <w:rPr>
                <w:rFonts w:ascii="Arial" w:cs="Arial" w:eastAsia="Arial" w:hAnsi="Arial"/>
                <w:sz w:val="29"/>
                <w:szCs w:val="29"/>
                <w:color w:val="auto"/>
                <w:vertAlign w:val="superscript"/>
              </w:rPr>
              <w:t>(7)</w:t>
            </w:r>
          </w:p>
        </w:tc>
        <w:tc>
          <w:tcPr>
            <w:tcW w:w="2180" w:type="dxa"/>
            <w:vAlign w:val="bottom"/>
          </w:tcPr>
          <w:p>
            <w:pPr>
              <w:spacing w:after="0"/>
              <w:rPr>
                <w:sz w:val="22"/>
                <w:szCs w:val="22"/>
                <w:color w:val="auto"/>
              </w:rPr>
            </w:pPr>
          </w:p>
        </w:tc>
      </w:tr>
      <w:tr>
        <w:trPr>
          <w:trHeight w:val="216"/>
        </w:trPr>
        <w:tc>
          <w:tcPr>
            <w:tcW w:w="43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Shares outstanding at end of period</w:t>
            </w:r>
          </w:p>
        </w:tc>
        <w:tc>
          <w:tcPr>
            <w:tcW w:w="140" w:type="dxa"/>
            <w:vAlign w:val="bottom"/>
            <w:shd w:val="clear" w:color="auto" w:fill="CCFFCC"/>
          </w:tcPr>
          <w:p>
            <w:pPr>
              <w:spacing w:after="0"/>
              <w:rPr>
                <w:sz w:val="18"/>
                <w:szCs w:val="18"/>
                <w:color w:val="auto"/>
              </w:rPr>
            </w:pPr>
          </w:p>
        </w:tc>
        <w:tc>
          <w:tcPr>
            <w:tcW w:w="160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19,320,100</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580" w:type="dxa"/>
            <w:vAlign w:val="bottom"/>
            <w:gridSpan w:val="3"/>
            <w:shd w:val="clear" w:color="auto" w:fill="CCFFCC"/>
          </w:tcPr>
          <w:p>
            <w:pPr>
              <w:jc w:val="right"/>
              <w:ind w:right="520"/>
              <w:spacing w:after="0"/>
              <w:rPr>
                <w:sz w:val="20"/>
                <w:szCs w:val="20"/>
                <w:color w:val="auto"/>
              </w:rPr>
            </w:pPr>
            <w:r>
              <w:rPr>
                <w:rFonts w:ascii="Arial" w:cs="Arial" w:eastAsia="Arial" w:hAnsi="Arial"/>
                <w:sz w:val="18"/>
                <w:szCs w:val="18"/>
                <w:color w:val="auto"/>
              </w:rPr>
              <w:t>12,420,100</w:t>
            </w:r>
          </w:p>
        </w:tc>
        <w:tc>
          <w:tcPr>
            <w:tcW w:w="2180" w:type="dxa"/>
            <w:vAlign w:val="bottom"/>
          </w:tcPr>
          <w:p>
            <w:pPr>
              <w:spacing w:after="0"/>
              <w:rPr>
                <w:sz w:val="18"/>
                <w:szCs w:val="18"/>
                <w:color w:val="auto"/>
              </w:rPr>
            </w:pPr>
          </w:p>
        </w:tc>
      </w:tr>
      <w:tr>
        <w:trPr>
          <w:trHeight w:val="216"/>
        </w:trPr>
        <w:tc>
          <w:tcPr>
            <w:tcW w:w="4380" w:type="dxa"/>
            <w:vAlign w:val="bottom"/>
            <w:gridSpan w:val="2"/>
          </w:tcPr>
          <w:p>
            <w:pPr>
              <w:ind w:left="20"/>
              <w:spacing w:after="0"/>
              <w:rPr>
                <w:sz w:val="20"/>
                <w:szCs w:val="20"/>
                <w:color w:val="auto"/>
              </w:rPr>
            </w:pPr>
            <w:r>
              <w:rPr>
                <w:rFonts w:ascii="Arial" w:cs="Arial" w:eastAsia="Arial" w:hAnsi="Arial"/>
                <w:sz w:val="18"/>
                <w:szCs w:val="18"/>
                <w:b w:val="1"/>
                <w:bCs w:val="1"/>
                <w:color w:val="auto"/>
              </w:rPr>
              <w:t>Ratio/Supplemental Data:</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3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Net assets at end of period</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245,091,546</w:t>
            </w:r>
          </w:p>
        </w:tc>
        <w:tc>
          <w:tcPr>
            <w:tcW w:w="80" w:type="dxa"/>
            <w:vAlign w:val="bottom"/>
            <w:shd w:val="clear" w:color="auto" w:fill="CCFFCC"/>
          </w:tcPr>
          <w:p>
            <w:pPr>
              <w:spacing w:after="0"/>
              <w:rPr>
                <w:sz w:val="18"/>
                <w:szCs w:val="18"/>
                <w:color w:val="auto"/>
              </w:rPr>
            </w:pPr>
          </w:p>
        </w:tc>
        <w:tc>
          <w:tcPr>
            <w:tcW w:w="440" w:type="dxa"/>
            <w:vAlign w:val="bottom"/>
            <w:gridSpan w:val="3"/>
            <w:shd w:val="clear" w:color="auto" w:fill="CCFFCC"/>
          </w:tcPr>
          <w:p>
            <w:pPr>
              <w:jc w:val="right"/>
              <w:ind w:right="108"/>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FFCC"/>
          </w:tcPr>
          <w:p>
            <w:pPr>
              <w:jc w:val="right"/>
              <w:ind w:right="520"/>
              <w:spacing w:after="0"/>
              <w:rPr>
                <w:sz w:val="20"/>
                <w:szCs w:val="20"/>
                <w:color w:val="auto"/>
              </w:rPr>
            </w:pPr>
            <w:r>
              <w:rPr>
                <w:rFonts w:ascii="Arial" w:cs="Arial" w:eastAsia="Arial" w:hAnsi="Arial"/>
                <w:sz w:val="18"/>
                <w:szCs w:val="18"/>
                <w:color w:val="auto"/>
              </w:rPr>
              <w:t>167,349,108</w:t>
            </w:r>
          </w:p>
        </w:tc>
        <w:tc>
          <w:tcPr>
            <w:tcW w:w="2180" w:type="dxa"/>
            <w:vAlign w:val="bottom"/>
          </w:tcPr>
          <w:p>
            <w:pPr>
              <w:spacing w:after="0"/>
              <w:rPr>
                <w:sz w:val="18"/>
                <w:szCs w:val="18"/>
                <w:color w:val="auto"/>
              </w:rPr>
            </w:pPr>
          </w:p>
        </w:tc>
      </w:tr>
      <w:tr>
        <w:trPr>
          <w:trHeight w:val="216"/>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Average net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3"/>
          </w:tcPr>
          <w:p>
            <w:pPr>
              <w:jc w:val="right"/>
              <w:ind w:right="480"/>
              <w:spacing w:after="0"/>
              <w:rPr>
                <w:sz w:val="20"/>
                <w:szCs w:val="20"/>
                <w:color w:val="auto"/>
              </w:rPr>
            </w:pPr>
            <w:r>
              <w:rPr>
                <w:rFonts w:ascii="Arial" w:cs="Arial" w:eastAsia="Arial" w:hAnsi="Arial"/>
                <w:sz w:val="18"/>
                <w:szCs w:val="18"/>
                <w:color w:val="auto"/>
              </w:rPr>
              <w:t>252,834,028</w:t>
            </w:r>
          </w:p>
        </w:tc>
        <w:tc>
          <w:tcPr>
            <w:tcW w:w="80" w:type="dxa"/>
            <w:vAlign w:val="bottom"/>
          </w:tcPr>
          <w:p>
            <w:pPr>
              <w:spacing w:after="0"/>
              <w:rPr>
                <w:sz w:val="18"/>
                <w:szCs w:val="18"/>
                <w:color w:val="auto"/>
              </w:rPr>
            </w:pPr>
          </w:p>
        </w:tc>
        <w:tc>
          <w:tcPr>
            <w:tcW w:w="44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520"/>
              <w:spacing w:after="0"/>
              <w:rPr>
                <w:sz w:val="20"/>
                <w:szCs w:val="20"/>
                <w:color w:val="auto"/>
              </w:rPr>
            </w:pPr>
            <w:r>
              <w:rPr>
                <w:rFonts w:ascii="Arial" w:cs="Arial" w:eastAsia="Arial" w:hAnsi="Arial"/>
                <w:sz w:val="18"/>
                <w:szCs w:val="18"/>
                <w:color w:val="auto"/>
              </w:rPr>
              <w:t>104,913,980</w:t>
            </w:r>
          </w:p>
        </w:tc>
        <w:tc>
          <w:tcPr>
            <w:tcW w:w="2180" w:type="dxa"/>
            <w:vAlign w:val="bottom"/>
          </w:tcPr>
          <w:p>
            <w:pPr>
              <w:spacing w:after="0"/>
              <w:rPr>
                <w:sz w:val="18"/>
                <w:szCs w:val="18"/>
                <w:color w:val="auto"/>
              </w:rPr>
            </w:pPr>
          </w:p>
        </w:tc>
      </w:tr>
      <w:tr>
        <w:trPr>
          <w:trHeight w:val="205"/>
        </w:trPr>
        <w:tc>
          <w:tcPr>
            <w:tcW w:w="4380" w:type="dxa"/>
            <w:vAlign w:val="bottom"/>
            <w:gridSpan w:val="2"/>
            <w:shd w:val="clear" w:color="auto" w:fill="CCFFCC"/>
          </w:tcPr>
          <w:p>
            <w:pPr>
              <w:ind w:left="20"/>
              <w:spacing w:after="0" w:line="206" w:lineRule="exact"/>
              <w:rPr>
                <w:sz w:val="20"/>
                <w:szCs w:val="20"/>
                <w:color w:val="auto"/>
              </w:rPr>
            </w:pPr>
            <w:r>
              <w:rPr>
                <w:rFonts w:ascii="Arial" w:cs="Arial" w:eastAsia="Arial" w:hAnsi="Arial"/>
                <w:sz w:val="18"/>
                <w:szCs w:val="18"/>
                <w:color w:val="auto"/>
              </w:rPr>
              <w:t>Annualized ratio of gross operating expenses to</w:t>
            </w:r>
          </w:p>
        </w:tc>
        <w:tc>
          <w:tcPr>
            <w:tcW w:w="140" w:type="dxa"/>
            <w:vAlign w:val="bottom"/>
            <w:shd w:val="clear" w:color="auto" w:fill="CCFFCC"/>
          </w:tcPr>
          <w:p>
            <w:pPr>
              <w:spacing w:after="0"/>
              <w:rPr>
                <w:sz w:val="17"/>
                <w:szCs w:val="17"/>
                <w:color w:val="auto"/>
              </w:rPr>
            </w:pPr>
          </w:p>
        </w:tc>
        <w:tc>
          <w:tcPr>
            <w:tcW w:w="1600" w:type="dxa"/>
            <w:vAlign w:val="bottom"/>
            <w:gridSpan w:val="3"/>
            <w:shd w:val="clear" w:color="auto" w:fill="CCFFCC"/>
          </w:tcPr>
          <w:p>
            <w:pPr>
              <w:jc w:val="right"/>
              <w:ind w:right="320"/>
              <w:spacing w:after="0" w:line="206" w:lineRule="exact"/>
              <w:rPr>
                <w:sz w:val="20"/>
                <w:szCs w:val="20"/>
                <w:color w:val="auto"/>
              </w:rPr>
            </w:pPr>
            <w:r>
              <w:rPr>
                <w:rFonts w:ascii="Arial" w:cs="Arial" w:eastAsia="Arial" w:hAnsi="Arial"/>
                <w:sz w:val="18"/>
                <w:szCs w:val="18"/>
                <w:color w:val="auto"/>
              </w:rPr>
              <w:t>1.02%</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580" w:type="dxa"/>
            <w:vAlign w:val="bottom"/>
            <w:gridSpan w:val="3"/>
            <w:shd w:val="clear" w:color="auto" w:fill="CCFFCC"/>
          </w:tcPr>
          <w:p>
            <w:pPr>
              <w:jc w:val="right"/>
              <w:ind w:right="380"/>
              <w:spacing w:after="0" w:line="206" w:lineRule="exact"/>
              <w:rPr>
                <w:sz w:val="20"/>
                <w:szCs w:val="20"/>
                <w:color w:val="auto"/>
              </w:rPr>
            </w:pPr>
            <w:r>
              <w:rPr>
                <w:rFonts w:ascii="Arial" w:cs="Arial" w:eastAsia="Arial" w:hAnsi="Arial"/>
                <w:sz w:val="18"/>
                <w:szCs w:val="18"/>
                <w:color w:val="auto"/>
              </w:rPr>
              <w:t>4.63%</w:t>
            </w:r>
          </w:p>
        </w:tc>
        <w:tc>
          <w:tcPr>
            <w:tcW w:w="2180" w:type="dxa"/>
            <w:vAlign w:val="bottom"/>
          </w:tcPr>
          <w:p>
            <w:pPr>
              <w:spacing w:after="0"/>
              <w:rPr>
                <w:sz w:val="17"/>
                <w:szCs w:val="17"/>
                <w:color w:val="auto"/>
              </w:rPr>
            </w:pPr>
          </w:p>
        </w:tc>
      </w:tr>
      <w:tr>
        <w:trPr>
          <w:trHeight w:val="267"/>
        </w:trPr>
        <w:tc>
          <w:tcPr>
            <w:tcW w:w="4380" w:type="dxa"/>
            <w:vAlign w:val="bottom"/>
            <w:gridSpan w:val="2"/>
            <w:shd w:val="clear" w:color="auto" w:fill="CCFFCC"/>
          </w:tcPr>
          <w:p>
            <w:pPr>
              <w:ind w:left="200"/>
              <w:spacing w:after="0" w:line="266" w:lineRule="exact"/>
              <w:rPr>
                <w:sz w:val="20"/>
                <w:szCs w:val="20"/>
                <w:color w:val="auto"/>
              </w:rPr>
            </w:pPr>
            <w:r>
              <w:rPr>
                <w:rFonts w:ascii="Arial" w:cs="Arial" w:eastAsia="Arial" w:hAnsi="Arial"/>
                <w:sz w:val="18"/>
                <w:szCs w:val="18"/>
                <w:color w:val="auto"/>
              </w:rPr>
              <w:t>average net assets</w:t>
            </w:r>
            <w:r>
              <w:rPr>
                <w:rFonts w:ascii="Arial" w:cs="Arial" w:eastAsia="Arial" w:hAnsi="Arial"/>
                <w:sz w:val="30"/>
                <w:szCs w:val="30"/>
                <w:color w:val="auto"/>
                <w:vertAlign w:val="superscript"/>
              </w:rPr>
              <w:t>(8)</w:t>
            </w:r>
          </w:p>
        </w:tc>
        <w:tc>
          <w:tcPr>
            <w:tcW w:w="140" w:type="dxa"/>
            <w:vAlign w:val="bottom"/>
            <w:shd w:val="clear" w:color="auto" w:fill="CCFFCC"/>
          </w:tcPr>
          <w:p>
            <w:pPr>
              <w:spacing w:after="0"/>
              <w:rPr>
                <w:sz w:val="23"/>
                <w:szCs w:val="23"/>
                <w:color w:val="auto"/>
              </w:rPr>
            </w:pPr>
          </w:p>
        </w:tc>
        <w:tc>
          <w:tcPr>
            <w:tcW w:w="10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480" w:type="dxa"/>
            <w:vAlign w:val="bottom"/>
            <w:shd w:val="clear" w:color="auto" w:fill="CCFFCC"/>
          </w:tcPr>
          <w:p>
            <w:pPr>
              <w:spacing w:after="0"/>
              <w:rPr>
                <w:sz w:val="23"/>
                <w:szCs w:val="23"/>
                <w:color w:val="auto"/>
              </w:rPr>
            </w:pPr>
          </w:p>
        </w:tc>
        <w:tc>
          <w:tcPr>
            <w:tcW w:w="80" w:type="dxa"/>
            <w:vAlign w:val="bottom"/>
            <w:shd w:val="clear" w:color="auto" w:fill="CCFFCC"/>
          </w:tcPr>
          <w:p>
            <w:pPr>
              <w:spacing w:after="0"/>
              <w:rPr>
                <w:sz w:val="23"/>
                <w:szCs w:val="23"/>
                <w:color w:val="auto"/>
              </w:rPr>
            </w:pPr>
          </w:p>
        </w:tc>
        <w:tc>
          <w:tcPr>
            <w:tcW w:w="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26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520" w:type="dxa"/>
            <w:vAlign w:val="bottom"/>
            <w:shd w:val="clear" w:color="auto" w:fill="CCFFCC"/>
          </w:tcPr>
          <w:p>
            <w:pPr>
              <w:spacing w:after="0"/>
              <w:rPr>
                <w:sz w:val="23"/>
                <w:szCs w:val="23"/>
                <w:color w:val="auto"/>
              </w:rPr>
            </w:pPr>
          </w:p>
        </w:tc>
        <w:tc>
          <w:tcPr>
            <w:tcW w:w="2180" w:type="dxa"/>
            <w:vAlign w:val="bottom"/>
          </w:tcPr>
          <w:p>
            <w:pPr>
              <w:spacing w:after="0"/>
              <w:rPr>
                <w:sz w:val="23"/>
                <w:szCs w:val="23"/>
                <w:color w:val="auto"/>
              </w:rPr>
            </w:pPr>
          </w:p>
        </w:tc>
      </w:tr>
      <w:tr>
        <w:trPr>
          <w:trHeight w:val="205"/>
        </w:trPr>
        <w:tc>
          <w:tcPr>
            <w:tcW w:w="4380" w:type="dxa"/>
            <w:vAlign w:val="bottom"/>
            <w:gridSpan w:val="2"/>
          </w:tcPr>
          <w:p>
            <w:pPr>
              <w:ind w:left="20"/>
              <w:spacing w:after="0" w:line="206" w:lineRule="exact"/>
              <w:rPr>
                <w:sz w:val="20"/>
                <w:szCs w:val="20"/>
                <w:color w:val="auto"/>
              </w:rPr>
            </w:pPr>
            <w:r>
              <w:rPr>
                <w:rFonts w:ascii="Arial" w:cs="Arial" w:eastAsia="Arial" w:hAnsi="Arial"/>
                <w:sz w:val="18"/>
                <w:szCs w:val="18"/>
                <w:color w:val="auto"/>
              </w:rPr>
              <w:t>Annualized ratio of net operating expenses to</w:t>
            </w:r>
          </w:p>
        </w:tc>
        <w:tc>
          <w:tcPr>
            <w:tcW w:w="140" w:type="dxa"/>
            <w:vAlign w:val="bottom"/>
          </w:tcPr>
          <w:p>
            <w:pPr>
              <w:spacing w:after="0"/>
              <w:rPr>
                <w:sz w:val="17"/>
                <w:szCs w:val="17"/>
                <w:color w:val="auto"/>
              </w:rPr>
            </w:pPr>
          </w:p>
        </w:tc>
        <w:tc>
          <w:tcPr>
            <w:tcW w:w="1600" w:type="dxa"/>
            <w:vAlign w:val="bottom"/>
            <w:gridSpan w:val="3"/>
          </w:tcPr>
          <w:p>
            <w:pPr>
              <w:jc w:val="right"/>
              <w:ind w:right="320"/>
              <w:spacing w:after="0" w:line="206" w:lineRule="exact"/>
              <w:rPr>
                <w:sz w:val="20"/>
                <w:szCs w:val="20"/>
                <w:color w:val="auto"/>
              </w:rPr>
            </w:pPr>
            <w:r>
              <w:rPr>
                <w:rFonts w:ascii="Arial" w:cs="Arial" w:eastAsia="Arial" w:hAnsi="Arial"/>
                <w:sz w:val="18"/>
                <w:szCs w:val="18"/>
                <w:color w:val="auto"/>
              </w:rPr>
              <w:t>1.02%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3"/>
          </w:tcPr>
          <w:p>
            <w:pPr>
              <w:jc w:val="right"/>
              <w:ind w:right="380"/>
              <w:spacing w:after="0" w:line="206" w:lineRule="exact"/>
              <w:rPr>
                <w:sz w:val="20"/>
                <w:szCs w:val="20"/>
                <w:color w:val="auto"/>
              </w:rPr>
            </w:pPr>
            <w:r>
              <w:rPr>
                <w:rFonts w:ascii="Arial" w:cs="Arial" w:eastAsia="Arial" w:hAnsi="Arial"/>
                <w:sz w:val="18"/>
                <w:szCs w:val="18"/>
                <w:color w:val="auto"/>
              </w:rPr>
              <w:t>4.63%</w:t>
            </w:r>
          </w:p>
        </w:tc>
        <w:tc>
          <w:tcPr>
            <w:tcW w:w="2180" w:type="dxa"/>
            <w:vAlign w:val="bottom"/>
          </w:tcPr>
          <w:p>
            <w:pPr>
              <w:spacing w:after="0"/>
              <w:rPr>
                <w:sz w:val="17"/>
                <w:szCs w:val="17"/>
                <w:color w:val="auto"/>
              </w:rPr>
            </w:pPr>
          </w:p>
        </w:tc>
      </w:tr>
      <w:tr>
        <w:trPr>
          <w:trHeight w:val="267"/>
        </w:trPr>
        <w:tc>
          <w:tcPr>
            <w:tcW w:w="4380" w:type="dxa"/>
            <w:vAlign w:val="bottom"/>
            <w:gridSpan w:val="2"/>
          </w:tcPr>
          <w:p>
            <w:pPr>
              <w:ind w:left="200"/>
              <w:spacing w:after="0" w:line="266" w:lineRule="exact"/>
              <w:rPr>
                <w:sz w:val="20"/>
                <w:szCs w:val="20"/>
                <w:color w:val="auto"/>
              </w:rPr>
            </w:pPr>
            <w:r>
              <w:rPr>
                <w:rFonts w:ascii="Arial" w:cs="Arial" w:eastAsia="Arial" w:hAnsi="Arial"/>
                <w:sz w:val="18"/>
                <w:szCs w:val="18"/>
                <w:color w:val="auto"/>
              </w:rPr>
              <w:t>average net assets</w:t>
            </w:r>
            <w:r>
              <w:rPr>
                <w:rFonts w:ascii="Arial" w:cs="Arial" w:eastAsia="Arial" w:hAnsi="Arial"/>
                <w:sz w:val="30"/>
                <w:szCs w:val="30"/>
                <w:color w:val="auto"/>
                <w:vertAlign w:val="superscript"/>
              </w:rPr>
              <w:t>(8)</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180" w:type="dxa"/>
            <w:vAlign w:val="bottom"/>
          </w:tcPr>
          <w:p>
            <w:pPr>
              <w:spacing w:after="0"/>
              <w:rPr>
                <w:sz w:val="23"/>
                <w:szCs w:val="23"/>
                <w:color w:val="auto"/>
              </w:rPr>
            </w:pPr>
          </w:p>
        </w:tc>
      </w:tr>
      <w:tr>
        <w:trPr>
          <w:trHeight w:val="205"/>
        </w:trPr>
        <w:tc>
          <w:tcPr>
            <w:tcW w:w="4380" w:type="dxa"/>
            <w:vAlign w:val="bottom"/>
            <w:gridSpan w:val="2"/>
            <w:shd w:val="clear" w:color="auto" w:fill="CCFFCC"/>
          </w:tcPr>
          <w:p>
            <w:pPr>
              <w:ind w:left="20"/>
              <w:spacing w:after="0" w:line="206" w:lineRule="exact"/>
              <w:rPr>
                <w:sz w:val="20"/>
                <w:szCs w:val="20"/>
                <w:color w:val="auto"/>
              </w:rPr>
            </w:pPr>
            <w:r>
              <w:rPr>
                <w:rFonts w:ascii="Arial" w:cs="Arial" w:eastAsia="Arial" w:hAnsi="Arial"/>
                <w:sz w:val="18"/>
                <w:szCs w:val="18"/>
                <w:color w:val="auto"/>
              </w:rPr>
              <w:t>Annualized ratio of net investment income to</w:t>
            </w:r>
          </w:p>
        </w:tc>
        <w:tc>
          <w:tcPr>
            <w:tcW w:w="140" w:type="dxa"/>
            <w:vAlign w:val="bottom"/>
            <w:shd w:val="clear" w:color="auto" w:fill="CCFFCC"/>
          </w:tcPr>
          <w:p>
            <w:pPr>
              <w:spacing w:after="0"/>
              <w:rPr>
                <w:sz w:val="17"/>
                <w:szCs w:val="17"/>
                <w:color w:val="auto"/>
              </w:rPr>
            </w:pPr>
          </w:p>
        </w:tc>
        <w:tc>
          <w:tcPr>
            <w:tcW w:w="1600" w:type="dxa"/>
            <w:vAlign w:val="bottom"/>
            <w:gridSpan w:val="3"/>
            <w:shd w:val="clear" w:color="auto" w:fill="CCFFCC"/>
          </w:tcPr>
          <w:p>
            <w:pPr>
              <w:jc w:val="right"/>
              <w:ind w:right="260"/>
              <w:spacing w:after="0" w:line="206" w:lineRule="exact"/>
              <w:rPr>
                <w:sz w:val="20"/>
                <w:szCs w:val="20"/>
                <w:color w:val="auto"/>
              </w:rPr>
            </w:pPr>
            <w:r>
              <w:rPr>
                <w:rFonts w:ascii="Arial" w:cs="Arial" w:eastAsia="Arial" w:hAnsi="Arial"/>
                <w:sz w:val="18"/>
                <w:szCs w:val="18"/>
                <w:color w:val="auto"/>
              </w:rPr>
              <w:t>(1.02)%</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580" w:type="dxa"/>
            <w:vAlign w:val="bottom"/>
            <w:gridSpan w:val="3"/>
            <w:shd w:val="clear" w:color="auto" w:fill="CCFFCC"/>
          </w:tcPr>
          <w:p>
            <w:pPr>
              <w:jc w:val="right"/>
              <w:ind w:right="320"/>
              <w:spacing w:after="0" w:line="206" w:lineRule="exact"/>
              <w:rPr>
                <w:sz w:val="20"/>
                <w:szCs w:val="20"/>
                <w:color w:val="auto"/>
              </w:rPr>
            </w:pPr>
            <w:r>
              <w:rPr>
                <w:rFonts w:ascii="Arial" w:cs="Arial" w:eastAsia="Arial" w:hAnsi="Arial"/>
                <w:sz w:val="18"/>
                <w:szCs w:val="18"/>
                <w:color w:val="auto"/>
              </w:rPr>
              <w:t>(4.18)%</w:t>
            </w:r>
          </w:p>
        </w:tc>
        <w:tc>
          <w:tcPr>
            <w:tcW w:w="2180" w:type="dxa"/>
            <w:vAlign w:val="bottom"/>
          </w:tcPr>
          <w:p>
            <w:pPr>
              <w:spacing w:after="0"/>
              <w:rPr>
                <w:sz w:val="17"/>
                <w:szCs w:val="17"/>
                <w:color w:val="auto"/>
              </w:rPr>
            </w:pPr>
          </w:p>
        </w:tc>
      </w:tr>
      <w:tr>
        <w:trPr>
          <w:trHeight w:val="267"/>
        </w:trPr>
        <w:tc>
          <w:tcPr>
            <w:tcW w:w="4380" w:type="dxa"/>
            <w:vAlign w:val="bottom"/>
            <w:gridSpan w:val="2"/>
            <w:shd w:val="clear" w:color="auto" w:fill="CCFFCC"/>
          </w:tcPr>
          <w:p>
            <w:pPr>
              <w:ind w:left="200"/>
              <w:spacing w:after="0" w:line="266" w:lineRule="exact"/>
              <w:rPr>
                <w:sz w:val="20"/>
                <w:szCs w:val="20"/>
                <w:color w:val="auto"/>
              </w:rPr>
            </w:pPr>
            <w:r>
              <w:rPr>
                <w:rFonts w:ascii="Arial" w:cs="Arial" w:eastAsia="Arial" w:hAnsi="Arial"/>
                <w:sz w:val="18"/>
                <w:szCs w:val="18"/>
                <w:color w:val="auto"/>
              </w:rPr>
              <w:t>average net assets</w:t>
            </w:r>
            <w:r>
              <w:rPr>
                <w:rFonts w:ascii="Arial" w:cs="Arial" w:eastAsia="Arial" w:hAnsi="Arial"/>
                <w:sz w:val="30"/>
                <w:szCs w:val="30"/>
                <w:color w:val="auto"/>
                <w:vertAlign w:val="superscript"/>
              </w:rPr>
              <w:t>(8)</w:t>
            </w:r>
          </w:p>
        </w:tc>
        <w:tc>
          <w:tcPr>
            <w:tcW w:w="140" w:type="dxa"/>
            <w:vAlign w:val="bottom"/>
            <w:shd w:val="clear" w:color="auto" w:fill="CCFFCC"/>
          </w:tcPr>
          <w:p>
            <w:pPr>
              <w:spacing w:after="0"/>
              <w:rPr>
                <w:sz w:val="23"/>
                <w:szCs w:val="23"/>
                <w:color w:val="auto"/>
              </w:rPr>
            </w:pPr>
          </w:p>
        </w:tc>
        <w:tc>
          <w:tcPr>
            <w:tcW w:w="10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480" w:type="dxa"/>
            <w:vAlign w:val="bottom"/>
            <w:shd w:val="clear" w:color="auto" w:fill="CCFFCC"/>
          </w:tcPr>
          <w:p>
            <w:pPr>
              <w:spacing w:after="0"/>
              <w:rPr>
                <w:sz w:val="23"/>
                <w:szCs w:val="23"/>
                <w:color w:val="auto"/>
              </w:rPr>
            </w:pPr>
          </w:p>
        </w:tc>
        <w:tc>
          <w:tcPr>
            <w:tcW w:w="80" w:type="dxa"/>
            <w:vAlign w:val="bottom"/>
            <w:shd w:val="clear" w:color="auto" w:fill="CCFFCC"/>
          </w:tcPr>
          <w:p>
            <w:pPr>
              <w:spacing w:after="0"/>
              <w:rPr>
                <w:sz w:val="23"/>
                <w:szCs w:val="23"/>
                <w:color w:val="auto"/>
              </w:rPr>
            </w:pPr>
          </w:p>
        </w:tc>
        <w:tc>
          <w:tcPr>
            <w:tcW w:w="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26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520" w:type="dxa"/>
            <w:vAlign w:val="bottom"/>
            <w:shd w:val="clear" w:color="auto" w:fill="CCFFCC"/>
          </w:tcPr>
          <w:p>
            <w:pPr>
              <w:spacing w:after="0"/>
              <w:rPr>
                <w:sz w:val="23"/>
                <w:szCs w:val="23"/>
                <w:color w:val="auto"/>
              </w:rPr>
            </w:pPr>
          </w:p>
        </w:tc>
        <w:tc>
          <w:tcPr>
            <w:tcW w:w="2180" w:type="dxa"/>
            <w:vAlign w:val="bottom"/>
          </w:tcPr>
          <w:p>
            <w:pPr>
              <w:spacing w:after="0"/>
              <w:rPr>
                <w:sz w:val="23"/>
                <w:szCs w:val="23"/>
                <w:color w:val="auto"/>
              </w:rPr>
            </w:pPr>
          </w:p>
        </w:tc>
      </w:tr>
      <w:tr>
        <w:trPr>
          <w:trHeight w:val="166"/>
        </w:trPr>
        <w:tc>
          <w:tcPr>
            <w:tcW w:w="8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Year ended</w:t>
            </w:r>
          </w:p>
        </w:tc>
        <w:tc>
          <w:tcPr>
            <w:tcW w:w="80" w:type="dxa"/>
            <w:vAlign w:val="bottom"/>
          </w:tcPr>
          <w:p>
            <w:pPr>
              <w:spacing w:after="0"/>
              <w:rPr>
                <w:sz w:val="14"/>
                <w:szCs w:val="14"/>
                <w:color w:val="auto"/>
              </w:rPr>
            </w:pPr>
          </w:p>
        </w:tc>
        <w:tc>
          <w:tcPr>
            <w:tcW w:w="1940" w:type="dxa"/>
            <w:vAlign w:val="bottom"/>
            <w:gridSpan w:val="5"/>
          </w:tcPr>
          <w:p>
            <w:pPr>
              <w:ind w:left="20"/>
              <w:spacing w:after="0"/>
              <w:rPr>
                <w:sz w:val="20"/>
                <w:szCs w:val="20"/>
                <w:color w:val="auto"/>
              </w:rPr>
            </w:pPr>
            <w:r>
              <w:rPr>
                <w:rFonts w:ascii="Arial" w:cs="Arial" w:eastAsia="Arial" w:hAnsi="Arial"/>
                <w:sz w:val="14"/>
                <w:szCs w:val="14"/>
                <w:b w:val="1"/>
                <w:bCs w:val="1"/>
                <w:color w:val="auto"/>
                <w:w w:val="93"/>
              </w:rPr>
              <w:t>For the period from January 6,</w:t>
            </w:r>
          </w:p>
        </w:tc>
        <w:tc>
          <w:tcPr>
            <w:tcW w:w="218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December 31, 2012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
              <w:spacing w:after="0" w:line="149"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49"/>
        </w:trPr>
        <w:tc>
          <w:tcPr>
            <w:tcW w:w="8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91"/>
              </w:rPr>
              <w:t>(date of inception) to December</w:t>
            </w:r>
          </w:p>
        </w:tc>
        <w:tc>
          <w:tcPr>
            <w:tcW w:w="2180" w:type="dxa"/>
            <w:vAlign w:val="bottom"/>
          </w:tcPr>
          <w:p>
            <w:pPr>
              <w:spacing w:after="0"/>
              <w:rPr>
                <w:sz w:val="12"/>
                <w:szCs w:val="12"/>
                <w:color w:val="auto"/>
              </w:rPr>
            </w:pPr>
          </w:p>
        </w:tc>
      </w:tr>
      <w:tr>
        <w:trPr>
          <w:trHeight w:val="171"/>
        </w:trPr>
        <w:tc>
          <w:tcPr>
            <w:tcW w:w="8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31, 2011</w:t>
            </w: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180" w:type="dxa"/>
            <w:vAlign w:val="bottom"/>
          </w:tcPr>
          <w:p>
            <w:pPr>
              <w:spacing w:after="0"/>
              <w:rPr>
                <w:sz w:val="14"/>
                <w:szCs w:val="14"/>
                <w:color w:val="auto"/>
              </w:rPr>
            </w:pPr>
          </w:p>
        </w:tc>
      </w:tr>
      <w:tr>
        <w:trPr>
          <w:trHeight w:val="210"/>
        </w:trPr>
        <w:tc>
          <w:tcPr>
            <w:tcW w:w="438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Per Share Data:</w:t>
            </w:r>
          </w:p>
        </w:tc>
        <w:tc>
          <w:tcPr>
            <w:tcW w:w="1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Net asset value at beginning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12.95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8"/>
                <w:szCs w:val="18"/>
                <w:color w:val="auto"/>
              </w:rPr>
            </w:pPr>
          </w:p>
        </w:tc>
        <w:tc>
          <w:tcPr>
            <w:tcW w:w="158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8"/>
                <w:szCs w:val="18"/>
                <w:color w:val="auto"/>
              </w:rPr>
            </w:pPr>
          </w:p>
        </w:tc>
      </w:tr>
      <w:tr>
        <w:trPr>
          <w:trHeight w:val="257"/>
        </w:trPr>
        <w:tc>
          <w:tcPr>
            <w:tcW w:w="43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Issuance of common shares</w:t>
            </w:r>
          </w:p>
        </w:tc>
        <w:tc>
          <w:tcPr>
            <w:tcW w:w="140" w:type="dxa"/>
            <w:vAlign w:val="bottom"/>
            <w:shd w:val="clear" w:color="auto" w:fill="CCFFCC"/>
          </w:tcPr>
          <w:p>
            <w:pPr>
              <w:spacing w:after="0"/>
              <w:rPr>
                <w:sz w:val="22"/>
                <w:szCs w:val="22"/>
                <w:color w:val="auto"/>
              </w:rPr>
            </w:pPr>
          </w:p>
        </w:tc>
        <w:tc>
          <w:tcPr>
            <w:tcW w:w="1600" w:type="dxa"/>
            <w:vAlign w:val="bottom"/>
            <w:gridSpan w:val="3"/>
            <w:shd w:val="clear" w:color="auto" w:fill="CCFFCC"/>
          </w:tcPr>
          <w:p>
            <w:pPr>
              <w:jc w:val="right"/>
              <w:ind w:right="400"/>
              <w:spacing w:after="0" w:line="256" w:lineRule="exact"/>
              <w:rPr>
                <w:sz w:val="20"/>
                <w:szCs w:val="20"/>
                <w:color w:val="auto"/>
              </w:rPr>
            </w:pPr>
            <w:r>
              <w:rPr>
                <w:rFonts w:ascii="Arial" w:cs="Arial" w:eastAsia="Arial" w:hAnsi="Arial"/>
                <w:sz w:val="18"/>
                <w:szCs w:val="18"/>
                <w:color w:val="auto"/>
              </w:rPr>
              <w:t>1.91</w:t>
            </w:r>
            <w:r>
              <w:rPr>
                <w:rFonts w:ascii="Arial" w:cs="Arial" w:eastAsia="Arial" w:hAnsi="Arial"/>
                <w:sz w:val="29"/>
                <w:szCs w:val="29"/>
                <w:color w:val="auto"/>
                <w:vertAlign w:val="superscript"/>
              </w:rPr>
              <w:t>(4)</w:t>
            </w:r>
          </w:p>
        </w:tc>
        <w:tc>
          <w:tcPr>
            <w:tcW w:w="8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1580" w:type="dxa"/>
            <w:vAlign w:val="bottom"/>
            <w:gridSpan w:val="3"/>
            <w:shd w:val="clear" w:color="auto" w:fill="CCFFCC"/>
          </w:tcPr>
          <w:p>
            <w:pPr>
              <w:jc w:val="right"/>
              <w:ind w:right="520"/>
              <w:spacing w:after="0" w:line="256" w:lineRule="exact"/>
              <w:rPr>
                <w:sz w:val="20"/>
                <w:szCs w:val="20"/>
                <w:color w:val="auto"/>
              </w:rPr>
            </w:pPr>
            <w:r>
              <w:rPr>
                <w:rFonts w:ascii="Arial" w:cs="Arial" w:eastAsia="Arial" w:hAnsi="Arial"/>
                <w:sz w:val="18"/>
                <w:szCs w:val="18"/>
                <w:color w:val="auto"/>
              </w:rPr>
              <w:t>14.67</w:t>
            </w:r>
            <w:r>
              <w:rPr>
                <w:rFonts w:ascii="Arial" w:cs="Arial" w:eastAsia="Arial" w:hAnsi="Arial"/>
                <w:sz w:val="29"/>
                <w:szCs w:val="29"/>
                <w:color w:val="auto"/>
                <w:vertAlign w:val="superscript"/>
              </w:rPr>
              <w:t>(5)</w:t>
            </w:r>
          </w:p>
        </w:tc>
        <w:tc>
          <w:tcPr>
            <w:tcW w:w="2180" w:type="dxa"/>
            <w:vAlign w:val="bottom"/>
          </w:tcPr>
          <w:p>
            <w:pPr>
              <w:spacing w:after="0"/>
              <w:rPr>
                <w:sz w:val="22"/>
                <w:szCs w:val="22"/>
                <w:color w:val="auto"/>
              </w:rPr>
            </w:pPr>
          </w:p>
        </w:tc>
      </w:tr>
      <w:tr>
        <w:trPr>
          <w:trHeight w:val="257"/>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Underwriters’ discount</w:t>
            </w:r>
          </w:p>
        </w:tc>
        <w:tc>
          <w:tcPr>
            <w:tcW w:w="140" w:type="dxa"/>
            <w:vAlign w:val="bottom"/>
          </w:tcPr>
          <w:p>
            <w:pPr>
              <w:spacing w:after="0"/>
              <w:rPr>
                <w:sz w:val="22"/>
                <w:szCs w:val="22"/>
                <w:color w:val="auto"/>
              </w:rPr>
            </w:pPr>
          </w:p>
        </w:tc>
        <w:tc>
          <w:tcPr>
            <w:tcW w:w="1600" w:type="dxa"/>
            <w:vAlign w:val="bottom"/>
            <w:gridSpan w:val="3"/>
          </w:tcPr>
          <w:p>
            <w:pPr>
              <w:jc w:val="right"/>
              <w:ind w:right="340"/>
              <w:spacing w:after="0" w:line="256" w:lineRule="exact"/>
              <w:rPr>
                <w:sz w:val="20"/>
                <w:szCs w:val="20"/>
                <w:color w:val="auto"/>
              </w:rPr>
            </w:pPr>
            <w:r>
              <w:rPr>
                <w:rFonts w:ascii="Arial" w:cs="Arial" w:eastAsia="Arial" w:hAnsi="Arial"/>
                <w:sz w:val="18"/>
                <w:szCs w:val="18"/>
                <w:color w:val="auto"/>
              </w:rPr>
              <w:t>(0.72)</w:t>
            </w:r>
            <w:r>
              <w:rPr>
                <w:rFonts w:ascii="Arial" w:cs="Arial" w:eastAsia="Arial" w:hAnsi="Arial"/>
                <w:sz w:val="29"/>
                <w:szCs w:val="29"/>
                <w:color w:val="auto"/>
                <w:vertAlign w:val="superscript"/>
              </w:rPr>
              <w:t>(2)</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gridSpan w:val="3"/>
          </w:tcPr>
          <w:p>
            <w:pPr>
              <w:jc w:val="right"/>
              <w:ind w:right="460"/>
              <w:spacing w:after="0" w:line="256" w:lineRule="exact"/>
              <w:rPr>
                <w:sz w:val="20"/>
                <w:szCs w:val="20"/>
                <w:color w:val="auto"/>
              </w:rPr>
            </w:pPr>
            <w:r>
              <w:rPr>
                <w:rFonts w:ascii="Arial" w:cs="Arial" w:eastAsia="Arial" w:hAnsi="Arial"/>
                <w:sz w:val="18"/>
                <w:szCs w:val="18"/>
                <w:color w:val="auto"/>
              </w:rPr>
              <w:t>(0.86)</w:t>
            </w:r>
            <w:r>
              <w:rPr>
                <w:rFonts w:ascii="Arial" w:cs="Arial" w:eastAsia="Arial" w:hAnsi="Arial"/>
                <w:sz w:val="29"/>
                <w:szCs w:val="29"/>
                <w:color w:val="auto"/>
                <w:vertAlign w:val="superscript"/>
              </w:rPr>
              <w:t>(2)</w:t>
            </w:r>
          </w:p>
        </w:tc>
        <w:tc>
          <w:tcPr>
            <w:tcW w:w="2180" w:type="dxa"/>
            <w:vAlign w:val="bottom"/>
          </w:tcPr>
          <w:p>
            <w:pPr>
              <w:spacing w:after="0"/>
              <w:rPr>
                <w:sz w:val="22"/>
                <w:szCs w:val="22"/>
                <w:color w:val="auto"/>
              </w:rPr>
            </w:pPr>
          </w:p>
        </w:tc>
      </w:tr>
      <w:tr>
        <w:trPr>
          <w:trHeight w:val="257"/>
        </w:trPr>
        <w:tc>
          <w:tcPr>
            <w:tcW w:w="43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Offering costs</w:t>
            </w:r>
          </w:p>
        </w:tc>
        <w:tc>
          <w:tcPr>
            <w:tcW w:w="140" w:type="dxa"/>
            <w:vAlign w:val="bottom"/>
            <w:shd w:val="clear" w:color="auto" w:fill="CCFFCC"/>
          </w:tcPr>
          <w:p>
            <w:pPr>
              <w:spacing w:after="0"/>
              <w:rPr>
                <w:sz w:val="22"/>
                <w:szCs w:val="22"/>
                <w:color w:val="auto"/>
              </w:rPr>
            </w:pPr>
          </w:p>
        </w:tc>
        <w:tc>
          <w:tcPr>
            <w:tcW w:w="1600" w:type="dxa"/>
            <w:vAlign w:val="bottom"/>
            <w:gridSpan w:val="3"/>
            <w:shd w:val="clear" w:color="auto" w:fill="CCFFCC"/>
          </w:tcPr>
          <w:p>
            <w:pPr>
              <w:jc w:val="right"/>
              <w:ind w:right="340"/>
              <w:spacing w:after="0" w:line="256" w:lineRule="exact"/>
              <w:rPr>
                <w:sz w:val="20"/>
                <w:szCs w:val="20"/>
                <w:color w:val="auto"/>
              </w:rPr>
            </w:pPr>
            <w:r>
              <w:rPr>
                <w:rFonts w:ascii="Arial" w:cs="Arial" w:eastAsia="Arial" w:hAnsi="Arial"/>
                <w:sz w:val="18"/>
                <w:szCs w:val="18"/>
                <w:color w:val="auto"/>
              </w:rPr>
              <w:t>(0.04)</w:t>
            </w:r>
            <w:r>
              <w:rPr>
                <w:rFonts w:ascii="Arial" w:cs="Arial" w:eastAsia="Arial" w:hAnsi="Arial"/>
                <w:sz w:val="29"/>
                <w:szCs w:val="29"/>
                <w:color w:val="auto"/>
                <w:vertAlign w:val="superscript"/>
              </w:rPr>
              <w:t>(2)</w:t>
            </w:r>
          </w:p>
        </w:tc>
        <w:tc>
          <w:tcPr>
            <w:tcW w:w="8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1580" w:type="dxa"/>
            <w:vAlign w:val="bottom"/>
            <w:gridSpan w:val="3"/>
            <w:shd w:val="clear" w:color="auto" w:fill="CCFFCC"/>
          </w:tcPr>
          <w:p>
            <w:pPr>
              <w:jc w:val="right"/>
              <w:ind w:right="460"/>
              <w:spacing w:after="0" w:line="256" w:lineRule="exact"/>
              <w:rPr>
                <w:sz w:val="20"/>
                <w:szCs w:val="20"/>
                <w:color w:val="auto"/>
              </w:rPr>
            </w:pPr>
            <w:r>
              <w:rPr>
                <w:rFonts w:ascii="Arial" w:cs="Arial" w:eastAsia="Arial" w:hAnsi="Arial"/>
                <w:sz w:val="18"/>
                <w:szCs w:val="18"/>
                <w:color w:val="auto"/>
              </w:rPr>
              <w:t>(0.19)</w:t>
            </w:r>
            <w:r>
              <w:rPr>
                <w:rFonts w:ascii="Arial" w:cs="Arial" w:eastAsia="Arial" w:hAnsi="Arial"/>
                <w:sz w:val="29"/>
                <w:szCs w:val="29"/>
                <w:color w:val="auto"/>
                <w:vertAlign w:val="superscript"/>
              </w:rPr>
              <w:t>(2)</w:t>
            </w:r>
          </w:p>
        </w:tc>
        <w:tc>
          <w:tcPr>
            <w:tcW w:w="2180" w:type="dxa"/>
            <w:vAlign w:val="bottom"/>
          </w:tcPr>
          <w:p>
            <w:pPr>
              <w:spacing w:after="0"/>
              <w:rPr>
                <w:sz w:val="22"/>
                <w:szCs w:val="22"/>
                <w:color w:val="auto"/>
              </w:rPr>
            </w:pPr>
          </w:p>
        </w:tc>
      </w:tr>
      <w:tr>
        <w:trPr>
          <w:trHeight w:val="257"/>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Net investment loss</w:t>
            </w:r>
          </w:p>
        </w:tc>
        <w:tc>
          <w:tcPr>
            <w:tcW w:w="140" w:type="dxa"/>
            <w:vAlign w:val="bottom"/>
          </w:tcPr>
          <w:p>
            <w:pPr>
              <w:spacing w:after="0"/>
              <w:rPr>
                <w:sz w:val="22"/>
                <w:szCs w:val="22"/>
                <w:color w:val="auto"/>
              </w:rPr>
            </w:pPr>
          </w:p>
        </w:tc>
        <w:tc>
          <w:tcPr>
            <w:tcW w:w="1600" w:type="dxa"/>
            <w:vAlign w:val="bottom"/>
            <w:gridSpan w:val="3"/>
          </w:tcPr>
          <w:p>
            <w:pPr>
              <w:jc w:val="right"/>
              <w:ind w:right="340"/>
              <w:spacing w:after="0" w:line="256" w:lineRule="exact"/>
              <w:rPr>
                <w:sz w:val="20"/>
                <w:szCs w:val="20"/>
                <w:color w:val="auto"/>
              </w:rPr>
            </w:pPr>
            <w:r>
              <w:rPr>
                <w:rFonts w:ascii="Arial" w:cs="Arial" w:eastAsia="Arial" w:hAnsi="Arial"/>
                <w:sz w:val="18"/>
                <w:szCs w:val="18"/>
                <w:color w:val="auto"/>
              </w:rPr>
              <w:t>(0.51)</w:t>
            </w:r>
            <w:r>
              <w:rPr>
                <w:rFonts w:ascii="Arial" w:cs="Arial" w:eastAsia="Arial" w:hAnsi="Arial"/>
                <w:sz w:val="29"/>
                <w:szCs w:val="29"/>
                <w:color w:val="auto"/>
                <w:vertAlign w:val="superscript"/>
              </w:rPr>
              <w:t>(1)</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gridSpan w:val="3"/>
          </w:tcPr>
          <w:p>
            <w:pPr>
              <w:jc w:val="right"/>
              <w:ind w:right="460"/>
              <w:spacing w:after="0" w:line="256" w:lineRule="exact"/>
              <w:rPr>
                <w:sz w:val="20"/>
                <w:szCs w:val="20"/>
                <w:color w:val="auto"/>
              </w:rPr>
            </w:pPr>
            <w:r>
              <w:rPr>
                <w:rFonts w:ascii="Arial" w:cs="Arial" w:eastAsia="Arial" w:hAnsi="Arial"/>
                <w:sz w:val="18"/>
                <w:szCs w:val="18"/>
                <w:color w:val="auto"/>
              </w:rPr>
              <w:t>(0.37)</w:t>
            </w:r>
            <w:r>
              <w:rPr>
                <w:rFonts w:ascii="Arial" w:cs="Arial" w:eastAsia="Arial" w:hAnsi="Arial"/>
                <w:sz w:val="29"/>
                <w:szCs w:val="29"/>
                <w:color w:val="auto"/>
                <w:vertAlign w:val="superscript"/>
              </w:rPr>
              <w:t>(2)</w:t>
            </w:r>
          </w:p>
        </w:tc>
        <w:tc>
          <w:tcPr>
            <w:tcW w:w="2180" w:type="dxa"/>
            <w:vAlign w:val="bottom"/>
          </w:tcPr>
          <w:p>
            <w:pPr>
              <w:spacing w:after="0"/>
              <w:rPr>
                <w:sz w:val="22"/>
                <w:szCs w:val="22"/>
                <w:color w:val="auto"/>
              </w:rPr>
            </w:pPr>
          </w:p>
        </w:tc>
      </w:tr>
      <w:tr>
        <w:trPr>
          <w:trHeight w:val="257"/>
        </w:trPr>
        <w:tc>
          <w:tcPr>
            <w:tcW w:w="43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Realized loss</w:t>
            </w:r>
          </w:p>
        </w:tc>
        <w:tc>
          <w:tcPr>
            <w:tcW w:w="140" w:type="dxa"/>
            <w:vAlign w:val="bottom"/>
            <w:shd w:val="clear" w:color="auto" w:fill="CCFFCC"/>
          </w:tcPr>
          <w:p>
            <w:pPr>
              <w:spacing w:after="0"/>
              <w:rPr>
                <w:sz w:val="22"/>
                <w:szCs w:val="22"/>
                <w:color w:val="auto"/>
              </w:rPr>
            </w:pPr>
          </w:p>
        </w:tc>
        <w:tc>
          <w:tcPr>
            <w:tcW w:w="1600" w:type="dxa"/>
            <w:vAlign w:val="bottom"/>
            <w:gridSpan w:val="3"/>
            <w:shd w:val="clear" w:color="auto" w:fill="CCFFCC"/>
          </w:tcPr>
          <w:p>
            <w:pPr>
              <w:jc w:val="right"/>
              <w:ind w:right="340"/>
              <w:spacing w:after="0" w:line="256" w:lineRule="exact"/>
              <w:rPr>
                <w:sz w:val="20"/>
                <w:szCs w:val="20"/>
                <w:color w:val="auto"/>
              </w:rPr>
            </w:pPr>
            <w:r>
              <w:rPr>
                <w:rFonts w:ascii="Arial" w:cs="Arial" w:eastAsia="Arial" w:hAnsi="Arial"/>
                <w:sz w:val="18"/>
                <w:szCs w:val="18"/>
                <w:color w:val="auto"/>
              </w:rPr>
              <w:t>(0.09)</w:t>
            </w:r>
            <w:r>
              <w:rPr>
                <w:rFonts w:ascii="Arial" w:cs="Arial" w:eastAsia="Arial" w:hAnsi="Arial"/>
                <w:sz w:val="29"/>
                <w:szCs w:val="29"/>
                <w:color w:val="auto"/>
                <w:vertAlign w:val="superscript"/>
              </w:rPr>
              <w:t>(1)</w:t>
            </w:r>
          </w:p>
        </w:tc>
        <w:tc>
          <w:tcPr>
            <w:tcW w:w="8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1580" w:type="dxa"/>
            <w:vAlign w:val="bottom"/>
            <w:gridSpan w:val="3"/>
            <w:shd w:val="clear" w:color="auto" w:fill="CCFFCC"/>
          </w:tcPr>
          <w:p>
            <w:pPr>
              <w:jc w:val="right"/>
              <w:ind w:right="70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22"/>
                <w:szCs w:val="22"/>
                <w:color w:val="auto"/>
              </w:rPr>
            </w:pPr>
          </w:p>
        </w:tc>
      </w:tr>
      <w:tr>
        <w:trPr>
          <w:trHeight w:val="257"/>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Change in unrealized depreciation</w:t>
            </w:r>
          </w:p>
        </w:tc>
        <w:tc>
          <w:tcPr>
            <w:tcW w:w="140" w:type="dxa"/>
            <w:vAlign w:val="bottom"/>
          </w:tcPr>
          <w:p>
            <w:pPr>
              <w:spacing w:after="0"/>
              <w:rPr>
                <w:sz w:val="22"/>
                <w:szCs w:val="22"/>
                <w:color w:val="auto"/>
              </w:rPr>
            </w:pPr>
          </w:p>
        </w:tc>
        <w:tc>
          <w:tcPr>
            <w:tcW w:w="1600" w:type="dxa"/>
            <w:vAlign w:val="bottom"/>
            <w:gridSpan w:val="3"/>
          </w:tcPr>
          <w:p>
            <w:pPr>
              <w:jc w:val="right"/>
              <w:ind w:right="340"/>
              <w:spacing w:after="0" w:line="256" w:lineRule="exact"/>
              <w:rPr>
                <w:sz w:val="20"/>
                <w:szCs w:val="20"/>
                <w:color w:val="auto"/>
              </w:rPr>
            </w:pPr>
            <w:r>
              <w:rPr>
                <w:rFonts w:ascii="Arial" w:cs="Arial" w:eastAsia="Arial" w:hAnsi="Arial"/>
                <w:sz w:val="18"/>
                <w:szCs w:val="18"/>
                <w:color w:val="auto"/>
              </w:rPr>
              <w:t>(0.43)</w:t>
            </w:r>
            <w:r>
              <w:rPr>
                <w:rFonts w:ascii="Arial" w:cs="Arial" w:eastAsia="Arial" w:hAnsi="Arial"/>
                <w:sz w:val="29"/>
                <w:szCs w:val="29"/>
                <w:color w:val="auto"/>
                <w:vertAlign w:val="superscript"/>
              </w:rPr>
              <w:t>(6)</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gridSpan w:val="3"/>
          </w:tcPr>
          <w:p>
            <w:pPr>
              <w:jc w:val="right"/>
              <w:ind w:right="460"/>
              <w:spacing w:after="0" w:line="256" w:lineRule="exact"/>
              <w:rPr>
                <w:sz w:val="20"/>
                <w:szCs w:val="20"/>
                <w:color w:val="auto"/>
              </w:rPr>
            </w:pPr>
            <w:r>
              <w:rPr>
                <w:rFonts w:ascii="Arial" w:cs="Arial" w:eastAsia="Arial" w:hAnsi="Arial"/>
                <w:sz w:val="18"/>
                <w:szCs w:val="18"/>
                <w:color w:val="auto"/>
              </w:rPr>
              <w:t>(0.30)</w:t>
            </w:r>
            <w:r>
              <w:rPr>
                <w:rFonts w:ascii="Arial" w:cs="Arial" w:eastAsia="Arial" w:hAnsi="Arial"/>
                <w:sz w:val="29"/>
                <w:szCs w:val="29"/>
                <w:color w:val="auto"/>
                <w:vertAlign w:val="superscript"/>
              </w:rPr>
              <w:t>(2)</w:t>
            </w:r>
          </w:p>
        </w:tc>
        <w:tc>
          <w:tcPr>
            <w:tcW w:w="2180" w:type="dxa"/>
            <w:vAlign w:val="bottom"/>
          </w:tcPr>
          <w:p>
            <w:pPr>
              <w:spacing w:after="0"/>
              <w:rPr>
                <w:sz w:val="22"/>
                <w:szCs w:val="22"/>
                <w:color w:val="auto"/>
              </w:rPr>
            </w:pPr>
          </w:p>
        </w:tc>
      </w:tr>
      <w:tr>
        <w:trPr>
          <w:trHeight w:val="20"/>
        </w:trPr>
        <w:tc>
          <w:tcPr>
            <w:tcW w:w="8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50"/>
        </w:trPr>
        <w:tc>
          <w:tcPr>
            <w:tcW w:w="43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Net asset value at end of period</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12.95</w:t>
            </w:r>
          </w:p>
        </w:tc>
        <w:tc>
          <w:tcPr>
            <w:tcW w:w="520" w:type="dxa"/>
            <w:vAlign w:val="bottom"/>
            <w:shd w:val="clear" w:color="auto" w:fill="CCFFCC"/>
          </w:tcPr>
          <w:p>
            <w:pPr>
              <w:spacing w:after="0"/>
              <w:rPr>
                <w:sz w:val="21"/>
                <w:szCs w:val="21"/>
                <w:color w:val="auto"/>
              </w:rPr>
            </w:pPr>
          </w:p>
        </w:tc>
        <w:tc>
          <w:tcPr>
            <w:tcW w:w="2180" w:type="dxa"/>
            <w:vAlign w:val="bottom"/>
          </w:tcPr>
          <w:p>
            <w:pPr>
              <w:spacing w:after="0"/>
              <w:rPr>
                <w:sz w:val="21"/>
                <w:szCs w:val="21"/>
                <w:color w:val="auto"/>
              </w:rPr>
            </w:pPr>
          </w:p>
        </w:tc>
      </w:tr>
      <w:tr>
        <w:trPr>
          <w:trHeight w:val="210"/>
        </w:trPr>
        <w:tc>
          <w:tcPr>
            <w:tcW w:w="800" w:type="dxa"/>
            <w:vAlign w:val="bottom"/>
            <w:tcBorders>
              <w:top w:val="single" w:sz="8" w:color="CCFFCC"/>
            </w:tcBorders>
          </w:tcPr>
          <w:p>
            <w:pPr>
              <w:spacing w:after="0"/>
              <w:rPr>
                <w:sz w:val="18"/>
                <w:szCs w:val="18"/>
                <w:color w:val="auto"/>
              </w:rPr>
            </w:pPr>
          </w:p>
        </w:tc>
        <w:tc>
          <w:tcPr>
            <w:tcW w:w="358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48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520" w:type="dxa"/>
            <w:vAlign w:val="bottom"/>
            <w:tcBorders>
              <w:top w:val="single" w:sz="8" w:color="CCFFCC"/>
            </w:tcBorders>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3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Per share market value at end of period</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8.43</w:t>
            </w:r>
          </w:p>
        </w:tc>
        <w:tc>
          <w:tcPr>
            <w:tcW w:w="4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13.95</w:t>
            </w:r>
          </w:p>
        </w:tc>
        <w:tc>
          <w:tcPr>
            <w:tcW w:w="52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57"/>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Total return based on market value</w:t>
            </w:r>
          </w:p>
        </w:tc>
        <w:tc>
          <w:tcPr>
            <w:tcW w:w="140" w:type="dxa"/>
            <w:vAlign w:val="bottom"/>
          </w:tcPr>
          <w:p>
            <w:pPr>
              <w:spacing w:after="0"/>
              <w:rPr>
                <w:sz w:val="22"/>
                <w:szCs w:val="22"/>
                <w:color w:val="auto"/>
              </w:rPr>
            </w:pPr>
          </w:p>
        </w:tc>
        <w:tc>
          <w:tcPr>
            <w:tcW w:w="1600" w:type="dxa"/>
            <w:vAlign w:val="bottom"/>
            <w:gridSpan w:val="3"/>
          </w:tcPr>
          <w:p>
            <w:pPr>
              <w:jc w:val="right"/>
              <w:ind w:right="200"/>
              <w:spacing w:after="0" w:line="256" w:lineRule="exact"/>
              <w:rPr>
                <w:sz w:val="20"/>
                <w:szCs w:val="20"/>
                <w:color w:val="auto"/>
              </w:rPr>
            </w:pPr>
            <w:r>
              <w:rPr>
                <w:rFonts w:ascii="Arial" w:cs="Arial" w:eastAsia="Arial" w:hAnsi="Arial"/>
                <w:sz w:val="18"/>
                <w:szCs w:val="18"/>
                <w:color w:val="auto"/>
              </w:rPr>
              <w:t>(39.57)%</w:t>
            </w:r>
            <w:r>
              <w:rPr>
                <w:rFonts w:ascii="Arial" w:cs="Arial" w:eastAsia="Arial" w:hAnsi="Arial"/>
                <w:sz w:val="29"/>
                <w:szCs w:val="29"/>
                <w:color w:val="auto"/>
                <w:vertAlign w:val="superscript"/>
              </w:rPr>
              <w:t>(7)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gridSpan w:val="3"/>
          </w:tcPr>
          <w:p>
            <w:pPr>
              <w:jc w:val="right"/>
              <w:ind w:right="320"/>
              <w:spacing w:after="0" w:line="256" w:lineRule="exact"/>
              <w:rPr>
                <w:sz w:val="20"/>
                <w:szCs w:val="20"/>
                <w:color w:val="auto"/>
              </w:rPr>
            </w:pPr>
            <w:r>
              <w:rPr>
                <w:rFonts w:ascii="Arial" w:cs="Arial" w:eastAsia="Arial" w:hAnsi="Arial"/>
                <w:sz w:val="18"/>
                <w:szCs w:val="18"/>
                <w:color w:val="auto"/>
              </w:rPr>
              <w:t>(7.00)%</w:t>
            </w:r>
            <w:r>
              <w:rPr>
                <w:rFonts w:ascii="Arial" w:cs="Arial" w:eastAsia="Arial" w:hAnsi="Arial"/>
                <w:sz w:val="29"/>
                <w:szCs w:val="29"/>
                <w:color w:val="auto"/>
                <w:vertAlign w:val="superscript"/>
              </w:rPr>
              <w:t>(7)</w:t>
            </w:r>
          </w:p>
        </w:tc>
        <w:tc>
          <w:tcPr>
            <w:tcW w:w="2180" w:type="dxa"/>
            <w:vAlign w:val="bottom"/>
          </w:tcPr>
          <w:p>
            <w:pPr>
              <w:spacing w:after="0"/>
              <w:rPr>
                <w:sz w:val="22"/>
                <w:szCs w:val="22"/>
                <w:color w:val="auto"/>
              </w:rPr>
            </w:pPr>
          </w:p>
        </w:tc>
      </w:tr>
      <w:tr>
        <w:trPr>
          <w:trHeight w:val="257"/>
        </w:trPr>
        <w:tc>
          <w:tcPr>
            <w:tcW w:w="43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Total return based on net asset value</w:t>
            </w:r>
          </w:p>
        </w:tc>
        <w:tc>
          <w:tcPr>
            <w:tcW w:w="140" w:type="dxa"/>
            <w:vAlign w:val="bottom"/>
            <w:shd w:val="clear" w:color="auto" w:fill="CCFFCC"/>
          </w:tcPr>
          <w:p>
            <w:pPr>
              <w:spacing w:after="0"/>
              <w:rPr>
                <w:sz w:val="22"/>
                <w:szCs w:val="22"/>
                <w:color w:val="auto"/>
              </w:rPr>
            </w:pPr>
          </w:p>
        </w:tc>
        <w:tc>
          <w:tcPr>
            <w:tcW w:w="1600" w:type="dxa"/>
            <w:vAlign w:val="bottom"/>
            <w:gridSpan w:val="3"/>
            <w:shd w:val="clear" w:color="auto" w:fill="CCFFCC"/>
          </w:tcPr>
          <w:p>
            <w:pPr>
              <w:jc w:val="right"/>
              <w:ind w:right="260"/>
              <w:spacing w:after="0" w:line="256" w:lineRule="exact"/>
              <w:rPr>
                <w:sz w:val="20"/>
                <w:szCs w:val="20"/>
                <w:color w:val="auto"/>
              </w:rPr>
            </w:pPr>
            <w:r>
              <w:rPr>
                <w:rFonts w:ascii="Arial" w:cs="Arial" w:eastAsia="Arial" w:hAnsi="Arial"/>
                <w:sz w:val="18"/>
                <w:szCs w:val="18"/>
                <w:color w:val="auto"/>
              </w:rPr>
              <w:t>0.93%</w:t>
            </w:r>
            <w:r>
              <w:rPr>
                <w:rFonts w:ascii="Arial" w:cs="Arial" w:eastAsia="Arial" w:hAnsi="Arial"/>
                <w:sz w:val="29"/>
                <w:szCs w:val="29"/>
                <w:color w:val="auto"/>
                <w:vertAlign w:val="superscript"/>
              </w:rPr>
              <w:t>(7)</w:t>
            </w:r>
          </w:p>
        </w:tc>
        <w:tc>
          <w:tcPr>
            <w:tcW w:w="8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1580" w:type="dxa"/>
            <w:vAlign w:val="bottom"/>
            <w:gridSpan w:val="3"/>
            <w:shd w:val="clear" w:color="auto" w:fill="CCFFCC"/>
          </w:tcPr>
          <w:p>
            <w:pPr>
              <w:jc w:val="right"/>
              <w:ind w:right="320"/>
              <w:spacing w:after="0" w:line="256" w:lineRule="exact"/>
              <w:rPr>
                <w:sz w:val="20"/>
                <w:szCs w:val="20"/>
                <w:color w:val="auto"/>
              </w:rPr>
            </w:pPr>
            <w:r>
              <w:rPr>
                <w:rFonts w:ascii="Arial" w:cs="Arial" w:eastAsia="Arial" w:hAnsi="Arial"/>
                <w:sz w:val="18"/>
                <w:szCs w:val="18"/>
                <w:color w:val="auto"/>
              </w:rPr>
              <w:t>(13.67)%</w:t>
            </w:r>
            <w:r>
              <w:rPr>
                <w:rFonts w:ascii="Arial" w:cs="Arial" w:eastAsia="Arial" w:hAnsi="Arial"/>
                <w:sz w:val="29"/>
                <w:szCs w:val="29"/>
                <w:color w:val="auto"/>
                <w:vertAlign w:val="superscript"/>
              </w:rPr>
              <w:t>(7)</w:t>
            </w:r>
          </w:p>
        </w:tc>
        <w:tc>
          <w:tcPr>
            <w:tcW w:w="2180" w:type="dxa"/>
            <w:vAlign w:val="bottom"/>
          </w:tcPr>
          <w:p>
            <w:pPr>
              <w:spacing w:after="0"/>
              <w:rPr>
                <w:sz w:val="22"/>
                <w:szCs w:val="22"/>
                <w:color w:val="auto"/>
              </w:rPr>
            </w:pPr>
          </w:p>
        </w:tc>
      </w:tr>
      <w:tr>
        <w:trPr>
          <w:trHeight w:val="230"/>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Shares outstanding at end of period</w:t>
            </w: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19,320,100</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5,520,100</w:t>
            </w:r>
          </w:p>
        </w:tc>
        <w:tc>
          <w:tcPr>
            <w:tcW w:w="5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755"/>
        </w:trPr>
        <w:tc>
          <w:tcPr>
            <w:tcW w:w="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69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35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35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-5153660</wp:posOffset>
            </wp:positionV>
            <wp:extent cx="5213985"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-1397000</wp:posOffset>
            </wp:positionV>
            <wp:extent cx="5213985"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-3284220</wp:posOffset>
            </wp:positionV>
            <wp:extent cx="514540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10400"/>
          </w:cols>
          <w:pgMar w:left="360" w:top="891" w:right="11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right"/>
              <w:ind w:right="435"/>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For the period from January</w:t>
            </w:r>
          </w:p>
        </w:tc>
      </w:tr>
      <w:tr>
        <w:trPr>
          <w:trHeight w:val="149"/>
        </w:trPr>
        <w:tc>
          <w:tcPr>
            <w:tcW w:w="4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w w:val="98"/>
              </w:rPr>
              <w:t>December 31, 2012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89"/>
              </w:rPr>
              <w:t>6, 2011</w:t>
            </w:r>
          </w:p>
        </w:tc>
      </w:tr>
      <w:tr>
        <w:trPr>
          <w:trHeight w:val="149"/>
        </w:trPr>
        <w:tc>
          <w:tcPr>
            <w:tcW w:w="4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2"/>
              </w:rPr>
              <w:t>(date of inception) to</w:t>
            </w:r>
          </w:p>
        </w:tc>
      </w:tr>
      <w:tr>
        <w:trPr>
          <w:trHeight w:val="171"/>
        </w:trPr>
        <w:tc>
          <w:tcPr>
            <w:tcW w:w="4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December 31, 2011</w:t>
            </w:r>
          </w:p>
        </w:tc>
      </w:tr>
      <w:tr>
        <w:trPr>
          <w:trHeight w:val="210"/>
        </w:trPr>
        <w:tc>
          <w:tcPr>
            <w:tcW w:w="44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Ratio/Supplemental Data:</w:t>
            </w:r>
          </w:p>
        </w:tc>
        <w:tc>
          <w:tcPr>
            <w:tcW w:w="20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Net assets at end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275"/>
              <w:spacing w:after="0"/>
              <w:rPr>
                <w:sz w:val="20"/>
                <w:szCs w:val="20"/>
                <w:color w:val="auto"/>
              </w:rPr>
            </w:pPr>
            <w:r>
              <w:rPr>
                <w:rFonts w:ascii="Arial" w:cs="Arial" w:eastAsia="Arial" w:hAnsi="Arial"/>
                <w:sz w:val="18"/>
                <w:szCs w:val="18"/>
                <w:color w:val="auto"/>
              </w:rPr>
              <w:t>252,582,801</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37"/>
              <w:spacing w:after="0"/>
              <w:rPr>
                <w:sz w:val="20"/>
                <w:szCs w:val="20"/>
                <w:color w:val="auto"/>
              </w:rPr>
            </w:pPr>
            <w:r>
              <w:rPr>
                <w:rFonts w:ascii="Arial" w:cs="Arial" w:eastAsia="Arial" w:hAnsi="Arial"/>
                <w:sz w:val="18"/>
                <w:szCs w:val="18"/>
                <w:color w:val="auto"/>
              </w:rPr>
              <w:t>71,503,248</w:t>
            </w:r>
          </w:p>
        </w:tc>
      </w:tr>
      <w:tr>
        <w:trPr>
          <w:trHeight w:val="216"/>
        </w:trPr>
        <w:tc>
          <w:tcPr>
            <w:tcW w:w="4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Average net assets</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FFCC"/>
          </w:tcPr>
          <w:p>
            <w:pPr>
              <w:jc w:val="right"/>
              <w:ind w:right="275"/>
              <w:spacing w:after="0"/>
              <w:rPr>
                <w:sz w:val="20"/>
                <w:szCs w:val="20"/>
                <w:color w:val="auto"/>
              </w:rPr>
            </w:pPr>
            <w:r>
              <w:rPr>
                <w:rFonts w:ascii="Arial" w:cs="Arial" w:eastAsia="Arial" w:hAnsi="Arial"/>
                <w:sz w:val="18"/>
                <w:szCs w:val="18"/>
                <w:color w:val="auto"/>
              </w:rPr>
              <w:t>208,050,344</w:t>
            </w:r>
          </w:p>
        </w:tc>
        <w:tc>
          <w:tcPr>
            <w:tcW w:w="360" w:type="dxa"/>
            <w:vAlign w:val="bottom"/>
            <w:gridSpan w:val="2"/>
            <w:shd w:val="clear" w:color="auto" w:fill="CCFFCC"/>
          </w:tcPr>
          <w:p>
            <w:pPr>
              <w:jc w:val="right"/>
              <w:ind w:right="28"/>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FFCC"/>
          </w:tcPr>
          <w:p>
            <w:pPr>
              <w:jc w:val="right"/>
              <w:ind w:right="337"/>
              <w:spacing w:after="0"/>
              <w:rPr>
                <w:sz w:val="20"/>
                <w:szCs w:val="20"/>
                <w:color w:val="auto"/>
              </w:rPr>
            </w:pPr>
            <w:r>
              <w:rPr>
                <w:rFonts w:ascii="Arial" w:cs="Arial" w:eastAsia="Arial" w:hAnsi="Arial"/>
                <w:sz w:val="18"/>
                <w:szCs w:val="18"/>
                <w:color w:val="auto"/>
              </w:rPr>
              <w:t>44,532,523</w:t>
            </w:r>
          </w:p>
        </w:tc>
      </w:tr>
      <w:tr>
        <w:trPr>
          <w:trHeight w:val="205"/>
        </w:trPr>
        <w:tc>
          <w:tcPr>
            <w:tcW w:w="4460" w:type="dxa"/>
            <w:vAlign w:val="bottom"/>
          </w:tcPr>
          <w:p>
            <w:pPr>
              <w:ind w:left="20"/>
              <w:spacing w:after="0" w:line="206" w:lineRule="exact"/>
              <w:rPr>
                <w:sz w:val="20"/>
                <w:szCs w:val="20"/>
                <w:color w:val="auto"/>
              </w:rPr>
            </w:pPr>
            <w:r>
              <w:rPr>
                <w:rFonts w:ascii="Arial" w:cs="Arial" w:eastAsia="Arial" w:hAnsi="Arial"/>
                <w:sz w:val="18"/>
                <w:szCs w:val="18"/>
                <w:color w:val="auto"/>
                <w:w w:val="98"/>
              </w:rPr>
              <w:t>Annualized ratio of gross operating expenses to average</w:t>
            </w:r>
          </w:p>
        </w:tc>
        <w:tc>
          <w:tcPr>
            <w:tcW w:w="200" w:type="dxa"/>
            <w:vAlign w:val="bottom"/>
          </w:tcPr>
          <w:p>
            <w:pPr>
              <w:spacing w:after="0"/>
              <w:rPr>
                <w:sz w:val="17"/>
                <w:szCs w:val="17"/>
                <w:color w:val="auto"/>
              </w:rPr>
            </w:pPr>
          </w:p>
        </w:tc>
        <w:tc>
          <w:tcPr>
            <w:tcW w:w="1540" w:type="dxa"/>
            <w:vAlign w:val="bottom"/>
          </w:tcPr>
          <w:p>
            <w:pPr>
              <w:jc w:val="right"/>
              <w:ind w:right="135"/>
              <w:spacing w:after="0" w:line="206" w:lineRule="exact"/>
              <w:rPr>
                <w:sz w:val="20"/>
                <w:szCs w:val="20"/>
                <w:color w:val="auto"/>
              </w:rPr>
            </w:pPr>
            <w:r>
              <w:rPr>
                <w:rFonts w:ascii="Arial" w:cs="Arial" w:eastAsia="Arial" w:hAnsi="Arial"/>
                <w:sz w:val="18"/>
                <w:szCs w:val="18"/>
                <w:color w:val="auto"/>
              </w:rPr>
              <w:t>4.10%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ind w:right="197"/>
              <w:spacing w:after="0" w:line="206" w:lineRule="exact"/>
              <w:rPr>
                <w:sz w:val="20"/>
                <w:szCs w:val="20"/>
                <w:color w:val="auto"/>
              </w:rPr>
            </w:pPr>
            <w:r>
              <w:rPr>
                <w:rFonts w:ascii="Arial" w:cs="Arial" w:eastAsia="Arial" w:hAnsi="Arial"/>
                <w:sz w:val="18"/>
                <w:szCs w:val="18"/>
                <w:color w:val="auto"/>
              </w:rPr>
              <w:t>5.01%</w:t>
            </w:r>
          </w:p>
        </w:tc>
      </w:tr>
      <w:tr>
        <w:trPr>
          <w:trHeight w:val="267"/>
        </w:trPr>
        <w:tc>
          <w:tcPr>
            <w:tcW w:w="4460" w:type="dxa"/>
            <w:vAlign w:val="bottom"/>
          </w:tcPr>
          <w:p>
            <w:pPr>
              <w:ind w:left="200"/>
              <w:spacing w:after="0" w:line="266" w:lineRule="exact"/>
              <w:rPr>
                <w:sz w:val="20"/>
                <w:szCs w:val="20"/>
                <w:color w:val="auto"/>
              </w:rPr>
            </w:pPr>
            <w:r>
              <w:rPr>
                <w:rFonts w:ascii="Arial" w:cs="Arial" w:eastAsia="Arial" w:hAnsi="Arial"/>
                <w:sz w:val="18"/>
                <w:szCs w:val="18"/>
                <w:color w:val="auto"/>
              </w:rPr>
              <w:t>net assets</w:t>
            </w:r>
            <w:r>
              <w:rPr>
                <w:rFonts w:ascii="Arial" w:cs="Arial" w:eastAsia="Arial" w:hAnsi="Arial"/>
                <w:sz w:val="30"/>
                <w:szCs w:val="30"/>
                <w:color w:val="auto"/>
                <w:vertAlign w:val="superscript"/>
              </w:rPr>
              <w:t>(8)</w:t>
            </w: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05"/>
        </w:trPr>
        <w:tc>
          <w:tcPr>
            <w:tcW w:w="4460" w:type="dxa"/>
            <w:vAlign w:val="bottom"/>
            <w:shd w:val="clear" w:color="auto" w:fill="CCFFCC"/>
          </w:tcPr>
          <w:p>
            <w:pPr>
              <w:ind w:left="20"/>
              <w:spacing w:after="0" w:line="206" w:lineRule="exact"/>
              <w:rPr>
                <w:sz w:val="20"/>
                <w:szCs w:val="20"/>
                <w:color w:val="auto"/>
              </w:rPr>
            </w:pPr>
            <w:r>
              <w:rPr>
                <w:rFonts w:ascii="Arial" w:cs="Arial" w:eastAsia="Arial" w:hAnsi="Arial"/>
                <w:sz w:val="18"/>
                <w:szCs w:val="18"/>
                <w:color w:val="auto"/>
                <w:w w:val="95"/>
              </w:rPr>
              <w:t>Annualized ratio of net operating expenses to average net</w:t>
            </w:r>
          </w:p>
        </w:tc>
        <w:tc>
          <w:tcPr>
            <w:tcW w:w="200" w:type="dxa"/>
            <w:vAlign w:val="bottom"/>
            <w:shd w:val="clear" w:color="auto" w:fill="CCFFCC"/>
          </w:tcPr>
          <w:p>
            <w:pPr>
              <w:spacing w:after="0"/>
              <w:rPr>
                <w:sz w:val="17"/>
                <w:szCs w:val="17"/>
                <w:color w:val="auto"/>
              </w:rPr>
            </w:pPr>
          </w:p>
        </w:tc>
        <w:tc>
          <w:tcPr>
            <w:tcW w:w="1540" w:type="dxa"/>
            <w:vAlign w:val="bottom"/>
            <w:shd w:val="clear" w:color="auto" w:fill="CCFFCC"/>
          </w:tcPr>
          <w:p>
            <w:pPr>
              <w:jc w:val="right"/>
              <w:ind w:right="135"/>
              <w:spacing w:after="0" w:line="206" w:lineRule="exact"/>
              <w:rPr>
                <w:sz w:val="20"/>
                <w:szCs w:val="20"/>
                <w:color w:val="auto"/>
              </w:rPr>
            </w:pPr>
            <w:r>
              <w:rPr>
                <w:rFonts w:ascii="Arial" w:cs="Arial" w:eastAsia="Arial" w:hAnsi="Arial"/>
                <w:sz w:val="18"/>
                <w:szCs w:val="18"/>
                <w:color w:val="auto"/>
              </w:rPr>
              <w:t>4.10%</w:t>
            </w:r>
          </w:p>
        </w:tc>
        <w:tc>
          <w:tcPr>
            <w:tcW w:w="1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660" w:type="dxa"/>
            <w:vAlign w:val="bottom"/>
            <w:shd w:val="clear" w:color="auto" w:fill="CCFFCC"/>
          </w:tcPr>
          <w:p>
            <w:pPr>
              <w:jc w:val="right"/>
              <w:ind w:right="197"/>
              <w:spacing w:after="0" w:line="206" w:lineRule="exact"/>
              <w:rPr>
                <w:sz w:val="20"/>
                <w:szCs w:val="20"/>
                <w:color w:val="auto"/>
              </w:rPr>
            </w:pPr>
            <w:r>
              <w:rPr>
                <w:rFonts w:ascii="Arial" w:cs="Arial" w:eastAsia="Arial" w:hAnsi="Arial"/>
                <w:sz w:val="18"/>
                <w:szCs w:val="18"/>
                <w:color w:val="auto"/>
              </w:rPr>
              <w:t>5.01%</w:t>
            </w:r>
          </w:p>
        </w:tc>
      </w:tr>
      <w:tr>
        <w:trPr>
          <w:trHeight w:val="267"/>
        </w:trPr>
        <w:tc>
          <w:tcPr>
            <w:tcW w:w="4460" w:type="dxa"/>
            <w:vAlign w:val="bottom"/>
            <w:shd w:val="clear" w:color="auto" w:fill="CCFFCC"/>
          </w:tcPr>
          <w:p>
            <w:pPr>
              <w:ind w:left="200"/>
              <w:spacing w:after="0" w:line="266" w:lineRule="exact"/>
              <w:rPr>
                <w:sz w:val="20"/>
                <w:szCs w:val="20"/>
                <w:color w:val="auto"/>
              </w:rPr>
            </w:pPr>
            <w:r>
              <w:rPr>
                <w:rFonts w:ascii="Arial" w:cs="Arial" w:eastAsia="Arial" w:hAnsi="Arial"/>
                <w:sz w:val="18"/>
                <w:szCs w:val="18"/>
                <w:color w:val="auto"/>
              </w:rPr>
              <w:t>assets</w:t>
            </w:r>
            <w:r>
              <w:rPr>
                <w:rFonts w:ascii="Arial" w:cs="Arial" w:eastAsia="Arial" w:hAnsi="Arial"/>
                <w:sz w:val="30"/>
                <w:szCs w:val="30"/>
                <w:color w:val="auto"/>
                <w:vertAlign w:val="superscript"/>
              </w:rPr>
              <w:t>(8)</w:t>
            </w:r>
          </w:p>
        </w:tc>
        <w:tc>
          <w:tcPr>
            <w:tcW w:w="200" w:type="dxa"/>
            <w:vAlign w:val="bottom"/>
            <w:shd w:val="clear" w:color="auto" w:fill="CCFFCC"/>
          </w:tcPr>
          <w:p>
            <w:pPr>
              <w:spacing w:after="0"/>
              <w:rPr>
                <w:sz w:val="23"/>
                <w:szCs w:val="23"/>
                <w:color w:val="auto"/>
              </w:rPr>
            </w:pPr>
          </w:p>
        </w:tc>
        <w:tc>
          <w:tcPr>
            <w:tcW w:w="154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1660" w:type="dxa"/>
            <w:vAlign w:val="bottom"/>
            <w:shd w:val="clear" w:color="auto" w:fill="CCFFCC"/>
          </w:tcPr>
          <w:p>
            <w:pPr>
              <w:spacing w:after="0"/>
              <w:rPr>
                <w:sz w:val="23"/>
                <w:szCs w:val="23"/>
                <w:color w:val="auto"/>
              </w:rPr>
            </w:pPr>
          </w:p>
        </w:tc>
      </w:tr>
      <w:tr>
        <w:trPr>
          <w:trHeight w:val="205"/>
        </w:trPr>
        <w:tc>
          <w:tcPr>
            <w:tcW w:w="4460" w:type="dxa"/>
            <w:vAlign w:val="bottom"/>
          </w:tcPr>
          <w:p>
            <w:pPr>
              <w:ind w:left="20"/>
              <w:spacing w:after="0" w:line="206" w:lineRule="exact"/>
              <w:rPr>
                <w:sz w:val="20"/>
                <w:szCs w:val="20"/>
                <w:color w:val="auto"/>
              </w:rPr>
            </w:pPr>
            <w:r>
              <w:rPr>
                <w:rFonts w:ascii="Arial" w:cs="Arial" w:eastAsia="Arial" w:hAnsi="Arial"/>
                <w:sz w:val="18"/>
                <w:szCs w:val="18"/>
                <w:color w:val="auto"/>
                <w:w w:val="97"/>
              </w:rPr>
              <w:t>Annualized ratio of net investment income to average net</w:t>
            </w:r>
          </w:p>
        </w:tc>
        <w:tc>
          <w:tcPr>
            <w:tcW w:w="200" w:type="dxa"/>
            <w:vAlign w:val="bottom"/>
          </w:tcPr>
          <w:p>
            <w:pPr>
              <w:spacing w:after="0"/>
              <w:rPr>
                <w:sz w:val="17"/>
                <w:szCs w:val="17"/>
                <w:color w:val="auto"/>
              </w:rPr>
            </w:pPr>
          </w:p>
        </w:tc>
        <w:tc>
          <w:tcPr>
            <w:tcW w:w="1540" w:type="dxa"/>
            <w:vAlign w:val="bottom"/>
          </w:tcPr>
          <w:p>
            <w:pPr>
              <w:jc w:val="right"/>
              <w:ind w:right="75"/>
              <w:spacing w:after="0" w:line="206" w:lineRule="exact"/>
              <w:rPr>
                <w:sz w:val="20"/>
                <w:szCs w:val="20"/>
                <w:color w:val="auto"/>
              </w:rPr>
            </w:pPr>
            <w:r>
              <w:rPr>
                <w:rFonts w:ascii="Arial" w:cs="Arial" w:eastAsia="Arial" w:hAnsi="Arial"/>
                <w:sz w:val="18"/>
                <w:szCs w:val="18"/>
                <w:color w:val="auto"/>
              </w:rPr>
              <w:t>(3.98)%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ind w:right="137"/>
              <w:spacing w:after="0" w:line="206" w:lineRule="exact"/>
              <w:rPr>
                <w:sz w:val="20"/>
                <w:szCs w:val="20"/>
                <w:color w:val="auto"/>
              </w:rPr>
            </w:pPr>
            <w:r>
              <w:rPr>
                <w:rFonts w:ascii="Arial" w:cs="Arial" w:eastAsia="Arial" w:hAnsi="Arial"/>
                <w:sz w:val="18"/>
                <w:szCs w:val="18"/>
                <w:color w:val="auto"/>
              </w:rPr>
              <w:t>(4.64)%</w:t>
            </w:r>
          </w:p>
        </w:tc>
      </w:tr>
      <w:tr>
        <w:trPr>
          <w:trHeight w:val="390"/>
        </w:trPr>
        <w:tc>
          <w:tcPr>
            <w:tcW w:w="4460" w:type="dxa"/>
            <w:vAlign w:val="bottom"/>
          </w:tcPr>
          <w:p>
            <w:pPr>
              <w:ind w:left="200"/>
              <w:spacing w:after="0"/>
              <w:rPr>
                <w:sz w:val="20"/>
                <w:szCs w:val="20"/>
                <w:color w:val="auto"/>
              </w:rPr>
            </w:pPr>
            <w:r>
              <w:rPr>
                <w:rFonts w:ascii="Arial" w:cs="Arial" w:eastAsia="Arial" w:hAnsi="Arial"/>
                <w:sz w:val="18"/>
                <w:szCs w:val="18"/>
                <w:color w:val="auto"/>
              </w:rPr>
              <w:t>assets</w:t>
            </w:r>
            <w:r>
              <w:rPr>
                <w:rFonts w:ascii="Arial" w:cs="Arial" w:eastAsia="Arial" w:hAnsi="Arial"/>
                <w:sz w:val="30"/>
                <w:szCs w:val="30"/>
                <w:color w:val="auto"/>
                <w:vertAlign w:val="superscript"/>
              </w:rPr>
              <w:t>(8)</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234950</wp:posOffset>
            </wp:positionH>
            <wp:positionV relativeFrom="page">
              <wp:posOffset>337820</wp:posOffset>
            </wp:positionV>
            <wp:extent cx="519684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96840"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93345</wp:posOffset>
            </wp:positionV>
            <wp:extent cx="6172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396" w:lineRule="exact"/>
        <w:rPr>
          <w:sz w:val="20"/>
          <w:szCs w:val="20"/>
          <w:color w:val="auto"/>
        </w:rPr>
      </w:pPr>
    </w:p>
    <w:p>
      <w:pPr>
        <w:ind w:left="300" w:hanging="27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weighted average number of shares outstanding for the period.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shares outstanding at end of period.</w:t>
      </w:r>
    </w:p>
    <w:p>
      <w:pPr>
        <w:spacing w:after="0" w:line="117"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Issuance of common shares for the three months ended March 31, 2012 is based on the change in net asset value from the secondary offering on February 10, 2012.</w:t>
      </w:r>
    </w:p>
    <w:p>
      <w:pPr>
        <w:spacing w:after="0" w:line="62"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Issuance of common shares for the year ended December 31, 2012 is based on the change in net asset value from the secondary offerings on February 10, 2012 and May 11, 2012.</w:t>
      </w:r>
    </w:p>
    <w:p>
      <w:pPr>
        <w:spacing w:after="0" w:line="62" w:lineRule="exact"/>
        <w:rPr>
          <w:rFonts w:ascii="Arial" w:cs="Arial" w:eastAsia="Arial" w:hAnsi="Arial"/>
          <w:sz w:val="18"/>
          <w:szCs w:val="18"/>
          <w:color w:val="auto"/>
        </w:rPr>
      </w:pPr>
    </w:p>
    <w:p>
      <w:pPr>
        <w:ind w:left="300" w:right="519" w:hanging="272"/>
        <w:spacing w:after="0" w:line="277"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Issuance of common shares for the period from January 6, 2011 (date of inception) to December 31, 2011 is based on the weighted average offering price for the shares issued during the period.</w:t>
      </w:r>
    </w:p>
    <w:p>
      <w:pPr>
        <w:spacing w:after="0" w:line="62" w:lineRule="exact"/>
        <w:rPr>
          <w:rFonts w:ascii="Arial" w:cs="Arial" w:eastAsia="Arial" w:hAnsi="Arial"/>
          <w:sz w:val="18"/>
          <w:szCs w:val="18"/>
          <w:color w:val="auto"/>
        </w:rPr>
      </w:pPr>
    </w:p>
    <w:p>
      <w:pPr>
        <w:jc w:val="both"/>
        <w:ind w:left="300" w:right="519" w:hanging="272"/>
        <w:spacing w:after="0" w:line="264"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the impact of the different share amounts as a result of calculating certain per share data based on the weighted average basic shares outstanding during the period and certain per share data based on the shares outstanding as of a period end or transaction date.</w:t>
      </w:r>
    </w:p>
    <w:p>
      <w:pPr>
        <w:spacing w:after="0" w:line="73" w:lineRule="exact"/>
        <w:rPr>
          <w:rFonts w:ascii="Arial" w:cs="Arial" w:eastAsia="Arial" w:hAnsi="Arial"/>
          <w:sz w:val="18"/>
          <w:szCs w:val="18"/>
          <w:color w:val="auto"/>
        </w:rPr>
      </w:pPr>
    </w:p>
    <w:p>
      <w:pPr>
        <w:jc w:val="both"/>
        <w:ind w:left="300" w:right="519" w:hanging="272"/>
        <w:spacing w:after="0" w:line="293" w:lineRule="auto"/>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Total return based on market value is based on the change in market price per share between the opening and ending market values per share in the period. Total return based on net asset value is based upon the change in net asset value per share between the opening and ending net asset values per share and the issuance of common shares in the period. The percentage returns noted above are based on the increase in our net asset value attributable to issuances of our common stock at a premium to our net asset value per share, rather than investment returns. Such issuances of our common stock at a premium to net asset value per share are not typical, and may not occur in the future. The total returns are not annualized.</w:t>
      </w:r>
    </w:p>
    <w:p>
      <w:pPr>
        <w:spacing w:after="0" w:line="56" w:lineRule="exact"/>
        <w:rPr>
          <w:rFonts w:ascii="Arial" w:cs="Arial" w:eastAsia="Arial" w:hAnsi="Arial"/>
          <w:sz w:val="16"/>
          <w:szCs w:val="16"/>
          <w:color w:val="auto"/>
        </w:rPr>
      </w:pPr>
    </w:p>
    <w:p>
      <w:pPr>
        <w:jc w:val="both"/>
        <w:ind w:left="300" w:right="519" w:hanging="272"/>
        <w:spacing w:after="0" w:line="259"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return based on market value is based on the change in market price per share assuming an investment at the initial public offering price of $15.00 per share. Total return based on net asset value is based upon the change in net asset value per share between the opening and ending net asset values per share and the issuance of common shares in the period. The total returns are not annualized.</w:t>
      </w:r>
    </w:p>
    <w:p>
      <w:pPr>
        <w:spacing w:after="0" w:line="78" w:lineRule="exact"/>
        <w:rPr>
          <w:rFonts w:ascii="Arial" w:cs="Arial" w:eastAsia="Arial" w:hAnsi="Arial"/>
          <w:sz w:val="18"/>
          <w:szCs w:val="18"/>
          <w:color w:val="auto"/>
        </w:rPr>
      </w:pPr>
    </w:p>
    <w:p>
      <w:pPr>
        <w:jc w:val="both"/>
        <w:ind w:left="300" w:right="519" w:hanging="272"/>
        <w:spacing w:after="0" w:line="272" w:lineRule="auto"/>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Financial Highlights for periods of less than one year are annualized and the ratios of operating expenses to average net assets and net investment loss to average net assets are adjusted accordingly. Non-recurring expenses were not annualized. For the year-end December 31, 2012, and for the period from January 6, 2011 (date of inception) to December 31, 2011, the Company incurred $0, and $198,831 of organizational expenses, respectively, which were deemed to be non-recurring. For the period from January 6, 2011 (date of inception) to December 31, 2011, average net assets were calculated starting from the issuance of 100 shares on February 28, 2011. Because the ratios are calculated for the Company’s common stock taken as a whole, an individual investor’s ratios may vary from these ratios.</w:t>
      </w:r>
    </w:p>
    <w:p>
      <w:pPr>
        <w:spacing w:after="0" w:line="200" w:lineRule="exact"/>
        <w:rPr>
          <w:sz w:val="20"/>
          <w:szCs w:val="20"/>
          <w:color w:val="auto"/>
        </w:rPr>
      </w:pPr>
    </w:p>
    <w:p>
      <w:pPr>
        <w:spacing w:after="0" w:line="32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658" w:right="1440"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8 — INCOME TAX</w:t>
      </w:r>
    </w:p>
    <w:p>
      <w:pPr>
        <w:spacing w:after="0" w:line="121" w:lineRule="exact"/>
        <w:rPr>
          <w:sz w:val="20"/>
          <w:szCs w:val="20"/>
          <w:color w:val="auto"/>
        </w:rPr>
      </w:pPr>
    </w:p>
    <w:p>
      <w:pPr>
        <w:jc w:val="both"/>
        <w:ind w:right="519" w:firstLine="270"/>
        <w:spacing w:after="0" w:line="255" w:lineRule="auto"/>
        <w:rPr>
          <w:sz w:val="20"/>
          <w:szCs w:val="20"/>
          <w:color w:val="auto"/>
        </w:rPr>
      </w:pPr>
      <w:r>
        <w:rPr>
          <w:rFonts w:ascii="Arial" w:cs="Arial" w:eastAsia="Arial" w:hAnsi="Arial"/>
          <w:sz w:val="18"/>
          <w:szCs w:val="18"/>
          <w:color w:val="auto"/>
        </w:rPr>
        <w:t>The Company was taxed as a C corporation and subject to federal and state corporation income taxes for its 2012 taxable year. The GSVC Holdings, which are taxed as C corporations, are not consolidated into the Company for financial reporting and income tax filing purposes. These subsidiaries hold certain pass-through companies in connection with the Company’s proposed qualification as a RIC beginning with its 2013 taxable year. The Company recorded no current income tax expense or benefit during the year ended December 31, 2012 since it had net operating loss carry-forwards from prior years and a net operating loss for the 2012 tax year.</w:t>
      </w:r>
    </w:p>
    <w:p>
      <w:pPr>
        <w:spacing w:after="0" w:line="85" w:lineRule="exact"/>
        <w:rPr>
          <w:sz w:val="20"/>
          <w:szCs w:val="20"/>
          <w:color w:val="auto"/>
        </w:rPr>
      </w:pPr>
    </w:p>
    <w:p>
      <w:pPr>
        <w:jc w:val="both"/>
        <w:ind w:right="519" w:firstLine="270"/>
        <w:spacing w:after="0" w:line="286" w:lineRule="auto"/>
        <w:rPr>
          <w:sz w:val="20"/>
          <w:szCs w:val="20"/>
          <w:color w:val="auto"/>
        </w:rPr>
      </w:pPr>
      <w:r>
        <w:rPr>
          <w:rFonts w:ascii="Arial" w:cs="Arial" w:eastAsia="Arial" w:hAnsi="Arial"/>
          <w:sz w:val="17"/>
          <w:szCs w:val="17"/>
          <w:color w:val="auto"/>
        </w:rPr>
        <w:t>The Company recorded no deferred income tax expense or benefit for the year ended December 31, 2012 since it provided a full valuation allowance for deferred tax assets, which consisted primarily of net operating losses and temporary differences based on realized losses and unrealized depreciation of investments for financial statement purposes.</w:t>
      </w:r>
    </w:p>
    <w:p>
      <w:pPr>
        <w:spacing w:after="0" w:line="57" w:lineRule="exact"/>
        <w:rPr>
          <w:sz w:val="20"/>
          <w:szCs w:val="20"/>
          <w:color w:val="auto"/>
        </w:rPr>
      </w:pPr>
    </w:p>
    <w:p>
      <w:pPr>
        <w:jc w:val="both"/>
        <w:ind w:right="519" w:firstLine="270"/>
        <w:spacing w:after="0" w:line="259" w:lineRule="auto"/>
        <w:rPr>
          <w:sz w:val="20"/>
          <w:szCs w:val="20"/>
          <w:color w:val="auto"/>
        </w:rPr>
      </w:pPr>
      <w:r>
        <w:rPr>
          <w:rFonts w:ascii="Arial" w:cs="Arial" w:eastAsia="Arial" w:hAnsi="Arial"/>
          <w:sz w:val="18"/>
          <w:szCs w:val="18"/>
          <w:color w:val="auto"/>
        </w:rPr>
        <w:t>For federal and state purposes, a portion of the Company’s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79" w:lineRule="exact"/>
        <w:rPr>
          <w:sz w:val="20"/>
          <w:szCs w:val="20"/>
          <w:color w:val="auto"/>
        </w:rPr>
      </w:pPr>
    </w:p>
    <w:p>
      <w:pPr>
        <w:jc w:val="both"/>
        <w:ind w:right="519" w:firstLine="270"/>
        <w:spacing w:after="0" w:line="271" w:lineRule="auto"/>
        <w:rPr>
          <w:sz w:val="20"/>
          <w:szCs w:val="20"/>
          <w:color w:val="auto"/>
        </w:rPr>
      </w:pPr>
      <w:r>
        <w:rPr>
          <w:rFonts w:ascii="Arial" w:cs="Arial" w:eastAsia="Arial" w:hAnsi="Arial"/>
          <w:sz w:val="17"/>
          <w:szCs w:val="17"/>
          <w:color w:val="auto"/>
        </w:rPr>
        <w:t>The Company has provided a full valuation allowance for its deferred tax assets due to uncertainty of generating sufficient capital gains or taxable income in future periods to realize these assets. Beginning with its 2013 taxable year, the Company may elect to be treated as a RIC if it is in the best interests of the Company. As a RIC, the Company generally will not pay corporate-level U.S. federal income taxes on any net ordinary income or capital gains that the Company distributes to its stockholders as dividends and claims dividends paid deductions to compute taxable income. Accordingly, the Company would no longer provide deferred taxes nor associated valuation allowance. A RIC will not be eligible to utilize net operating losses. However, the net operating losses may become available should the Company not elect to be taxed as a RIC for 2013 or subsequently fails to qualify as a RIC and become a C corporation in the future.</w:t>
      </w:r>
    </w:p>
    <w:p>
      <w:pPr>
        <w:spacing w:after="0" w:line="71" w:lineRule="exact"/>
        <w:rPr>
          <w:sz w:val="20"/>
          <w:szCs w:val="20"/>
          <w:color w:val="auto"/>
        </w:rPr>
      </w:pPr>
    </w:p>
    <w:p>
      <w:pPr>
        <w:jc w:val="both"/>
        <w:ind w:right="539" w:firstLine="270"/>
        <w:spacing w:after="0" w:line="255" w:lineRule="auto"/>
        <w:rPr>
          <w:sz w:val="20"/>
          <w:szCs w:val="20"/>
          <w:color w:val="auto"/>
        </w:rPr>
      </w:pPr>
      <w:r>
        <w:rPr>
          <w:rFonts w:ascii="Arial" w:cs="Arial" w:eastAsia="Arial" w:hAnsi="Arial"/>
          <w:sz w:val="18"/>
          <w:szCs w:val="18"/>
          <w:color w:val="auto"/>
        </w:rPr>
        <w:t>In addition to meeting other requirements, the Company must generally distribute at least 90% of its investment company taxable income to qualify for the special treatment accorded to a RIC and maintain its RIC status. As part of maintaining RIC status,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 (2) the extended due date for filing the federal income tax return for that fiscal year.</w:t>
      </w:r>
    </w:p>
    <w:p>
      <w:pPr>
        <w:spacing w:after="0" w:line="85" w:lineRule="exact"/>
        <w:rPr>
          <w:sz w:val="20"/>
          <w:szCs w:val="20"/>
          <w:color w:val="auto"/>
        </w:rPr>
      </w:pPr>
    </w:p>
    <w:p>
      <w:pPr>
        <w:jc w:val="both"/>
        <w:ind w:right="539" w:firstLine="270"/>
        <w:spacing w:after="0" w:line="312" w:lineRule="auto"/>
        <w:rPr>
          <w:sz w:val="20"/>
          <w:szCs w:val="20"/>
          <w:color w:val="auto"/>
        </w:rPr>
      </w:pPr>
      <w:r>
        <w:rPr>
          <w:rFonts w:ascii="Arial" w:cs="Arial" w:eastAsia="Arial" w:hAnsi="Arial"/>
          <w:sz w:val="16"/>
          <w:szCs w:val="16"/>
          <w:color w:val="auto"/>
        </w:rPr>
        <w:t>The Company did not have any material changes in unrecognized tax benefits as of the period presented herein. The Company identified its major tax jurisdictions as U.S. federal and California. The Company is not aware of any tax positions for which it is reasonably possible that the total amount of unrecognized tax benefits will change significantly in the next 12 months.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Subsequent to March 31, 2013, the Company closed on investments of $3.1 million, plus transaction costs as follows:</w:t>
      </w:r>
    </w:p>
    <w:p>
      <w:pPr>
        <w:spacing w:after="0" w:line="129" w:lineRule="exact"/>
        <w:rPr>
          <w:sz w:val="20"/>
          <w:szCs w:val="20"/>
          <w:color w:val="auto"/>
        </w:rPr>
      </w:pPr>
    </w:p>
    <w:p>
      <w:pPr>
        <w:jc w:val="both"/>
        <w:ind w:right="539" w:firstLine="270"/>
        <w:spacing w:after="0" w:line="277" w:lineRule="auto"/>
        <w:rPr>
          <w:sz w:val="20"/>
          <w:szCs w:val="20"/>
          <w:color w:val="auto"/>
        </w:rPr>
      </w:pPr>
      <w:r>
        <w:rPr>
          <w:rFonts w:ascii="Arial" w:cs="Arial" w:eastAsia="Arial" w:hAnsi="Arial"/>
          <w:sz w:val="18"/>
          <w:szCs w:val="18"/>
          <w:color w:val="auto"/>
        </w:rPr>
        <w:t>The Company closed on an investment of $1,379,294, plus transaction costs, in SugarCRM, Inc., a customer relationship management company, on April 1, 2013.</w:t>
      </w:r>
    </w:p>
    <w:p>
      <w:pPr>
        <w:spacing w:after="0" w:line="62" w:lineRule="exact"/>
        <w:rPr>
          <w:sz w:val="20"/>
          <w:szCs w:val="20"/>
          <w:color w:val="auto"/>
        </w:rPr>
      </w:pPr>
    </w:p>
    <w:p>
      <w:pPr>
        <w:jc w:val="both"/>
        <w:ind w:right="539" w:firstLine="270"/>
        <w:spacing w:after="0" w:line="277" w:lineRule="auto"/>
        <w:rPr>
          <w:sz w:val="20"/>
          <w:szCs w:val="20"/>
          <w:color w:val="auto"/>
        </w:rPr>
      </w:pPr>
      <w:r>
        <w:rPr>
          <w:rFonts w:ascii="Arial" w:cs="Arial" w:eastAsia="Arial" w:hAnsi="Arial"/>
          <w:sz w:val="18"/>
          <w:szCs w:val="18"/>
          <w:color w:val="auto"/>
        </w:rPr>
        <w:t>The Company closed on an investment of $1,733,923, plus transaction costs, in ZocDoc Inc., an online medical scheduling company, on April 4, 2013.</w:t>
      </w:r>
    </w:p>
    <w:p>
      <w:pPr>
        <w:spacing w:after="0" w:line="62" w:lineRule="exact"/>
        <w:rPr>
          <w:sz w:val="20"/>
          <w:szCs w:val="20"/>
          <w:color w:val="auto"/>
        </w:rPr>
      </w:pPr>
    </w:p>
    <w:p>
      <w:pPr>
        <w:jc w:val="both"/>
        <w:ind w:right="539" w:firstLine="270"/>
        <w:spacing w:after="0" w:line="277" w:lineRule="auto"/>
        <w:rPr>
          <w:sz w:val="20"/>
          <w:szCs w:val="20"/>
          <w:color w:val="auto"/>
        </w:rPr>
      </w:pPr>
      <w:r>
        <w:rPr>
          <w:rFonts w:ascii="Arial" w:cs="Arial" w:eastAsia="Arial" w:hAnsi="Arial"/>
          <w:sz w:val="18"/>
          <w:szCs w:val="18"/>
          <w:color w:val="auto"/>
        </w:rPr>
        <w:t>The Company closed on an investment of $24,999, plus transaction costs, in AlwaysOn, Inc., a social media company, on April 26, 2013.</w:t>
      </w:r>
    </w:p>
    <w:p>
      <w:pPr>
        <w:spacing w:after="0" w:line="62" w:lineRule="exact"/>
        <w:rPr>
          <w:sz w:val="20"/>
          <w:szCs w:val="20"/>
          <w:color w:val="auto"/>
        </w:rPr>
      </w:pPr>
    </w:p>
    <w:p>
      <w:pPr>
        <w:jc w:val="both"/>
        <w:ind w:right="539" w:firstLine="270"/>
        <w:spacing w:after="0" w:line="277" w:lineRule="auto"/>
        <w:rPr>
          <w:sz w:val="20"/>
          <w:szCs w:val="20"/>
          <w:color w:val="auto"/>
        </w:rPr>
      </w:pPr>
      <w:r>
        <w:rPr>
          <w:rFonts w:ascii="Arial" w:cs="Arial" w:eastAsia="Arial" w:hAnsi="Arial"/>
          <w:sz w:val="18"/>
          <w:szCs w:val="18"/>
          <w:color w:val="auto"/>
        </w:rPr>
        <w:t>The Company is presently in the final stages of negotiations with respect to a handful of private company investments that it anticipates entering into within the next 30 to 60 days, subject to satisfaction of applicable</w:t>
      </w:r>
    </w:p>
    <w:p>
      <w:pPr>
        <w:spacing w:after="0" w:line="200" w:lineRule="exact"/>
        <w:rPr>
          <w:sz w:val="20"/>
          <w:szCs w:val="20"/>
          <w:color w:val="auto"/>
        </w:rPr>
      </w:pPr>
    </w:p>
    <w:p>
      <w:pPr>
        <w:spacing w:after="0" w:line="3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105410</wp:posOffset>
            </wp:positionV>
            <wp:extent cx="6114415" cy="596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891" w:right="1440" w:bottom="1440" w:gutter="0" w:footer="0" w:header="0"/>
        </w:sectPr>
      </w:pPr>
    </w:p>
    <w:bookmarkStart w:id="29" w:name="page30"/>
    <w:bookmarkEnd w:id="29"/>
    <w:p>
      <w:pPr>
        <w:jc w:val="both"/>
        <w:ind w:right="519"/>
        <w:spacing w:after="0" w:line="276" w:lineRule="auto"/>
        <w:rPr>
          <w:sz w:val="20"/>
          <w:szCs w:val="20"/>
          <w:color w:val="auto"/>
        </w:rPr>
      </w:pPr>
      <w:r>
        <w:rPr>
          <w:rFonts w:ascii="Arial" w:cs="Arial" w:eastAsia="Arial" w:hAnsi="Arial"/>
          <w:sz w:val="17"/>
          <w:szCs w:val="17"/>
          <w:color w:val="auto"/>
        </w:rPr>
        <w:t>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 Subsequent to March 31, 2013, the Company has not made any such escrow deposits.</w:t>
      </w:r>
    </w:p>
    <w:p>
      <w:pPr>
        <w:spacing w:after="0" w:line="200" w:lineRule="exact"/>
        <w:rPr>
          <w:sz w:val="20"/>
          <w:szCs w:val="20"/>
          <w:color w:val="auto"/>
        </w:rPr>
      </w:pPr>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105410</wp:posOffset>
            </wp:positionV>
            <wp:extent cx="6114415" cy="596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854" w:right="1440" w:bottom="1440" w:gutter="0" w:footer="0" w:header="0"/>
        </w:sectPr>
      </w:pPr>
    </w:p>
    <w:bookmarkStart w:id="30" w:name="page31"/>
    <w:bookmarkEnd w:id="30"/>
    <w:p>
      <w:pPr>
        <w:ind w:right="2559" w:hanging="39"/>
        <w:spacing w:after="0" w:line="40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ind w:right="519" w:firstLine="270"/>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GSV Capital,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85" w:lineRule="exact"/>
        <w:rPr>
          <w:sz w:val="20"/>
          <w:szCs w:val="20"/>
          <w:color w:val="auto"/>
        </w:rPr>
      </w:pPr>
    </w:p>
    <w:p>
      <w:pPr>
        <w:jc w:val="both"/>
        <w:ind w:right="539" w:firstLine="270"/>
        <w:spacing w:after="0" w:line="277" w:lineRule="auto"/>
        <w:rPr>
          <w:sz w:val="20"/>
          <w:szCs w:val="20"/>
          <w:color w:val="auto"/>
        </w:rPr>
      </w:pPr>
      <w:r>
        <w:rPr>
          <w:rFonts w:ascii="Arial" w:cs="Arial" w:eastAsia="Arial" w:hAnsi="Arial"/>
          <w:sz w:val="18"/>
          <w:szCs w:val="18"/>
          <w:color w:val="auto"/>
        </w:rPr>
        <w:t>The forward looking statements contained in this quarterly report on Form 10-Q involve risks and uncertainties, including statements as to:</w:t>
      </w:r>
    </w:p>
    <w:p>
      <w:pPr>
        <w:spacing w:after="0" w:line="62" w:lineRule="exact"/>
        <w:rPr>
          <w:sz w:val="20"/>
          <w:szCs w:val="20"/>
          <w:color w:val="auto"/>
        </w:rPr>
      </w:pPr>
    </w:p>
    <w:p>
      <w:pPr>
        <w:ind w:left="560" w:hanging="322"/>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17" w:lineRule="exact"/>
        <w:rPr>
          <w:rFonts w:ascii="Arial" w:cs="Arial" w:eastAsia="Arial" w:hAnsi="Arial"/>
          <w:sz w:val="18"/>
          <w:szCs w:val="18"/>
          <w:color w:val="auto"/>
        </w:rPr>
      </w:pPr>
    </w:p>
    <w:p>
      <w:pPr>
        <w:ind w:left="560" w:hanging="322"/>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17" w:lineRule="exact"/>
        <w:rPr>
          <w:rFonts w:ascii="Arial" w:cs="Arial" w:eastAsia="Arial" w:hAnsi="Arial"/>
          <w:sz w:val="18"/>
          <w:szCs w:val="18"/>
          <w:color w:val="auto"/>
        </w:rPr>
      </w:pPr>
    </w:p>
    <w:p>
      <w:pPr>
        <w:ind w:left="560" w:hanging="322"/>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17" w:lineRule="exact"/>
        <w:rPr>
          <w:rFonts w:ascii="Arial" w:cs="Arial" w:eastAsia="Arial" w:hAnsi="Arial"/>
          <w:sz w:val="18"/>
          <w:szCs w:val="18"/>
          <w:color w:val="auto"/>
        </w:rPr>
      </w:pPr>
    </w:p>
    <w:p>
      <w:pPr>
        <w:ind w:left="560" w:hanging="322"/>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17" w:lineRule="exact"/>
        <w:rPr>
          <w:rFonts w:ascii="Arial" w:cs="Arial" w:eastAsia="Arial" w:hAnsi="Arial"/>
          <w:sz w:val="18"/>
          <w:szCs w:val="18"/>
          <w:color w:val="auto"/>
        </w:rPr>
      </w:pPr>
    </w:p>
    <w:p>
      <w:pPr>
        <w:ind w:left="560" w:hanging="322"/>
        <w:spacing w:after="0"/>
        <w:tabs>
          <w:tab w:leader="none" w:pos="5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dependence of our future success on the general economy and its impact on the industries in which we invest;</w:t>
      </w:r>
    </w:p>
    <w:p>
      <w:pPr>
        <w:spacing w:after="0" w:line="128" w:lineRule="exact"/>
        <w:rPr>
          <w:rFonts w:ascii="Arial" w:cs="Arial" w:eastAsia="Arial" w:hAnsi="Arial"/>
          <w:sz w:val="17"/>
          <w:szCs w:val="17"/>
          <w:color w:val="auto"/>
        </w:rPr>
      </w:pPr>
    </w:p>
    <w:p>
      <w:pPr>
        <w:ind w:left="560" w:hanging="322"/>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17" w:lineRule="exact"/>
        <w:rPr>
          <w:rFonts w:ascii="Arial" w:cs="Arial" w:eastAsia="Arial" w:hAnsi="Arial"/>
          <w:sz w:val="18"/>
          <w:szCs w:val="18"/>
          <w:color w:val="auto"/>
        </w:rPr>
      </w:pPr>
    </w:p>
    <w:p>
      <w:pPr>
        <w:ind w:left="560" w:hanging="322"/>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17" w:lineRule="exact"/>
        <w:rPr>
          <w:rFonts w:ascii="Arial" w:cs="Arial" w:eastAsia="Arial" w:hAnsi="Arial"/>
          <w:sz w:val="18"/>
          <w:szCs w:val="18"/>
          <w:color w:val="auto"/>
        </w:rPr>
      </w:pPr>
    </w:p>
    <w:p>
      <w:pPr>
        <w:ind w:left="560" w:hanging="322"/>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117" w:lineRule="exact"/>
        <w:rPr>
          <w:rFonts w:ascii="Arial" w:cs="Arial" w:eastAsia="Arial" w:hAnsi="Arial"/>
          <w:sz w:val="18"/>
          <w:szCs w:val="18"/>
          <w:color w:val="auto"/>
        </w:rPr>
      </w:pPr>
    </w:p>
    <w:p>
      <w:pPr>
        <w:ind w:left="560" w:hanging="322"/>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17" w:lineRule="exact"/>
        <w:rPr>
          <w:sz w:val="20"/>
          <w:szCs w:val="20"/>
          <w:color w:val="auto"/>
        </w:rPr>
      </w:pPr>
    </w:p>
    <w:p>
      <w:pPr>
        <w:jc w:val="both"/>
        <w:ind w:right="519" w:firstLine="270"/>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73" w:lineRule="exact"/>
        <w:rPr>
          <w:sz w:val="20"/>
          <w:szCs w:val="20"/>
          <w:color w:val="auto"/>
        </w:rPr>
      </w:pPr>
    </w:p>
    <w:p>
      <w:pPr>
        <w:ind w:left="560" w:right="539" w:hanging="322"/>
        <w:spacing w:after="0" w:line="277"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equity investments in such portfolio companies,</w:t>
      </w:r>
    </w:p>
    <w:p>
      <w:pPr>
        <w:spacing w:after="0" w:line="62" w:lineRule="exact"/>
        <w:rPr>
          <w:rFonts w:ascii="Arial" w:cs="Arial" w:eastAsia="Arial" w:hAnsi="Arial"/>
          <w:sz w:val="18"/>
          <w:szCs w:val="18"/>
          <w:color w:val="auto"/>
        </w:rPr>
      </w:pPr>
    </w:p>
    <w:p>
      <w:pPr>
        <w:ind w:left="560" w:right="539" w:hanging="322"/>
        <w:spacing w:after="0" w:line="277"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spacing w:after="0" w:line="62" w:lineRule="exact"/>
        <w:rPr>
          <w:rFonts w:ascii="Arial" w:cs="Arial" w:eastAsia="Arial" w:hAnsi="Arial"/>
          <w:sz w:val="18"/>
          <w:szCs w:val="18"/>
          <w:color w:val="auto"/>
        </w:rPr>
      </w:pPr>
    </w:p>
    <w:p>
      <w:pPr>
        <w:ind w:left="560" w:hanging="322"/>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inability to access the equity markets could impair our investment activities,</w:t>
      </w:r>
    </w:p>
    <w:p>
      <w:pPr>
        <w:spacing w:after="0" w:line="117" w:lineRule="exact"/>
        <w:rPr>
          <w:rFonts w:ascii="Arial" w:cs="Arial" w:eastAsia="Arial" w:hAnsi="Arial"/>
          <w:sz w:val="18"/>
          <w:szCs w:val="18"/>
          <w:color w:val="auto"/>
        </w:rPr>
      </w:pPr>
    </w:p>
    <w:p>
      <w:pPr>
        <w:ind w:left="560" w:right="519" w:hanging="322"/>
        <w:spacing w:after="0" w:line="277"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if we opt to use leverage as part of our investment strategy, and</w:t>
      </w:r>
    </w:p>
    <w:p>
      <w:pPr>
        <w:spacing w:after="0" w:line="62" w:lineRule="exact"/>
        <w:rPr>
          <w:rFonts w:ascii="Arial" w:cs="Arial" w:eastAsia="Arial" w:hAnsi="Arial"/>
          <w:sz w:val="18"/>
          <w:szCs w:val="18"/>
          <w:color w:val="auto"/>
        </w:rPr>
      </w:pPr>
    </w:p>
    <w:p>
      <w:pPr>
        <w:ind w:left="560" w:right="519" w:hanging="322"/>
        <w:spacing w:after="0" w:line="277"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and elsewhere in this quarterly report on Form 10-Q and in our filings with the SEC.</w:t>
      </w:r>
    </w:p>
    <w:p>
      <w:pPr>
        <w:spacing w:after="0" w:line="62" w:lineRule="exact"/>
        <w:rPr>
          <w:sz w:val="20"/>
          <w:szCs w:val="20"/>
          <w:color w:val="auto"/>
        </w:rPr>
      </w:pPr>
    </w:p>
    <w:p>
      <w:pPr>
        <w:jc w:val="both"/>
        <w:ind w:right="519" w:firstLine="270"/>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this quarterly report on Form 10-Q. You should not place undue reliance on these forward-looking statements, which apply only as of the date of this quarterly report on Form 10-Q.</w:t>
      </w:r>
    </w:p>
    <w:p>
      <w:pPr>
        <w:spacing w:after="0" w:line="200" w:lineRule="exact"/>
        <w:rPr>
          <w:sz w:val="20"/>
          <w:szCs w:val="20"/>
          <w:color w:val="auto"/>
        </w:rPr>
      </w:pPr>
    </w:p>
    <w:p>
      <w:pPr>
        <w:spacing w:after="0" w:line="3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105410</wp:posOffset>
            </wp:positionV>
            <wp:extent cx="6114415" cy="596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850" w:right="1440" w:bottom="1440" w:gutter="0" w:footer="0" w:header="0"/>
        </w:sectPr>
      </w:pPr>
    </w:p>
    <w:bookmarkStart w:id="31" w:name="page32"/>
    <w:bookmarkEnd w:id="31"/>
    <w:p>
      <w:pPr>
        <w:jc w:val="both"/>
        <w:ind w:right="539" w:firstLine="270"/>
        <w:spacing w:after="0" w:line="264"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consolidated financial statements and the related notes included in the annual report on Form 10-K for the year ended December 31, 2012 and this quarterly report on Form 10-Q.</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519" w:firstLine="270"/>
        <w:spacing w:after="0" w:line="271" w:lineRule="auto"/>
        <w:rPr>
          <w:sz w:val="20"/>
          <w:szCs w:val="20"/>
          <w:color w:val="auto"/>
        </w:rPr>
      </w:pPr>
      <w:r>
        <w:rPr>
          <w:rFonts w:ascii="Arial" w:cs="Arial" w:eastAsia="Arial" w:hAnsi="Arial"/>
          <w:sz w:val="17"/>
          <w:szCs w:val="17"/>
          <w:color w:val="auto"/>
        </w:rPr>
        <w:t>We are an externally managed, non-diversified closed-end management investment company that has elected to be treated as a business development company under the 1940 Act. Our investment objective is to maximize our portfolio’s total return, principally by seeking capital gains on our equity and equity-related investments. We invest principally in the equity securities of what we believe to be rapidly growing venture capital-backed emerging companies. We acquire our investments through secondary marketplaces for private companies, negotiations with selling stockholders and direct investments with prospective portfolio companies. We may also invest on an opportunistic basis in select publicly-traded equity securities or certain non-U.S. companies that otherwise meet our investment criteria. Our investment activities are managed by GSV Asset Management, and GSV Capital Service Company provides the administrative services necessary for us to operate.</w:t>
      </w:r>
    </w:p>
    <w:p>
      <w:pPr>
        <w:spacing w:after="0" w:line="71" w:lineRule="exact"/>
        <w:rPr>
          <w:sz w:val="20"/>
          <w:szCs w:val="20"/>
          <w:color w:val="auto"/>
        </w:rPr>
      </w:pPr>
    </w:p>
    <w:p>
      <w:pPr>
        <w:jc w:val="both"/>
        <w:ind w:right="519" w:firstLine="270"/>
        <w:spacing w:after="0" w:line="255" w:lineRule="auto"/>
        <w:rPr>
          <w:sz w:val="20"/>
          <w:szCs w:val="20"/>
          <w:color w:val="auto"/>
        </w:rPr>
      </w:pPr>
      <w:r>
        <w:rPr>
          <w:rFonts w:ascii="Arial" w:cs="Arial" w:eastAsia="Arial" w:hAnsi="Arial"/>
          <w:sz w:val="18"/>
          <w:szCs w:val="18"/>
          <w:color w:val="auto"/>
        </w:rPr>
        <w:t>Our investment philosophy is premised on a disciplined approach of identifying high-growth emerging companies across several key industry themes which may include, among others, social mobile, cloud computing, and big data, internet commerce, green technology and education technology. Our investment adviser’s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evaluates have financial backing from top tier venture capital funds or other financial or strategic sponsors.</w:t>
      </w:r>
    </w:p>
    <w:p>
      <w:pPr>
        <w:spacing w:after="0" w:line="81" w:lineRule="exact"/>
        <w:rPr>
          <w:sz w:val="20"/>
          <w:szCs w:val="20"/>
          <w:color w:val="auto"/>
        </w:rPr>
      </w:pPr>
    </w:p>
    <w:p>
      <w:pPr>
        <w:jc w:val="both"/>
        <w:ind w:right="539" w:firstLine="270"/>
        <w:spacing w:after="0" w:line="259" w:lineRule="auto"/>
        <w:rPr>
          <w:sz w:val="20"/>
          <w:szCs w:val="20"/>
          <w:color w:val="auto"/>
        </w:rPr>
      </w:pPr>
      <w:r>
        <w:rPr>
          <w:rFonts w:ascii="Arial" w:cs="Arial" w:eastAsia="Arial" w:hAnsi="Arial"/>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We used substantially all of the net proceeds of our initial public offering and follow-on offerings for the above purposes.</w:t>
      </w:r>
    </w:p>
    <w:p>
      <w:pPr>
        <w:spacing w:after="0" w:line="79" w:lineRule="exact"/>
        <w:rPr>
          <w:sz w:val="20"/>
          <w:szCs w:val="20"/>
          <w:color w:val="auto"/>
        </w:rPr>
      </w:pPr>
    </w:p>
    <w:p>
      <w:pPr>
        <w:jc w:val="both"/>
        <w:ind w:right="519" w:firstLine="270"/>
        <w:spacing w:after="0" w:line="312" w:lineRule="auto"/>
        <w:rPr>
          <w:sz w:val="20"/>
          <w:szCs w:val="20"/>
          <w:color w:val="auto"/>
        </w:rPr>
      </w:pPr>
      <w:r>
        <w:rPr>
          <w:rFonts w:ascii="Arial" w:cs="Arial" w:eastAsia="Arial" w:hAnsi="Arial"/>
          <w:sz w:val="16"/>
          <w:szCs w:val="16"/>
          <w:color w:val="auto"/>
        </w:rPr>
        <w:t>We seek to create a low-turnover portfolio that includes investments in companies representing a broad range of investment themes. As of March 31, 2013, we have invested aggregate consideration of approximately $239.9 million (exclusive of transaction fees and costs), since inception, or 86.9% of the net proceeds from our initial public offering and subsequent follow-on offerings.</w:t>
      </w:r>
    </w:p>
    <w:p>
      <w:pPr>
        <w:spacing w:after="0" w:line="39" w:lineRule="exact"/>
        <w:rPr>
          <w:sz w:val="20"/>
          <w:szCs w:val="20"/>
          <w:color w:val="auto"/>
        </w:rPr>
      </w:pPr>
    </w:p>
    <w:p>
      <w:pPr>
        <w:jc w:val="both"/>
        <w:ind w:right="519" w:firstLine="270"/>
        <w:spacing w:after="0" w:line="269" w:lineRule="auto"/>
        <w:rPr>
          <w:sz w:val="20"/>
          <w:szCs w:val="20"/>
          <w:color w:val="auto"/>
        </w:rPr>
      </w:pPr>
      <w:r>
        <w:rPr>
          <w:rFonts w:ascii="Arial" w:cs="Arial" w:eastAsia="Arial" w:hAnsi="Arial"/>
          <w:sz w:val="17"/>
          <w:szCs w:val="17"/>
          <w:color w:val="auto"/>
        </w:rPr>
        <w:t>On April 28, 2011, we priced our initial public offering of 3,335,000 shares of our common stock at the offering price of $15.00 per share. The initial public offering closed on May 3, 2011, resulting in net proceeds to GSV Capital Corp. of approximately $46.5 million. On September 26, 2011, we priced a follow-on equity offering of 2,185,000 shares of our common stock at an offering price $14.15 per share. The follow-on equity offering included the full exercise of the underwriters’ option to purchase an additional 285,000 shares of our common stock, resulting in net proceeds to GSV Capital Corp. of approximately $29.6 million. On February 10, 2012, we priced a subsequent follow-on equity offering of 6,900,000 shares of our common stock at an offering price of $15.00 per share. The follow-on equity offering included the full exercise of the underwriters’ option to purchase an additional 900,000 shares of our common stock, resulting in net proceeds to GSV Capital Corp. of approximately $96.2 million. On May 11, 2012, we priced an additional follow-on equity offering of 6,900,000 shares of our common stock at an offering price of $16.25 per share. The follow-on offering included the full exercise of the underwriters’ option to purchase an additional 900,000 shares of our common stock, resulting in net proceeds to GSV Capital Corp. of approximately $105.4 million. Our shares are currently listed on the NASDAQ Capital Market under the symbol “GSVC”.</w:t>
      </w:r>
    </w:p>
    <w:p>
      <w:pPr>
        <w:spacing w:after="0" w:line="200" w:lineRule="exact"/>
        <w:rPr>
          <w:sz w:val="20"/>
          <w:szCs w:val="20"/>
          <w:color w:val="auto"/>
        </w:rPr>
      </w:pPr>
    </w:p>
    <w:p>
      <w:pPr>
        <w:spacing w:after="0" w:line="3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105410</wp:posOffset>
            </wp:positionV>
            <wp:extent cx="6114415" cy="596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854" w:right="1440"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ind w:right="519" w:firstLine="270"/>
        <w:spacing w:after="0" w:line="308" w:lineRule="auto"/>
        <w:rPr>
          <w:sz w:val="20"/>
          <w:szCs w:val="20"/>
          <w:color w:val="auto"/>
        </w:rPr>
      </w:pPr>
      <w:r>
        <w:rPr>
          <w:rFonts w:ascii="Arial" w:cs="Arial" w:eastAsia="Arial" w:hAnsi="Arial"/>
          <w:sz w:val="17"/>
          <w:szCs w:val="17"/>
          <w:color w:val="auto"/>
        </w:rPr>
        <w:t>The fair value of our investments can be expected to fluctuate in future periods due to changes in our investments and changes in the fair value of the investments. The investments made during the three months ended March 31, 2013 include:</w:t>
      </w:r>
    </w:p>
    <w:p>
      <w:pPr>
        <w:spacing w:after="0" w:line="38" w:lineRule="exact"/>
        <w:rPr>
          <w:sz w:val="20"/>
          <w:szCs w:val="20"/>
          <w:color w:val="auto"/>
        </w:rPr>
      </w:pPr>
    </w:p>
    <w:p>
      <w:pPr>
        <w:jc w:val="both"/>
        <w:ind w:right="519" w:firstLine="270"/>
        <w:spacing w:after="0" w:line="277" w:lineRule="auto"/>
        <w:rPr>
          <w:sz w:val="20"/>
          <w:szCs w:val="20"/>
          <w:color w:val="auto"/>
        </w:rPr>
      </w:pPr>
      <w:r>
        <w:rPr>
          <w:rFonts w:ascii="Arial" w:cs="Arial" w:eastAsia="Arial" w:hAnsi="Arial"/>
          <w:sz w:val="18"/>
          <w:szCs w:val="18"/>
          <w:color w:val="auto"/>
        </w:rPr>
        <w:t>The Company closed on an investment of $1,499,999, plus transaction costs, in SugarCRM Inc., a customer relationship management company, on January 16, 2013.</w:t>
      </w:r>
    </w:p>
    <w:p>
      <w:pPr>
        <w:spacing w:after="0" w:line="62" w:lineRule="exact"/>
        <w:rPr>
          <w:sz w:val="20"/>
          <w:szCs w:val="20"/>
          <w:color w:val="auto"/>
        </w:rPr>
      </w:pPr>
    </w:p>
    <w:p>
      <w:pPr>
        <w:jc w:val="both"/>
        <w:ind w:right="519" w:firstLine="270"/>
        <w:spacing w:after="0" w:line="277" w:lineRule="auto"/>
        <w:rPr>
          <w:sz w:val="20"/>
          <w:szCs w:val="20"/>
          <w:color w:val="auto"/>
        </w:rPr>
      </w:pPr>
      <w:r>
        <w:rPr>
          <w:rFonts w:ascii="Arial" w:cs="Arial" w:eastAsia="Arial" w:hAnsi="Arial"/>
          <w:sz w:val="18"/>
          <w:szCs w:val="18"/>
          <w:color w:val="auto"/>
        </w:rPr>
        <w:t>The Company closed on an investment of $200,000, plus transaction costs, in AlwaysOn, Inc., a social media company, on February 4, 2013.</w:t>
      </w:r>
    </w:p>
    <w:p>
      <w:pPr>
        <w:spacing w:after="0" w:line="62" w:lineRule="exact"/>
        <w:rPr>
          <w:sz w:val="20"/>
          <w:szCs w:val="20"/>
          <w:color w:val="auto"/>
        </w:rPr>
      </w:pPr>
    </w:p>
    <w:p>
      <w:pPr>
        <w:jc w:val="both"/>
        <w:ind w:right="539" w:firstLine="270"/>
        <w:spacing w:after="0" w:line="277" w:lineRule="auto"/>
        <w:rPr>
          <w:sz w:val="20"/>
          <w:szCs w:val="20"/>
          <w:color w:val="auto"/>
        </w:rPr>
      </w:pPr>
      <w:r>
        <w:rPr>
          <w:rFonts w:ascii="Arial" w:cs="Arial" w:eastAsia="Arial" w:hAnsi="Arial"/>
          <w:sz w:val="18"/>
          <w:szCs w:val="18"/>
          <w:color w:val="auto"/>
        </w:rPr>
        <w:t>The Company closed on an investment of $517,244, plus transaction costs, in CUX, Inc. (d/b/a CorpU), a corporate education company, on February 25, 2013.</w:t>
      </w:r>
    </w:p>
    <w:p>
      <w:pPr>
        <w:spacing w:after="0" w:line="62" w:lineRule="exact"/>
        <w:rPr>
          <w:sz w:val="20"/>
          <w:szCs w:val="20"/>
          <w:color w:val="auto"/>
        </w:rPr>
      </w:pPr>
    </w:p>
    <w:p>
      <w:pPr>
        <w:jc w:val="both"/>
        <w:ind w:right="519" w:firstLine="270"/>
        <w:spacing w:after="0" w:line="277" w:lineRule="auto"/>
        <w:rPr>
          <w:sz w:val="20"/>
          <w:szCs w:val="20"/>
          <w:color w:val="auto"/>
        </w:rPr>
      </w:pPr>
      <w:r>
        <w:rPr>
          <w:rFonts w:ascii="Arial" w:cs="Arial" w:eastAsia="Arial" w:hAnsi="Arial"/>
          <w:sz w:val="18"/>
          <w:szCs w:val="18"/>
          <w:color w:val="auto"/>
        </w:rPr>
        <w:t>The Company closed on an investment of $200,000, plus transaction costs, in AlwaysOn, Inc., a social media company, on February 28, 2013.</w:t>
      </w:r>
    </w:p>
    <w:p>
      <w:pPr>
        <w:spacing w:after="0" w:line="62" w:lineRule="exact"/>
        <w:rPr>
          <w:sz w:val="20"/>
          <w:szCs w:val="20"/>
          <w:color w:val="auto"/>
        </w:rPr>
      </w:pPr>
    </w:p>
    <w:p>
      <w:pPr>
        <w:jc w:val="both"/>
        <w:ind w:right="519" w:firstLine="270"/>
        <w:spacing w:after="0" w:line="277" w:lineRule="auto"/>
        <w:rPr>
          <w:sz w:val="20"/>
          <w:szCs w:val="20"/>
          <w:color w:val="auto"/>
        </w:rPr>
      </w:pPr>
      <w:r>
        <w:rPr>
          <w:rFonts w:ascii="Arial" w:cs="Arial" w:eastAsia="Arial" w:hAnsi="Arial"/>
          <w:sz w:val="18"/>
          <w:szCs w:val="18"/>
          <w:color w:val="auto"/>
        </w:rPr>
        <w:t>The Company closed on an investment of $1,000,000, plus transaction costs, in Fullbridge, Inc., a business education company, on March 22, 2013.</w:t>
      </w:r>
    </w:p>
    <w:p>
      <w:pPr>
        <w:spacing w:after="0" w:line="62" w:lineRule="exact"/>
        <w:rPr>
          <w:sz w:val="20"/>
          <w:szCs w:val="20"/>
          <w:color w:val="auto"/>
        </w:rPr>
      </w:pPr>
    </w:p>
    <w:p>
      <w:pPr>
        <w:jc w:val="both"/>
        <w:ind w:right="519" w:firstLine="270"/>
        <w:spacing w:after="0" w:line="342" w:lineRule="auto"/>
        <w:rPr>
          <w:sz w:val="20"/>
          <w:szCs w:val="20"/>
          <w:color w:val="auto"/>
        </w:rPr>
      </w:pPr>
      <w:r>
        <w:rPr>
          <w:rFonts w:ascii="Arial" w:cs="Arial" w:eastAsia="Arial" w:hAnsi="Arial"/>
          <w:sz w:val="16"/>
          <w:szCs w:val="16"/>
          <w:color w:val="auto"/>
        </w:rPr>
        <w:t>The fair value, as of March 31, 2013, of all of our portfolio investments was $222,154,605. In addition, we held $16,000,000 in two money market funds as of March 31, 2013. We also held $6,818,379 in unrestricted cash on March 31, 2013.</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2013 and 2012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jc w:val="both"/>
        <w:ind w:right="539" w:firstLine="270"/>
        <w:spacing w:after="0" w:line="308" w:lineRule="auto"/>
        <w:rPr>
          <w:sz w:val="20"/>
          <w:szCs w:val="20"/>
          <w:color w:val="auto"/>
        </w:rPr>
      </w:pPr>
      <w:r>
        <w:rPr>
          <w:rFonts w:ascii="Arial" w:cs="Arial" w:eastAsia="Arial" w:hAnsi="Arial"/>
          <w:sz w:val="17"/>
          <w:szCs w:val="17"/>
          <w:color w:val="auto"/>
        </w:rPr>
        <w:t>For the three months ended March 31, 2013, we had investment income of $4,535, or $0.00 per share, which consisted of $0 of interest income from our portfolio investments and $4,535 of dividend income from our money market investments.</w:t>
      </w:r>
    </w:p>
    <w:p>
      <w:pPr>
        <w:spacing w:after="0" w:line="38" w:lineRule="exact"/>
        <w:rPr>
          <w:sz w:val="20"/>
          <w:szCs w:val="20"/>
          <w:color w:val="auto"/>
        </w:rPr>
      </w:pPr>
    </w:p>
    <w:p>
      <w:pPr>
        <w:jc w:val="both"/>
        <w:ind w:right="519" w:firstLine="270"/>
        <w:spacing w:after="0" w:line="342" w:lineRule="auto"/>
        <w:rPr>
          <w:sz w:val="20"/>
          <w:szCs w:val="20"/>
          <w:color w:val="auto"/>
        </w:rPr>
      </w:pPr>
      <w:r>
        <w:rPr>
          <w:rFonts w:ascii="Arial" w:cs="Arial" w:eastAsia="Arial" w:hAnsi="Arial"/>
          <w:sz w:val="16"/>
          <w:szCs w:val="16"/>
          <w:color w:val="auto"/>
        </w:rPr>
        <w:t>For the three months ended March 31, 2012, we had investment income of $117,805, or $0.01 per share, which consisted of $112,101 of interest income from our portfolio investments and $5,704 of dividend income from our money market investments.</w:t>
      </w:r>
    </w:p>
    <w:p>
      <w:pPr>
        <w:spacing w:after="0" w:line="16" w:lineRule="exact"/>
        <w:rPr>
          <w:sz w:val="20"/>
          <w:szCs w:val="20"/>
          <w:color w:val="auto"/>
        </w:rPr>
      </w:pPr>
    </w:p>
    <w:p>
      <w:pPr>
        <w:jc w:val="both"/>
        <w:ind w:right="519" w:firstLine="270"/>
        <w:spacing w:after="0" w:line="308" w:lineRule="auto"/>
        <w:rPr>
          <w:sz w:val="20"/>
          <w:szCs w:val="20"/>
          <w:color w:val="auto"/>
        </w:rPr>
      </w:pPr>
      <w:r>
        <w:rPr>
          <w:rFonts w:ascii="Arial" w:cs="Arial" w:eastAsia="Arial" w:hAnsi="Arial"/>
          <w:sz w:val="17"/>
          <w:szCs w:val="17"/>
          <w:color w:val="auto"/>
        </w:rPr>
        <w:t>The decrease in investment income for the three months ended March 31, 2013 relative to the three months ended March 31, 2012 was primarily due to us no longer carrying fixed income investments during the three months ended March 31, 2013.</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right="519" w:firstLine="270"/>
        <w:spacing w:after="0" w:line="255" w:lineRule="auto"/>
        <w:rPr>
          <w:sz w:val="20"/>
          <w:szCs w:val="20"/>
          <w:color w:val="auto"/>
        </w:rPr>
      </w:pPr>
      <w:r>
        <w:rPr>
          <w:rFonts w:ascii="Arial" w:cs="Arial" w:eastAsia="Arial" w:hAnsi="Arial"/>
          <w:sz w:val="18"/>
          <w:szCs w:val="18"/>
          <w:color w:val="auto"/>
        </w:rPr>
        <w:t>For the three months ended March 31, 2013, we had $2,572,260 in total operating expenses consisting primarily of investment management fees and administration fees, in addition to legal, audit and consulting fees. The investment advisory fee for the three months ended March 31, 2013, was $1,283,599, representing the base management fee as provided in our investment advisory agreement. Our base management fee was significantly higher than during the same period in 2012 as a result of the increase in our gross assets. Costs incurred under our administration agreement for the three months ended March 31, 2013, were $887,984. Professional fees, consisting of legal, valuation, audit and consulting fees, were $236,886 for the three months ended March 31, 2013.</w:t>
      </w:r>
    </w:p>
    <w:p>
      <w:pPr>
        <w:spacing w:after="0" w:line="81" w:lineRule="exact"/>
        <w:rPr>
          <w:sz w:val="20"/>
          <w:szCs w:val="20"/>
          <w:color w:val="auto"/>
        </w:rPr>
      </w:pPr>
    </w:p>
    <w:p>
      <w:pPr>
        <w:jc w:val="both"/>
        <w:ind w:right="519" w:firstLine="270"/>
        <w:spacing w:after="0" w:line="297" w:lineRule="auto"/>
        <w:rPr>
          <w:sz w:val="20"/>
          <w:szCs w:val="20"/>
          <w:color w:val="auto"/>
        </w:rPr>
      </w:pPr>
      <w:r>
        <w:rPr>
          <w:rFonts w:ascii="Arial" w:cs="Arial" w:eastAsia="Arial" w:hAnsi="Arial"/>
          <w:sz w:val="16"/>
          <w:szCs w:val="16"/>
          <w:color w:val="auto"/>
        </w:rPr>
        <w:t>For the three months ended March 31, 2012, we had $1,211,807 in total operating expenses consisting primarily of investment management fees and administration fees, in addition to legal, audit and consulting fees. The investment advisory fee for the three months ended March 31, 2012, was $621,926, representing the base fee as provided in our investment advisory agreement. Costs incurred under our administration agreement for the three months ended March 31, 2012, were $345,594. Professional fees, consisting of legal, valuation, audit and consulting fees, were $131,845 for the three months ended March 31, 2012.</w:t>
      </w:r>
    </w:p>
    <w:p>
      <w:pPr>
        <w:spacing w:after="0" w:line="50" w:lineRule="exact"/>
        <w:rPr>
          <w:sz w:val="20"/>
          <w:szCs w:val="20"/>
          <w:color w:val="auto"/>
        </w:rPr>
      </w:pPr>
    </w:p>
    <w:p>
      <w:pPr>
        <w:jc w:val="both"/>
        <w:ind w:right="539" w:firstLine="270"/>
        <w:spacing w:after="0" w:line="277" w:lineRule="auto"/>
        <w:rPr>
          <w:sz w:val="20"/>
          <w:szCs w:val="20"/>
          <w:color w:val="auto"/>
        </w:rPr>
      </w:pPr>
      <w:r>
        <w:rPr>
          <w:rFonts w:ascii="Arial" w:cs="Arial" w:eastAsia="Arial" w:hAnsi="Arial"/>
          <w:sz w:val="18"/>
          <w:szCs w:val="18"/>
          <w:color w:val="auto"/>
        </w:rPr>
        <w:t>The increase in total operating expenses for the three months ended March 31, 2013 relative to the three months ended March 31, 2012 was mostly due to an increase in management fees as well as administration</w:t>
      </w:r>
    </w:p>
    <w:p>
      <w:pPr>
        <w:spacing w:after="0" w:line="200" w:lineRule="exact"/>
        <w:rPr>
          <w:sz w:val="20"/>
          <w:szCs w:val="20"/>
          <w:color w:val="auto"/>
        </w:rPr>
      </w:pPr>
    </w:p>
    <w:p>
      <w:pPr>
        <w:spacing w:after="0" w:line="3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105410</wp:posOffset>
            </wp:positionV>
            <wp:extent cx="6114415" cy="596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895" w:right="1440" w:bottom="1440" w:gutter="0" w:footer="0" w:header="0"/>
        </w:sectPr>
      </w:pPr>
    </w:p>
    <w:bookmarkStart w:id="33" w:name="page34"/>
    <w:bookmarkEnd w:id="33"/>
    <w:p>
      <w:pPr>
        <w:jc w:val="both"/>
        <w:ind w:right="519"/>
        <w:spacing w:after="0" w:line="277" w:lineRule="auto"/>
        <w:rPr>
          <w:sz w:val="20"/>
          <w:szCs w:val="20"/>
          <w:color w:val="auto"/>
        </w:rPr>
      </w:pPr>
      <w:r>
        <w:rPr>
          <w:rFonts w:ascii="Arial" w:cs="Arial" w:eastAsia="Arial" w:hAnsi="Arial"/>
          <w:sz w:val="18"/>
          <w:szCs w:val="18"/>
          <w:color w:val="auto"/>
        </w:rPr>
        <w:t>fees incurred. These fees increased due to an increase in our gross and net asset values during the same periods, which impact the fees incurred. Refer to note 2 for further details regarding the calculations of these fees.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Decrease in Net Assets</w:t>
      </w:r>
    </w:p>
    <w:p>
      <w:pPr>
        <w:spacing w:after="0" w:line="117" w:lineRule="exact"/>
        <w:rPr>
          <w:sz w:val="20"/>
          <w:szCs w:val="20"/>
          <w:color w:val="auto"/>
        </w:rPr>
      </w:pPr>
    </w:p>
    <w:p>
      <w:pPr>
        <w:jc w:val="both"/>
        <w:ind w:right="519" w:firstLine="270"/>
        <w:spacing w:after="0" w:line="255" w:lineRule="auto"/>
        <w:rPr>
          <w:sz w:val="20"/>
          <w:szCs w:val="20"/>
          <w:color w:val="auto"/>
        </w:rPr>
      </w:pPr>
      <w:r>
        <w:rPr>
          <w:rFonts w:ascii="Arial" w:cs="Arial" w:eastAsia="Arial" w:hAnsi="Arial"/>
          <w:sz w:val="18"/>
          <w:szCs w:val="18"/>
          <w:color w:val="auto"/>
        </w:rPr>
        <w:t>For the three months ended March 31, 2013, we had a net change in unrealized depreciation of $1,576,638, or $0.08 per share. The change in unrealized depreciation is primarily a result of our investments in Starfish Holdings, Inc. and Totus Solutions, Inc. Net realized loss was $3,346,892, or $0.17 per share, and is the result of sales of investments in Zynga, Inc. and Groupon Inc. Net investment loss was $2,567,725, or $0.13 per share, for the three months ended March 31, 2013, resulting primarily from operating expenses incurred during the quarter. Net decrease in net assets resulting from operations was $7,491,255, or $0.38 per share, for the three months ended March 31, 2013.</w:t>
      </w:r>
    </w:p>
    <w:p>
      <w:pPr>
        <w:spacing w:after="0" w:line="85" w:lineRule="exact"/>
        <w:rPr>
          <w:sz w:val="20"/>
          <w:szCs w:val="20"/>
          <w:color w:val="auto"/>
        </w:rPr>
      </w:pPr>
    </w:p>
    <w:p>
      <w:pPr>
        <w:jc w:val="both"/>
        <w:ind w:right="519" w:firstLine="270"/>
        <w:spacing w:after="0" w:line="297" w:lineRule="auto"/>
        <w:rPr>
          <w:sz w:val="20"/>
          <w:szCs w:val="20"/>
          <w:color w:val="auto"/>
        </w:rPr>
      </w:pPr>
      <w:r>
        <w:rPr>
          <w:rFonts w:ascii="Arial" w:cs="Arial" w:eastAsia="Arial" w:hAnsi="Arial"/>
          <w:sz w:val="16"/>
          <w:szCs w:val="16"/>
          <w:color w:val="auto"/>
        </w:rPr>
        <w:t>For the three months ended March 31, 2012, we had a net change in unrealized appreciation of $1,011,195, or $0.11 per share. The change in unrealized appreciation is primarily a result of an increase in the fair value of our investment in Facebook, Inc. Net investment loss was $1,094,002, or $0.12 per share, for the three months ended March 31, 2012, resulting primarily from operating expenses incurred during the quarter. Net decrease in net assets resulting from operations was $83,063, or $0.01 per share, for the three months ended March 31, 2012, which reflects the extent of operating expenses incurred during the quarter.</w:t>
      </w:r>
    </w:p>
    <w:p>
      <w:pPr>
        <w:spacing w:after="0" w:line="50" w:lineRule="exact"/>
        <w:rPr>
          <w:sz w:val="20"/>
          <w:szCs w:val="20"/>
          <w:color w:val="auto"/>
        </w:rPr>
      </w:pPr>
    </w:p>
    <w:p>
      <w:pPr>
        <w:jc w:val="both"/>
        <w:ind w:right="519" w:firstLine="270"/>
        <w:spacing w:after="0" w:line="277" w:lineRule="auto"/>
        <w:rPr>
          <w:sz w:val="20"/>
          <w:szCs w:val="20"/>
          <w:color w:val="auto"/>
        </w:rPr>
      </w:pPr>
      <w:r>
        <w:rPr>
          <w:rFonts w:ascii="Arial" w:cs="Arial" w:eastAsia="Arial" w:hAnsi="Arial"/>
          <w:sz w:val="18"/>
          <w:szCs w:val="18"/>
          <w:color w:val="auto"/>
        </w:rPr>
        <w:t>The per share figures noted above are based on a weighted-average of 19,320,100 and 9,387,133 shares outstanding for the three months ended March 31, 2013 and 2012,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539" w:firstLine="270"/>
        <w:spacing w:after="0" w:line="277" w:lineRule="auto"/>
        <w:rPr>
          <w:sz w:val="20"/>
          <w:szCs w:val="20"/>
          <w:color w:val="auto"/>
        </w:rPr>
      </w:pPr>
      <w:r>
        <w:rPr>
          <w:rFonts w:ascii="Arial" w:cs="Arial" w:eastAsia="Arial" w:hAnsi="Arial"/>
          <w:sz w:val="18"/>
          <w:szCs w:val="18"/>
          <w:color w:val="auto"/>
        </w:rPr>
        <w:t>At March 31, 2013, we had investments in 45 portfolio companies with costs totaling $235,481,893, two money market funds totaling $16,000,000 and cash in the amount of $6,818,379.</w:t>
      </w:r>
    </w:p>
    <w:p>
      <w:pPr>
        <w:spacing w:after="0" w:line="62" w:lineRule="exact"/>
        <w:rPr>
          <w:sz w:val="20"/>
          <w:szCs w:val="20"/>
          <w:color w:val="auto"/>
        </w:rPr>
      </w:pPr>
    </w:p>
    <w:p>
      <w:pPr>
        <w:jc w:val="both"/>
        <w:ind w:right="519" w:firstLine="270"/>
        <w:spacing w:after="0" w:line="272" w:lineRule="auto"/>
        <w:rPr>
          <w:sz w:val="20"/>
          <w:szCs w:val="20"/>
          <w:color w:val="auto"/>
        </w:rPr>
      </w:pPr>
      <w:r>
        <w:rPr>
          <w:rFonts w:ascii="Arial" w:cs="Arial" w:eastAsia="Arial" w:hAnsi="Arial"/>
          <w:sz w:val="17"/>
          <w:szCs w:val="17"/>
          <w:color w:val="auto"/>
        </w:rPr>
        <w:t>On February 10, 2012, we priced a follow-on equity offering of 6,900,000 shares of our common stock at an offering price of $15.00 per share. The follow-on equity offering included the full exercise of the underwriters’ option to purchase an additional 900,000 share of our common stock, resulting in net proceeds to GSV Capital Corp. of approximately $96.2 million. On May 11, 2012, we priced a subsequent follow-on equity offering of 6,900,000 shares of our common stock at an offering price of $16.25 per share. The follow-on equity offering included the full exercise of the underwriters’ option to purchase an additional 900,000 share of our common stock, resulting in net proceeds to GSV Capital Corp. of approximately $105.4 million. Our shares are currently listed on the NASDAQ Capital Market under the symbol “GSVC”.</w:t>
      </w:r>
    </w:p>
    <w:p>
      <w:pPr>
        <w:spacing w:after="0" w:line="70" w:lineRule="exact"/>
        <w:rPr>
          <w:sz w:val="20"/>
          <w:szCs w:val="20"/>
          <w:color w:val="auto"/>
        </w:rPr>
      </w:pPr>
    </w:p>
    <w:p>
      <w:pPr>
        <w:jc w:val="both"/>
        <w:ind w:right="539" w:firstLine="270"/>
        <w:spacing w:after="0" w:line="264" w:lineRule="auto"/>
        <w:rPr>
          <w:sz w:val="20"/>
          <w:szCs w:val="20"/>
          <w:color w:val="auto"/>
        </w:rPr>
      </w:pPr>
      <w:r>
        <w:rPr>
          <w:rFonts w:ascii="Arial" w:cs="Arial" w:eastAsia="Arial" w:hAnsi="Arial"/>
          <w:sz w:val="18"/>
          <w:szCs w:val="18"/>
          <w:color w:val="auto"/>
        </w:rPr>
        <w:t>Our primary use of cash is to make investments and to pay our operating expenses. We used substantially all of the proceeds of the offerings to invest in portfolio companies as of March 31, 2013, except for amounts retained for purposes of funding our ongoing expenses.</w:t>
      </w:r>
    </w:p>
    <w:p>
      <w:pPr>
        <w:spacing w:after="0" w:line="73" w:lineRule="exact"/>
        <w:rPr>
          <w:sz w:val="20"/>
          <w:szCs w:val="20"/>
          <w:color w:val="auto"/>
        </w:rPr>
      </w:pPr>
    </w:p>
    <w:p>
      <w:pPr>
        <w:jc w:val="both"/>
        <w:ind w:right="519" w:firstLine="270"/>
        <w:spacing w:after="0" w:line="297" w:lineRule="auto"/>
        <w:rPr>
          <w:sz w:val="20"/>
          <w:szCs w:val="20"/>
          <w:color w:val="auto"/>
        </w:rPr>
      </w:pPr>
      <w:r>
        <w:rPr>
          <w:rFonts w:ascii="Arial" w:cs="Arial" w:eastAsia="Arial" w:hAnsi="Arial"/>
          <w:sz w:val="16"/>
          <w:szCs w:val="16"/>
          <w:color w:val="auto"/>
        </w:rPr>
        <w:t>Our current policy is to maintain cash reserves in an amount sufficient to pay our operating expenses, including investment management fees, incentive fees and costs incurred under the administration agreement, for approximately two years. For a description of the investment advisory and administration services we receive, see “Related Party Transactions and Certain Relationships”. We incurred approximately $1,283,599 and $621,926 in investment management fees and $887,984 and $345,594 in costs incurred under the administration agreement for the three months ended March 31, 2013, and March 31, 2012 respectively.</w:t>
      </w:r>
    </w:p>
    <w:p>
      <w:pPr>
        <w:spacing w:after="0" w:line="50" w:lineRule="exact"/>
        <w:rPr>
          <w:sz w:val="20"/>
          <w:szCs w:val="20"/>
          <w:color w:val="auto"/>
        </w:rPr>
      </w:pPr>
    </w:p>
    <w:p>
      <w:pPr>
        <w:jc w:val="both"/>
        <w:ind w:right="519" w:firstLine="270"/>
        <w:spacing w:after="0" w:line="257" w:lineRule="auto"/>
        <w:rPr>
          <w:sz w:val="20"/>
          <w:szCs w:val="20"/>
          <w:color w:val="auto"/>
        </w:rPr>
      </w:pPr>
      <w:r>
        <w:rPr>
          <w:rFonts w:ascii="Arial" w:cs="Arial" w:eastAsia="Arial" w:hAnsi="Arial"/>
          <w:sz w:val="18"/>
          <w:szCs w:val="18"/>
          <w:color w:val="auto"/>
        </w:rPr>
        <w:t>As of March 31, 2013, the fair value of our portfolio investments was equal to the cost of the investments, net of unrealized depreciation representing transaction costs and any fair value adjustments. Fair value adjustments may include subsequent financing rounds, discounts due to lack of marketability, senior management changes or any other developments that factor into our valuations. The fair value of our investments can be expected to fluctuate in future periods due to changes in our investments and changes in the fair value of the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jc w:val="both"/>
        <w:ind w:right="519" w:firstLine="270"/>
        <w:spacing w:after="0" w:line="308" w:lineRule="auto"/>
        <w:rPr>
          <w:sz w:val="20"/>
          <w:szCs w:val="20"/>
          <w:color w:val="auto"/>
        </w:rPr>
      </w:pPr>
      <w:r>
        <w:rPr>
          <w:rFonts w:ascii="Arial" w:cs="Arial" w:eastAsia="Arial" w:hAnsi="Arial"/>
          <w:sz w:val="17"/>
          <w:szCs w:val="17"/>
          <w:color w:val="auto"/>
        </w:rPr>
        <w:t>As of March 31, 2013, we had no off-balance sheet arrangements, including any risk management of commodity pricing or other hedging practices. However, we may employ hedging and other risk management techniques in the future.</w:t>
      </w:r>
    </w:p>
    <w:p>
      <w:pPr>
        <w:spacing w:after="0" w:line="200" w:lineRule="exact"/>
        <w:rPr>
          <w:sz w:val="20"/>
          <w:szCs w:val="20"/>
          <w:color w:val="auto"/>
        </w:rPr>
      </w:pPr>
    </w:p>
    <w:p>
      <w:pPr>
        <w:spacing w:after="0" w:line="28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105410</wp:posOffset>
            </wp:positionV>
            <wp:extent cx="6114415" cy="596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854" w:right="1440"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Distribution Policy</w:t>
      </w:r>
    </w:p>
    <w:p>
      <w:pPr>
        <w:spacing w:after="0" w:line="117" w:lineRule="exact"/>
        <w:rPr>
          <w:sz w:val="20"/>
          <w:szCs w:val="20"/>
          <w:color w:val="auto"/>
        </w:rPr>
      </w:pPr>
    </w:p>
    <w:p>
      <w:pPr>
        <w:jc w:val="both"/>
        <w:ind w:right="519" w:firstLine="270"/>
        <w:spacing w:after="0" w:line="293" w:lineRule="auto"/>
        <w:rPr>
          <w:sz w:val="20"/>
          <w:szCs w:val="20"/>
          <w:color w:val="auto"/>
        </w:rPr>
      </w:pPr>
      <w:r>
        <w:rPr>
          <w:rFonts w:ascii="Arial" w:cs="Arial" w:eastAsia="Arial" w:hAnsi="Arial"/>
          <w:sz w:val="16"/>
          <w:szCs w:val="16"/>
          <w:color w:val="auto"/>
        </w:rPr>
        <w:t>The timing and amount of our dividends, if any, will be determined by our board of directors. Any dividends to our stockholders will be declared out of assets legally available for distribution. We intend to focus on making capital gains-based investments from which we will derive primarily capital gains. As a consequence, we do not anticipate that we will pay dividends on a quarterly basis or become a predictable distributor of dividends, and we expect that our dividends, if any, will be much less consistent than the dividends of other business development companies that primarily make debt investments. However, if there are earnings or realized capital gains to be distributed, we intend to declare and pay a dividend at least annually.</w:t>
      </w:r>
    </w:p>
    <w:p>
      <w:pPr>
        <w:spacing w:after="0" w:line="57" w:lineRule="exact"/>
        <w:rPr>
          <w:sz w:val="20"/>
          <w:szCs w:val="20"/>
          <w:color w:val="auto"/>
        </w:rPr>
      </w:pPr>
    </w:p>
    <w:p>
      <w:pPr>
        <w:jc w:val="both"/>
        <w:ind w:right="519" w:firstLine="270"/>
        <w:spacing w:after="0" w:line="267" w:lineRule="auto"/>
        <w:rPr>
          <w:sz w:val="20"/>
          <w:szCs w:val="20"/>
          <w:color w:val="auto"/>
        </w:rPr>
      </w:pPr>
      <w:r>
        <w:rPr>
          <w:rFonts w:ascii="Arial" w:cs="Arial" w:eastAsia="Arial" w:hAnsi="Arial"/>
          <w:sz w:val="17"/>
          <w:szCs w:val="17"/>
          <w:color w:val="auto"/>
        </w:rPr>
        <w:t>During the taxable year ended December 31, 2012, we were taxed as a C Corporation subject to federal and state corporate income taxes, however we may elect to be treated as a RIC under Subchapter M of the Code, beginning with our 2013 taxable year if management determines that it is in the best interests of the Company and the Company is able to satisfy the requirements to be treated as a RIC. To obtain and maintain RIC tax treatment, we must, among other things, distribute at least 90% of our ordinary income and realized net short-term capital gains in excess of realized net long-term capital losses, if any, for each taxable year. In addition, in order to avoid certain excise taxes imposed on RICs, we currently intend to distribute during each calendar year an amount at least equal to the sum of (1) 98% of our ordinary income for the calendar year, (2) 98.2% of our capital gains in excess of capital losses for the one-year period ending on October 31 of the calendar year and (3) any ordinary income and net capital gains for preceding years that were not distributed during such years. Although we currently intend to distribute realized net capital gains (</w:t>
      </w:r>
      <w:r>
        <w:rPr>
          <w:rFonts w:ascii="Arial" w:cs="Arial" w:eastAsia="Arial" w:hAnsi="Arial"/>
          <w:sz w:val="17"/>
          <w:szCs w:val="17"/>
          <w:i w:val="1"/>
          <w:iCs w:val="1"/>
          <w:color w:val="auto"/>
        </w:rPr>
        <w:t>i.e.</w:t>
      </w:r>
      <w:r>
        <w:rPr>
          <w:rFonts w:ascii="Arial" w:cs="Arial" w:eastAsia="Arial" w:hAnsi="Arial"/>
          <w:sz w:val="17"/>
          <w:szCs w:val="17"/>
          <w:color w:val="auto"/>
        </w:rPr>
        <w:t>, net long-term capital gains in excess of net short-term capital losses), if any, at least annually, we may in the future decide to retain such capital gains for investment but designate the retained net capital gain as a “deemed distribution”. If this happens, you will be treated as if you received an actual distribution of the capital gains we retain and reinvested the net after-tax proceeds in us. You also may be eligible to claim a tax credit (or, in certain circumstances, a tax refund) equal to your allocable share of the tax we paid on the capital gains deemed distributed to you. See “Material U.S. Federal Income Tax Considerations.” There is no assurance that we will achieve results that will permit the payment of any cash distributions and, to the extent that we issue senior securities, we will be prohibited from making distributions if doing so causes us to fail to maintain the asset coverage ratios stipulated by the 1940 Act or if distributions are limited by the terms of any of our borrowings. In addition, although it is currently its intention to do so, at the present time, the Company cannot assure you whether it will elect to be treated as a RIC for its 2013 taxable year. If it opts not to do so, the Company will continue to be taxed as a C corporation under the Code for its 2013 taxable year.</w:t>
      </w:r>
    </w:p>
    <w:p>
      <w:pPr>
        <w:spacing w:after="0" w:line="80" w:lineRule="exact"/>
        <w:rPr>
          <w:sz w:val="20"/>
          <w:szCs w:val="20"/>
          <w:color w:val="auto"/>
        </w:rPr>
      </w:pPr>
    </w:p>
    <w:p>
      <w:pPr>
        <w:jc w:val="both"/>
        <w:ind w:right="519" w:firstLine="270"/>
        <w:spacing w:after="0" w:line="269" w:lineRule="auto"/>
        <w:rPr>
          <w:sz w:val="20"/>
          <w:szCs w:val="20"/>
          <w:color w:val="auto"/>
        </w:rPr>
      </w:pPr>
      <w:r>
        <w:rPr>
          <w:rFonts w:ascii="Arial" w:cs="Arial" w:eastAsia="Arial" w:hAnsi="Arial"/>
          <w:sz w:val="17"/>
          <w:szCs w:val="17"/>
          <w:color w:val="auto"/>
        </w:rPr>
        <w:t>Our current intention is to make any distributions out of assets legally available therefrom in additional shares of our common stock under our dividend reinvestment plan, unless you elect to receive your dividends and/or long-term capital gains distributions in cash. Under the dividend reinvestment plan, if a stockholder owns shares of common stock registered in its own name, the stockholder will have all cash distributions automatically reinvested in additional shares of common stock unless the stockholder opts out of our dividend reinvestment plan by delivering a written notice to our dividend paying agent prior to the record date of the next dividend or distribution. See “Dividend Reinvestment Plan.” Any distributions reinvested under the plan will nevertheless remain taxable to the U.S. stockholder, although no cash distribution has been made. As a result, if you do not elect to opt out of the dividend reinvestment plan, you will be required to pay applicable federal, state and local taxes on any reinvested dividends even though you will not receive a corresponding cash distribution. In addition, reinvested dividends have the effect of increasing our gross assets, which may correspondingly increase the management fee payable to our investment adviser. If you hold shares in the name of a broker or financial intermediary, you should contact the broker or financial intermediary regarding your election to receive distributions in cash.</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had no borrowings outstanding as of March 31, 2013.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jc w:val="both"/>
        <w:ind w:right="539" w:firstLine="270"/>
        <w:spacing w:after="0" w:line="277" w:lineRule="auto"/>
        <w:rPr>
          <w:sz w:val="20"/>
          <w:szCs w:val="20"/>
          <w:color w:val="auto"/>
        </w:rPr>
      </w:pPr>
      <w:r>
        <w:rPr>
          <w:rFonts w:ascii="Arial" w:cs="Arial" w:eastAsia="Arial" w:hAnsi="Arial"/>
          <w:sz w:val="18"/>
          <w:szCs w:val="18"/>
          <w:color w:val="auto"/>
        </w:rPr>
        <w:t>We entered into an investment advisory agreement with GSV Asset Management (the “Advisory Agreement”) in connection with our initial public offering. Pursuant to the Advisory Agreement, GSV Asset</w:t>
      </w:r>
    </w:p>
    <w:p>
      <w:pPr>
        <w:spacing w:after="0" w:line="200" w:lineRule="exact"/>
        <w:rPr>
          <w:sz w:val="20"/>
          <w:szCs w:val="20"/>
          <w:color w:val="auto"/>
        </w:rPr>
      </w:pPr>
    </w:p>
    <w:p>
      <w:pPr>
        <w:spacing w:after="0" w:line="30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105410</wp:posOffset>
            </wp:positionV>
            <wp:extent cx="6114415" cy="596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895" w:right="1440" w:bottom="1440" w:gutter="0" w:footer="0" w:header="0"/>
        </w:sectPr>
      </w:pPr>
    </w:p>
    <w:bookmarkStart w:id="35" w:name="page36"/>
    <w:bookmarkEnd w:id="35"/>
    <w:p>
      <w:pPr>
        <w:jc w:val="both"/>
        <w:ind w:right="519"/>
        <w:spacing w:after="0" w:line="272" w:lineRule="auto"/>
        <w:rPr>
          <w:sz w:val="20"/>
          <w:szCs w:val="20"/>
          <w:color w:val="auto"/>
        </w:rPr>
      </w:pPr>
      <w:r>
        <w:rPr>
          <w:rFonts w:ascii="Arial" w:cs="Arial" w:eastAsia="Arial" w:hAnsi="Arial"/>
          <w:sz w:val="17"/>
          <w:szCs w:val="17"/>
          <w:color w:val="auto"/>
        </w:rPr>
        <w:t>Management will be paid a base annual fee of 2.00% of gross assets, and an annual incentive fee equal to the lesser of (i) 20% of the GSV Capital’s realized capital gains during each calendar year, if any, calculated on an investment-by-investment basis, subject to a non-compounded preferred return, or “hurdle,” and a “catch-up” feature, and (ii) 20% of the GSV Capital’s realized capital gains, if any, on a cumulative basis from inception through the end of each calendar year, computed net of all realized capital losses and unrealized capital depreciation on a cumulative basis, less the aggregate amount of any previously paid incentive fees. GSV Asset Management earned $1,283,599 and $621,926 in base management fees and $0 and $0 in incentive fees for the three months ended March 31, 2013, and March 31, 2012 respectively.</w:t>
      </w:r>
    </w:p>
    <w:p>
      <w:pPr>
        <w:spacing w:after="0" w:line="70" w:lineRule="exact"/>
        <w:rPr>
          <w:sz w:val="20"/>
          <w:szCs w:val="20"/>
          <w:color w:val="auto"/>
        </w:rPr>
      </w:pPr>
    </w:p>
    <w:p>
      <w:pPr>
        <w:jc w:val="both"/>
        <w:ind w:right="539" w:firstLine="270"/>
        <w:spacing w:after="0" w:line="277" w:lineRule="auto"/>
        <w:rPr>
          <w:sz w:val="20"/>
          <w:szCs w:val="20"/>
          <w:color w:val="auto"/>
        </w:rPr>
      </w:pPr>
      <w:r>
        <w:rPr>
          <w:rFonts w:ascii="Arial" w:cs="Arial" w:eastAsia="Arial" w:hAnsi="Arial"/>
          <w:sz w:val="18"/>
          <w:szCs w:val="18"/>
          <w:color w:val="auto"/>
        </w:rPr>
        <w:t>As of March 31, 2013, we were owed $8,505 from GSV Asset Management for reimbursement of expenses paid for by us that were the responsibility of GSV Asset Management.</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addition as of March 31, 2012, we owed GSV Asset Management $39,012 for reimbursement of expenses.</w:t>
      </w:r>
    </w:p>
    <w:p>
      <w:pPr>
        <w:spacing w:after="0" w:line="117" w:lineRule="exact"/>
        <w:rPr>
          <w:sz w:val="20"/>
          <w:szCs w:val="20"/>
          <w:color w:val="auto"/>
        </w:rPr>
      </w:pPr>
    </w:p>
    <w:p>
      <w:pPr>
        <w:jc w:val="both"/>
        <w:ind w:right="519" w:firstLine="270"/>
        <w:spacing w:after="0" w:line="255" w:lineRule="auto"/>
        <w:rPr>
          <w:sz w:val="20"/>
          <w:szCs w:val="20"/>
          <w:color w:val="auto"/>
        </w:rPr>
      </w:pPr>
      <w:r>
        <w:rPr>
          <w:rFonts w:ascii="Arial" w:cs="Arial" w:eastAsia="Arial" w:hAnsi="Arial"/>
          <w:sz w:val="18"/>
          <w:szCs w:val="18"/>
          <w:color w:val="auto"/>
        </w:rPr>
        <w:t>We entered into an Administration Agreement with GSV Capital Service Company (the “Administration Agreement”) to provide administrative services, including furnishing us with office facilities, equipment, clerical, bookkeeping services and other administrative services, in connection with our initial public offering. We reimburse GSV Capital Service Company an allocable portion of overhead and other expenses in performing its obligations under the Administration Agreement. There were $887,984 and $345,594 in such costs incurred under the Administration Agreement for the three months ended March 31, 2013, and March 31, 2012 respectively.</w:t>
      </w:r>
    </w:p>
    <w:p>
      <w:pPr>
        <w:spacing w:after="0" w:line="85" w:lineRule="exact"/>
        <w:rPr>
          <w:sz w:val="20"/>
          <w:szCs w:val="20"/>
          <w:color w:val="auto"/>
        </w:rPr>
      </w:pPr>
    </w:p>
    <w:p>
      <w:pPr>
        <w:jc w:val="both"/>
        <w:ind w:right="519" w:firstLine="270"/>
        <w:spacing w:after="0" w:line="254" w:lineRule="auto"/>
        <w:rPr>
          <w:sz w:val="20"/>
          <w:szCs w:val="20"/>
          <w:color w:val="auto"/>
        </w:rPr>
      </w:pPr>
      <w:r>
        <w:rPr>
          <w:rFonts w:ascii="Arial" w:cs="Arial" w:eastAsia="Arial" w:hAnsi="Arial"/>
          <w:sz w:val="18"/>
          <w:szCs w:val="18"/>
          <w:color w:val="auto"/>
        </w:rPr>
        <w:t>We also adopted a Code of Ethics which applies to, among others, our senior officers, including our Chief Executive Officer and Chief Financial Officer, as well as all of our officers, directors and employees.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w:t>
      </w:r>
    </w:p>
    <w:p>
      <w:pPr>
        <w:spacing w:after="0" w:line="84" w:lineRule="exact"/>
        <w:rPr>
          <w:sz w:val="20"/>
          <w:szCs w:val="20"/>
          <w:color w:val="auto"/>
        </w:rPr>
      </w:pPr>
    </w:p>
    <w:p>
      <w:pPr>
        <w:jc w:val="both"/>
        <w:ind w:right="519" w:firstLine="270"/>
        <w:spacing w:after="0" w:line="276" w:lineRule="auto"/>
        <w:rPr>
          <w:sz w:val="20"/>
          <w:szCs w:val="20"/>
          <w:color w:val="auto"/>
        </w:rPr>
      </w:pPr>
      <w:r>
        <w:rPr>
          <w:rFonts w:ascii="Arial" w:cs="Arial" w:eastAsia="Arial" w:hAnsi="Arial"/>
          <w:sz w:val="17"/>
          <w:szCs w:val="17"/>
          <w:color w:val="auto"/>
        </w:rPr>
        <w:t>In April 2012, in connection with our investment in Top Hat, Inc., Cherry Tree &amp; Associates, LLC, an investment banking firm, received a fee of approximately $259,000 for its representation of Top Hat, Inc. Mark Moe, who is the brother of our Chief Executive Officer, Michael Moe, served as a Managing Director of Cherry Tree &amp; Associates, LLC, and may therefore be deemed to have had an indirect material interest in such transaction. In February 2013, Mark Moe joined NestGSV, Inc., one of our portfolio companies, as a Vice President of Business Development, Global Expansion.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 at Fair Value</w:t>
      </w:r>
    </w:p>
    <w:p>
      <w:pPr>
        <w:spacing w:after="0" w:line="117" w:lineRule="exact"/>
        <w:rPr>
          <w:sz w:val="20"/>
          <w:szCs w:val="20"/>
          <w:color w:val="auto"/>
        </w:rPr>
      </w:pPr>
    </w:p>
    <w:p>
      <w:pPr>
        <w:jc w:val="both"/>
        <w:ind w:right="539" w:firstLine="270"/>
        <w:spacing w:after="0" w:line="271" w:lineRule="auto"/>
        <w:rPr>
          <w:sz w:val="20"/>
          <w:szCs w:val="20"/>
          <w:color w:val="auto"/>
        </w:rPr>
      </w:pPr>
      <w:r>
        <w:rPr>
          <w:rFonts w:ascii="Arial" w:cs="Arial" w:eastAsia="Arial" w:hAnsi="Arial"/>
          <w:sz w:val="17"/>
          <w:szCs w:val="17"/>
          <w:color w:val="auto"/>
        </w:rPr>
        <w:t>We carry our investments at fair value, as determined in good faith by our board of directors, in accordance with GAAP. Fair value is the price that one would receive upon selling an investment or pay to transfer a liability in an orderly transaction between market participants at the measurement date in the principal or most advantageous market for the investment or liability. GAAP emphasizes that valuation techniques should maximize the use of observable market inputs and minimize the use of unobservable inputs. Observable inputs are based on market data obtained from sources independent of the entity and should not be limited to information that is only available to the entity making the fair value determination, or to a small group of users. Observable market inputs should be readily available to participants in that market. In addition, observable market inputs should include a level of transparency that is reliable and verifiable.</w:t>
      </w:r>
    </w:p>
    <w:p>
      <w:pPr>
        <w:spacing w:after="0" w:line="200" w:lineRule="exact"/>
        <w:rPr>
          <w:sz w:val="20"/>
          <w:szCs w:val="20"/>
          <w:color w:val="auto"/>
        </w:rPr>
      </w:pPr>
    </w:p>
    <w:p>
      <w:pPr>
        <w:spacing w:after="0" w:line="3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105410</wp:posOffset>
            </wp:positionV>
            <wp:extent cx="6114415" cy="596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854" w:right="1440" w:bottom="1440" w:gutter="0" w:footer="0" w:header="0"/>
        </w:sectPr>
      </w:pPr>
    </w:p>
    <w:bookmarkStart w:id="36" w:name="page37"/>
    <w:bookmarkEnd w:id="36"/>
    <w:p>
      <w:pPr>
        <w:ind w:left="280"/>
        <w:spacing w:after="0"/>
        <w:rPr>
          <w:sz w:val="20"/>
          <w:szCs w:val="20"/>
          <w:color w:val="auto"/>
        </w:rPr>
      </w:pPr>
      <w:r>
        <w:rPr>
          <w:rFonts w:ascii="Arial" w:cs="Arial" w:eastAsia="Arial" w:hAnsi="Arial"/>
          <w:sz w:val="16"/>
          <w:szCs w:val="16"/>
          <w:color w:val="auto"/>
        </w:rPr>
        <w:t>GAAP fair value measurement guidance classifies the inputs used to measure these fair values into the following hierarchy:</w:t>
      </w:r>
    </w:p>
    <w:p>
      <w:pPr>
        <w:spacing w:after="0" w:line="136" w:lineRule="exact"/>
        <w:rPr>
          <w:sz w:val="20"/>
          <w:szCs w:val="20"/>
          <w:color w:val="auto"/>
        </w:rPr>
      </w:pPr>
    </w:p>
    <w:p>
      <w:pPr>
        <w:jc w:val="both"/>
        <w:ind w:right="519" w:firstLine="270"/>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w:t>
      </w:r>
      <w:r>
        <w:rPr>
          <w:rFonts w:ascii="Arial" w:cs="Arial" w:eastAsia="Arial" w:hAnsi="Arial"/>
          <w:sz w:val="18"/>
          <w:szCs w:val="18"/>
          <w:b w:val="1"/>
          <w:bCs w:val="1"/>
          <w:color w:val="auto"/>
        </w:rPr>
        <w:t xml:space="preserve"> </w:t>
      </w:r>
      <w:r>
        <w:rPr>
          <w:rFonts w:ascii="Arial" w:cs="Arial" w:eastAsia="Arial" w:hAnsi="Arial"/>
          <w:sz w:val="18"/>
          <w:szCs w:val="18"/>
          <w:color w:val="auto"/>
        </w:rPr>
        <w:t>an active market that we have the ability to access.</w:t>
      </w:r>
    </w:p>
    <w:p>
      <w:pPr>
        <w:spacing w:after="0" w:line="54" w:lineRule="exact"/>
        <w:rPr>
          <w:sz w:val="20"/>
          <w:szCs w:val="20"/>
          <w:color w:val="auto"/>
        </w:rPr>
      </w:pPr>
    </w:p>
    <w:p>
      <w:pPr>
        <w:jc w:val="both"/>
        <w:ind w:right="519" w:firstLine="270"/>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observable either directly or indirectly for substantially the full term of the asset or liability. Level 2 inputs include the following:</w:t>
      </w:r>
    </w:p>
    <w:p>
      <w:pPr>
        <w:spacing w:after="0" w:line="72" w:lineRule="exact"/>
        <w:rPr>
          <w:sz w:val="20"/>
          <w:szCs w:val="20"/>
          <w:color w:val="auto"/>
        </w:rPr>
      </w:pPr>
    </w:p>
    <w:p>
      <w:pPr>
        <w:ind w:left="500" w:hanging="26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17" w:lineRule="exact"/>
        <w:rPr>
          <w:rFonts w:ascii="Arial" w:cs="Arial" w:eastAsia="Arial" w:hAnsi="Arial"/>
          <w:sz w:val="18"/>
          <w:szCs w:val="18"/>
          <w:color w:val="auto"/>
        </w:rPr>
      </w:pPr>
    </w:p>
    <w:p>
      <w:pPr>
        <w:ind w:left="500" w:hanging="26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w:t>
      </w:r>
    </w:p>
    <w:p>
      <w:pPr>
        <w:spacing w:after="0" w:line="117" w:lineRule="exact"/>
        <w:rPr>
          <w:rFonts w:ascii="Arial" w:cs="Arial" w:eastAsia="Arial" w:hAnsi="Arial"/>
          <w:sz w:val="18"/>
          <w:szCs w:val="18"/>
          <w:color w:val="auto"/>
        </w:rPr>
      </w:pPr>
    </w:p>
    <w:p>
      <w:pPr>
        <w:ind w:left="500" w:hanging="26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asset or liability; and</w:t>
      </w:r>
    </w:p>
    <w:p>
      <w:pPr>
        <w:spacing w:after="0" w:line="117" w:lineRule="exact"/>
        <w:rPr>
          <w:rFonts w:ascii="Arial" w:cs="Arial" w:eastAsia="Arial" w:hAnsi="Arial"/>
          <w:sz w:val="18"/>
          <w:szCs w:val="18"/>
          <w:color w:val="auto"/>
        </w:rPr>
      </w:pPr>
    </w:p>
    <w:p>
      <w:pPr>
        <w:ind w:left="500" w:right="519" w:hanging="262"/>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asset or liability.</w:t>
      </w:r>
    </w:p>
    <w:p>
      <w:pPr>
        <w:spacing w:after="0" w:line="58" w:lineRule="exact"/>
        <w:rPr>
          <w:sz w:val="20"/>
          <w:szCs w:val="20"/>
          <w:color w:val="auto"/>
        </w:rPr>
      </w:pPr>
    </w:p>
    <w:p>
      <w:pPr>
        <w:jc w:val="both"/>
        <w:ind w:right="519" w:firstLine="270"/>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Financial assets and liabilities whose values are based on prices or valuation techniques that require inputs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both unobservable and significant to the overall fair value measurement. These inputs reflect management’s own assumptions about the assumptions a market participant would use in pricing the asset or liability.</w:t>
      </w:r>
    </w:p>
    <w:p>
      <w:pPr>
        <w:spacing w:after="0" w:line="72" w:lineRule="exact"/>
        <w:rPr>
          <w:sz w:val="20"/>
          <w:szCs w:val="20"/>
          <w:color w:val="auto"/>
        </w:rPr>
      </w:pPr>
    </w:p>
    <w:p>
      <w:pPr>
        <w:jc w:val="both"/>
        <w:ind w:right="539" w:firstLine="270"/>
        <w:spacing w:after="0" w:line="277" w:lineRule="auto"/>
        <w:rPr>
          <w:sz w:val="20"/>
          <w:szCs w:val="20"/>
          <w:color w:val="auto"/>
        </w:rPr>
      </w:pPr>
      <w:r>
        <w:rPr>
          <w:rFonts w:ascii="Arial" w:cs="Arial" w:eastAsia="Arial" w:hAnsi="Arial"/>
          <w:sz w:val="18"/>
          <w:szCs w:val="18"/>
          <w:color w:val="auto"/>
        </w:rPr>
        <w:t>An asset’s categorization within the valuation hierarchy is based upon the lowest level of input that is significant to the fair value measurement.</w:t>
      </w:r>
    </w:p>
    <w:p>
      <w:pPr>
        <w:spacing w:after="0" w:line="62" w:lineRule="exact"/>
        <w:rPr>
          <w:sz w:val="20"/>
          <w:szCs w:val="20"/>
          <w:color w:val="auto"/>
        </w:rPr>
      </w:pPr>
    </w:p>
    <w:p>
      <w:pPr>
        <w:jc w:val="both"/>
        <w:ind w:right="539" w:firstLine="270"/>
        <w:spacing w:after="0" w:line="286" w:lineRule="auto"/>
        <w:rPr>
          <w:sz w:val="20"/>
          <w:szCs w:val="20"/>
          <w:color w:val="auto"/>
        </w:rPr>
      </w:pPr>
      <w:r>
        <w:rPr>
          <w:rFonts w:ascii="Arial" w:cs="Arial" w:eastAsia="Arial" w:hAnsi="Arial"/>
          <w:sz w:val="17"/>
          <w:szCs w:val="17"/>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are valued at fair value as determined in good faith by our board of directors.</w:t>
      </w:r>
    </w:p>
    <w:p>
      <w:pPr>
        <w:spacing w:after="0" w:line="57" w:lineRule="exact"/>
        <w:rPr>
          <w:sz w:val="20"/>
          <w:szCs w:val="20"/>
          <w:color w:val="auto"/>
        </w:rPr>
      </w:pPr>
    </w:p>
    <w:p>
      <w:pPr>
        <w:jc w:val="both"/>
        <w:ind w:right="519" w:firstLine="270"/>
        <w:spacing w:after="0" w:line="264" w:lineRule="auto"/>
        <w:rPr>
          <w:sz w:val="20"/>
          <w:szCs w:val="20"/>
          <w:color w:val="auto"/>
        </w:rPr>
      </w:pPr>
      <w:r>
        <w:rPr>
          <w:rFonts w:ascii="Arial" w:cs="Arial" w:eastAsia="Arial" w:hAnsi="Arial"/>
          <w:sz w:val="18"/>
          <w:szCs w:val="18"/>
          <w:color w:val="auto"/>
        </w:rPr>
        <w:t>In connection with that determination, portfolio company valuations are prepared using the most currently available data. As appropriate, we obtain updates on each portfolio company’s financial performance, including information such as economic and industry trends, new product development, and other operational issues.</w:t>
      </w:r>
    </w:p>
    <w:p>
      <w:pPr>
        <w:spacing w:after="0" w:line="73" w:lineRule="exact"/>
        <w:rPr>
          <w:sz w:val="20"/>
          <w:szCs w:val="20"/>
          <w:color w:val="auto"/>
        </w:rPr>
      </w:pPr>
    </w:p>
    <w:p>
      <w:pPr>
        <w:jc w:val="both"/>
        <w:ind w:right="519" w:firstLine="270"/>
        <w:spacing w:after="0" w:line="297" w:lineRule="auto"/>
        <w:rPr>
          <w:sz w:val="20"/>
          <w:szCs w:val="20"/>
          <w:color w:val="auto"/>
        </w:rPr>
      </w:pPr>
      <w:r>
        <w:rPr>
          <w:rFonts w:ascii="Arial" w:cs="Arial" w:eastAsia="Arial" w:hAnsi="Arial"/>
          <w:sz w:val="16"/>
          <w:szCs w:val="16"/>
          <w:color w:val="auto"/>
        </w:rPr>
        <w:t>In making our good faith determination of the fair value of investments, we consider valuation methodologies consistent with industry practice, including but not limited to (i) publicly available information regarding the valuation of the securities based on recent sales in comparable transactions of private companies, (ii) when management believes there are comparable companies that are publicly traded, a review of these publicly traded companies and applicable market multiples of their equity securities and, (iii) an income approach that estimates value based on the expectation of future cash flows that an asset or business will generate.</w:t>
      </w:r>
    </w:p>
    <w:p>
      <w:pPr>
        <w:spacing w:after="0" w:line="50" w:lineRule="exact"/>
        <w:rPr>
          <w:sz w:val="20"/>
          <w:szCs w:val="20"/>
          <w:color w:val="auto"/>
        </w:rPr>
      </w:pPr>
    </w:p>
    <w:p>
      <w:pPr>
        <w:jc w:val="both"/>
        <w:ind w:right="519" w:firstLine="270"/>
        <w:spacing w:after="0" w:line="257" w:lineRule="auto"/>
        <w:rPr>
          <w:sz w:val="20"/>
          <w:szCs w:val="20"/>
          <w:color w:val="auto"/>
        </w:rPr>
      </w:pPr>
      <w:r>
        <w:rPr>
          <w:rFonts w:ascii="Arial" w:cs="Arial" w:eastAsia="Arial" w:hAnsi="Arial"/>
          <w:sz w:val="18"/>
          <w:szCs w:val="18"/>
          <w:color w:val="auto"/>
        </w:rPr>
        <w:t>We engage independent valuation firms to perform valuations of our investments that are not publicly traded or for which there are no readily available market quotations. We also engage independent valuation firms to perform valuations of any securities that trade on private secondary markets, but are not otherwise publicly traded, where there is a lack of appreciable trading or a wide disparity in recently reported trades. We consider the independent valuations, among other factors, in making our fair value determinations.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117" w:lineRule="exact"/>
        <w:rPr>
          <w:sz w:val="20"/>
          <w:szCs w:val="20"/>
          <w:color w:val="auto"/>
        </w:rPr>
      </w:pPr>
    </w:p>
    <w:p>
      <w:pPr>
        <w:jc w:val="both"/>
        <w:ind w:right="519" w:firstLine="270"/>
        <w:spacing w:after="0" w:line="297" w:lineRule="auto"/>
        <w:rPr>
          <w:sz w:val="20"/>
          <w:szCs w:val="20"/>
          <w:color w:val="auto"/>
        </w:rPr>
      </w:pPr>
      <w:r>
        <w:rPr>
          <w:rFonts w:ascii="Arial" w:cs="Arial" w:eastAsia="Arial" w:hAnsi="Arial"/>
          <w:sz w:val="16"/>
          <w:szCs w:val="16"/>
          <w:color w:val="auto"/>
        </w:rPr>
        <w:t>The Company was taxed as a regular corporation (a “C corporation”) under subchapter C of the Internal Revenue Code of 1986, as amended, for its 2012 taxable year. The Company uses the liability method of accounting for income taxes. Deferred tax assets and liabilities are recorded for tax loss carryforwards and temporary differences between the tax basis of assets and liabilities and their reported amounts in the consolidated financial statements, using statutory tax rates in effect for the year in which the temporary differences are expected to reverse. Certain tax attributes may be subject to limitations on timing and usage.</w:t>
      </w:r>
    </w:p>
    <w:p>
      <w:pPr>
        <w:spacing w:after="0" w:line="200" w:lineRule="exact"/>
        <w:rPr>
          <w:sz w:val="20"/>
          <w:szCs w:val="20"/>
          <w:color w:val="auto"/>
        </w:rPr>
      </w:pPr>
    </w:p>
    <w:p>
      <w:pPr>
        <w:spacing w:after="0" w:line="29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105410</wp:posOffset>
            </wp:positionV>
            <wp:extent cx="6114415" cy="596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854" w:right="1440" w:bottom="1440" w:gutter="0" w:footer="0" w:header="0"/>
        </w:sectPr>
      </w:pPr>
    </w:p>
    <w:bookmarkStart w:id="37" w:name="page38"/>
    <w:bookmarkEnd w:id="37"/>
    <w:p>
      <w:pPr>
        <w:jc w:val="both"/>
        <w:ind w:right="539"/>
        <w:spacing w:after="0" w:line="277" w:lineRule="auto"/>
        <w:rPr>
          <w:sz w:val="20"/>
          <w:szCs w:val="20"/>
          <w:color w:val="auto"/>
        </w:rPr>
      </w:pPr>
      <w:r>
        <w:rPr>
          <w:rFonts w:ascii="Arial" w:cs="Arial" w:eastAsia="Arial" w:hAnsi="Arial"/>
          <w:sz w:val="18"/>
          <w:szCs w:val="18"/>
          <w:color w:val="auto"/>
        </w:rPr>
        <w:t>A valuation allowance is provided against deferred tax assets when it is more likely than not that some portion or all of the deferred tax assets will not be realized.</w:t>
      </w:r>
    </w:p>
    <w:p>
      <w:pPr>
        <w:spacing w:after="0" w:line="62" w:lineRule="exact"/>
        <w:rPr>
          <w:sz w:val="20"/>
          <w:szCs w:val="20"/>
          <w:color w:val="auto"/>
        </w:rPr>
      </w:pPr>
    </w:p>
    <w:p>
      <w:pPr>
        <w:jc w:val="both"/>
        <w:ind w:right="519" w:firstLine="270"/>
        <w:spacing w:after="0" w:line="287" w:lineRule="auto"/>
        <w:rPr>
          <w:sz w:val="20"/>
          <w:szCs w:val="20"/>
          <w:color w:val="auto"/>
        </w:rPr>
      </w:pPr>
      <w:r>
        <w:rPr>
          <w:rFonts w:ascii="Arial" w:cs="Arial" w:eastAsia="Arial" w:hAnsi="Arial"/>
          <w:sz w:val="16"/>
          <w:szCs w:val="16"/>
          <w:color w:val="auto"/>
        </w:rPr>
        <w:t>Beginning with its 2013 taxable year, the Company may elect to be treated as a regulated investment company (“RIC”) under subchapter M of the Internal Revenue Code of 1986, as amended (the “Code”), if management determines that it is in the best interests of the Company to do so and the Company is able to satisfy the requirements under subchapter M of the Code. In order to qualify as a RIC, among other things, the Company is required to distribute to its stockholders on a timely basis at least 90% of investment company taxable income, as defined by the Code, for each year, and to meet certain asset diversification requirements on a quarterly basis. So long as the Company qualifies and maintains its status as a RIC, it generally will not pay corporate-level U.S. federal and state income taxes on any ordinary income or capital gains that it distributes at least annually to its stockholders as dividends. Rather, any tax liability related to income earned by the Company will represent obligations of the Company’s investors and will not be reflected in the consolidated financial statements of the Company. Although it is currently its intention to do so, at the present time, the Company cannot assure you whether it will elect to be treated as a RIC for its 2013 taxable year. If it opts not to do so, the Company will continue to be taxed as a C corporation under the Code for its 2013 taxable year.</w:t>
      </w:r>
    </w:p>
    <w:p>
      <w:pPr>
        <w:spacing w:after="0" w:line="65" w:lineRule="exact"/>
        <w:rPr>
          <w:sz w:val="20"/>
          <w:szCs w:val="20"/>
          <w:color w:val="auto"/>
        </w:rPr>
      </w:pPr>
    </w:p>
    <w:p>
      <w:pPr>
        <w:jc w:val="both"/>
        <w:ind w:right="519" w:firstLine="270"/>
        <w:spacing w:after="0" w:line="253" w:lineRule="auto"/>
        <w:rPr>
          <w:sz w:val="20"/>
          <w:szCs w:val="20"/>
          <w:color w:val="auto"/>
        </w:rPr>
      </w:pPr>
      <w:r>
        <w:rPr>
          <w:rFonts w:ascii="Arial" w:cs="Arial" w:eastAsia="Arial" w:hAnsi="Arial"/>
          <w:sz w:val="18"/>
          <w:szCs w:val="18"/>
          <w:color w:val="auto"/>
        </w:rPr>
        <w:t>The Company evaluates tax positions taken or expected to be taken in the course of preparing its consolidated financial statements to determine whether the tax positions are “more-likely-than-not” of being sustained by the applicable tax authority. The Company recognizes the tax benefits of uncertain tax positions only where the position has met the “more-likely-than-not” threshold. The Company classifies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The Company did not have any unrecognized tax benefits as of the period presented herein. The Company identified its major tax jurisdictions as U.S. federal and California, and is not aware of any tax positions for which it is reasonably possible that the total amount of unrecognized tax benefits will change materially in the next 12 months.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jc w:val="both"/>
        <w:ind w:right="519" w:firstLine="270"/>
        <w:spacing w:after="0" w:line="289" w:lineRule="auto"/>
        <w:rPr>
          <w:sz w:val="20"/>
          <w:szCs w:val="20"/>
          <w:color w:val="auto"/>
        </w:rPr>
      </w:pPr>
      <w:r>
        <w:rPr>
          <w:rFonts w:ascii="Arial" w:cs="Arial" w:eastAsia="Arial" w:hAnsi="Arial"/>
          <w:sz w:val="16"/>
          <w:szCs w:val="16"/>
          <w:color w:val="auto"/>
        </w:rPr>
        <w:t>In May 2011, the Financial Accounting Standards Board (“FASB”) issued guidance clarifying how to measure and disclose fair value. This guidance amends the application of the “highest and best use” concept to be used only in the measurement of fair value of nonfinancial assets, clarifies that the measurement of the fair value of equity-classified financial instruments should be performed from the perspective of a market participant who holds the instrument as an asset, clarifies that an entity that manages a group of financial assets and liabilities on the basis of its net risk exposure can measure those financial instruments on the basis of its net exposure to those risks, and clarifies when premiums and discounts should be taken into account when measuring fair value. The fair value disclosure requirements also were amended. The amended guidance is to be applied prospectively. For public entities, the guidance is effective during interim and annual periods beginning after December 15, 2011. The adoption of this guidance did not have a significant impact on our financial condition, results of operations or cash flows.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Subsequent to March 31, 2013, the Company closed on investments of $3.1 million, plus transaction costs as follows:</w:t>
      </w:r>
    </w:p>
    <w:p>
      <w:pPr>
        <w:spacing w:after="0" w:line="129" w:lineRule="exact"/>
        <w:rPr>
          <w:sz w:val="20"/>
          <w:szCs w:val="20"/>
          <w:color w:val="auto"/>
        </w:rPr>
      </w:pPr>
    </w:p>
    <w:p>
      <w:pPr>
        <w:jc w:val="both"/>
        <w:ind w:right="539" w:firstLine="270"/>
        <w:spacing w:after="0" w:line="277" w:lineRule="auto"/>
        <w:rPr>
          <w:sz w:val="20"/>
          <w:szCs w:val="20"/>
          <w:color w:val="auto"/>
        </w:rPr>
      </w:pPr>
      <w:r>
        <w:rPr>
          <w:rFonts w:ascii="Arial" w:cs="Arial" w:eastAsia="Arial" w:hAnsi="Arial"/>
          <w:sz w:val="18"/>
          <w:szCs w:val="18"/>
          <w:color w:val="auto"/>
        </w:rPr>
        <w:t>The Company closed on an investment of $1,379,294, plus transaction costs, in SugarCRM, Inc., a customer relationship management company, on April 1, 2013.</w:t>
      </w:r>
    </w:p>
    <w:p>
      <w:pPr>
        <w:spacing w:after="0" w:line="62" w:lineRule="exact"/>
        <w:rPr>
          <w:sz w:val="20"/>
          <w:szCs w:val="20"/>
          <w:color w:val="auto"/>
        </w:rPr>
      </w:pPr>
    </w:p>
    <w:p>
      <w:pPr>
        <w:jc w:val="both"/>
        <w:ind w:right="539" w:firstLine="270"/>
        <w:spacing w:after="0" w:line="277" w:lineRule="auto"/>
        <w:rPr>
          <w:sz w:val="20"/>
          <w:szCs w:val="20"/>
          <w:color w:val="auto"/>
        </w:rPr>
      </w:pPr>
      <w:r>
        <w:rPr>
          <w:rFonts w:ascii="Arial" w:cs="Arial" w:eastAsia="Arial" w:hAnsi="Arial"/>
          <w:sz w:val="18"/>
          <w:szCs w:val="18"/>
          <w:color w:val="auto"/>
        </w:rPr>
        <w:t>The Company closed on an investment of $1,733,923, plus transaction costs, in ZocDoc Inc., an online medical scheduling company, on April 4, 2013.</w:t>
      </w:r>
    </w:p>
    <w:p>
      <w:pPr>
        <w:spacing w:after="0" w:line="62" w:lineRule="exact"/>
        <w:rPr>
          <w:sz w:val="20"/>
          <w:szCs w:val="20"/>
          <w:color w:val="auto"/>
        </w:rPr>
      </w:pPr>
    </w:p>
    <w:p>
      <w:pPr>
        <w:jc w:val="both"/>
        <w:ind w:right="539" w:firstLine="270"/>
        <w:spacing w:after="0" w:line="277" w:lineRule="auto"/>
        <w:rPr>
          <w:sz w:val="20"/>
          <w:szCs w:val="20"/>
          <w:color w:val="auto"/>
        </w:rPr>
      </w:pPr>
      <w:r>
        <w:rPr>
          <w:rFonts w:ascii="Arial" w:cs="Arial" w:eastAsia="Arial" w:hAnsi="Arial"/>
          <w:sz w:val="18"/>
          <w:szCs w:val="18"/>
          <w:color w:val="auto"/>
        </w:rPr>
        <w:t>The Company closed on an investment of $24,999, plus transaction costs, in AlwaysOn, Inc., a social media company, on April 26, 2013.</w:t>
      </w:r>
    </w:p>
    <w:p>
      <w:pPr>
        <w:spacing w:after="0" w:line="200" w:lineRule="exact"/>
        <w:rPr>
          <w:sz w:val="20"/>
          <w:szCs w:val="20"/>
          <w:color w:val="auto"/>
        </w:rPr>
      </w:pPr>
    </w:p>
    <w:p>
      <w:pPr>
        <w:spacing w:after="0" w:line="3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105410</wp:posOffset>
            </wp:positionV>
            <wp:extent cx="6114415" cy="596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854" w:right="1440" w:bottom="1440" w:gutter="0" w:footer="0" w:header="0"/>
        </w:sectPr>
      </w:pPr>
    </w:p>
    <w:bookmarkStart w:id="38" w:name="page39"/>
    <w:bookmarkEnd w:id="38"/>
    <w:p>
      <w:pPr>
        <w:jc w:val="both"/>
        <w:ind w:left="40" w:right="519" w:firstLine="270"/>
        <w:spacing w:after="0" w:line="272" w:lineRule="auto"/>
        <w:rPr>
          <w:sz w:val="20"/>
          <w:szCs w:val="20"/>
          <w:color w:val="auto"/>
        </w:rPr>
      </w:pPr>
      <w:r>
        <w:rPr>
          <w:rFonts w:ascii="Arial" w:cs="Arial" w:eastAsia="Arial" w:hAnsi="Arial"/>
          <w:sz w:val="17"/>
          <w:szCs w:val="17"/>
          <w:color w:val="auto"/>
        </w:rPr>
        <w:t>The Company is presently in the final stages of negotiations with respect to a handful of private company investments that it anticipates entering into within the next 30 to 60 days,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 Subsequent to March 31, 2013, the Company has not made any such escrow deposits.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We are subject to financial market risks, which could include, to the extent we utilize leverage, changes in interest rates. As we invest primarily in equity rather than debt instruments, we would not expect fluctuations in interest rates to directly impact our return on our portfolio investments, and therefore do not consider a Change in interest rates to be a significant although any significant change in market interest rates could potentially have an indirect effect on the business, financial condition and results of operations of the portfolio companies in which we invest.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As of March 31, 2013, we, including our Chief Executive Officer and Chief Financial Officer, evaluated the effectiveness of the design and operation of our disclosure controls and procedures (as defined in Rule 13a-15(e) under the Securities Exchange Act of 1934).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6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Securities Exchange Act of 1934) that occurred during the quarter ended March 31, 2013 that have materially affected, or are reasonably likely to materially affect, our internal control over financial reporting.</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54" w:right="1440" w:bottom="1440" w:gutter="0" w:footer="0" w:header="0"/>
        </w:sectPr>
      </w:pPr>
    </w:p>
    <w:bookmarkStart w:id="39" w:name="page40"/>
    <w:bookmarkEnd w:id="39"/>
    <w:p>
      <w:pPr>
        <w:ind w:left="40"/>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None of us, our investment adviser or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business, financial condition or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1A.Risk Factors</w:t>
      </w:r>
    </w:p>
    <w:p>
      <w:pPr>
        <w:spacing w:after="0" w:line="121"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in Item 1A. Risk Factors in our Annual Report on Form 10-K for the fiscal year ended December 31, 2012, which could materially affect our business, financial condition and/or operating results. The risks described in our Annual Report on Form 10-K are not the only risks facing our company. Additional risks and uncertainties not currently known to us or that we currently deem to be immaterial also may materially and adversely affect our business, financial condition and/or operating results. With the exception of the risk factors set forth below, there have been no material changes during the three months ended March 31, 2013 to the risk factors discussed in Item 1A. Risk Factors in our Annual Report on Form 10-K for the year ended December 31, 2012.</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Investments</w:t>
      </w:r>
    </w:p>
    <w:p>
      <w:pPr>
        <w:spacing w:after="0" w:line="158" w:lineRule="exact"/>
        <w:rPr>
          <w:sz w:val="20"/>
          <w:szCs w:val="20"/>
          <w:color w:val="auto"/>
        </w:rPr>
      </w:pPr>
    </w:p>
    <w:p>
      <w:pPr>
        <w:jc w:val="both"/>
        <w:ind w:left="40" w:right="539"/>
        <w:spacing w:after="0" w:line="282" w:lineRule="auto"/>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 and limit the flexibility of our investment policies.</w:t>
      </w:r>
    </w:p>
    <w:p>
      <w:pPr>
        <w:spacing w:after="0" w:line="58"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We have entered into an Investment Advisory Agreement with GSV Asset Management. GSV Asset Management is controlled by Michael T. Moe, our president, chief executive officer and chairman of our board of directors and Stephen D. Bard, our chief financial officer, chief compliance officer, treasurer and corporate secretary. Messrs. Moe and Bard, as principals of GSV Asset Management, collectively manage the business and internal affairs of GSV Asset Management. In addition, GSV Capital Service Company provides us with office facilities and administrative services pursuant to an Administration Agreement. Mr. Moe is the managing member of and controls GSV Capital Service Company. While there is no limit on the total amount of expenses we may be required to reimburse to GSV Capital Service Company, our administrator will only charge us for the actual expenses it incurs on our behalf, or our allocable portion thereof, without any profit to GSV Capital Service Company.</w:t>
      </w:r>
    </w:p>
    <w:p>
      <w:pPr>
        <w:spacing w:after="0" w:line="58"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In addition, our executive officers and directors, and the principals of our investment adviser, GSV Asset Management, serve or may serve as officers and directors of entities that operate in a line of business similar to our own, including new entities that may be formed in the future. Accordingly, they may have obligations to investors in those entities, the fulfillment of which might not be in the best interests of us or our stockholders, such as, for example, the management of GSV X Fund by GSV Asset Management.</w:t>
      </w:r>
    </w:p>
    <w:p>
      <w:pPr>
        <w:spacing w:after="0" w:line="46"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While the investment focus of each of these entities may be different from our investment objective, it is likely that new investment opportunities that meet our investment objective will come to the attention of one of these entities, or new entities that will likely be formed in the future in connection with another investment advisory client or program, and, if so, such opportunity might not be offered, or otherwise made available, to us. However, our executive officers, directors and investment adviser intend to treat us in a fair and equitable manner consistent with their applicable duties under law so that we will not be disadvantaged in relation to any other particular client. In addition, while GSV Asset Management anticipates that it will from time to time identify investment opportunities that are appropriate for both GSV Capital and the other funds that are currently or in the future may be managed by GSV Asset Management, to the extent it does identify such opportunities, GSV Asset Management has established an allocation policy to ensure that GSV Capital has priority over such other funds. Our board of directors will monitor on a quarterly basis any such allocation of investment opportunities between GSV Capital and any such other funds.</w:t>
      </w:r>
    </w:p>
    <w:p>
      <w:pPr>
        <w:spacing w:after="0" w:line="200" w:lineRule="exact"/>
        <w:rPr>
          <w:sz w:val="20"/>
          <w:szCs w:val="20"/>
          <w:color w:val="auto"/>
        </w:rPr>
      </w:pPr>
    </w:p>
    <w:p>
      <w:pPr>
        <w:spacing w:after="0" w:line="30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91" w:right="1440" w:bottom="1440" w:gutter="0" w:footer="0" w:header="0"/>
        </w:sectPr>
      </w:pPr>
    </w:p>
    <w:bookmarkStart w:id="40" w:name="page41"/>
    <w:bookmarkEnd w:id="40"/>
    <w:p>
      <w:pPr>
        <w:jc w:val="both"/>
        <w:ind w:left="40" w:right="519" w:firstLine="270"/>
        <w:spacing w:after="0" w:line="276" w:lineRule="auto"/>
        <w:rPr>
          <w:sz w:val="20"/>
          <w:szCs w:val="20"/>
          <w:color w:val="auto"/>
        </w:rPr>
      </w:pPr>
      <w:r>
        <w:rPr>
          <w:rFonts w:ascii="Arial" w:cs="Arial" w:eastAsia="Arial" w:hAnsi="Arial"/>
          <w:sz w:val="17"/>
          <w:szCs w:val="17"/>
          <w:color w:val="auto"/>
        </w:rPr>
        <w:t>GSV Asset Management is the owner of the “GSV” name and marks, which we are permitted to use pursuant to a non-exclusive license agreement between us and GSV Asset Management. GSV Asset Management and its principals also use and may permit other entities to use the “GSV” name and marks in connection with businesses and activities unrelated to our operations. The use of the “GSV” name and marks in connection with businesses and activities unrelated to our operations may not be in the best interest of us or our stockholder and may result in actual or perceived conflicts of interest.</w:t>
      </w:r>
    </w:p>
    <w:p>
      <w:pPr>
        <w:spacing w:after="0" w:line="64"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In the ordinary course of business, we may enter into transactions with portfolio companies that may be considered related party transactions. In order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us, companies controlled by us and our executive officers and directors. We will not enter into any agreements unless and until we are satisfied that doing so will not raise concerns under the 1940 Act or, if such concerns exist, we have taken appropriate actions to seek board review and approval or exemptive relief for such transaction. Our board of directors will review these procedures on an annual basis.</w:t>
      </w:r>
    </w:p>
    <w:p>
      <w:pPr>
        <w:spacing w:after="0" w:line="70"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We have also adopted a Code of Ethics which applies to, among others, our senior officers, including our chief executive officer and chief financial officer, as well as all of our officers, directors and employees. Our officers and directors also remain subject to the fiduciary obligations imposed by both the 1940 Act and applicable state corporate law. Our Code of Ethics requires that all employees and directors avoid any conflict, or the appearance of a conflict, between an individual’s personal interests and our interests. Pursuant to our Code of Ethics, each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 In accordance with Item 404, related parties generally include our directors and executive officers, any nominees for director, any immediate family member of a director or executive officer or nominee for director, and any other person sharing the household of such director, executive officer or nominee for director.</w:t>
      </w:r>
    </w:p>
    <w:p>
      <w:pPr>
        <w:spacing w:after="0" w:line="75"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Finally, we pay GSV Capital Service Company our allocable portion of overhead and other expenses incurred by GSV Capital Service Company in performing its obligations under the Administration Agreement, including a portion of the rent and the compensation of our chief financial officer and chief compliance officer and any administrative support personnel, which creates conflicts of interest that our board of directors must monitor.</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Common Stock</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Investors in any future offerings may incur immediate and substantial dilution.</w:t>
      </w:r>
    </w:p>
    <w:p>
      <w:pPr>
        <w:spacing w:after="0" w:line="121"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Commissions and discounts payable to any underwriters, together with our organizational expense and other expenses of any future offering, may reduce the net proceeds of any such offering available for us to invest. As of March 31, 2013 our net asset value was $245,091,546, or $12.69 per share. Depending upon the public offering price, and after deducting the underwriting discounts and commissions and the related offering expenses payable by us, in connection with any future offering, investors in any such offering may be subject to an immediate and substantial dilution.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55" w:right="1440"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exhibits are filed as part of this report or hereby incorporated by reference to exhibits previously filed with the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-70485</wp:posOffset>
            </wp:positionV>
            <wp:extent cx="517969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ind w:left="40"/>
        <w:spacing w:after="0"/>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Articles of Amendment and Restatement*</w:t>
      </w:r>
    </w:p>
    <w:p>
      <w:pPr>
        <w:spacing w:after="0" w:line="9"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Articles of Amendment**</w:t>
      </w:r>
    </w:p>
    <w:p>
      <w:pPr>
        <w:spacing w:after="0" w:line="9"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Bylaws*</w:t>
      </w:r>
    </w:p>
    <w:p>
      <w:pPr>
        <w:spacing w:after="0" w:line="9"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Common Stock Certificate*</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Dividend Reinvestment Plan*</w:t>
      </w:r>
    </w:p>
    <w:p>
      <w:pPr>
        <w:spacing w:after="0" w:line="9" w:lineRule="exact"/>
        <w:rPr>
          <w:sz w:val="20"/>
          <w:szCs w:val="20"/>
          <w:color w:val="auto"/>
        </w:rPr>
      </w:pPr>
    </w:p>
    <w:p>
      <w:pPr>
        <w:ind w:left="700" w:right="2199" w:hanging="701"/>
        <w:spacing w:after="0" w:line="250" w:lineRule="auto"/>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Amended and Restated Investment Advisory Agreement by and between Registrant and GSV Asset Management, LLC***</w:t>
      </w:r>
    </w:p>
    <w:p>
      <w:pPr>
        <w:spacing w:after="0" w:line="1" w:lineRule="exact"/>
        <w:rPr>
          <w:sz w:val="20"/>
          <w:szCs w:val="20"/>
          <w:color w:val="auto"/>
        </w:rPr>
      </w:pPr>
    </w:p>
    <w:p>
      <w:pPr>
        <w:ind w:left="700" w:right="1919" w:hanging="701"/>
        <w:spacing w:after="0" w:line="250" w:lineRule="auto"/>
        <w:tabs>
          <w:tab w:leader="none" w:pos="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Amended and Restated Administration Agreement by and between Registrant and GSV Capital Service Company, LLC***</w:t>
      </w:r>
    </w:p>
    <w:p>
      <w:pPr>
        <w:spacing w:after="0" w:line="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Form of Indemnification Agreement by and between Registrant and each of its directors*</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Form of Custody Agreement by and between Registrant and U.S. Bank National Association*</w:t>
      </w:r>
    </w:p>
    <w:p>
      <w:pPr>
        <w:spacing w:after="0" w:line="9" w:lineRule="exact"/>
        <w:rPr>
          <w:sz w:val="20"/>
          <w:szCs w:val="20"/>
          <w:color w:val="auto"/>
        </w:rPr>
      </w:pPr>
    </w:p>
    <w:p>
      <w:pPr>
        <w:ind w:left="700" w:right="2379" w:hanging="701"/>
        <w:spacing w:after="0" w:line="250" w:lineRule="auto"/>
        <w:tabs>
          <w:tab w:leader="none" w:pos="6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Form of Trademark License Agreement by and between Registrant and GSV Asset Management, LLC**</w:t>
      </w:r>
    </w:p>
    <w:p>
      <w:pPr>
        <w:spacing w:after="0" w:line="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Rule 13a-14 of the Securities Exchange Act of</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1934, as amended</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Rule 13a-14 of the Securities Exchange Act of</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1934, as amended.</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6172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80" w:right="519" w:hanging="272"/>
        <w:spacing w:after="0" w:line="277" w:lineRule="auto"/>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 in connection with Current Report on Form 8-K (File No. 814-00852) filed on June 1, 2011.</w:t>
      </w:r>
    </w:p>
    <w:p>
      <w:pPr>
        <w:spacing w:after="0" w:line="117" w:lineRule="exact"/>
        <w:rPr>
          <w:sz w:val="20"/>
          <w:szCs w:val="20"/>
          <w:color w:val="auto"/>
        </w:rPr>
      </w:pPr>
    </w:p>
    <w:p>
      <w:pPr>
        <w:ind w:left="280" w:right="539" w:hanging="269"/>
        <w:spacing w:after="0" w:line="277" w:lineRule="auto"/>
        <w:rPr>
          <w:sz w:val="20"/>
          <w:szCs w:val="20"/>
          <w:color w:val="auto"/>
        </w:rPr>
      </w:pPr>
      <w:r>
        <w:rPr>
          <w:rFonts w:ascii="Arial" w:cs="Arial" w:eastAsia="Arial" w:hAnsi="Arial"/>
          <w:sz w:val="18"/>
          <w:szCs w:val="18"/>
          <w:color w:val="auto"/>
        </w:rPr>
        <w:t>***Previously filed in connection with Annual Report for the fiscal year ended December 31, 2012 on Form 10-K (File No. 814-00852), filed on March 14, 2013.</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50" w:right="1440" w:bottom="1440" w:gutter="0" w:footer="0" w:header="0"/>
        </w:sectPr>
      </w:pPr>
    </w:p>
    <w:bookmarkStart w:id="42" w:name="page43"/>
    <w:bookmarkEnd w:id="42"/>
    <w:p>
      <w:pPr>
        <w:jc w:val="center"/>
        <w:ind w:right="8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40" w:right="820"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740" w:type="dxa"/>
            <w:vAlign w:val="bottom"/>
            <w:gridSpan w:val="3"/>
          </w:tcPr>
          <w:p>
            <w:pPr>
              <w:ind w:left="1240"/>
              <w:spacing w:after="0"/>
              <w:rPr>
                <w:sz w:val="20"/>
                <w:szCs w:val="20"/>
                <w:color w:val="auto"/>
              </w:rPr>
            </w:pPr>
            <w:r>
              <w:rPr>
                <w:rFonts w:ascii="Arial" w:cs="Arial" w:eastAsia="Arial" w:hAnsi="Arial"/>
                <w:sz w:val="18"/>
                <w:szCs w:val="18"/>
                <w:b w:val="1"/>
                <w:bCs w:val="1"/>
                <w:color w:val="auto"/>
              </w:rPr>
              <w:t>GSV CAPITAL CORP.</w:t>
            </w:r>
          </w:p>
        </w:tc>
      </w:tr>
      <w:tr>
        <w:trPr>
          <w:trHeight w:val="234"/>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Date: May 9, 2013</w:t>
            </w:r>
          </w:p>
        </w:tc>
        <w:tc>
          <w:tcPr>
            <w:tcW w:w="7740" w:type="dxa"/>
            <w:vAlign w:val="bottom"/>
            <w:gridSpan w:val="3"/>
          </w:tcPr>
          <w:p>
            <w:pPr>
              <w:ind w:left="240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Michael T. Moe</w:t>
            </w:r>
          </w:p>
        </w:tc>
      </w:tr>
      <w:tr>
        <w:trPr>
          <w:trHeight w:val="195"/>
        </w:trPr>
        <w:tc>
          <w:tcPr>
            <w:tcW w:w="7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T. Moe</w:t>
            </w:r>
          </w:p>
        </w:tc>
        <w:tc>
          <w:tcPr>
            <w:tcW w:w="218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Chief Executive Officer, President</w:t>
            </w:r>
          </w:p>
        </w:tc>
      </w:tr>
      <w:tr>
        <w:trPr>
          <w:trHeight w:val="216"/>
        </w:trPr>
        <w:tc>
          <w:tcPr>
            <w:tcW w:w="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and Chairman of the Board of</w:t>
            </w:r>
          </w:p>
        </w:tc>
      </w:tr>
      <w:tr>
        <w:trPr>
          <w:trHeight w:val="216"/>
        </w:trPr>
        <w:tc>
          <w:tcPr>
            <w:tcW w:w="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Directors</w:t>
            </w:r>
          </w:p>
        </w:tc>
      </w:tr>
      <w:tr>
        <w:trPr>
          <w:trHeight w:val="212"/>
        </w:trPr>
        <w:tc>
          <w:tcPr>
            <w:tcW w:w="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234"/>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Date: May 9, 2013</w:t>
            </w:r>
          </w:p>
        </w:tc>
        <w:tc>
          <w:tcPr>
            <w:tcW w:w="7740" w:type="dxa"/>
            <w:vAlign w:val="bottom"/>
            <w:gridSpan w:val="3"/>
          </w:tcPr>
          <w:p>
            <w:pPr>
              <w:ind w:left="240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Stephen D. Bard</w:t>
            </w:r>
          </w:p>
        </w:tc>
      </w:tr>
      <w:tr>
        <w:trPr>
          <w:trHeight w:val="195"/>
        </w:trPr>
        <w:tc>
          <w:tcPr>
            <w:tcW w:w="7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Stephen D. Bard</w:t>
            </w:r>
          </w:p>
        </w:tc>
        <w:tc>
          <w:tcPr>
            <w:tcW w:w="218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Chief Financial Officer, Treasurer</w:t>
            </w:r>
          </w:p>
        </w:tc>
      </w:tr>
      <w:tr>
        <w:trPr>
          <w:trHeight w:val="216"/>
        </w:trPr>
        <w:tc>
          <w:tcPr>
            <w:tcW w:w="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and Secretary</w:t>
            </w:r>
          </w:p>
        </w:tc>
      </w:tr>
      <w:tr>
        <w:trPr>
          <w:trHeight w:val="216"/>
        </w:trPr>
        <w:tc>
          <w:tcPr>
            <w:tcW w:w="7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(Principal Financial and</w:t>
            </w:r>
          </w:p>
        </w:tc>
      </w:tr>
      <w:tr>
        <w:trPr>
          <w:trHeight w:val="230"/>
        </w:trPr>
        <w:tc>
          <w:tcPr>
            <w:tcW w:w="7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Accounting Officer)</w:t>
            </w:r>
          </w:p>
        </w:tc>
      </w:tr>
      <w:tr>
        <w:trPr>
          <w:trHeight w:val="770"/>
        </w:trPr>
        <w:tc>
          <w:tcPr>
            <w:tcW w:w="7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760" w:type="dxa"/>
            <w:vAlign w:val="bottom"/>
          </w:tcPr>
          <w:p>
            <w:pPr>
              <w:jc w:val="right"/>
              <w:ind w:right="570"/>
              <w:spacing w:after="0"/>
              <w:rPr>
                <w:sz w:val="20"/>
                <w:szCs w:val="20"/>
                <w:color w:val="auto"/>
              </w:rPr>
            </w:pPr>
            <w:r>
              <w:rPr>
                <w:rFonts w:ascii="Arial" w:cs="Arial" w:eastAsia="Arial" w:hAnsi="Arial"/>
                <w:sz w:val="18"/>
                <w:szCs w:val="18"/>
                <w:color w:val="auto"/>
              </w:rPr>
              <w:t>42</w:t>
            </w:r>
          </w:p>
        </w:tc>
        <w:tc>
          <w:tcPr>
            <w:tcW w:w="28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780" w:type="dxa"/>
            <w:vAlign w:val="bottom"/>
          </w:tcPr>
          <w:p>
            <w:pPr>
              <w:spacing w:after="0"/>
              <w:rPr>
                <w:sz w:val="14"/>
                <w:szCs w:val="14"/>
                <w:color w:val="auto"/>
              </w:rPr>
            </w:pPr>
          </w:p>
        </w:tc>
        <w:tc>
          <w:tcPr>
            <w:tcW w:w="1860" w:type="dxa"/>
            <w:vAlign w:val="bottom"/>
            <w:tcBorders>
              <w:bottom w:val="single" w:sz="8" w:color="9A9A9A"/>
            </w:tcBorders>
          </w:tcPr>
          <w:p>
            <w:pPr>
              <w:spacing w:after="0"/>
              <w:rPr>
                <w:sz w:val="14"/>
                <w:szCs w:val="14"/>
                <w:color w:val="auto"/>
              </w:rPr>
            </w:pPr>
          </w:p>
        </w:tc>
        <w:tc>
          <w:tcPr>
            <w:tcW w:w="2760" w:type="dxa"/>
            <w:vAlign w:val="bottom"/>
            <w:tcBorders>
              <w:bottom w:val="single" w:sz="8" w:color="9A9A9A"/>
            </w:tcBorders>
          </w:tcPr>
          <w:p>
            <w:pPr>
              <w:spacing w:after="0"/>
              <w:rPr>
                <w:sz w:val="14"/>
                <w:szCs w:val="14"/>
                <w:color w:val="auto"/>
              </w:rPr>
            </w:pPr>
          </w:p>
        </w:tc>
        <w:tc>
          <w:tcPr>
            <w:tcW w:w="280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780" w:type="dxa"/>
            <w:vAlign w:val="bottom"/>
          </w:tcPr>
          <w:p>
            <w:pPr>
              <w:spacing w:after="0" w:line="20" w:lineRule="exact"/>
              <w:rPr>
                <w:sz w:val="1"/>
                <w:szCs w:val="1"/>
                <w:color w:val="auto"/>
              </w:rPr>
            </w:pPr>
          </w:p>
        </w:tc>
        <w:tc>
          <w:tcPr>
            <w:tcW w:w="1860" w:type="dxa"/>
            <w:vAlign w:val="bottom"/>
            <w:tcBorders>
              <w:bottom w:val="single" w:sz="8" w:color="EEEEEE"/>
            </w:tcBorders>
          </w:tcPr>
          <w:p>
            <w:pPr>
              <w:spacing w:after="0" w:line="20" w:lineRule="exact"/>
              <w:rPr>
                <w:sz w:val="1"/>
                <w:szCs w:val="1"/>
                <w:color w:val="auto"/>
              </w:rPr>
            </w:pPr>
          </w:p>
        </w:tc>
        <w:tc>
          <w:tcPr>
            <w:tcW w:w="2760" w:type="dxa"/>
            <w:vAlign w:val="bottom"/>
            <w:tcBorders>
              <w:bottom w:val="single" w:sz="8" w:color="EEEEEE"/>
            </w:tcBorders>
          </w:tcPr>
          <w:p>
            <w:pPr>
              <w:spacing w:after="0" w:line="20" w:lineRule="exact"/>
              <w:rPr>
                <w:sz w:val="1"/>
                <w:szCs w:val="1"/>
                <w:color w:val="auto"/>
              </w:rPr>
            </w:pPr>
          </w:p>
        </w:tc>
        <w:tc>
          <w:tcPr>
            <w:tcW w:w="280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6567170</wp:posOffset>
            </wp:positionH>
            <wp:positionV relativeFrom="paragraph">
              <wp:posOffset>-46355</wp:posOffset>
            </wp:positionV>
            <wp:extent cx="34290" cy="596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-46355</wp:posOffset>
            </wp:positionV>
            <wp:extent cx="34290" cy="596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-2366010</wp:posOffset>
            </wp:positionV>
            <wp:extent cx="519684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ectPr>
          <w:pgSz w:w="11900" w:h="16838" w:orient="portrait"/>
          <w:cols w:equalWidth="0" w:num="1">
            <w:col w:w="10380"/>
          </w:cols>
          <w:pgMar w:left="380" w:top="959" w:right="11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T. Moe, certify that:</w:t>
      </w:r>
    </w:p>
    <w:p>
      <w:pPr>
        <w:spacing w:after="0" w:line="225" w:lineRule="exact"/>
        <w:rPr>
          <w:sz w:val="20"/>
          <w:szCs w:val="20"/>
          <w:color w:val="auto"/>
        </w:rPr>
      </w:pPr>
    </w:p>
    <w:p>
      <w:pPr>
        <w:ind w:left="840" w:hanging="18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225" w:lineRule="exact"/>
        <w:rPr>
          <w:rFonts w:ascii="Arial" w:cs="Arial" w:eastAsia="Arial" w:hAnsi="Arial"/>
          <w:sz w:val="18"/>
          <w:szCs w:val="18"/>
          <w:color w:val="auto"/>
        </w:rPr>
      </w:pPr>
    </w:p>
    <w:p>
      <w:pPr>
        <w:ind w:firstLine="656"/>
        <w:spacing w:after="0" w:line="342" w:lineRule="auto"/>
        <w:tabs>
          <w:tab w:leader="none" w:pos="8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656"/>
        <w:spacing w:after="0" w:line="277" w:lineRule="auto"/>
        <w:tabs>
          <w:tab w:leader="none" w:pos="8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81" w:lineRule="exact"/>
        <w:rPr>
          <w:sz w:val="20"/>
          <w:szCs w:val="20"/>
          <w:color w:val="auto"/>
        </w:rPr>
      </w:pPr>
    </w:p>
    <w:p>
      <w:pPr>
        <w:jc w:val="both"/>
        <w:ind w:firstLine="656"/>
        <w:spacing w:after="0" w:line="264" w:lineRule="auto"/>
        <w:tabs>
          <w:tab w:leader="none" w:pos="9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38"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656"/>
        <w:spacing w:after="0" w:line="308" w:lineRule="auto"/>
        <w:tabs>
          <w:tab w:leader="none" w:pos="936" w:val="left"/>
        </w:tabs>
        <w:numPr>
          <w:ilvl w:val="0"/>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917"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656"/>
        <w:spacing w:after="0" w:line="308" w:lineRule="auto"/>
        <w:tabs>
          <w:tab w:leader="none" w:pos="828"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656"/>
        <w:spacing w:after="0" w:line="277" w:lineRule="auto"/>
        <w:tabs>
          <w:tab w:leader="none" w:pos="9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9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2013</w:t>
      </w:r>
    </w:p>
    <w:p>
      <w:pPr>
        <w:spacing w:after="0" w:line="225"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T. Moe</w:t>
      </w:r>
    </w:p>
    <w:p>
      <w:pPr>
        <w:spacing w:after="0" w:line="23" w:lineRule="exact"/>
        <w:rPr>
          <w:sz w:val="20"/>
          <w:szCs w:val="20"/>
          <w:color w:val="auto"/>
        </w:rPr>
      </w:pPr>
    </w:p>
    <w:p>
      <w:pPr>
        <w:jc w:val="center"/>
        <w:ind w:right="5120"/>
        <w:spacing w:after="0"/>
        <w:rPr>
          <w:sz w:val="20"/>
          <w:szCs w:val="20"/>
          <w:color w:val="auto"/>
        </w:rPr>
      </w:pPr>
      <w:r>
        <w:rPr>
          <w:rFonts w:ascii="Arial" w:cs="Arial" w:eastAsia="Arial" w:hAnsi="Arial"/>
          <w:sz w:val="18"/>
          <w:szCs w:val="18"/>
          <w:b w:val="1"/>
          <w:bCs w:val="1"/>
          <w:color w:val="auto"/>
        </w:rPr>
        <w:t>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right="512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D. Bard, certify that:</w:t>
      </w:r>
    </w:p>
    <w:p>
      <w:pPr>
        <w:spacing w:after="0" w:line="225" w:lineRule="exact"/>
        <w:rPr>
          <w:sz w:val="20"/>
          <w:szCs w:val="20"/>
          <w:color w:val="auto"/>
        </w:rPr>
      </w:pPr>
    </w:p>
    <w:p>
      <w:pPr>
        <w:ind w:left="680" w:hanging="186"/>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225" w:lineRule="exact"/>
        <w:rPr>
          <w:rFonts w:ascii="Arial" w:cs="Arial" w:eastAsia="Arial" w:hAnsi="Arial"/>
          <w:sz w:val="18"/>
          <w:szCs w:val="18"/>
          <w:color w:val="auto"/>
        </w:rPr>
      </w:pPr>
    </w:p>
    <w:p>
      <w:pPr>
        <w:ind w:firstLine="494"/>
        <w:spacing w:after="0" w:line="342" w:lineRule="auto"/>
        <w:tabs>
          <w:tab w:leader="none" w:pos="6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494"/>
        <w:spacing w:after="0" w:line="277" w:lineRule="auto"/>
        <w:tabs>
          <w:tab w:leader="none" w:pos="6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494"/>
        <w:spacing w:after="0" w:line="264" w:lineRule="auto"/>
        <w:tabs>
          <w:tab w:leader="none" w:pos="6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494"/>
        <w:spacing w:after="0" w:line="264" w:lineRule="auto"/>
        <w:tabs>
          <w:tab w:leader="none" w:pos="754"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494"/>
        <w:spacing w:after="0" w:line="264" w:lineRule="auto"/>
        <w:tabs>
          <w:tab w:leader="none" w:pos="784"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494"/>
        <w:spacing w:after="0" w:line="277" w:lineRule="auto"/>
        <w:tabs>
          <w:tab w:leader="none" w:pos="782"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sz w:val="20"/>
          <w:szCs w:val="20"/>
          <w:color w:val="auto"/>
        </w:rPr>
      </w:pPr>
    </w:p>
    <w:p>
      <w:pPr>
        <w:jc w:val="both"/>
        <w:ind w:firstLine="494"/>
        <w:spacing w:after="0" w:line="264" w:lineRule="auto"/>
        <w:tabs>
          <w:tab w:leader="none" w:pos="7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494"/>
        <w:spacing w:after="0" w:line="308" w:lineRule="auto"/>
        <w:tabs>
          <w:tab w:leader="none" w:pos="673"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494"/>
        <w:spacing w:after="0" w:line="277" w:lineRule="auto"/>
        <w:tabs>
          <w:tab w:leader="none" w:pos="7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494"/>
        <w:spacing w:after="0" w:line="277" w:lineRule="auto"/>
        <w:tabs>
          <w:tab w:leader="none" w:pos="7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May 9, 2013</w:t>
      </w:r>
    </w:p>
    <w:p>
      <w:pPr>
        <w:spacing w:after="0" w:line="225" w:lineRule="exact"/>
        <w:rPr>
          <w:sz w:val="20"/>
          <w:szCs w:val="20"/>
          <w:color w:val="auto"/>
        </w:rPr>
      </w:pPr>
    </w:p>
    <w:p>
      <w:pPr>
        <w:spacing w:after="0"/>
        <w:tabs>
          <w:tab w:leader="none" w:pos="2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D. Bard</w:t>
      </w:r>
    </w:p>
    <w:p>
      <w:pPr>
        <w:spacing w:after="0" w:line="23" w:lineRule="exact"/>
        <w:rPr>
          <w:sz w:val="20"/>
          <w:szCs w:val="20"/>
          <w:color w:val="auto"/>
        </w:rPr>
      </w:pPr>
    </w:p>
    <w:p>
      <w:pPr>
        <w:jc w:val="center"/>
        <w:ind w:right="5120"/>
        <w:spacing w:after="0"/>
        <w:rPr>
          <w:sz w:val="20"/>
          <w:szCs w:val="20"/>
          <w:color w:val="auto"/>
        </w:rPr>
      </w:pPr>
      <w:r>
        <w:rPr>
          <w:rFonts w:ascii="Arial" w:cs="Arial" w:eastAsia="Arial" w:hAnsi="Arial"/>
          <w:sz w:val="18"/>
          <w:szCs w:val="18"/>
          <w:b w:val="1"/>
          <w:bCs w:val="1"/>
          <w:color w:val="auto"/>
        </w:rPr>
        <w:t>Stephen D. 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right="51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connection with the Quarterly Report on Form 10-Q for the period ended March 31, 2013 (the “Report”) of GSV Capital Corp. (the “Registrant”), as filed with the Securities and Exchange Commission on the date hereof, I, Michael T. Moe, the Chief Executive Officer of the Registrant, hereby certify, to the best of my knowledge, that:</w:t>
      </w:r>
    </w:p>
    <w:p>
      <w:pPr>
        <w:spacing w:after="0" w:line="181" w:lineRule="exact"/>
        <w:rPr>
          <w:sz w:val="20"/>
          <w:szCs w:val="20"/>
          <w:color w:val="auto"/>
        </w:rPr>
      </w:pP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740" w:hanging="246"/>
        <w:spacing w:after="0"/>
        <w:tabs>
          <w:tab w:leader="none" w:pos="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vMerge w:val="restart"/>
          </w:tcPr>
          <w:p>
            <w:pPr>
              <w:ind w:left="5720"/>
              <w:spacing w:after="0"/>
              <w:rPr>
                <w:sz w:val="20"/>
                <w:szCs w:val="20"/>
                <w:color w:val="auto"/>
              </w:rPr>
            </w:pPr>
            <w:r>
              <w:rPr>
                <w:rFonts w:ascii="Arial" w:cs="Arial" w:eastAsia="Arial" w:hAnsi="Arial"/>
                <w:sz w:val="18"/>
                <w:szCs w:val="18"/>
                <w:b w:val="1"/>
                <w:bCs w:val="1"/>
                <w:color w:val="auto"/>
              </w:rPr>
              <w:t>Name:</w:t>
            </w: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Michael T. Moe</w:t>
            </w:r>
          </w:p>
        </w:tc>
        <w:tc>
          <w:tcPr>
            <w:tcW w:w="0" w:type="dxa"/>
            <w:vAlign w:val="bottom"/>
          </w:tcPr>
          <w:p>
            <w:pPr>
              <w:spacing w:after="0"/>
              <w:rPr>
                <w:sz w:val="1"/>
                <w:szCs w:val="1"/>
                <w:color w:val="auto"/>
              </w:rPr>
            </w:pPr>
          </w:p>
        </w:tc>
      </w:tr>
      <w:tr>
        <w:trPr>
          <w:trHeight w:val="191"/>
        </w:trPr>
        <w:tc>
          <w:tcPr>
            <w:tcW w:w="6520" w:type="dxa"/>
            <w:vAlign w:val="bottom"/>
            <w:vMerge w:val="continue"/>
          </w:tcPr>
          <w:p>
            <w:pPr>
              <w:spacing w:after="0"/>
              <w:rPr>
                <w:sz w:val="16"/>
                <w:szCs w:val="16"/>
                <w:color w:val="auto"/>
              </w:rPr>
            </w:pPr>
          </w:p>
        </w:tc>
        <w:tc>
          <w:tcPr>
            <w:tcW w:w="49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Michael T. Moe</w:t>
            </w:r>
          </w:p>
        </w:tc>
        <w:tc>
          <w:tcPr>
            <w:tcW w:w="0" w:type="dxa"/>
            <w:vAlign w:val="bottom"/>
          </w:tcPr>
          <w:p>
            <w:pPr>
              <w:spacing w:after="0"/>
              <w:rPr>
                <w:sz w:val="1"/>
                <w:szCs w:val="1"/>
                <w:color w:val="auto"/>
              </w:rPr>
            </w:pPr>
          </w:p>
        </w:tc>
      </w:tr>
      <w:tr>
        <w:trPr>
          <w:trHeight w:val="234"/>
        </w:trPr>
        <w:tc>
          <w:tcPr>
            <w:tcW w:w="6520" w:type="dxa"/>
            <w:vAlign w:val="bottom"/>
          </w:tcPr>
          <w:p>
            <w:pPr>
              <w:ind w:left="5720"/>
              <w:spacing w:after="0"/>
              <w:rPr>
                <w:sz w:val="20"/>
                <w:szCs w:val="20"/>
                <w:color w:val="auto"/>
              </w:rPr>
            </w:pPr>
            <w:r>
              <w:rPr>
                <w:rFonts w:ascii="Arial" w:cs="Arial" w:eastAsia="Arial" w:hAnsi="Arial"/>
                <w:sz w:val="18"/>
                <w:szCs w:val="18"/>
                <w:b w:val="1"/>
                <w:bCs w:val="1"/>
                <w:color w:val="auto"/>
              </w:rPr>
              <w:t>Date:</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93"/>
              </w:rPr>
              <w:t>May 9, 2013</w:t>
            </w:r>
          </w:p>
        </w:tc>
        <w:tc>
          <w:tcPr>
            <w:tcW w:w="0" w:type="dxa"/>
            <w:vAlign w:val="bottom"/>
          </w:tcPr>
          <w:p>
            <w:pPr>
              <w:spacing w:after="0"/>
              <w:rPr>
                <w:sz w:val="1"/>
                <w:szCs w:val="1"/>
                <w:color w:val="auto"/>
              </w:rPr>
            </w:pPr>
          </w:p>
        </w:tc>
      </w:tr>
      <w:tr>
        <w:trPr>
          <w:trHeight w:val="864"/>
        </w:trPr>
        <w:tc>
          <w:tcPr>
            <w:tcW w:w="65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connection with the Quarterly Report on Form 10-Q for the period ended March 31, 2013 (the “Report”) of GSV Capital Corp. (the “Registrant”), as filed with the Securities and Exchange Commission on the date hereof, I, Stephen D. Bard, the Chief Financial Officer of the Registrant, hereby certify, to the best of my knowledge, that:</w:t>
      </w:r>
    </w:p>
    <w:p>
      <w:pPr>
        <w:spacing w:after="0" w:line="181" w:lineRule="exact"/>
        <w:rPr>
          <w:sz w:val="20"/>
          <w:szCs w:val="20"/>
          <w:color w:val="auto"/>
        </w:rPr>
      </w:pPr>
    </w:p>
    <w:p>
      <w:pPr>
        <w:ind w:left="740" w:hanging="246"/>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740" w:hanging="246"/>
        <w:spacing w:after="0"/>
        <w:tabs>
          <w:tab w:leader="none" w:pos="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vMerge w:val="restart"/>
          </w:tcPr>
          <w:p>
            <w:pPr>
              <w:ind w:left="5720"/>
              <w:spacing w:after="0"/>
              <w:rPr>
                <w:sz w:val="20"/>
                <w:szCs w:val="20"/>
                <w:color w:val="auto"/>
              </w:rPr>
            </w:pPr>
            <w:r>
              <w:rPr>
                <w:rFonts w:ascii="Arial" w:cs="Arial" w:eastAsia="Arial" w:hAnsi="Arial"/>
                <w:sz w:val="18"/>
                <w:szCs w:val="18"/>
                <w:b w:val="1"/>
                <w:bCs w:val="1"/>
                <w:color w:val="auto"/>
              </w:rPr>
              <w:t>Name:</w:t>
            </w: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Stephen D. Bard</w:t>
            </w:r>
          </w:p>
        </w:tc>
        <w:tc>
          <w:tcPr>
            <w:tcW w:w="0" w:type="dxa"/>
            <w:vAlign w:val="bottom"/>
          </w:tcPr>
          <w:p>
            <w:pPr>
              <w:spacing w:after="0"/>
              <w:rPr>
                <w:sz w:val="1"/>
                <w:szCs w:val="1"/>
                <w:color w:val="auto"/>
              </w:rPr>
            </w:pPr>
          </w:p>
        </w:tc>
      </w:tr>
      <w:tr>
        <w:trPr>
          <w:trHeight w:val="191"/>
        </w:trPr>
        <w:tc>
          <w:tcPr>
            <w:tcW w:w="6520" w:type="dxa"/>
            <w:vAlign w:val="bottom"/>
            <w:vMerge w:val="continue"/>
          </w:tcPr>
          <w:p>
            <w:pPr>
              <w:spacing w:after="0"/>
              <w:rPr>
                <w:sz w:val="16"/>
                <w:szCs w:val="16"/>
                <w:color w:val="auto"/>
              </w:rPr>
            </w:pPr>
          </w:p>
        </w:tc>
        <w:tc>
          <w:tcPr>
            <w:tcW w:w="49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Stephen D. Bard</w:t>
            </w:r>
          </w:p>
        </w:tc>
        <w:tc>
          <w:tcPr>
            <w:tcW w:w="0" w:type="dxa"/>
            <w:vAlign w:val="bottom"/>
          </w:tcPr>
          <w:p>
            <w:pPr>
              <w:spacing w:after="0"/>
              <w:rPr>
                <w:sz w:val="1"/>
                <w:szCs w:val="1"/>
                <w:color w:val="auto"/>
              </w:rPr>
            </w:pPr>
          </w:p>
        </w:tc>
      </w:tr>
      <w:tr>
        <w:trPr>
          <w:trHeight w:val="234"/>
        </w:trPr>
        <w:tc>
          <w:tcPr>
            <w:tcW w:w="6520" w:type="dxa"/>
            <w:vAlign w:val="bottom"/>
          </w:tcPr>
          <w:p>
            <w:pPr>
              <w:ind w:left="5720"/>
              <w:spacing w:after="0"/>
              <w:rPr>
                <w:sz w:val="20"/>
                <w:szCs w:val="20"/>
                <w:color w:val="auto"/>
              </w:rPr>
            </w:pPr>
            <w:r>
              <w:rPr>
                <w:rFonts w:ascii="Arial" w:cs="Arial" w:eastAsia="Arial" w:hAnsi="Arial"/>
                <w:sz w:val="18"/>
                <w:szCs w:val="18"/>
                <w:b w:val="1"/>
                <w:bCs w:val="1"/>
                <w:color w:val="auto"/>
              </w:rPr>
              <w:t>Date:</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93"/>
              </w:rPr>
              <w:t>May 9, 2013</w:t>
            </w:r>
          </w:p>
        </w:tc>
        <w:tc>
          <w:tcPr>
            <w:tcW w:w="0" w:type="dxa"/>
            <w:vAlign w:val="bottom"/>
          </w:tcPr>
          <w:p>
            <w:pPr>
              <w:spacing w:after="0"/>
              <w:rPr>
                <w:sz w:val="1"/>
                <w:szCs w:val="1"/>
                <w:color w:val="auto"/>
              </w:rPr>
            </w:pPr>
          </w:p>
        </w:tc>
      </w:tr>
      <w:tr>
        <w:trPr>
          <w:trHeight w:val="648"/>
        </w:trPr>
        <w:tc>
          <w:tcPr>
            <w:tcW w:w="65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o"/>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9"/>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lowerLetter"/>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1."/>
      <w:numFmt w:val="decimal"/>
      <w:start w:val="5"/>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lowerLetter"/>
      <w:start w:val="3"/>
    </w:lvl>
  </w:abstractNum>
  <w:abstractNum w:abstractNumId="24">
    <w:nsid w:val="189A769B"/>
    <w:multiLevelType w:val="hybridMultilevel"/>
    <w:lvl w:ilvl="0">
      <w:lvlJc w:val="left"/>
      <w:lvlText w:val="%1."/>
      <w:numFmt w:val="decimal"/>
      <w:start w:val="5"/>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2019-12-07T23:32:28Z</dcterms:created>
  <dcterms:modified xsi:type="dcterms:W3CDTF">2019-12-07T23:32:28Z</dcterms:modified>
</cp:coreProperties>
</file>