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360680</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40" w:hanging="685"/>
        <w:spacing w:after="0"/>
        <w:tabs>
          <w:tab w:leader="none" w:pos="11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w:t>
      </w:r>
    </w:p>
    <w:p>
      <w:pPr>
        <w:spacing w:after="0" w:line="9"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51" w:lineRule="exact"/>
        <w:rPr>
          <w:sz w:val="24"/>
          <w:szCs w:val="24"/>
          <w:color w:val="auto"/>
        </w:rPr>
      </w:pPr>
    </w:p>
    <w:p>
      <w:pPr>
        <w:ind w:left="1140" w:hanging="685"/>
        <w:spacing w:after="0"/>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8500" w:type="dxa"/>
            <w:vAlign w:val="bottom"/>
            <w:gridSpan w:val="5"/>
          </w:tcPr>
          <w:p>
            <w:pPr>
              <w:jc w:val="center"/>
              <w:ind w:left="992"/>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8500" w:type="dxa"/>
            <w:vAlign w:val="bottom"/>
            <w:gridSpan w:val="5"/>
          </w:tcPr>
          <w:p>
            <w:pPr>
              <w:jc w:val="center"/>
              <w:ind w:left="107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03"/>
        </w:trPr>
        <w:tc>
          <w:tcPr>
            <w:tcW w:w="35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spacing w:after="0"/>
              <w:rPr>
                <w:sz w:val="24"/>
                <w:szCs w:val="24"/>
                <w:color w:val="auto"/>
              </w:rPr>
            </w:pPr>
          </w:p>
        </w:tc>
        <w:tc>
          <w:tcPr>
            <w:tcW w:w="2500" w:type="dxa"/>
            <w:vAlign w:val="bottom"/>
          </w:tcPr>
          <w:p>
            <w:pPr>
              <w:spacing w:after="0"/>
              <w:rPr>
                <w:sz w:val="24"/>
                <w:szCs w:val="24"/>
                <w:color w:val="auto"/>
              </w:rPr>
            </w:pPr>
          </w:p>
        </w:tc>
      </w:tr>
      <w:tr>
        <w:trPr>
          <w:trHeight w:val="481"/>
        </w:trPr>
        <w:tc>
          <w:tcPr>
            <w:tcW w:w="4160" w:type="dxa"/>
            <w:vAlign w:val="bottom"/>
            <w:gridSpan w:val="2"/>
          </w:tcPr>
          <w:p>
            <w:pPr>
              <w:jc w:val="center"/>
              <w:ind w:left="652"/>
              <w:spacing w:after="0"/>
              <w:rPr>
                <w:sz w:val="20"/>
                <w:szCs w:val="20"/>
                <w:color w:val="auto"/>
              </w:rPr>
            </w:pPr>
            <w:r>
              <w:rPr>
                <w:rFonts w:ascii="Arial" w:cs="Arial" w:eastAsia="Arial" w:hAnsi="Arial"/>
                <w:sz w:val="18"/>
                <w:szCs w:val="18"/>
                <w:b w:val="1"/>
                <w:bCs w:val="1"/>
                <w:color w:val="auto"/>
                <w:w w:val="98"/>
              </w:rPr>
              <w:t>Maryland</w:t>
            </w:r>
          </w:p>
        </w:tc>
        <w:tc>
          <w:tcPr>
            <w:tcW w:w="4340" w:type="dxa"/>
            <w:vAlign w:val="bottom"/>
            <w:gridSpan w:val="3"/>
          </w:tcPr>
          <w:p>
            <w:pPr>
              <w:jc w:val="right"/>
              <w:ind w:right="64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4160" w:type="dxa"/>
            <w:vAlign w:val="bottom"/>
            <w:gridSpan w:val="2"/>
          </w:tcPr>
          <w:p>
            <w:pPr>
              <w:jc w:val="center"/>
              <w:ind w:left="632"/>
              <w:spacing w:after="0"/>
              <w:rPr>
                <w:sz w:val="20"/>
                <w:szCs w:val="20"/>
                <w:color w:val="auto"/>
              </w:rPr>
            </w:pPr>
            <w:r>
              <w:rPr>
                <w:rFonts w:ascii="Arial" w:cs="Arial" w:eastAsia="Arial" w:hAnsi="Arial"/>
                <w:sz w:val="14"/>
                <w:szCs w:val="14"/>
                <w:color w:val="auto"/>
                <w:w w:val="95"/>
              </w:rPr>
              <w:t>(State of incorporation)</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500" w:type="dxa"/>
            <w:vAlign w:val="bottom"/>
          </w:tcPr>
          <w:p>
            <w:pPr>
              <w:jc w:val="center"/>
              <w:ind w:left="128"/>
              <w:spacing w:after="0"/>
              <w:rPr>
                <w:sz w:val="20"/>
                <w:szCs w:val="20"/>
                <w:color w:val="auto"/>
              </w:rPr>
            </w:pPr>
            <w:r>
              <w:rPr>
                <w:rFonts w:ascii="Arial" w:cs="Arial" w:eastAsia="Arial" w:hAnsi="Arial"/>
                <w:sz w:val="14"/>
                <w:szCs w:val="14"/>
                <w:color w:val="auto"/>
                <w:w w:val="97"/>
              </w:rPr>
              <w:t>(I.R.S. Employer Identification No.)</w:t>
            </w:r>
          </w:p>
        </w:tc>
      </w:tr>
      <w:tr>
        <w:trPr>
          <w:trHeight w:val="277"/>
        </w:trPr>
        <w:tc>
          <w:tcPr>
            <w:tcW w:w="4160" w:type="dxa"/>
            <w:vAlign w:val="bottom"/>
            <w:gridSpan w:val="2"/>
          </w:tcPr>
          <w:p>
            <w:pPr>
              <w:jc w:val="center"/>
              <w:ind w:left="652"/>
              <w:spacing w:after="0"/>
              <w:rPr>
                <w:sz w:val="20"/>
                <w:szCs w:val="20"/>
                <w:color w:val="auto"/>
              </w:rPr>
            </w:pPr>
            <w:r>
              <w:rPr>
                <w:rFonts w:ascii="Arial" w:cs="Arial" w:eastAsia="Arial" w:hAnsi="Arial"/>
                <w:sz w:val="18"/>
                <w:szCs w:val="18"/>
                <w:b w:val="1"/>
                <w:bCs w:val="1"/>
                <w:color w:val="auto"/>
                <w:w w:val="89"/>
              </w:rPr>
              <w:t>2925 Woodside Road</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4160" w:type="dxa"/>
            <w:vAlign w:val="bottom"/>
            <w:gridSpan w:val="2"/>
          </w:tcPr>
          <w:p>
            <w:pPr>
              <w:jc w:val="center"/>
              <w:ind w:left="652"/>
              <w:spacing w:after="0"/>
              <w:rPr>
                <w:sz w:val="20"/>
                <w:szCs w:val="20"/>
                <w:color w:val="auto"/>
              </w:rPr>
            </w:pPr>
            <w:r>
              <w:rPr>
                <w:rFonts w:ascii="Arial" w:cs="Arial" w:eastAsia="Arial" w:hAnsi="Arial"/>
                <w:sz w:val="18"/>
                <w:szCs w:val="18"/>
                <w:b w:val="1"/>
                <w:bCs w:val="1"/>
                <w:color w:val="auto"/>
                <w:w w:val="90"/>
              </w:rPr>
              <w:t>Woodside, CA</w:t>
            </w:r>
          </w:p>
        </w:tc>
        <w:tc>
          <w:tcPr>
            <w:tcW w:w="4340" w:type="dxa"/>
            <w:vAlign w:val="bottom"/>
            <w:gridSpan w:val="3"/>
          </w:tcPr>
          <w:p>
            <w:pPr>
              <w:jc w:val="right"/>
              <w:ind w:right="848"/>
              <w:spacing w:after="0"/>
              <w:rPr>
                <w:sz w:val="20"/>
                <w:szCs w:val="20"/>
                <w:color w:val="auto"/>
              </w:rPr>
            </w:pPr>
            <w:r>
              <w:rPr>
                <w:rFonts w:ascii="Arial" w:cs="Arial" w:eastAsia="Arial" w:hAnsi="Arial"/>
                <w:sz w:val="18"/>
                <w:szCs w:val="18"/>
                <w:b w:val="1"/>
                <w:bCs w:val="1"/>
                <w:color w:val="auto"/>
              </w:rPr>
              <w:t>94062</w:t>
            </w:r>
          </w:p>
        </w:tc>
      </w:tr>
      <w:tr>
        <w:trPr>
          <w:trHeight w:val="182"/>
        </w:trPr>
        <w:tc>
          <w:tcPr>
            <w:tcW w:w="4160" w:type="dxa"/>
            <w:vAlign w:val="bottom"/>
            <w:gridSpan w:val="2"/>
          </w:tcPr>
          <w:p>
            <w:pPr>
              <w:jc w:val="center"/>
              <w:ind w:left="632"/>
              <w:spacing w:after="0"/>
              <w:rPr>
                <w:sz w:val="20"/>
                <w:szCs w:val="20"/>
                <w:color w:val="auto"/>
              </w:rPr>
            </w:pPr>
            <w:r>
              <w:rPr>
                <w:rFonts w:ascii="Arial" w:cs="Arial" w:eastAsia="Arial" w:hAnsi="Arial"/>
                <w:sz w:val="14"/>
                <w:szCs w:val="14"/>
                <w:color w:val="auto"/>
                <w:w w:val="95"/>
              </w:rPr>
              <w:t>(Address of principal executive offices)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500" w:type="dxa"/>
            <w:vAlign w:val="bottom"/>
          </w:tcPr>
          <w:p>
            <w:pPr>
              <w:jc w:val="center"/>
              <w:ind w:left="108"/>
              <w:spacing w:after="0"/>
              <w:rPr>
                <w:sz w:val="20"/>
                <w:szCs w:val="20"/>
                <w:color w:val="auto"/>
              </w:rPr>
            </w:pPr>
            <w:r>
              <w:rPr>
                <w:rFonts w:ascii="Arial" w:cs="Arial" w:eastAsia="Arial" w:hAnsi="Arial"/>
                <w:sz w:val="14"/>
                <w:szCs w:val="14"/>
                <w:color w:val="auto"/>
                <w:w w:val="96"/>
              </w:rPr>
              <w:t>(Zip Code)</w:t>
            </w:r>
          </w:p>
        </w:tc>
      </w:tr>
      <w:tr>
        <w:trPr>
          <w:trHeight w:val="417"/>
        </w:trPr>
        <w:tc>
          <w:tcPr>
            <w:tcW w:w="3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gridSpan w:val="2"/>
          </w:tcPr>
          <w:p>
            <w:pPr>
              <w:jc w:val="center"/>
              <w:ind w:right="479"/>
              <w:spacing w:after="0"/>
              <w:rPr>
                <w:sz w:val="20"/>
                <w:szCs w:val="20"/>
                <w:color w:val="auto"/>
              </w:rPr>
            </w:pPr>
            <w:r>
              <w:rPr>
                <w:rFonts w:ascii="Arial" w:cs="Arial" w:eastAsia="Arial" w:hAnsi="Arial"/>
                <w:sz w:val="18"/>
                <w:szCs w:val="18"/>
                <w:b w:val="1"/>
                <w:bCs w:val="1"/>
                <w:color w:val="auto"/>
                <w:w w:val="90"/>
              </w:rPr>
              <w:t>(650) 235-4769</w:t>
            </w:r>
          </w:p>
        </w:tc>
        <w:tc>
          <w:tcPr>
            <w:tcW w:w="2500" w:type="dxa"/>
            <w:vAlign w:val="bottom"/>
          </w:tcPr>
          <w:p>
            <w:pPr>
              <w:spacing w:after="0"/>
              <w:rPr>
                <w:sz w:val="24"/>
                <w:szCs w:val="24"/>
                <w:color w:val="auto"/>
              </w:rPr>
            </w:pPr>
          </w:p>
        </w:tc>
      </w:tr>
      <w:tr>
        <w:trPr>
          <w:trHeight w:val="285"/>
        </w:trPr>
        <w:tc>
          <w:tcPr>
            <w:tcW w:w="8500" w:type="dxa"/>
            <w:vAlign w:val="bottom"/>
            <w:gridSpan w:val="5"/>
          </w:tcPr>
          <w:p>
            <w:pPr>
              <w:jc w:val="center"/>
              <w:ind w:left="1052"/>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96"/>
        </w:trPr>
        <w:tc>
          <w:tcPr>
            <w:tcW w:w="3580" w:type="dxa"/>
            <w:vAlign w:val="bottom"/>
          </w:tcPr>
          <w:p>
            <w:pPr>
              <w:spacing w:after="0"/>
              <w:rPr>
                <w:sz w:val="24"/>
                <w:szCs w:val="24"/>
                <w:color w:val="auto"/>
              </w:rPr>
            </w:pPr>
          </w:p>
        </w:tc>
        <w:tc>
          <w:tcPr>
            <w:tcW w:w="2420" w:type="dxa"/>
            <w:vAlign w:val="bottom"/>
            <w:tcBorders>
              <w:bottom w:val="single" w:sz="8" w:color="auto"/>
            </w:tcBorders>
            <w:gridSpan w:val="3"/>
          </w:tcPr>
          <w:p>
            <w:pPr>
              <w:spacing w:after="0"/>
              <w:rPr>
                <w:sz w:val="24"/>
                <w:szCs w:val="24"/>
                <w:color w:val="auto"/>
              </w:rPr>
            </w:pPr>
          </w:p>
        </w:tc>
        <w:tc>
          <w:tcPr>
            <w:tcW w:w="2500" w:type="dxa"/>
            <w:vAlign w:val="bottom"/>
          </w:tcPr>
          <w:p>
            <w:pPr>
              <w:spacing w:after="0"/>
              <w:rPr>
                <w:sz w:val="24"/>
                <w:szCs w:val="24"/>
                <w:color w:val="auto"/>
              </w:rPr>
            </w:pPr>
          </w:p>
        </w:tc>
      </w:tr>
      <w:tr>
        <w:trPr>
          <w:trHeight w:val="615"/>
        </w:trPr>
        <w:tc>
          <w:tcPr>
            <w:tcW w:w="8500" w:type="dxa"/>
            <w:vAlign w:val="bottom"/>
            <w:gridSpan w:val="5"/>
          </w:tcPr>
          <w:p>
            <w:pPr>
              <w:jc w:val="center"/>
              <w:ind w:left="992"/>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365"/>
        </w:trPr>
        <w:tc>
          <w:tcPr>
            <w:tcW w:w="4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80" w:type="dxa"/>
            <w:vAlign w:val="bottom"/>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4"/>
        </w:trPr>
        <w:tc>
          <w:tcPr>
            <w:tcW w:w="4160" w:type="dxa"/>
            <w:vAlign w:val="bottom"/>
            <w:gridSpan w:val="2"/>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19"/>
                <w:szCs w:val="19"/>
                <w:color w:val="auto"/>
              </w:rPr>
            </w:pPr>
          </w:p>
        </w:tc>
        <w:tc>
          <w:tcPr>
            <w:tcW w:w="4160" w:type="dxa"/>
            <w:vAlign w:val="bottom"/>
            <w:gridSpan w:val="2"/>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-2143760</wp:posOffset>
            </wp:positionV>
            <wp:extent cx="6200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-1852295</wp:posOffset>
            </wp:positionV>
            <wp:extent cx="6200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-360045</wp:posOffset>
            </wp:positionV>
            <wp:extent cx="5368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16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w:t>
      </w:r>
    </w:p>
    <w:p>
      <w:pPr>
        <w:spacing w:after="0" w:line="46" w:lineRule="exact"/>
        <w:rPr>
          <w:sz w:val="24"/>
          <w:szCs w:val="24"/>
          <w:color w:val="auto"/>
        </w:rPr>
      </w:pPr>
    </w:p>
    <w:p>
      <w:pPr>
        <w:ind w:left="60"/>
        <w:spacing w:after="0"/>
        <w:rPr>
          <w:sz w:val="20"/>
          <w:szCs w:val="20"/>
          <w:color w:val="auto"/>
        </w:rPr>
      </w:pPr>
      <w:r>
        <w:rPr>
          <w:rFonts w:ascii="Arial" w:cs="Arial" w:eastAsia="Arial" w:hAnsi="Arial"/>
          <w:sz w:val="18"/>
          <w:szCs w:val="18"/>
          <w:color w:val="auto"/>
        </w:rPr>
        <w:t>x</w:t>
      </w:r>
    </w:p>
    <w:p>
      <w:pPr>
        <w:spacing w:after="0" w:line="103" w:lineRule="exact"/>
        <w:rPr>
          <w:sz w:val="24"/>
          <w:szCs w:val="24"/>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62" w:lineRule="exact"/>
        <w:rPr>
          <w:sz w:val="24"/>
          <w:szCs w:val="24"/>
          <w:color w:val="auto"/>
        </w:rPr>
      </w:pPr>
    </w:p>
    <w:p>
      <w:pPr>
        <w:ind w:left="60" w:right="699" w:firstLine="270"/>
        <w:spacing w:after="0" w:line="28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o</w:t>
      </w:r>
    </w:p>
    <w:p>
      <w:pPr>
        <w:spacing w:after="0" w:line="57" w:lineRule="exact"/>
        <w:rPr>
          <w:sz w:val="24"/>
          <w:szCs w:val="24"/>
          <w:color w:val="auto"/>
        </w:rPr>
      </w:pPr>
    </w:p>
    <w:p>
      <w:pPr>
        <w:jc w:val="both"/>
        <w:ind w:left="60" w:right="699" w:firstLine="270"/>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files).Yes o No o</w:t>
      </w:r>
    </w:p>
    <w:p>
      <w:pPr>
        <w:spacing w:after="0" w:line="57" w:lineRule="exact"/>
        <w:rPr>
          <w:sz w:val="24"/>
          <w:szCs w:val="24"/>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left="60" w:right="67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6200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ectPr>
          <w:pgSz w:w="11900" w:h="16838" w:orient="portrait"/>
          <w:cols w:equalWidth="0" w:num="1">
            <w:col w:w="10099"/>
          </w:cols>
          <w:pgMar w:left="360" w:top="1440" w:right="1440" w:bottom="0" w:gutter="0" w:footer="0" w:header="0"/>
        </w:sectPr>
      </w:pPr>
    </w:p>
    <w:bookmarkStart w:id="1" w:name="page2"/>
    <w:bookmarkEnd w:id="1"/>
    <w:p>
      <w:pPr>
        <w:spacing w:after="0"/>
        <w:tabs>
          <w:tab w:leader="none" w:pos="2560" w:val="left"/>
          <w:tab w:leader="none" w:pos="4880" w:val="left"/>
          <w:tab w:leader="none" w:pos="742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12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(Do not check if a smaller reporting company)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17"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aggregate market value of common stock beneficially owned by non-affiliates of the Registrant on June 30, 2015, based on the closing price on that date of $10.31 on the Nasdaq Capital Market, was $198,411,713. For the purposes of calculating this amount only, all directors and executive officers of the Registrant have been treated as affiliates. There were 22,181,003 shares of the Registrant’s common stock outstanding as of March 15, 2016.</w:t>
      </w:r>
    </w:p>
    <w:p>
      <w:pPr>
        <w:spacing w:after="0" w:line="18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7"/>
          <w:szCs w:val="17"/>
          <w:color w:val="auto"/>
        </w:rPr>
        <w:t>Portions of the registrant’s definitive proxy statement relating to the registrant’s 2016 annual meeting of stockholders (the “2016 Proxy Statement”), to be filed with the Securities and Exchange Commission (the “SEC”) within 120 days following the end of our fiscal year, are incorporated by reference in Part III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762000</wp:posOffset>
            </wp:positionV>
            <wp:extent cx="611441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36830</wp:posOffset>
            </wp:positionV>
            <wp:extent cx="6071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30"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00" w:type="dxa"/>
            <w:vAlign w:val="bottom"/>
            <w:gridSpan w:val="10"/>
          </w:tcPr>
          <w:p>
            <w:pPr>
              <w:jc w:val="center"/>
              <w:ind w:right="1860"/>
              <w:spacing w:after="0"/>
              <w:rPr>
                <w:sz w:val="20"/>
                <w:szCs w:val="20"/>
                <w:color w:val="auto"/>
              </w:rPr>
            </w:pPr>
            <w:r>
              <w:rPr>
                <w:rFonts w:ascii="Arial" w:cs="Arial" w:eastAsia="Arial" w:hAnsi="Arial"/>
                <w:sz w:val="18"/>
                <w:szCs w:val="18"/>
                <w:b w:val="1"/>
                <w:bCs w:val="1"/>
                <w:color w:val="auto"/>
                <w:w w:val="98"/>
              </w:rPr>
              <w:t>GSV CAPITAL CORP.</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gridSpan w:val="10"/>
          </w:tcPr>
          <w:p>
            <w:pPr>
              <w:jc w:val="center"/>
              <w:ind w:right="1860"/>
              <w:spacing w:after="0"/>
              <w:rPr>
                <w:sz w:val="20"/>
                <w:szCs w:val="20"/>
                <w:color w:val="auto"/>
              </w:rPr>
            </w:pPr>
            <w:r>
              <w:rPr>
                <w:rFonts w:ascii="Arial" w:cs="Arial" w:eastAsia="Arial" w:hAnsi="Arial"/>
                <w:sz w:val="18"/>
                <w:szCs w:val="18"/>
                <w:b w:val="1"/>
                <w:bCs w:val="1"/>
                <w:color w:val="auto"/>
                <w:w w:val="98"/>
              </w:rPr>
              <w:t>TABLE OF CONTENTS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210"/>
        </w:trPr>
        <w:tc>
          <w:tcPr>
            <w:tcW w:w="84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840" w:type="dxa"/>
            <w:vAlign w:val="bottom"/>
            <w:gridSpan w:val="23"/>
          </w:tcPr>
          <w:p>
            <w:pPr>
              <w:ind w:lef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6840" w:type="dxa"/>
            <w:vAlign w:val="bottom"/>
            <w:gridSpan w:val="23"/>
            <w:shd w:val="clear" w:color="auto" w:fill="CCEEFF"/>
          </w:tcPr>
          <w:p>
            <w:pPr>
              <w:ind w:left="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1B.</w:t>
              </w:r>
            </w:hyperlink>
          </w:p>
        </w:tc>
        <w:tc>
          <w:tcPr>
            <w:tcW w:w="6840" w:type="dxa"/>
            <w:vAlign w:val="bottom"/>
            <w:gridSpan w:val="23"/>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2.</w:t>
              </w:r>
            </w:hyperlink>
          </w:p>
        </w:tc>
        <w:tc>
          <w:tcPr>
            <w:tcW w:w="6840" w:type="dxa"/>
            <w:vAlign w:val="bottom"/>
            <w:gridSpan w:val="23"/>
            <w:shd w:val="clear" w:color="auto" w:fill="CCEEFF"/>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6840" w:type="dxa"/>
            <w:vAlign w:val="bottom"/>
            <w:gridSpan w:val="23"/>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6840" w:type="dxa"/>
            <w:vAlign w:val="bottom"/>
            <w:gridSpan w:val="23"/>
            <w:shd w:val="clear" w:color="auto" w:fill="CCEEFF"/>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40" w:type="dxa"/>
            <w:vAlign w:val="bottom"/>
            <w:gridSpan w:val="7"/>
          </w:tcPr>
          <w:p>
            <w:pPr>
              <w:ind w:left="20"/>
              <w:spacing w:after="0"/>
              <w:rPr>
                <w:sz w:val="20"/>
                <w:szCs w:val="20"/>
                <w:color w:val="auto"/>
              </w:rPr>
            </w:pPr>
            <w:r>
              <w:rPr>
                <w:rFonts w:ascii="Arial" w:cs="Arial" w:eastAsia="Arial" w:hAnsi="Arial"/>
                <w:sz w:val="18"/>
                <w:szCs w:val="18"/>
                <w:b w:val="1"/>
                <w:bCs w:val="1"/>
                <w:color w:val="auto"/>
              </w:rPr>
              <w:t>PART II.</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5.</w:t>
              </w:r>
            </w:hyperlink>
          </w:p>
        </w:tc>
        <w:tc>
          <w:tcPr>
            <w:tcW w:w="6840" w:type="dxa"/>
            <w:vAlign w:val="bottom"/>
            <w:gridSpan w:val="23"/>
            <w:shd w:val="clear" w:color="auto" w:fill="CCEEFF"/>
          </w:tcPr>
          <w:p>
            <w:pPr>
              <w:ind w:left="80"/>
              <w:spacing w:after="0" w:line="17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Market for Registrant’s Common Equity, Related Stockholder Matters and Issuer Purchases</w:t>
              </w:r>
            </w:hyperlink>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gridSpan w:val="4"/>
            <w:shd w:val="clear" w:color="auto" w:fill="CCEEFF"/>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40" w:type="dxa"/>
            <w:vAlign w:val="bottom"/>
            <w:gridSpan w:val="23"/>
            <w:shd w:val="clear" w:color="auto" w:fill="CCEEFF"/>
          </w:tcPr>
          <w:p>
            <w:pPr>
              <w:ind w:left="8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of Equity Securities</w:t>
              </w:r>
            </w:hyperlink>
          </w:p>
        </w:tc>
        <w:tc>
          <w:tcPr>
            <w:tcW w:w="540" w:type="dxa"/>
            <w:vAlign w:val="bottom"/>
            <w:gridSpan w:val="5"/>
            <w:shd w:val="clear" w:color="auto" w:fill="CCEEFF"/>
          </w:tcPr>
          <w:p>
            <w:pPr>
              <w:jc w:val="right"/>
              <w:ind w:right="8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6.</w:t>
              </w:r>
            </w:hyperlink>
          </w:p>
        </w:tc>
        <w:tc>
          <w:tcPr>
            <w:tcW w:w="6840" w:type="dxa"/>
            <w:vAlign w:val="bottom"/>
            <w:gridSpan w:val="23"/>
          </w:tcPr>
          <w:p>
            <w:pPr>
              <w:ind w:left="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Selected Financial Data</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7.</w:t>
              </w:r>
            </w:hyperlink>
          </w:p>
        </w:tc>
        <w:tc>
          <w:tcPr>
            <w:tcW w:w="6840" w:type="dxa"/>
            <w:vAlign w:val="bottom"/>
            <w:gridSpan w:val="23"/>
            <w:shd w:val="clear" w:color="auto" w:fill="CCEEFF"/>
          </w:tcPr>
          <w:p>
            <w:pPr>
              <w:ind w:left="80"/>
              <w:spacing w:after="0" w:line="17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7A.</w:t>
              </w:r>
            </w:hyperlink>
          </w:p>
        </w:tc>
        <w:tc>
          <w:tcPr>
            <w:tcW w:w="6840" w:type="dxa"/>
            <w:vAlign w:val="bottom"/>
            <w:gridSpan w:val="23"/>
          </w:tcPr>
          <w:p>
            <w:pPr>
              <w:ind w:lef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8.</w:t>
              </w:r>
            </w:hyperlink>
          </w:p>
        </w:tc>
        <w:tc>
          <w:tcPr>
            <w:tcW w:w="6840" w:type="dxa"/>
            <w:vAlign w:val="bottom"/>
            <w:gridSpan w:val="23"/>
            <w:shd w:val="clear" w:color="auto" w:fill="CCEEFF"/>
          </w:tcPr>
          <w:p>
            <w:pPr>
              <w:ind w:lef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Statements and Supplementary Data</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Item 9.</w:t>
              </w:r>
            </w:hyperlink>
          </w:p>
        </w:tc>
        <w:tc>
          <w:tcPr>
            <w:tcW w:w="6840" w:type="dxa"/>
            <w:vAlign w:val="bottom"/>
            <w:gridSpan w:val="23"/>
          </w:tcPr>
          <w:p>
            <w:pPr>
              <w:ind w:left="80"/>
              <w:spacing w:after="0" w:line="176" w:lineRule="exact"/>
              <w:rPr>
                <w:rFonts w:ascii="Arial" w:cs="Arial" w:eastAsia="Arial" w:hAnsi="Arial"/>
                <w:sz w:val="18"/>
                <w:szCs w:val="18"/>
                <w:color w:val="0000EE"/>
                <w:w w:val="94"/>
              </w:rPr>
            </w:pPr>
            <w:hyperlink w:anchor="page121">
              <w:r>
                <w:rPr>
                  <w:rFonts w:ascii="Arial" w:cs="Arial" w:eastAsia="Arial" w:hAnsi="Arial"/>
                  <w:sz w:val="18"/>
                  <w:szCs w:val="18"/>
                  <w:color w:val="0000EE"/>
                  <w:w w:val="94"/>
                </w:rPr>
                <w:t>Changes in and Disagreements with Accountants on Accounting and Financial Disclosure</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118</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Item 9A.</w:t>
              </w:r>
            </w:hyperlink>
          </w:p>
        </w:tc>
        <w:tc>
          <w:tcPr>
            <w:tcW w:w="6840" w:type="dxa"/>
            <w:vAlign w:val="bottom"/>
            <w:gridSpan w:val="23"/>
            <w:shd w:val="clear" w:color="auto" w:fill="CCEEFF"/>
          </w:tcPr>
          <w:p>
            <w:pPr>
              <w:ind w:left="80"/>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Controls and Procedures</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118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Item 9B.</w:t>
              </w:r>
            </w:hyperlink>
          </w:p>
        </w:tc>
        <w:tc>
          <w:tcPr>
            <w:tcW w:w="6840" w:type="dxa"/>
            <w:vAlign w:val="bottom"/>
            <w:gridSpan w:val="23"/>
          </w:tcPr>
          <w:p>
            <w:pPr>
              <w:ind w:left="80"/>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Other Information</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120</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4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PART III.</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10.</w:t>
              </w:r>
            </w:hyperlink>
          </w:p>
        </w:tc>
        <w:tc>
          <w:tcPr>
            <w:tcW w:w="6840" w:type="dxa"/>
            <w:vAlign w:val="bottom"/>
            <w:gridSpan w:val="23"/>
          </w:tcPr>
          <w:p>
            <w:pPr>
              <w:ind w:lef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Directors, Executive Officers and Corporate Governance</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11.</w:t>
              </w:r>
            </w:hyperlink>
          </w:p>
        </w:tc>
        <w:tc>
          <w:tcPr>
            <w:tcW w:w="6840" w:type="dxa"/>
            <w:vAlign w:val="bottom"/>
            <w:gridSpan w:val="23"/>
            <w:shd w:val="clear" w:color="auto" w:fill="CCEEFF"/>
          </w:tcPr>
          <w:p>
            <w:pPr>
              <w:ind w:lef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Executive Compensation</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12.</w:t>
              </w:r>
            </w:hyperlink>
          </w:p>
        </w:tc>
        <w:tc>
          <w:tcPr>
            <w:tcW w:w="6840" w:type="dxa"/>
            <w:vAlign w:val="bottom"/>
            <w:gridSpan w:val="23"/>
          </w:tcPr>
          <w:p>
            <w:pPr>
              <w:ind w:lef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Security Ownership of Certain Beneficial Owners and Management and Related</w:t>
              </w:r>
            </w:hyperlink>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40" w:type="dxa"/>
            <w:vAlign w:val="bottom"/>
            <w:gridSpan w:val="23"/>
          </w:tcPr>
          <w:p>
            <w:pPr>
              <w:ind w:left="8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Stockholder Matters</w:t>
              </w:r>
            </w:hyperlink>
          </w:p>
        </w:tc>
        <w:tc>
          <w:tcPr>
            <w:tcW w:w="540" w:type="dxa"/>
            <w:vAlign w:val="bottom"/>
            <w:gridSpan w:val="5"/>
          </w:tcPr>
          <w:p>
            <w:pPr>
              <w:jc w:val="right"/>
              <w:ind w:right="8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13.</w:t>
              </w:r>
            </w:hyperlink>
          </w:p>
        </w:tc>
        <w:tc>
          <w:tcPr>
            <w:tcW w:w="6840" w:type="dxa"/>
            <w:vAlign w:val="bottom"/>
            <w:gridSpan w:val="23"/>
            <w:shd w:val="clear" w:color="auto" w:fill="CCEEFF"/>
          </w:tcPr>
          <w:p>
            <w:pPr>
              <w:ind w:lef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Transactions, and Director Independence</w:t>
              </w:r>
            </w:hyperlink>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Item 14.</w:t>
              </w:r>
            </w:hyperlink>
          </w:p>
        </w:tc>
        <w:tc>
          <w:tcPr>
            <w:tcW w:w="6840" w:type="dxa"/>
            <w:vAlign w:val="bottom"/>
            <w:gridSpan w:val="23"/>
          </w:tcPr>
          <w:p>
            <w:pPr>
              <w:ind w:lef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Principal Accounting Fees and Services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4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PART IV.</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840" w:type="dxa"/>
            <w:vAlign w:val="bottom"/>
            <w:gridSpan w:val="7"/>
          </w:tcPr>
          <w:p>
            <w:pPr>
              <w:ind w:left="2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Item 15.</w:t>
              </w:r>
            </w:hyperlink>
          </w:p>
        </w:tc>
        <w:tc>
          <w:tcPr>
            <w:tcW w:w="6840" w:type="dxa"/>
            <w:vAlign w:val="bottom"/>
            <w:gridSpan w:val="23"/>
          </w:tcPr>
          <w:p>
            <w:pPr>
              <w:ind w:lef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Exhibits and Financial Statement Schedules</w:t>
              </w:r>
            </w:hyperlink>
          </w:p>
        </w:tc>
        <w:tc>
          <w:tcPr>
            <w:tcW w:w="540" w:type="dxa"/>
            <w:vAlign w:val="bottom"/>
            <w:gridSpan w:val="5"/>
          </w:tcPr>
          <w:p>
            <w:pPr>
              <w:jc w:val="right"/>
              <w:ind w:right="8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122</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40" w:type="dxa"/>
            <w:vAlign w:val="bottom"/>
            <w:gridSpan w:val="7"/>
            <w:shd w:val="clear" w:color="auto" w:fill="CCEEFF"/>
          </w:tcPr>
          <w:p>
            <w:pPr>
              <w:ind w:left="20"/>
              <w:spacing w:after="0" w:line="176" w:lineRule="exact"/>
              <w:rPr>
                <w:rFonts w:ascii="Arial" w:cs="Arial" w:eastAsia="Arial" w:hAnsi="Arial"/>
                <w:sz w:val="18"/>
                <w:szCs w:val="18"/>
                <w:color w:val="0000EE"/>
                <w:w w:val="92"/>
              </w:rPr>
            </w:pPr>
            <w:hyperlink w:anchor="page134">
              <w:r>
                <w:rPr>
                  <w:rFonts w:ascii="Arial" w:cs="Arial" w:eastAsia="Arial" w:hAnsi="Arial"/>
                  <w:sz w:val="18"/>
                  <w:szCs w:val="18"/>
                  <w:color w:val="0000EE"/>
                  <w:w w:val="92"/>
                </w:rPr>
                <w:t>Signatures</w:t>
              </w:r>
            </w:hyperlink>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5"/>
            <w:shd w:val="clear" w:color="auto" w:fill="CCEEFF"/>
          </w:tcPr>
          <w:p>
            <w:pPr>
              <w:jc w:val="right"/>
              <w:ind w:right="80"/>
              <w:spacing w:after="0" w:line="176" w:lineRule="exact"/>
              <w:rPr>
                <w:rFonts w:ascii="Arial" w:cs="Arial" w:eastAsia="Arial" w:hAnsi="Arial"/>
                <w:sz w:val="18"/>
                <w:szCs w:val="18"/>
                <w:color w:val="0000EE"/>
              </w:rPr>
            </w:pPr>
            <w:hyperlink w:anchor="page134">
              <w:r>
                <w:rPr>
                  <w:rFonts w:ascii="Arial" w:cs="Arial" w:eastAsia="Arial" w:hAnsi="Arial"/>
                  <w:sz w:val="18"/>
                  <w:szCs w:val="18"/>
                  <w:color w:val="0000EE"/>
                </w:rPr>
                <w:t>131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-3918585</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GSV Capital</w:t>
      </w:r>
    </w:p>
    <w:p>
      <w:pPr>
        <w:spacing w:after="0" w:line="121"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GSV Capital Corp. (the “Company,” “we,” “our” or “GSV Capital”) is an externally managed, non-diversified closed-end management investment company that has elected to be treated as a business development company under the Investment Company Act of 1940, as amended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acquire our investments through direct investments with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 Our investment activities are managed by our investment adviser, GSV Asset Management, LLC (“GSV Asset Management”), and our administrator, GSV Capital Service Company, LLC (“GSV Capital Service Company”), provides the administrative services necessary for us to operate.</w:t>
      </w:r>
    </w:p>
    <w:p>
      <w:pPr>
        <w:spacing w:after="0" w:line="70"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Our investment philosophy is based on a disciplined approach of identifying potentially high-growth emerging companies across several key industry themes which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Venture capital funds or other financial or strategic sponsors have invested in the vast majority of the companies that GSV Asset Management evaluates.</w:t>
      </w:r>
    </w:p>
    <w:p>
      <w:pPr>
        <w:spacing w:after="0" w:line="81"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and are generally convertible into common stock at our discretion.</w:t>
      </w:r>
    </w:p>
    <w:p>
      <w:pPr>
        <w:spacing w:after="0" w:line="46"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w:t>
      </w:r>
    </w:p>
    <w:p>
      <w:pPr>
        <w:spacing w:after="0" w:line="62"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Our common stock is traded on the Nasdaq Capital Market under the symbol “GSVC”. The net asset value per share of our common stock on December 31, 2015 was $12.08. On March 14, 2016, the last reported sale price of a share of our common stock on the Nasdaq Capital Market was $6.04.</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About GSV Asset Management</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Our investment activities are managed by GSV Asset Management, an investment adviser registered under the Investment Advisers Act of 1940, as amended (the “Advisers Act”). GSV Asset Management is led by Michael T. Moe, Chief Executive Officer and Chairman of our Board of Directors. Mr. Moe is assisted by William Tanona, our Chief Financial Officer, Treasurer and Corporate Secretary, and Mark Flynn, our President, to all of whom, along with Luben Pampoulov and Matthew Hanson, partners of GSV Asset Management, we refer collectively as GSV Asset Management’s senior investment professionals. Mr. Moe co-founded and previously served as Chairman and Chief Executive officer of ThinkEquity Partners, an asset management and investment banking firm focusing on venture capital, entrepreneurial and emerging private companies. Prior to founding ThinkEquity, Mr. Moe served as Head of Global Growth Research at Merrill Lynch and before that served as Head of Growth Research and Strategy at Montgomery Securities.</w:t>
      </w:r>
    </w:p>
    <w:p>
      <w:pPr>
        <w:spacing w:after="0" w:line="74" w:lineRule="exact"/>
        <w:rPr>
          <w:sz w:val="20"/>
          <w:szCs w:val="20"/>
          <w:color w:val="auto"/>
        </w:rPr>
      </w:pPr>
    </w:p>
    <w:p>
      <w:pPr>
        <w:ind w:left="40" w:right="759" w:firstLine="270"/>
        <w:spacing w:after="0" w:line="255" w:lineRule="auto"/>
        <w:rPr>
          <w:sz w:val="20"/>
          <w:szCs w:val="20"/>
          <w:color w:val="auto"/>
        </w:rPr>
      </w:pPr>
      <w:r>
        <w:rPr>
          <w:rFonts w:ascii="Arial" w:cs="Arial" w:eastAsia="Arial" w:hAnsi="Arial"/>
          <w:sz w:val="18"/>
          <w:szCs w:val="18"/>
          <w:color w:val="auto"/>
        </w:rPr>
        <w:t>We believe we benefit from the ability of GSV Asset Management’s senior investment professionals to identify attractive investment opportunities, conduct diligence on and value prospective investments, negotiate terms, and manage and monitor a portfolio of those investments. GSV Asset Management’s senior investment professionals have broad investment backgrounds, with prior experience at investment banks, commercial banks, unregistered investment funds and other financial services companies, and have collectively developed a broad network of contacts that provides us with an important source of investment opportunities.</w:t>
      </w:r>
    </w:p>
    <w:p>
      <w:pPr>
        <w:spacing w:after="0" w:line="200" w:lineRule="exact"/>
        <w:rPr>
          <w:sz w:val="20"/>
          <w:szCs w:val="20"/>
          <w:color w:val="auto"/>
        </w:rPr>
      </w:pPr>
    </w:p>
    <w:p>
      <w:pPr>
        <w:spacing w:after="0" w:line="33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39" w:firstLine="270"/>
        <w:spacing w:after="0" w:line="264" w:lineRule="auto"/>
        <w:rPr>
          <w:sz w:val="20"/>
          <w:szCs w:val="20"/>
          <w:color w:val="auto"/>
        </w:rPr>
      </w:pPr>
      <w:r>
        <w:rPr>
          <w:rFonts w:ascii="Arial" w:cs="Arial" w:eastAsia="Arial" w:hAnsi="Arial"/>
          <w:sz w:val="18"/>
          <w:szCs w:val="18"/>
          <w:color w:val="auto"/>
        </w:rPr>
        <w:t>We pay GSV Asset Management a fee for its services under the Amended and Restated Investment Advisory Agreement (the “Investment Advisory Agreement”) consisting of two components — a base management fee and an incentive fee. See “— Investment Advisory Agreement.”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Opportunity</w:t>
      </w:r>
    </w:p>
    <w:p>
      <w:pPr>
        <w:spacing w:after="0" w:line="121"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We believe that society is experiencing a convergence of numerous disruptive trends, producing new high-growth markets. For example, the growth of both social networking and connected mobile devices, such as smartphones and tablets, has opened up new channels for communication and real-time collaboration. The number of devices and people that regularly connect to the Internet has increased dramatically in recent years, generating significant demand for always accessible, personalized and localized content and real-time online interactivity. Similarly, the advent of education technology, and insights with respect to how, and what, people learn, are also disrupting the traditional educational sector. These factors are creating opportunities for new market participants and significant growth for established companies with leading positions capitalizing on these trends.</w:t>
      </w:r>
    </w:p>
    <w:p>
      <w:pPr>
        <w:spacing w:after="0" w:line="59"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At the same time, we believe that the initial public offering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(the “Sarbanes-Oxley Act”) and the Dodd-Frank Wall Street Reform and Consumer Protection Act (the “Dodd-Frank Act”) have made it costlier and less attractive to become a public company. As a result, there are significantly fewer IPOs today than there were during the 1990s, with prospective public companies taking longer to come to market.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Strategy</w:t>
      </w:r>
    </w:p>
    <w:p>
      <w:pPr>
        <w:spacing w:after="0" w:line="121" w:lineRule="exact"/>
        <w:rPr>
          <w:sz w:val="20"/>
          <w:szCs w:val="20"/>
          <w:color w:val="auto"/>
        </w:rPr>
      </w:pPr>
    </w:p>
    <w:p>
      <w:pPr>
        <w:ind w:left="40" w:right="859" w:firstLine="270"/>
        <w:spacing w:after="0" w:line="342" w:lineRule="auto"/>
        <w:rPr>
          <w:sz w:val="20"/>
          <w:szCs w:val="20"/>
          <w:color w:val="auto"/>
        </w:rPr>
      </w:pPr>
      <w:r>
        <w:rPr>
          <w:rFonts w:ascii="Arial" w:cs="Arial" w:eastAsia="Arial" w:hAnsi="Arial"/>
          <w:sz w:val="16"/>
          <w:szCs w:val="16"/>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16" w:lineRule="exact"/>
        <w:rPr>
          <w:sz w:val="20"/>
          <w:szCs w:val="20"/>
          <w:color w:val="auto"/>
        </w:rPr>
      </w:pPr>
    </w:p>
    <w:p>
      <w:pPr>
        <w:ind w:left="40" w:right="959" w:firstLine="270"/>
        <w:spacing w:after="0" w:line="308" w:lineRule="auto"/>
        <w:rPr>
          <w:sz w:val="20"/>
          <w:szCs w:val="20"/>
          <w:color w:val="auto"/>
        </w:rPr>
      </w:pPr>
      <w:r>
        <w:rPr>
          <w:rFonts w:ascii="Arial" w:cs="Arial" w:eastAsia="Arial" w:hAnsi="Arial"/>
          <w:sz w:val="17"/>
          <w:szCs w:val="17"/>
          <w:color w:val="auto"/>
        </w:rPr>
        <w:t>Our investment objective is to maximize our portfolio’s total return, principally by seeking capital gains on our equity and equity-related investments. We have adopted the following business strategies to achieve our investment objective:</w:t>
      </w:r>
    </w:p>
    <w:p>
      <w:pPr>
        <w:spacing w:after="0" w:line="38" w:lineRule="exact"/>
        <w:rPr>
          <w:sz w:val="20"/>
          <w:szCs w:val="20"/>
          <w:color w:val="auto"/>
        </w:rPr>
      </w:pPr>
    </w:p>
    <w:p>
      <w:pPr>
        <w:ind w:left="600" w:right="639" w:hanging="322"/>
        <w:spacing w:after="0" w:line="25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Identify high quality growth companies. </w:t>
      </w:r>
      <w:r>
        <w:rPr>
          <w:rFonts w:ascii="Arial" w:cs="Arial" w:eastAsia="Arial" w:hAnsi="Arial"/>
          <w:sz w:val="18"/>
          <w:szCs w:val="18"/>
          <w:color w:val="auto"/>
        </w:rPr>
        <w:t>Based on our extensive experience in analyzing technology trends and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identified the technology sub-sectors of social mobile, cloud computing and big data, internet commerce, sustainability and education technology, as opportunities where we believe companies are capable of producing substantial growth. We rely on our collective industry knowledge as well as an understanding of where leading venture capitalists are investing.</w:t>
      </w:r>
    </w:p>
    <w:p>
      <w:pPr>
        <w:spacing w:after="0" w:line="80" w:lineRule="exact"/>
        <w:rPr>
          <w:sz w:val="20"/>
          <w:szCs w:val="20"/>
          <w:color w:val="auto"/>
        </w:rPr>
      </w:pPr>
    </w:p>
    <w:p>
      <w:pPr>
        <w:ind w:left="580" w:right="979" w:firstLine="270"/>
        <w:spacing w:after="0" w:line="264" w:lineRule="auto"/>
        <w:rPr>
          <w:sz w:val="20"/>
          <w:szCs w:val="20"/>
          <w:color w:val="auto"/>
        </w:rPr>
      </w:pPr>
      <w:r>
        <w:rPr>
          <w:rFonts w:ascii="Arial" w:cs="Arial" w:eastAsia="Arial" w:hAnsi="Arial"/>
          <w:sz w:val="18"/>
          <w:szCs w:val="18"/>
          <w:color w:val="auto"/>
        </w:rPr>
        <w:t>We leverage a combination of our relationships throughout Silicon Valley and our independent research to identify leaders in our targeted sub-sectors that we believe are differentiated and best positioned for sustained growth. Our evaluation process is based on what we refer to as “the four Ps”:</w:t>
      </w:r>
    </w:p>
    <w:p>
      <w:pPr>
        <w:spacing w:after="0" w:line="73" w:lineRule="exact"/>
        <w:rPr>
          <w:sz w:val="20"/>
          <w:szCs w:val="20"/>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People — Organizations led by strong management teams with in-depth operational focus</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 Differentiated and disruptive products with leading market positioning</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 Large addressable markets</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Predictability — Ability to forecast and drive predictable and sustainable growth</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consider these to be the core elements for identifying rapidly growing emerging companies.</w:t>
      </w:r>
    </w:p>
    <w:p>
      <w:pPr>
        <w:spacing w:after="0" w:line="117" w:lineRule="exact"/>
        <w:rPr>
          <w:sz w:val="20"/>
          <w:szCs w:val="20"/>
          <w:color w:val="auto"/>
        </w:rPr>
      </w:pPr>
    </w:p>
    <w:p>
      <w:pPr>
        <w:ind w:left="600" w:right="659" w:hanging="322"/>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positions in targeted investments. </w:t>
      </w:r>
      <w:r>
        <w:rPr>
          <w:rFonts w:ascii="Arial" w:cs="Arial" w:eastAsia="Arial" w:hAnsi="Arial"/>
          <w:sz w:val="18"/>
          <w:szCs w:val="18"/>
          <w:color w:val="auto"/>
        </w:rPr>
        <w:t>We seek to add to our portfolio by sourcing investments at an acceptable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our disciplined investing strategy. To this end, we utilize multiple methods to acquire equity stakes in private companies that are not available to many individual investors.</w:t>
      </w:r>
    </w:p>
    <w:p>
      <w:pPr>
        <w:spacing w:after="0" w:line="73" w:lineRule="exact"/>
        <w:rPr>
          <w:sz w:val="20"/>
          <w:szCs w:val="20"/>
          <w:color w:val="auto"/>
        </w:rPr>
      </w:pPr>
    </w:p>
    <w:p>
      <w:pPr>
        <w:ind w:left="580" w:right="719" w:firstLine="270"/>
        <w:spacing w:after="0" w:line="255" w:lineRule="auto"/>
        <w:rPr>
          <w:sz w:val="20"/>
          <w:szCs w:val="20"/>
          <w:color w:val="auto"/>
        </w:rPr>
      </w:pPr>
      <w:r>
        <w:rPr>
          <w:rFonts w:ascii="Arial" w:cs="Arial" w:eastAsia="Arial" w:hAnsi="Arial"/>
          <w:sz w:val="18"/>
          <w:szCs w:val="18"/>
          <w:i w:val="1"/>
          <w:iCs w:val="1"/>
          <w:color w:val="auto"/>
        </w:rPr>
        <w:t xml:space="preserve">Direct equity investments. </w:t>
      </w:r>
      <w:r>
        <w:rPr>
          <w:rFonts w:ascii="Arial" w:cs="Arial" w:eastAsia="Arial" w:hAnsi="Arial"/>
          <w:sz w:val="18"/>
          <w:szCs w:val="18"/>
          <w:color w:val="auto"/>
        </w:rPr>
        <w:t>We also seek direct investments in private companies. There is a large market among</w:t>
      </w:r>
      <w:r>
        <w:rPr>
          <w:rFonts w:ascii="Arial" w:cs="Arial" w:eastAsia="Arial" w:hAnsi="Arial"/>
          <w:sz w:val="18"/>
          <w:szCs w:val="18"/>
          <w:i w:val="1"/>
          <w:iCs w:val="1"/>
          <w:color w:val="auto"/>
        </w:rPr>
        <w:t xml:space="preserve"> </w:t>
      </w:r>
      <w:r>
        <w:rPr>
          <w:rFonts w:ascii="Arial" w:cs="Arial" w:eastAsia="Arial" w:hAnsi="Arial"/>
          <w:sz w:val="18"/>
          <w:szCs w:val="18"/>
          <w:color w:val="auto"/>
        </w:rPr>
        <w:t>emerging private companies for equity 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85" w:lineRule="exact"/>
        <w:rPr>
          <w:sz w:val="20"/>
          <w:szCs w:val="20"/>
          <w:color w:val="auto"/>
        </w:rPr>
      </w:pPr>
    </w:p>
    <w:p>
      <w:pPr>
        <w:ind w:left="580" w:right="519" w:firstLine="270"/>
        <w:spacing w:after="0" w:line="269" w:lineRule="auto"/>
        <w:rPr>
          <w:sz w:val="20"/>
          <w:szCs w:val="20"/>
          <w:color w:val="auto"/>
        </w:rPr>
      </w:pPr>
      <w:r>
        <w:rPr>
          <w:rFonts w:ascii="Arial" w:cs="Arial" w:eastAsia="Arial" w:hAnsi="Arial"/>
          <w:sz w:val="17"/>
          <w:szCs w:val="17"/>
          <w:i w:val="1"/>
          <w:iCs w:val="1"/>
          <w:color w:val="auto"/>
        </w:rPr>
        <w:t xml:space="preserve">Private secondary marketplaces and direct share purchases. </w:t>
      </w:r>
      <w:r>
        <w:rPr>
          <w:rFonts w:ascii="Arial" w:cs="Arial" w:eastAsia="Arial" w:hAnsi="Arial"/>
          <w:sz w:val="17"/>
          <w:szCs w:val="17"/>
          <w:color w:val="auto"/>
        </w:rPr>
        <w:t>We also utilize private secondary marketplaces as a means</w:t>
      </w:r>
      <w:r>
        <w:rPr>
          <w:rFonts w:ascii="Arial" w:cs="Arial" w:eastAsia="Arial" w:hAnsi="Arial"/>
          <w:sz w:val="17"/>
          <w:szCs w:val="17"/>
          <w:i w:val="1"/>
          <w:iCs w:val="1"/>
          <w:color w:val="auto"/>
        </w:rPr>
        <w:t xml:space="preserve"> </w:t>
      </w:r>
      <w:r>
        <w:rPr>
          <w:rFonts w:ascii="Arial" w:cs="Arial" w:eastAsia="Arial" w:hAnsi="Arial"/>
          <w:sz w:val="17"/>
          <w:szCs w:val="17"/>
          <w:color w:val="auto"/>
        </w:rPr>
        <w:t>to acquire equity and equity-related interests in privately 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GSV Asset Management’s investment professionals within the industry and history of investing affords us a favorable position when seeking approval for a purchase of shares subject to such limitations.</w:t>
      </w:r>
    </w:p>
    <w:p>
      <w:pPr>
        <w:spacing w:after="0" w:line="72" w:lineRule="exact"/>
        <w:rPr>
          <w:sz w:val="20"/>
          <w:szCs w:val="20"/>
          <w:color w:val="auto"/>
        </w:rPr>
      </w:pPr>
    </w:p>
    <w:p>
      <w:pPr>
        <w:ind w:left="600" w:right="519" w:hanging="322"/>
        <w:spacing w:after="0" w:line="25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Create access to a diverse investment portfolio. </w:t>
      </w:r>
      <w:r>
        <w:rPr>
          <w:rFonts w:ascii="Arial" w:cs="Arial" w:eastAsia="Arial" w:hAnsi="Arial"/>
          <w:sz w:val="18"/>
          <w:szCs w:val="18"/>
          <w:color w:val="auto"/>
        </w:rPr>
        <w:t>We seek to hold a varied portfolio of non-controlling equity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believe will minimize the impact on our portfolio of a negative downturn at any one specific company. We believe that our relatively diversified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we benefit from the following competitive advantages in executing our investment strategy:</w:t>
      </w:r>
    </w:p>
    <w:p>
      <w:pPr>
        <w:spacing w:after="0" w:line="117" w:lineRule="exact"/>
        <w:rPr>
          <w:sz w:val="20"/>
          <w:szCs w:val="20"/>
          <w:color w:val="auto"/>
        </w:rPr>
      </w:pPr>
    </w:p>
    <w:p>
      <w:pPr>
        <w:ind w:left="600" w:right="619" w:hanging="322"/>
        <w:spacing w:after="0" w:line="276"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Experienced team of investment professionals. </w:t>
      </w:r>
      <w:r>
        <w:rPr>
          <w:rFonts w:ascii="Arial" w:cs="Arial" w:eastAsia="Arial" w:hAnsi="Arial"/>
          <w:sz w:val="17"/>
          <w:szCs w:val="17"/>
          <w:color w:val="auto"/>
        </w:rPr>
        <w:t>GSV Asset Management’s senior investment professionals and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have significant experience researching and investing in the types of potentially rapidly growing venture-capital-backed emerging companies we are targeting for investment. Through our proprietary company-evaluation process, including our identification of technology trends and themes and company research, we believe we have developed important insight into identifying and valuing emerging private companies.</w:t>
      </w:r>
    </w:p>
    <w:p>
      <w:pPr>
        <w:spacing w:after="0" w:line="64" w:lineRule="exact"/>
        <w:rPr>
          <w:rFonts w:ascii="Arial" w:cs="Arial" w:eastAsia="Arial" w:hAnsi="Arial"/>
          <w:sz w:val="17"/>
          <w:szCs w:val="17"/>
          <w:color w:val="auto"/>
        </w:rPr>
      </w:pPr>
    </w:p>
    <w:p>
      <w:pPr>
        <w:ind w:left="600" w:right="859" w:hanging="322"/>
        <w:spacing w:after="0" w:line="259"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Disciplined and repeatable investment process. </w:t>
      </w:r>
      <w:r>
        <w:rPr>
          <w:rFonts w:ascii="Arial" w:cs="Arial" w:eastAsia="Arial" w:hAnsi="Arial"/>
          <w:sz w:val="18"/>
          <w:szCs w:val="18"/>
          <w:color w:val="auto"/>
        </w:rPr>
        <w:t>We have established a disciplined and repeatable process to locate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available shares at attractive valuations by utilizing multiple sources. In contrast to industry “aggregators” that accumulate stock at market prices, we conduct valuation analyses and make acquisitions only when we can invest at valuations that we believe are attractive to our investors.</w:t>
      </w:r>
    </w:p>
    <w:p>
      <w:pPr>
        <w:spacing w:after="0" w:line="78" w:lineRule="exact"/>
        <w:rPr>
          <w:rFonts w:ascii="Arial" w:cs="Arial" w:eastAsia="Arial" w:hAnsi="Arial"/>
          <w:sz w:val="18"/>
          <w:szCs w:val="18"/>
          <w:color w:val="auto"/>
        </w:rPr>
      </w:pPr>
    </w:p>
    <w:p>
      <w:pPr>
        <w:ind w:left="600" w:right="679" w:hanging="322"/>
        <w:spacing w:after="0" w:line="259"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relationships with significant credibility to source and complete transactions. </w:t>
      </w:r>
      <w:r>
        <w:rPr>
          <w:rFonts w:ascii="Arial" w:cs="Arial" w:eastAsia="Arial" w:hAnsi="Arial"/>
          <w:sz w:val="18"/>
          <w:szCs w:val="18"/>
          <w:color w:val="auto"/>
        </w:rPr>
        <w:t>GSV Asset Management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investment professionals are strategically located in the heart of Silicon Valley in Woodside, California. During the course of over two decades of researching and investing in emerging private companies, GSV Asset Management’s senior investment professionals have</w:t>
      </w:r>
    </w:p>
    <w:p>
      <w:pPr>
        <w:spacing w:after="0" w:line="200" w:lineRule="exact"/>
        <w:rPr>
          <w:sz w:val="20"/>
          <w:szCs w:val="20"/>
          <w:color w:val="auto"/>
        </w:rPr>
      </w:pPr>
    </w:p>
    <w:p>
      <w:pPr>
        <w:spacing w:after="0" w:line="33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0" w:right="779"/>
        <w:spacing w:after="0" w:line="264" w:lineRule="auto"/>
        <w:rPr>
          <w:sz w:val="20"/>
          <w:szCs w:val="20"/>
          <w:color w:val="auto"/>
        </w:rPr>
      </w:pPr>
      <w:r>
        <w:rPr>
          <w:rFonts w:ascii="Arial" w:cs="Arial" w:eastAsia="Arial" w:hAnsi="Arial"/>
          <w:sz w:val="18"/>
          <w:szCs w:val="18"/>
          <w:color w:val="auto"/>
        </w:rPr>
        <w:t>developed strong reputations within the investing community, particularly within technology-related sectors. GSV Asset Management’s senior investment professionals and our board of directors have also developed strong relationships in the financial, investing and technology-related sectors.</w:t>
      </w:r>
    </w:p>
    <w:p>
      <w:pPr>
        <w:spacing w:after="0" w:line="73" w:lineRule="exact"/>
        <w:rPr>
          <w:sz w:val="20"/>
          <w:szCs w:val="20"/>
          <w:color w:val="auto"/>
        </w:rPr>
      </w:pPr>
    </w:p>
    <w:p>
      <w:pPr>
        <w:ind w:left="600" w:right="619" w:hanging="322"/>
        <w:spacing w:after="0" w:line="25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Source of permanent investing capital. </w:t>
      </w:r>
      <w:r>
        <w:rPr>
          <w:rFonts w:ascii="Arial" w:cs="Arial" w:eastAsia="Arial" w:hAnsi="Arial"/>
          <w:sz w:val="18"/>
          <w:szCs w:val="18"/>
          <w:color w:val="auto"/>
        </w:rPr>
        <w:t>As a publicly traded corporation, we have access to a source of permanent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which we can use to 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80" w:lineRule="exact"/>
        <w:rPr>
          <w:rFonts w:ascii="Arial" w:cs="Arial" w:eastAsia="Arial" w:hAnsi="Arial"/>
          <w:sz w:val="18"/>
          <w:szCs w:val="18"/>
          <w:color w:val="auto"/>
        </w:rPr>
      </w:pPr>
    </w:p>
    <w:p>
      <w:pPr>
        <w:ind w:left="600" w:right="539" w:hanging="322"/>
        <w:spacing w:after="0" w:line="270"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Early mover advantage. </w:t>
      </w:r>
      <w:r>
        <w:rPr>
          <w:rFonts w:ascii="Arial" w:cs="Arial" w:eastAsia="Arial" w:hAnsi="Arial"/>
          <w:sz w:val="17"/>
          <w:szCs w:val="17"/>
          <w:color w:val="auto"/>
        </w:rPr>
        <w:t>We believe we are one of the few publicly traded business development companies with a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 on investing in potentially rapidly growing venture-capital-backed emerging companies. Moreover, we believe we are the only one to focus on acquiring shares in secondary transactions as a key component of our strategy. Despite our limited track record,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potentially enable us to complete equity transactions in desirable private companies at attractive valuations.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We were formed as a Maryland corporation and an externally managed, non-diversified closed-end management investment company. We completed our IPO in May 2011 and have elected to be treated as a business development company under the 1940 Act. As a business development company, we are required to meet regulatory tests, including the requirement to invest at least 70% of our gross assets in “qualifying assets.” Qualifying assets generally include, among other things, securities of “eligible portfolio companies.”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 current gross assets were comprised of qualifying assets. We would not be required, however, to dispose of any non-qualifying assets in such circumstances. See “— Regulation as a Business Development Company.”</w:t>
      </w:r>
    </w:p>
    <w:p>
      <w:pPr>
        <w:spacing w:after="0" w:line="61"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We have elected to be treated as a regulated investment company (“RIC”) under subchapter M of the Internal Revenue Code of 1986, as amended (the “Code”) for the 2014 taxable year, have qualified to be treated as a RIC for the 2015 taxable year, and expect to continue to operate in a manner so as to qualify for the tax treatment applicable to RICs. See “— Material U.S. Federal Income Tax Considerations” and “Note 1 — Nature of Operations and Significant Accounting Policies — Summary of Significant Accounting Policies — U.S. Federal and State Income Taxes” and “Note 8 — Income Taxes” to our consolidated financial statements for the year ended December 31, 2015 for more information.</w:t>
      </w:r>
    </w:p>
    <w:p>
      <w:pPr>
        <w:spacing w:after="0" w:line="70"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Our investment activities are managed by GSV Asset Management and supervised by our board of directors. GSV Asset Management is an investment adviser registered under the Advisers Act. Under the Investment Advisory Agreement, we have agreed to pay GSV Asset Management an annual base management fee based on our gross assets as well as an incentive fee based on our performance. See “— Investment Advisory Agreement.” We have also entered into an administration agreement under which we have agreed to reimburse GSV Capital Service Company for our allocable portion of overhead and other expenses incurred (the “Administration Agreement”).</w:t>
      </w:r>
    </w:p>
    <w:p>
      <w:pPr>
        <w:spacing w:after="0" w:line="200" w:lineRule="exact"/>
        <w:rPr>
          <w:sz w:val="20"/>
          <w:szCs w:val="20"/>
          <w:color w:val="auto"/>
        </w:rPr>
      </w:pPr>
    </w:p>
    <w:p>
      <w:pPr>
        <w:spacing w:after="0" w:line="34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Process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Concentrated Technology-related Focus</w:t>
      </w:r>
    </w:p>
    <w:p>
      <w:pPr>
        <w:spacing w:after="0" w:line="117"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During the course of over two decades of researching and investing in non-public companies, we have identified five areas from which we expect to see significant numbers of high-growth companies emerge: new media, communication, alternative energy, education technology, and the consumerization of information technology. These broad markets have the potential to produce disruptive technologies, reach a large addressable market and provide significant commercial opportunities. Within these areas we have identified broad trends that could create significant positive effects on growth such as globalization, consolidation, branding, convergence and network effects. From within these broad technology themes, we have selected five sub-segments in which we target companies for investment: social mobile, cloud computing and big data, internet commerce, sustainability and education technology. We remain focused on selecting market leaders within the sub-segments we have identified, while continuing to review our pipeline to ensure we are tracking the next phase of leaders.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Targeting and Screening</w:t>
      </w:r>
    </w:p>
    <w:p>
      <w:pPr>
        <w:spacing w:after="0" w:line="117"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We identify prospective portfolio companies through an extensive network of relationships developed by GSV Asset Management’s senior investment professionals, supplemented by the knowledge and relationships of our board of directors. Investment opportunities that fall within our identified themes are validated against the observed behavior of leading venture capitalists and through our own internal and external research. We evaluate potential portfolio companies across a spectrum of criteria, including “the four Ps”, industry positioning and leadership, stage of growth, and several other factors that collectively characterize our proprietary investment process. We typically seek to invest approximately 90% of our portfolio in well-established, late stage companies and the remaining approximately 10% in emerging companies that fit within our targeted areas, where we see the potential for higher returns from early investment. Based on our initial screening, we identify a select set of companies which we evaluate in greater depth.</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Due Diligence Process</w:t>
      </w:r>
    </w:p>
    <w:p>
      <w:pPr>
        <w:spacing w:after="0" w:line="117" w:lineRule="exact"/>
        <w:rPr>
          <w:sz w:val="20"/>
          <w:szCs w:val="20"/>
          <w:color w:val="auto"/>
        </w:rPr>
      </w:pPr>
    </w:p>
    <w:p>
      <w:pPr>
        <w:ind w:left="40" w:right="659" w:firstLine="270"/>
        <w:spacing w:after="0" w:line="293" w:lineRule="auto"/>
        <w:rPr>
          <w:sz w:val="20"/>
          <w:szCs w:val="20"/>
          <w:color w:val="auto"/>
        </w:rPr>
      </w:pPr>
      <w:r>
        <w:rPr>
          <w:rFonts w:ascii="Arial" w:cs="Arial" w:eastAsia="Arial" w:hAnsi="Arial"/>
          <w:sz w:val="16"/>
          <w:szCs w:val="16"/>
          <w:color w:val="auto"/>
        </w:rPr>
        <w:t>Once we identify those companies that we believe warrant more in-depth analysis, we focus on their revenue growth, revenue quality and sustainability and earnings growth, as well as other metrics that may be strongly correlated with higher valuations. We also focus on the company’s management team and any significant financial sponsor, the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57"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Construction and Sourcing</w:t>
      </w:r>
    </w:p>
    <w:p>
      <w:pPr>
        <w:spacing w:after="0" w:line="117"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Upon completion of our research and due diligence process, we select investments for inclusion in our portfolio based on their relative qualitative ranking,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200" w:lineRule="exact"/>
        <w:rPr>
          <w:sz w:val="20"/>
          <w:szCs w:val="20"/>
          <w:color w:val="auto"/>
        </w:rPr>
      </w:pPr>
    </w:p>
    <w:p>
      <w:pPr>
        <w:spacing w:after="0" w:line="30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Transaction Execution</w:t>
      </w:r>
    </w:p>
    <w:p>
      <w:pPr>
        <w:spacing w:after="0" w:line="117"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We enter into purchase agreements for each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are may be required to deposit the purchase price into escrow upon signing with the funds released to the seller at closing or returned to us if the closing conditions are not met.</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Management and Monitoring</w:t>
      </w:r>
    </w:p>
    <w:p>
      <w:pPr>
        <w:spacing w:after="0" w:line="117"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1940 Act business development company and a RIC for tax purposes.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Overview</w:t>
      </w:r>
    </w:p>
    <w:p>
      <w:pPr>
        <w:spacing w:after="0" w:line="121" w:lineRule="exact"/>
        <w:rPr>
          <w:sz w:val="20"/>
          <w:szCs w:val="20"/>
          <w:color w:val="auto"/>
        </w:rPr>
      </w:pPr>
    </w:p>
    <w:p>
      <w:pPr>
        <w:ind w:left="60" w:right="939" w:firstLine="270"/>
        <w:spacing w:after="0" w:line="277" w:lineRule="auto"/>
        <w:rPr>
          <w:sz w:val="20"/>
          <w:szCs w:val="20"/>
          <w:color w:val="auto"/>
        </w:rPr>
      </w:pPr>
      <w:r>
        <w:rPr>
          <w:rFonts w:ascii="Arial" w:cs="Arial" w:eastAsia="Arial" w:hAnsi="Arial"/>
          <w:sz w:val="18"/>
          <w:szCs w:val="18"/>
          <w:color w:val="auto"/>
        </w:rPr>
        <w:t>The following table shows the fair value of our portfolio of investments by asset class as of December 31, 2015, and 2014, excluding United States Treasury Bills.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0"/>
                <w:szCs w:val="10"/>
                <w:color w:val="auto"/>
              </w:rPr>
            </w:pPr>
          </w:p>
        </w:tc>
        <w:tc>
          <w:tcPr>
            <w:tcW w:w="78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1"/>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of Portfolio</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of Portfolio</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$102,319,140</w:t>
            </w:r>
          </w:p>
        </w:tc>
        <w:tc>
          <w:tcPr>
            <w:tcW w:w="92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85,598,467</w:t>
            </w:r>
          </w:p>
        </w:tc>
        <w:tc>
          <w:tcPr>
            <w:tcW w:w="98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216,291,092</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193,847,045</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4,175,859</w:t>
            </w:r>
          </w:p>
        </w:tc>
        <w:tc>
          <w:tcPr>
            <w:tcW w:w="9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1,374,210</w:t>
            </w:r>
          </w:p>
        </w:tc>
        <w:tc>
          <w:tcPr>
            <w:tcW w:w="980" w:type="dxa"/>
            <w:vAlign w:val="bottom"/>
            <w:tcBorders>
              <w:lef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469,306</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904,345</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323,255,397</w:t>
            </w:r>
          </w:p>
        </w:tc>
        <w:tc>
          <w:tcPr>
            <w:tcW w:w="9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281,724,067</w:t>
            </w:r>
          </w:p>
        </w:tc>
        <w:tc>
          <w:tcPr>
            <w:tcW w:w="980" w:type="dxa"/>
            <w:vAlign w:val="bottom"/>
            <w:tcBorders>
              <w:lef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26,553,370</w:t>
            </w:r>
          </w:p>
        </w:tc>
        <w:tc>
          <w:tcPr>
            <w:tcW w:w="9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89,260,250</w:t>
            </w:r>
          </w:p>
        </w:tc>
        <w:tc>
          <w:tcPr>
            <w:tcW w:w="980" w:type="dxa"/>
            <w:vAlign w:val="bottom"/>
            <w:tcBorders>
              <w:lef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1"/>
        </w:trPr>
        <w:tc>
          <w:tcPr>
            <w:tcW w:w="41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 Portfolio</w:t>
            </w: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349,808,767</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91.2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370,984,317</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Non-Portfolio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33,676,693</w:t>
            </w:r>
          </w:p>
        </w:tc>
        <w:tc>
          <w:tcPr>
            <w:tcW w:w="92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107,298,098</w:t>
            </w:r>
          </w:p>
        </w:tc>
        <w:tc>
          <w:tcPr>
            <w:tcW w:w="980" w:type="dxa"/>
            <w:vAlign w:val="bottom"/>
            <w:tcBorders>
              <w:lef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10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383,485,460</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478,282,415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-865505</wp:posOffset>
            </wp:positionV>
            <wp:extent cx="52139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521398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left="60" w:right="659" w:firstLine="270"/>
        <w:spacing w:after="0" w:line="293" w:lineRule="auto"/>
        <w:rPr>
          <w:sz w:val="20"/>
          <w:szCs w:val="20"/>
          <w:color w:val="auto"/>
        </w:rPr>
      </w:pPr>
      <w:r>
        <w:rPr>
          <w:rFonts w:ascii="Arial" w:cs="Arial" w:eastAsia="Arial" w:hAnsi="Arial"/>
          <w:sz w:val="16"/>
          <w:szCs w:val="16"/>
          <w:color w:val="auto"/>
        </w:rPr>
        <w:t>As a business development company,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GSV Asset Management will provide such managerial assistance on our behalf to portfolio companies that request assistance. We may receive fees for these services and will reimburse GSV Asset Management for its allocated costs in providing such assistance, subject to review by our board of directors, including our independent directors.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60" w:right="639" w:firstLine="270"/>
        <w:spacing w:after="0" w:line="279" w:lineRule="auto"/>
        <w:rPr>
          <w:sz w:val="20"/>
          <w:szCs w:val="20"/>
          <w:color w:val="auto"/>
        </w:rPr>
      </w:pPr>
      <w:r>
        <w:rPr>
          <w:rFonts w:ascii="Arial" w:cs="Arial" w:eastAsia="Arial" w:hAnsi="Arial"/>
          <w:sz w:val="17"/>
          <w:szCs w:val="17"/>
          <w:color w:val="auto"/>
        </w:rPr>
        <w:t>Our primary competitors include specialty finance companies including late stage venture capital funds, private equity funds, other crossover funds, public funds investing in private companies and business development companies. Many of these entities have greater financial and managerial resources than we will have. For additional information concerning the competitive risks we face, see “Risk Factors — Risks Related to Our Business and Structure.”</w:t>
      </w:r>
    </w:p>
    <w:p>
      <w:pPr>
        <w:spacing w:after="0" w:line="200" w:lineRule="exact"/>
        <w:rPr>
          <w:sz w:val="20"/>
          <w:szCs w:val="20"/>
          <w:color w:val="auto"/>
        </w:rPr>
      </w:pPr>
    </w:p>
    <w:p>
      <w:pPr>
        <w:spacing w:after="0" w:line="30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While we have executive officers, they receive no direct compensation from us, and we have no direct employees. Our day-to-day investment operations are managed by GSV Asset Management. In addition, we reimburse GSV Capital Service Company for an allocable portion of expenses incurred by it in performing its obligations under the Administration Agreement, including a portion of the rent and the compensation of our President, Chief Financial Officer, Chief Compliance Officer and other staff providing administration services. Carl Rizzo, our Chief Compliance Officer, is a director of Alaric Compliance Services LLC and performs his functions as our Chief Compliance Officer under the terms of an agreement between GSV Capital Service Company and Alaric Compliance Services LLC. GSV Capital Service Company has retained Mr. Rizzo and Alaric Compliance Services LLC pursuant to its obligations under the Administration Agreement. See “— Administration Agreement.”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Determination of Net Asset Value</w:t>
      </w:r>
    </w:p>
    <w:p>
      <w:pPr>
        <w:spacing w:after="0" w:line="121"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We determine the net asset value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73" w:lineRule="exact"/>
        <w:rPr>
          <w:sz w:val="20"/>
          <w:szCs w:val="20"/>
          <w:color w:val="auto"/>
        </w:rPr>
      </w:pPr>
    </w:p>
    <w:p>
      <w:pPr>
        <w:ind w:left="40" w:right="599" w:firstLine="270"/>
        <w:spacing w:after="0" w:line="289" w:lineRule="auto"/>
        <w:rPr>
          <w:sz w:val="20"/>
          <w:szCs w:val="20"/>
          <w:color w:val="auto"/>
        </w:rPr>
      </w:pPr>
      <w:r>
        <w:rPr>
          <w:rFonts w:ascii="Arial" w:cs="Arial" w:eastAsia="Arial" w:hAnsi="Arial"/>
          <w:sz w:val="16"/>
          <w:szCs w:val="16"/>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members of GSV Asset Management’s portfolio management team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59" w:lineRule="exact"/>
        <w:rPr>
          <w:sz w:val="20"/>
          <w:szCs w:val="20"/>
          <w:color w:val="auto"/>
        </w:rPr>
      </w:pPr>
    </w:p>
    <w:p>
      <w:pPr>
        <w:ind w:left="40" w:right="639" w:firstLine="270"/>
        <w:spacing w:after="0" w:line="268" w:lineRule="auto"/>
        <w:rPr>
          <w:sz w:val="20"/>
          <w:szCs w:val="20"/>
          <w:color w:val="auto"/>
        </w:rPr>
      </w:pPr>
      <w:r>
        <w:rPr>
          <w:rFonts w:ascii="Arial" w:cs="Arial" w:eastAsia="Arial" w:hAnsi="Arial"/>
          <w:sz w:val="17"/>
          <w:szCs w:val="17"/>
          <w:color w:val="auto"/>
        </w:rPr>
        <w:t>For those securities that are not publicly traded or for which there are no readily available market quotations, our board of directors, with the assistance of its valuation committee (the “Valuation Committee”), will use the recommended valuations as prepared by management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will record unrealized appreciation if we believe that the underlying portfolio company has appreciated in value and our equity security has also appreciated in value. Changes in fair value are recorded in the statement of operations as the net change in unrealized appreciation or depreciation.</w:t>
      </w:r>
    </w:p>
    <w:p>
      <w:pPr>
        <w:spacing w:after="0" w:line="75"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We generally determine the fair value of our investments by considering a number of factors. The following represent factors that, among others, could impact our fair value determinations:</w:t>
      </w:r>
    </w:p>
    <w:p>
      <w:pPr>
        <w:spacing w:after="0" w:line="62" w:lineRule="exact"/>
        <w:rPr>
          <w:sz w:val="20"/>
          <w:szCs w:val="20"/>
          <w:color w:val="auto"/>
        </w:rPr>
      </w:pPr>
    </w:p>
    <w:p>
      <w:pPr>
        <w:ind w:left="540" w:hanging="26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trading of our portfolio securities, taking into consideration lock-up requirements and liquidity;</w:t>
      </w:r>
    </w:p>
    <w:p>
      <w:pPr>
        <w:spacing w:after="0" w:line="117" w:lineRule="exact"/>
        <w:rPr>
          <w:rFonts w:ascii="Arial" w:cs="Arial" w:eastAsia="Arial" w:hAnsi="Arial"/>
          <w:sz w:val="18"/>
          <w:szCs w:val="18"/>
          <w:color w:val="auto"/>
        </w:rPr>
      </w:pPr>
    </w:p>
    <w:p>
      <w:pPr>
        <w:ind w:left="540" w:right="639" w:hanging="26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 trading of our portfolio securities on a private secondary market, where we have determined that there is meaningful volume and the transactions are considered arm’s length by sophisticated investors;</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40" w:right="739"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Qualified funding rounds in the companies in which we are invested, where there is meaningful and reputable information available on size, valuation and investors; and</w:t>
      </w:r>
    </w:p>
    <w:p>
      <w:pPr>
        <w:spacing w:after="0" w:line="62" w:lineRule="exact"/>
        <w:rPr>
          <w:rFonts w:ascii="Arial" w:cs="Arial" w:eastAsia="Arial" w:hAnsi="Arial"/>
          <w:sz w:val="18"/>
          <w:szCs w:val="18"/>
          <w:color w:val="auto"/>
        </w:rPr>
      </w:pPr>
    </w:p>
    <w:p>
      <w:pPr>
        <w:ind w:left="540" w:right="679"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investments by us in current portfolio companies, where the price of the new investment differs materially from prior investments.</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transactions in our portfolio companies that we can observe and from which we can obtain information.</w:t>
      </w:r>
    </w:p>
    <w:p>
      <w:pPr>
        <w:spacing w:after="0" w:line="117" w:lineRule="exact"/>
        <w:rPr>
          <w:sz w:val="20"/>
          <w:szCs w:val="20"/>
          <w:color w:val="auto"/>
        </w:rPr>
      </w:pPr>
    </w:p>
    <w:p>
      <w:pPr>
        <w:ind w:left="40" w:right="619" w:firstLine="270"/>
        <w:spacing w:after="0" w:line="270" w:lineRule="auto"/>
        <w:rPr>
          <w:sz w:val="20"/>
          <w:szCs w:val="20"/>
          <w:color w:val="auto"/>
        </w:rPr>
      </w:pPr>
      <w:r>
        <w:rPr>
          <w:rFonts w:ascii="Arial" w:cs="Arial" w:eastAsia="Arial" w:hAnsi="Arial"/>
          <w:sz w:val="17"/>
          <w:szCs w:val="17"/>
          <w:color w:val="auto"/>
        </w:rPr>
        <w:t>There is inherent subjectivity in determining the fair value of our investments. In addition, we will accrue as a liability, each time we calculate net asset value, the amount which we may owe GSV Asset Management for the income incentive fee and capital gains incentive fee, the latter of which is based on the amount of unrealized and realized capital appreciation.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net asset value, we also consider our recognition of a deferred tax liability for unrealized gains on investments for those investments held in our taxable subsidiaries. Refer to “Note 1 — Nature of Operations and Significant Accounting Policies” to our consolidated financial statements for the year ended December 31, 2015 for a list of our taxable subsidiaries.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Advisory Agreement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Services</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GSV Asset Management serves as our investment adviser. GSV Asset Management is registered as an investment adviser under the Advisers Act. Subject to the overall supervision of our board of directors, GSV Asset Management manages our day-to-day operations and provides us with investment advisory services. Under the terms of the Investment Advisory Agreement, GSV Asset Management:</w:t>
      </w:r>
    </w:p>
    <w:p>
      <w:pPr>
        <w:spacing w:after="0" w:line="79" w:lineRule="exact"/>
        <w:rPr>
          <w:sz w:val="20"/>
          <w:szCs w:val="20"/>
          <w:color w:val="auto"/>
        </w:rPr>
      </w:pPr>
    </w:p>
    <w:p>
      <w:pPr>
        <w:ind w:left="600" w:right="1139"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determines what securities we will purchase, retain or sell;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performs due diligence on prospective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closes, monitors and services the investments we make; and</w:t>
      </w:r>
    </w:p>
    <w:p>
      <w:pPr>
        <w:spacing w:after="0" w:line="117"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from time to time, reasonably require for the investment of our funds.</w:t>
      </w:r>
    </w:p>
    <w:p>
      <w:pPr>
        <w:spacing w:after="0" w:line="62"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GSV Asset Management’s services under the Investment Advisory Agreement are not exclusive, and it is free to furnish similar services to other entities so long as its services to us are not impaired. GSV Asset Management also manages for GSV X Fund (“GSV X Fund”), a global long/short absolute return fund, Coursera@GSV Fund, LP and Coursera@GSV-EDBI Fund, LP (collectively, the “Coursera Funds”), special purpose vehicles each comprised of an underlying investment in Coursera stock, and serves as sub-adviser for GSV Ventures I LLC, GSV Ventures II LLC, and GSV Ventures III LLC (collectively, the “GSV Ventures Funds”), each a venture capital and growth equity fund. We have no equity ownership in any of the GSV X Fund, the Coursera Funds or the GSV Ventures Funds. GSV Asset Management does not anticipate that it will ordinarily identify investment opportunities that are appropriate for both us and the other funds that are currently or in the future may be managed by GSV Asset Management. However, to the extent it does identify such opportunities, GSV Asset Management will allocate such opportunities between us and such other funds pursuant to an established procedure that is designed to ensure that such allocation is fair and equitable.</w:t>
      </w:r>
    </w:p>
    <w:p>
      <w:pPr>
        <w:spacing w:after="0" w:line="200" w:lineRule="exact"/>
        <w:rPr>
          <w:sz w:val="20"/>
          <w:szCs w:val="20"/>
          <w:color w:val="auto"/>
        </w:rPr>
      </w:pPr>
    </w:p>
    <w:p>
      <w:pPr>
        <w:spacing w:after="0" w:line="32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We pay GSV Asset Management a fee for its services under the Investment Advisory Agreement consisting of two components — a base management fee and an incentive fee. The cost of both the base management fee payable to GSV Asset Management, and any incentive fees earned by GSV Asset Management, are ultimately borne by our common stockholders. In aggregate, we paid GSV Asset Management $21,033,774 under the Investment Advisory Agreement during the fiscal years ended December 31, 2015, 2014 and 2013.</w:t>
      </w:r>
    </w:p>
    <w:p>
      <w:pPr>
        <w:spacing w:after="0" w:line="80"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The base management fee (the “Base Fee”) is calculated at an annual rate of 2.00% of our gross assets, which is our total assets as reflected on our balance sheet (with no deduction for liabilities) reduced by any non-portfolio investments. For the years ended December 31, 2015, 2014, and 2013, the Base Fee was payable monthly in arrears, and was calculated based on the average value of our gross assets at the end of the two most recently completed calendar quarters, and appropriately adjusted for any equity or debt capital raises, repurchases or redemptions during the current calendar quarter. The Base Fee for any partial month or quarter was appropriately pro-rated.</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incentive fee is determined and payable in arrears as of the end of each calendar year (or upon termination of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Advisory Agreement, as of the termination date), and is equal to the lesser of:</w:t>
      </w:r>
    </w:p>
    <w:p>
      <w:pPr>
        <w:spacing w:after="0" w:line="103" w:lineRule="exact"/>
        <w:rPr>
          <w:sz w:val="20"/>
          <w:szCs w:val="20"/>
          <w:color w:val="auto"/>
        </w:rPr>
      </w:pPr>
    </w:p>
    <w:p>
      <w:pPr>
        <w:ind w:left="600" w:right="539" w:hanging="32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 of our realized capital gains during such calendar year, if any, calculated on an investment-by-investment basis, subject to a non-compounded preferred return, or “hurdle,” and a “catch-up” feature, and</w:t>
      </w:r>
    </w:p>
    <w:p>
      <w:pPr>
        <w:spacing w:after="0" w:line="62" w:lineRule="exact"/>
        <w:rPr>
          <w:rFonts w:ascii="Arial" w:cs="Arial" w:eastAsia="Arial" w:hAnsi="Arial"/>
          <w:sz w:val="18"/>
          <w:szCs w:val="18"/>
          <w:color w:val="auto"/>
        </w:rPr>
      </w:pPr>
    </w:p>
    <w:p>
      <w:pPr>
        <w:ind w:left="600" w:right="939" w:hanging="322"/>
        <w:spacing w:after="0" w:line="264"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7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Our realized capital gains from each investment, expressed as a non-compounded annual rate of return on the cost of such investment since we initially acquired it, will be compared to a hurdle rate of 8.00% per year. We will only pay an incentive fee on any realized capital gains from an investment that exceeds the hurdle rate. We will pay GSV Asset Management an incentive fee with respect to our realized capital gains from each investment as follows:</w:t>
      </w:r>
    </w:p>
    <w:p>
      <w:pPr>
        <w:spacing w:after="0" w:line="79" w:lineRule="exact"/>
        <w:rPr>
          <w:sz w:val="20"/>
          <w:szCs w:val="20"/>
          <w:color w:val="auto"/>
        </w:rPr>
      </w:pPr>
    </w:p>
    <w:p>
      <w:pPr>
        <w:jc w:val="both"/>
        <w:ind w:left="600" w:right="699" w:hanging="322"/>
        <w:spacing w:after="0" w:line="264"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incentive fee is payable on the amount of any realized capital gains from an investment that, when expressed as a non-compounded annual rate of return on the cost of such investment since we initially acquired it, does not exceed the hurdle rate of 8.00% per year.</w:t>
      </w:r>
    </w:p>
    <w:p>
      <w:pPr>
        <w:spacing w:after="0" w:line="73" w:lineRule="exact"/>
        <w:rPr>
          <w:rFonts w:ascii="Arial" w:cs="Arial" w:eastAsia="Arial" w:hAnsi="Arial"/>
          <w:sz w:val="18"/>
          <w:szCs w:val="18"/>
          <w:color w:val="auto"/>
        </w:rPr>
      </w:pPr>
    </w:p>
    <w:p>
      <w:pPr>
        <w:ind w:left="600" w:right="539" w:hanging="322"/>
        <w:spacing w:after="0" w:line="255"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pay as an incentive fee 100% of the amount of any realized capital gains from an investment that, when expressed as a non-compounded annual rate of return on the cost of such investment since we initially acquired it, exceeds the hurdle rate of 8.00% per year but is less than a rate of 10.00% per year. We refer to this portion of our realized capital gains from each investment (which exceeds the hurdle rate but is less than 10.00%) as the “catch-up.” The “catch-up” is meant to provide GSV Asset Management with 20% of the amount of our realized capital gains from an investment that, when expressed as a non-compounded annual rate of return on the cost of such investment since we initially acquired it, exceeds a rate of 10.00% per year.</w:t>
      </w:r>
    </w:p>
    <w:p>
      <w:pPr>
        <w:spacing w:after="0" w:line="81" w:lineRule="exact"/>
        <w:rPr>
          <w:rFonts w:ascii="Arial" w:cs="Arial" w:eastAsia="Arial" w:hAnsi="Arial"/>
          <w:sz w:val="18"/>
          <w:szCs w:val="18"/>
          <w:color w:val="auto"/>
        </w:rPr>
      </w:pPr>
    </w:p>
    <w:p>
      <w:pPr>
        <w:ind w:left="600" w:right="759" w:hanging="322"/>
        <w:spacing w:after="0" w:line="264"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pay as an incentive fee 20% of the amount of any realized capital gains from an investment that, when expressed as a non-compounded annual rate of return on the cost of such investment since we initially acquired it, exceeds a rate of 10.00% per year.</w:t>
      </w:r>
    </w:p>
    <w:p>
      <w:pPr>
        <w:spacing w:after="0" w:line="73"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In no event, however, will we pay an incentive fee for any calendar year that exceeds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 Refer to “Management’s Discussion and Analysis of Financial Condition and Results of Operations — Related-Party Transactions” for detail of incentive fees paid and accrued.</w:t>
      </w:r>
    </w:p>
    <w:p>
      <w:pPr>
        <w:spacing w:after="0" w:line="200" w:lineRule="exact"/>
        <w:rPr>
          <w:sz w:val="20"/>
          <w:szCs w:val="20"/>
          <w:color w:val="auto"/>
        </w:rPr>
      </w:pPr>
    </w:p>
    <w:p>
      <w:pPr>
        <w:spacing w:after="0" w:line="33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graphical representation of the calculation of our incentive fee with respect to a single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83185</wp:posOffset>
            </wp:positionV>
            <wp:extent cx="2984500" cy="1355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8450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For accounting purposes, in order to reflect the theoretical capital gains incentive fee that would be payable for a given period as if all unrealized gains were realized, we are required to accrue a capital gains incentive fee based upon realized capital gains and losses during the current calendar year through the end of the period, plus any unrealized capital appreciation and depreciation as of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w:t>
      </w:r>
    </w:p>
    <w:p>
      <w:pPr>
        <w:spacing w:after="0" w:line="81"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seek to deploy capital primarily in the form of non-controlling investments in our portfolio companies. Although we primarily invest through private secondary markets, to the extent we make a direct minority investment in a portfolio company, neither we, nor our investment adviser, GSV Asset Management, may have the ability to control the timing of when we realize capital gains or losses with respect to such investment. We expect the timing of such realization events to be determined by our portfolio companies in such cases. To the extent we have non-minority investments, or the securities we hold are traded on a private secondary market or public securities exchange, GSV Asset Management will have greater control over the timing of a realization event. In such cases, our board of directors will monitor such investments in connection with their general oversight of the investment management services provided by GSV Asset Management. In addition, as of the end of each fiscal quarter, we will evaluate whether the cumulative aggregate unrealized appreciation on our portfolio would be sufficient to require us to pay an incentive fee to GSV Asset Management if such unrealized appreciation were actually realized as of the end of such quarter, and if so, we will accrue an expense equal to the amount of such incentive fee. Any such accrual of incentive fees will be reflected in the calculation of our net asset value.</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Our primary operating expenses are the payment of a base management fee and any incentive fees under the Investment Advisory Agreement and the allocable portion of overhead and other expenses incurred by GSV Capital Service Company in performing its obligations under the Administration Agreement. Our investment management fee compensates GSV Asset Management for its work in identifying, evaluating, negotiating, executing and servicing our investments. We bear all other expenses of our operations and transactions, including (without limitation) fees and expenses relating to: expenses of offering our debt and equity securities; the investigation and monitoring of our investments, including expenses and travel fees incurred in connection with on-site visits; the cost of calculating our net asset value; the cost of effecting sales and repurchases of shares of our common stock and other securities; management and incentive fees payable pursuant to the Investment Advisory Agreement; fees payable to third parties relating to, or associated with, making investments and valuing investments (including third-party valuation firms); transfer agent, trustee and custodial fees; interest payments and other costs related to our borrowings; fees and expenses associated with our website, public relations and marketing efforts (including attendance at industry and investor conferences and similar events); federal and state registration fees; any exchange listing fees; federal, state and local taxes; independent directors’ fees and expenses, including travel expenses, and other costs of board of directors’ meetings; brokerage commissions; costs of preparing and mailing proxy statements, stockholders’ reports and</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notices; costs of preparing government filings, including periodic and current reports with the SEC; out fidelity bond, directors’ and officers’/errors and omissions liability insurance and other insurance premiums; and direct costs such as printing, mailing, long distance telephone, staff, independent audits and outside legal costs and all other expenses incurred by either GSV Capital Service Company or us in connection with administering our business, including payments under the Administration Agreement that will be based upon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administrative support personnel. All of these expenses are ultimately borne by our common stockholders.</w:t>
      </w:r>
    </w:p>
    <w:p>
      <w:pPr>
        <w:spacing w:after="0" w:line="84" w:lineRule="exact"/>
        <w:rPr>
          <w:sz w:val="20"/>
          <w:szCs w:val="20"/>
          <w:color w:val="auto"/>
        </w:rPr>
      </w:pPr>
    </w:p>
    <w:p>
      <w:pPr>
        <w:ind w:left="40" w:right="719" w:firstLine="270"/>
        <w:spacing w:after="0" w:line="342" w:lineRule="auto"/>
        <w:rPr>
          <w:sz w:val="20"/>
          <w:szCs w:val="20"/>
          <w:color w:val="auto"/>
        </w:rPr>
      </w:pPr>
      <w:r>
        <w:rPr>
          <w:rFonts w:ascii="Arial" w:cs="Arial" w:eastAsia="Arial" w:hAnsi="Arial"/>
          <w:sz w:val="16"/>
          <w:szCs w:val="16"/>
          <w:color w:val="auto"/>
        </w:rPr>
        <w:t>All personnel of GSV Asset Management, when and to the extent engaged in providing investment advisory services, and the compensation and expenses of such personnel allocable to such services, are provided and paid for by GSV Asset Management.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The Investment Advisory Agreement was initially approved by our board of directors on March 28, 2011 and was most recently reapproved on March 2, 2016. Unless earlier terminated as described below, the Investment Advisory Agreement will remain in effect from year to year if approved annually by our board of directors or by the affirmative vote of the holders of a majority of our outstanding voting securities, including, in either case, approval by a majority of our directors who are not interested persons of any such party, as such term is defined in Section 2(a)(19) of the 1940 Act. The Investment Advisory Agreement will automatically terminate in the event of its assignment. The Investment Advisory Agreement may be terminated by either party without penalty upon not more than 60 days’ written notice to the other. The Investment Advisory Agreement may also be terminated, without penalty, upon the vote of a majority of our outstanding voting securities.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The Investment Advisory Agreement provides that, absent willful misfeasance, bad faith or gross negligence in the performance of its duties or by reason of the reckless disregard of its duties and obligations, GSV Asset Management and its officers, managers, partners,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Asset Management’s services under the Investment Advisory Agreement or otherwise as our investment adviser.</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GSV Asset Management is a Delaware limited liability company. The principal executive offices of GSV Asset Management are located at 2925 Woodside Road, Woodside, CA 94062.</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Board Approval of the Investment Advisory Agreement</w:t>
      </w:r>
    </w:p>
    <w:p>
      <w:pPr>
        <w:spacing w:after="0" w:line="117"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Our board of directors determined at a meeting held on March 2, 2016 to reapprove the Investment Advisory Agreement. In its consideration of the reapproval of the Investment Advisory Agreement, the board of directors focused on information it had received relating to, among other things:</w:t>
      </w:r>
    </w:p>
    <w:p>
      <w:pPr>
        <w:spacing w:after="0" w:line="73" w:lineRule="exact"/>
        <w:rPr>
          <w:sz w:val="20"/>
          <w:szCs w:val="20"/>
          <w:color w:val="auto"/>
        </w:rPr>
      </w:pPr>
    </w:p>
    <w:p>
      <w:pPr>
        <w:ind w:left="600" w:right="639" w:hanging="322"/>
        <w:spacing w:after="0" w:line="26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GSV Asset Management over the term of the Investment Advisory Agreement, including our performance relative to other business development companies during the prior year;</w:t>
      </w:r>
    </w:p>
    <w:p>
      <w:pPr>
        <w:spacing w:after="0" w:line="73" w:lineRule="exact"/>
        <w:rPr>
          <w:rFonts w:ascii="Arial" w:cs="Arial" w:eastAsia="Arial" w:hAnsi="Arial"/>
          <w:sz w:val="18"/>
          <w:szCs w:val="18"/>
          <w:color w:val="auto"/>
        </w:rPr>
      </w:pPr>
    </w:p>
    <w:p>
      <w:pPr>
        <w:ind w:left="600" w:right="89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business development companies with similar investment objectives;</w:t>
      </w:r>
    </w:p>
    <w:p>
      <w:pPr>
        <w:spacing w:after="0" w:line="62" w:lineRule="exact"/>
        <w:rPr>
          <w:rFonts w:ascii="Arial" w:cs="Arial" w:eastAsia="Arial" w:hAnsi="Arial"/>
          <w:sz w:val="18"/>
          <w:szCs w:val="18"/>
          <w:color w:val="auto"/>
        </w:rPr>
      </w:pPr>
    </w:p>
    <w:p>
      <w:pPr>
        <w:ind w:left="600" w:right="1039" w:hanging="322"/>
        <w:spacing w:after="0" w:line="26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historical and projected operating expenses and expense ratio compared to business development companies with similar investment objectives, including expenses related to investment due diligence, travel and investigating and monitoring investments;</w:t>
      </w:r>
    </w:p>
    <w:p>
      <w:pPr>
        <w:spacing w:after="0" w:line="73" w:lineRule="exact"/>
        <w:rPr>
          <w:rFonts w:ascii="Arial" w:cs="Arial" w:eastAsia="Arial" w:hAnsi="Arial"/>
          <w:sz w:val="18"/>
          <w:szCs w:val="18"/>
          <w:color w:val="auto"/>
        </w:rPr>
      </w:pPr>
    </w:p>
    <w:p>
      <w:pPr>
        <w:ind w:left="600" w:right="539" w:hanging="322"/>
        <w:spacing w:after="0" w:line="26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existing and potential sources of indirect income to GSV Asset Management or GSV Capital Service Company from their relationships with us and the profitability of those relationships, including the Investment Advisory Agreement and the Administration Agreement;</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659" w:hanging="322"/>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such services under the Investment Advisory Agreement;</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GSV Asset Management and its affiliates;</w:t>
      </w:r>
    </w:p>
    <w:p>
      <w:pPr>
        <w:spacing w:after="0" w:line="117" w:lineRule="exact"/>
        <w:rPr>
          <w:rFonts w:ascii="Arial" w:cs="Arial" w:eastAsia="Arial" w:hAnsi="Arial"/>
          <w:sz w:val="18"/>
          <w:szCs w:val="18"/>
          <w:color w:val="auto"/>
        </w:rPr>
      </w:pPr>
    </w:p>
    <w:p>
      <w:pPr>
        <w:ind w:left="600" w:right="839" w:hanging="322"/>
        <w:spacing w:after="0" w:line="342"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GSV Asset Management’s practices regarding the selection and compensation of brokers that may execute our portfolio transactions and the brokers’ provision of brokerage and research services to GSV Asset Management; and</w:t>
      </w:r>
    </w:p>
    <w:p>
      <w:pPr>
        <w:spacing w:after="0" w:line="15" w:lineRule="exact"/>
        <w:rPr>
          <w:rFonts w:ascii="Arial" w:cs="Arial" w:eastAsia="Arial" w:hAnsi="Arial"/>
          <w:sz w:val="16"/>
          <w:szCs w:val="16"/>
          <w:color w:val="auto"/>
        </w:rPr>
      </w:pPr>
    </w:p>
    <w:p>
      <w:pPr>
        <w:ind w:left="600" w:right="1019" w:hanging="322"/>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62"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Based on the information reviewed and related discussions, the board of directors concluded that fees payable to GSV Asset Management pursuant to the Investment Advisory Agreement were reasonable in relation to the services to be provided. The board of directors did not assign relative weights to the above factors or the other factors considered by it. In addition, the board of directors did not reach any specific conclusion on each factor considered, but conducted an overall analysis of these factors. Individual members of the board of directors may have given different weights to different factors.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40" w:right="539" w:firstLine="270"/>
        <w:spacing w:after="0" w:line="284" w:lineRule="auto"/>
        <w:rPr>
          <w:sz w:val="20"/>
          <w:szCs w:val="20"/>
          <w:color w:val="auto"/>
        </w:rPr>
      </w:pPr>
      <w:r>
        <w:rPr>
          <w:rFonts w:ascii="Arial" w:cs="Arial" w:eastAsia="Arial" w:hAnsi="Arial"/>
          <w:sz w:val="16"/>
          <w:szCs w:val="16"/>
          <w:color w:val="auto"/>
        </w:rPr>
        <w:t>Pursuant to a separate Administration Agreement, GSV Capital Service Company, a Delaware limited liability company, furnishes us with office facilities, together with equipment and clerical, bookkeeping and record-keeping services at such facilities. The principal executive offices of GSV Capital Service Company are located at 2925 Woodside Road, Woodside, CA 94062. Under the Administration Agreement, GSV Capital Service Company also performs, or oversees the performance of, our required administrative services, which includes being responsible for the financial records which we are required to maintain and preparing reports to our stockholders and reports filed with the SEC. In addition, GSV Capital Service Company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Payments under the Administration Agreement are based upon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staff providing administrative services. In accordance with the terms of the Administration Agreement, overhead and other administrative expenses are generally allocated between us and GSV Asset Management by reference to the relative time spent by personnel in performing administrative and similar functions on our behalf as compared to performing investment advisory or administrative functions on behalf of GSV Asset Management. To the extent personnel retained by GSV Service Company perform administrative tasks for GSV Asset Management, the fees incurred with respect to the actual time dedicated to such tasks will be reimbursed by GSV Asset Management.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 Pursuant to its obligations under the Administration Agreement, GSV Capital Service Company has retained Carl Rizzo of Alaric Compliance Services LLC to serve as our Chief Compliance Officer. The Administration Agreement may be terminated by either party without penalty upon 60 days’ written notice to the other party, and upon a vote of a majority of our outstanding voting securities, or by the vote of our board of directors or by GSV Capital Service Company.</w:t>
      </w:r>
    </w:p>
    <w:p>
      <w:pPr>
        <w:spacing w:after="0" w:line="288"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The Administration Agreement provides that, absent willful misfeasance, bad faith or gross negligence in the performance of their respective duties or by reason of the reckless disregard of their respective duties and obligations, GSV Capital Service Company and its officers, manager,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Capital Service Company’s services under the Administration Agreement or otherwise as our administrator.</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firstLine="270"/>
        <w:spacing w:after="0" w:line="279" w:lineRule="auto"/>
        <w:rPr>
          <w:sz w:val="20"/>
          <w:szCs w:val="20"/>
          <w:color w:val="auto"/>
        </w:rPr>
      </w:pPr>
      <w:r>
        <w:rPr>
          <w:rFonts w:ascii="Arial" w:cs="Arial" w:eastAsia="Arial" w:hAnsi="Arial"/>
          <w:sz w:val="17"/>
          <w:szCs w:val="17"/>
          <w:color w:val="auto"/>
        </w:rPr>
        <w:t>GSV Capital Service Company also provides administrative services to our investment adviser, GSV Asset Management. As a result, GSV Asset Management also reimburses GSV Capital Service Company for its allocable portion of GSV Capital Service Company’s overhead, including rent, the fees and expenses associated with performing compliance functions for GSV Asset Management, and its allocable portion of the compensation of any administrative support staff.</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have entered into a license agreement with GSV Asset Management pursuant to which GSV Asset Management has agreed to grant us a non-exclusive, royalty-free license to use the name “GSV.” Under this agreement, we have a right to use the GSV name for so long as the Investment Advisory Agreement with GSV Asset Management is in effect. Other than with respect to this limited license, we will have no legal right to the “GSV” name.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A business development company is regulated by the 1940 Act. A business development company must be organized in the United States for the purpose of investing in or lending to primarily private companies and making significant managerial assistance available to them. A business development company may use capital provided by public stockholders and from other sources to make long-term, private investments in businesses. A business development company provides stockholders the ability to retain the liquidity of a publicly traded stock while sharing in the possible benefits, if any, of investing in primarily privately owned companies.</w:t>
      </w:r>
    </w:p>
    <w:p>
      <w:pPr>
        <w:spacing w:after="0" w:line="85"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We may not change the nature of our business so as to cease to be, or withdraw our election as, a business development company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85"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As with other companies regulated by the 1940 Act, a business development company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business development company. Furthermore, as a business development company,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70"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As a business development company,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80"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 — Risks Related to Our Business and Structure — Regulations governing our operation as a business development company affect our ability to, and the way in which we, raise additional capital, which may expose us to risks, including the typical risks associated with leverage.”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7"/>
          <w:szCs w:val="17"/>
          <w:color w:val="auto"/>
        </w:rPr>
        <w:t>As a business development company, we are generally limited in our ability to invest in any portfolio company in which our investment adviser, GSV Asset Management, or any of its affiliates currently has an investment or to make any co-investments with GSV Asset Management or its affiliates without an exemptive order from the SEC, subject to certain exceptions.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117"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As a business development company, we are subject to certain risks and uncertainties. See “Risk Factors — Risks Related to Our Business and Structure.”</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11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business development company’s gross assets. The principal categories of qualifying assets relevant to our business are the following:</w:t>
      </w:r>
    </w:p>
    <w:p>
      <w:pPr>
        <w:spacing w:after="0" w:line="79" w:lineRule="exact"/>
        <w:rPr>
          <w:sz w:val="20"/>
          <w:szCs w:val="20"/>
          <w:color w:val="auto"/>
        </w:rPr>
      </w:pPr>
    </w:p>
    <w:p>
      <w:pPr>
        <w:ind w:left="540" w:right="559" w:hanging="262"/>
        <w:spacing w:after="0" w:line="279"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3" w:lineRule="exact"/>
        <w:rPr>
          <w:rFonts w:ascii="Arial" w:cs="Arial" w:eastAsia="Arial" w:hAnsi="Arial"/>
          <w:sz w:val="17"/>
          <w:szCs w:val="17"/>
          <w:color w:val="auto"/>
        </w:rPr>
      </w:pPr>
    </w:p>
    <w:p>
      <w:pPr>
        <w:ind w:left="820" w:hanging="272"/>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820" w:right="759" w:hanging="272"/>
        <w:spacing w:after="0" w:line="264"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for certain exclusions under the 1940 Act; and</w:t>
      </w:r>
    </w:p>
    <w:p>
      <w:pPr>
        <w:spacing w:after="0" w:line="73" w:lineRule="exact"/>
        <w:rPr>
          <w:rFonts w:ascii="Arial" w:cs="Arial" w:eastAsia="Arial" w:hAnsi="Arial"/>
          <w:sz w:val="18"/>
          <w:szCs w:val="18"/>
          <w:color w:val="auto"/>
        </w:rPr>
      </w:pPr>
    </w:p>
    <w:p>
      <w:pPr>
        <w:ind w:left="820" w:hanging="272"/>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080" w:hanging="262"/>
        <w:spacing w:after="0"/>
        <w:tabs>
          <w:tab w:leader="none" w:pos="10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does not have any class of securities that is traded on a national securities exchange;</w:t>
      </w:r>
    </w:p>
    <w:p>
      <w:pPr>
        <w:spacing w:after="0" w:line="117" w:lineRule="exact"/>
        <w:rPr>
          <w:rFonts w:ascii="Arial" w:cs="Arial" w:eastAsia="Arial" w:hAnsi="Arial"/>
          <w:sz w:val="18"/>
          <w:szCs w:val="18"/>
          <w:color w:val="auto"/>
        </w:rPr>
      </w:pPr>
    </w:p>
    <w:p>
      <w:pPr>
        <w:ind w:left="1080" w:right="819" w:hanging="262"/>
        <w:spacing w:after="0" w:line="277" w:lineRule="auto"/>
        <w:tabs>
          <w:tab w:leader="none" w:pos="10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 million;</w:t>
      </w:r>
    </w:p>
    <w:p>
      <w:pPr>
        <w:spacing w:after="0" w:line="62" w:lineRule="exact"/>
        <w:rPr>
          <w:rFonts w:ascii="Arial" w:cs="Arial" w:eastAsia="Arial" w:hAnsi="Arial"/>
          <w:sz w:val="18"/>
          <w:szCs w:val="18"/>
          <w:color w:val="auto"/>
        </w:rPr>
      </w:pPr>
    </w:p>
    <w:p>
      <w:pPr>
        <w:ind w:left="1080" w:right="739" w:hanging="262"/>
        <w:spacing w:after="0" w:line="264" w:lineRule="auto"/>
        <w:tabs>
          <w:tab w:leader="none" w:pos="10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controlled by a business development company or a group of companies including a business development company and the business development company has an affiliated person who is a director of the eligible portfolio company;</w:t>
      </w:r>
    </w:p>
    <w:p>
      <w:pPr>
        <w:spacing w:after="0" w:line="73" w:lineRule="exact"/>
        <w:rPr>
          <w:rFonts w:ascii="Arial" w:cs="Arial" w:eastAsia="Arial" w:hAnsi="Arial"/>
          <w:sz w:val="18"/>
          <w:szCs w:val="18"/>
          <w:color w:val="auto"/>
        </w:rPr>
      </w:pPr>
    </w:p>
    <w:p>
      <w:pPr>
        <w:ind w:left="1080" w:right="659" w:hanging="262"/>
        <w:spacing w:after="0" w:line="277" w:lineRule="auto"/>
        <w:tabs>
          <w:tab w:leader="none" w:pos="10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a small and solvent company having gross assets of not more than $4.0 million and capital and surplus of not less than $2.0 million; or</w:t>
      </w:r>
    </w:p>
    <w:p>
      <w:pPr>
        <w:spacing w:after="0" w:line="62" w:lineRule="exact"/>
        <w:rPr>
          <w:rFonts w:ascii="Arial" w:cs="Arial" w:eastAsia="Arial" w:hAnsi="Arial"/>
          <w:sz w:val="18"/>
          <w:szCs w:val="18"/>
          <w:color w:val="auto"/>
        </w:rPr>
      </w:pPr>
    </w:p>
    <w:p>
      <w:pPr>
        <w:ind w:left="1080" w:hanging="262"/>
        <w:spacing w:after="0"/>
        <w:tabs>
          <w:tab w:leader="none" w:pos="10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meets such other criteria as may be established by the SEC.</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17" w:lineRule="exact"/>
        <w:rPr>
          <w:rFonts w:ascii="Arial" w:cs="Arial" w:eastAsia="Arial" w:hAnsi="Arial"/>
          <w:sz w:val="18"/>
          <w:szCs w:val="18"/>
          <w:color w:val="auto"/>
        </w:rPr>
      </w:pPr>
    </w:p>
    <w:p>
      <w:pPr>
        <w:ind w:left="540" w:right="759" w:hanging="262"/>
        <w:spacing w:after="0" w:line="279"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63" w:lineRule="exact"/>
        <w:rPr>
          <w:rFonts w:ascii="Arial" w:cs="Arial" w:eastAsia="Arial" w:hAnsi="Arial"/>
          <w:sz w:val="17"/>
          <w:szCs w:val="17"/>
          <w:color w:val="auto"/>
        </w:rPr>
      </w:pPr>
    </w:p>
    <w:p>
      <w:pPr>
        <w:ind w:left="540" w:right="559" w:hanging="26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color w:val="auto"/>
        </w:rPr>
      </w:pPr>
    </w:p>
    <w:p>
      <w:pPr>
        <w:ind w:left="540" w:right="559" w:hanging="26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62" w:lineRule="exact"/>
        <w:rPr>
          <w:rFonts w:ascii="Arial" w:cs="Arial" w:eastAsia="Arial" w:hAnsi="Arial"/>
          <w:sz w:val="18"/>
          <w:szCs w:val="18"/>
          <w:color w:val="auto"/>
        </w:rPr>
      </w:pPr>
    </w:p>
    <w:p>
      <w:pPr>
        <w:ind w:left="540" w:right="579" w:hanging="26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business development company, deferred organization and operating expenses, and other noninvestment assets necessary and appropriate to its operations as a business development company, until such time as 70% of our then current gross assets were comprised of qualifying assets. We would not be required, however, to dispose of any non-qualifying assets in such circumstances.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117" w:lineRule="exact"/>
        <w:rPr>
          <w:sz w:val="20"/>
          <w:szCs w:val="20"/>
          <w:color w:val="auto"/>
        </w:rPr>
      </w:pPr>
    </w:p>
    <w:p>
      <w:pPr>
        <w:ind w:left="40" w:right="579" w:firstLine="270"/>
        <w:spacing w:after="0" w:line="289"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above in Qualifying Assets. Further, business development companies generally must offer to make available to the issuer of the securities significant managerial assistance, except in circumstances where either (i) the business development company controls such issuer of securities or (ii) the business development company purchases such securities in conjunction with one or more other persons acting together and one of the other persons in the group makes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117"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GSV Asset Management will monitor the creditworthiness of the counterparties with which we enter into repurchase agreement transactions.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 and Options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Under the 1940 Act, a business development company is subject to restrictions on the amount of warrants, options, restricted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or rights to purchase shares of capital stock that it may have outstanding at any time. Under the 1940 Act, we may generally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only offer warrants provided that (i) the warrants expire by their terms within ten years, (ii) the exercise or conversion price is not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than the current market value at the date of issuance, (iii) our stockholders authorize the proposal to issue such warrants,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board of directors approves such issuance on the basis that the issuance is in the best interests of us and our stockholders and</w:t>
      </w:r>
    </w:p>
    <w:p>
      <w:pPr>
        <w:spacing w:after="0" w:line="32" w:lineRule="exact"/>
        <w:rPr>
          <w:sz w:val="20"/>
          <w:szCs w:val="20"/>
          <w:color w:val="auto"/>
        </w:rPr>
      </w:pPr>
    </w:p>
    <w:p>
      <w:pPr>
        <w:ind w:left="40" w:right="539" w:firstLine="8"/>
        <w:spacing w:after="0" w:line="252" w:lineRule="auto"/>
        <w:tabs>
          <w:tab w:leader="none" w:pos="3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business development company’s total outstanding shares of capital stock.</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Senior Securities</w:t>
      </w:r>
    </w:p>
    <w:p>
      <w:pPr>
        <w:spacing w:after="0" w:line="117"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Borrowings, such as the Convertible Senior Notes or the Credit Facility, can magnify the potential for gain or loss on amounts invested and may increase the risk of investing in us.”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 xml:space="preserve">We and GSV Asset Management have adopted a joint code of ethics pursuant to Rule 17j-1 under the 1940 Act. This code establishes procedures for personal investments and restricts certain personal securities transactions. Personnel subject to the code may invest in securities for their personal investment accounts so long as such investments are made in accordance with the code’s requirements. You may read and copy our code of ethics and our code of business conduct and ethics at the SEC’s Public Reference Room located at 100 F Street, NE, Washington, DC 20549. You may obtain information on the operation of the Public Reference Room by calling the SEC at 1-800-SEC-0330. In addition, our code of ethics and code of business conduct and ethics are available on the EDGAR Database on the SEC’s Internet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and is available on our corporate governance webpage at </w:t>
      </w:r>
      <w:r>
        <w:rPr>
          <w:rFonts w:ascii="Arial" w:cs="Arial" w:eastAsia="Arial" w:hAnsi="Arial"/>
          <w:sz w:val="17"/>
          <w:szCs w:val="17"/>
          <w:i w:val="1"/>
          <w:iCs w:val="1"/>
          <w:color w:val="auto"/>
        </w:rPr>
        <w:t>http://investors.gsvcap.com/governance</w:t>
      </w:r>
      <w:r>
        <w:rPr>
          <w:rFonts w:ascii="Arial" w:cs="Arial" w:eastAsia="Arial" w:hAnsi="Arial"/>
          <w:sz w:val="17"/>
          <w:szCs w:val="17"/>
          <w:color w:val="auto"/>
        </w:rPr>
        <w:t>.</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Compliance Policies and Procedures</w:t>
      </w:r>
    </w:p>
    <w:p>
      <w:pPr>
        <w:spacing w:after="0" w:line="117"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We and GSV Asset Management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Carl Rizzo currently serves as our Chief Compliance Officer.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Compliance with Corporate Governance Regulations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Sarbanes-Oxley Act imposes a wide variety of regulatory requirements on publicly held companies and their insiders.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Many of these requirements affect us. For example:</w:t>
      </w:r>
    </w:p>
    <w:p>
      <w:pPr>
        <w:spacing w:after="0" w:line="103" w:lineRule="exact"/>
        <w:rPr>
          <w:sz w:val="20"/>
          <w:szCs w:val="20"/>
          <w:color w:val="auto"/>
        </w:rPr>
      </w:pPr>
    </w:p>
    <w:p>
      <w:pPr>
        <w:ind w:left="600" w:right="91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62"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62" w:lineRule="exact"/>
        <w:rPr>
          <w:rFonts w:ascii="Arial" w:cs="Arial" w:eastAsia="Arial" w:hAnsi="Arial"/>
          <w:sz w:val="18"/>
          <w:szCs w:val="18"/>
          <w:color w:val="auto"/>
        </w:rPr>
      </w:pPr>
    </w:p>
    <w:p>
      <w:pPr>
        <w:jc w:val="both"/>
        <w:ind w:left="600" w:right="699" w:hanging="322"/>
        <w:spacing w:after="0" w:line="264"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and must obtain an audit of the effectiveness of internal control over financial reporting performed by our independent registered public accounting firm; and</w:t>
      </w:r>
    </w:p>
    <w:p>
      <w:pPr>
        <w:spacing w:after="0" w:line="73" w:lineRule="exact"/>
        <w:rPr>
          <w:rFonts w:ascii="Arial" w:cs="Arial" w:eastAsia="Arial" w:hAnsi="Arial"/>
          <w:sz w:val="18"/>
          <w:szCs w:val="18"/>
          <w:color w:val="auto"/>
        </w:rPr>
      </w:pPr>
    </w:p>
    <w:p>
      <w:pPr>
        <w:ind w:left="600" w:right="719" w:hanging="322"/>
        <w:spacing w:after="0" w:line="259"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9" w:lineRule="exact"/>
        <w:rPr>
          <w:sz w:val="20"/>
          <w:szCs w:val="20"/>
          <w:color w:val="auto"/>
        </w:rPr>
      </w:pPr>
    </w:p>
    <w:p>
      <w:pPr>
        <w:ind w:left="40" w:right="699" w:firstLine="270"/>
        <w:spacing w:after="0" w:line="312" w:lineRule="auto"/>
        <w:rPr>
          <w:sz w:val="20"/>
          <w:szCs w:val="20"/>
          <w:color w:val="auto"/>
        </w:rPr>
      </w:pPr>
      <w:r>
        <w:rPr>
          <w:rFonts w:ascii="Arial" w:cs="Arial" w:eastAsia="Arial" w:hAnsi="Arial"/>
          <w:sz w:val="16"/>
          <w:szCs w:val="16"/>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200" w:lineRule="exact"/>
        <w:rPr>
          <w:sz w:val="20"/>
          <w:szCs w:val="20"/>
          <w:color w:val="auto"/>
        </w:rPr>
      </w:pPr>
    </w:p>
    <w:p>
      <w:pPr>
        <w:spacing w:after="0" w:line="2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In addition, The Nasdaq Capital Market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We have delegated our proxy voting responsibility to GSV Asset Management. The Proxy Voting Policies and Procedures of GSV Asset Management are set forth below. The guidelines will be reviewed periodically by GSV Asset Management and our non-interested directors, and, accordingly, are subject to change. For purposes of these Proxy Voting Policies and Procedures described below, “we,” “our” and “us” refers to GSV Asset Management.</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73"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46"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Our proxy voting decisions will be made by the senior officers who are responsible for monitoring each of our clients’ investments. To ensure that our vote is not the product of a conflict of interest, we will require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in order to reduce any attempted influence from interested parties.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Chief Compliance Officer, GSV Asset Management, 2925 Woodside Road, Woodside, CA 94062.</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117"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left="40" w:right="919" w:firstLine="270"/>
        <w:spacing w:after="0" w:line="279" w:lineRule="auto"/>
        <w:rPr>
          <w:sz w:val="20"/>
          <w:szCs w:val="20"/>
          <w:color w:val="auto"/>
        </w:rPr>
      </w:pPr>
      <w:r>
        <w:rPr>
          <w:rFonts w:ascii="Arial" w:cs="Arial" w:eastAsia="Arial" w:hAnsi="Arial"/>
          <w:sz w:val="17"/>
          <w:szCs w:val="17"/>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63"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GSV Asset Management and its affiliates with a legitimate business need for the information. We will maintain physical, electronic and procedural safeguards designed to protect the non-public personal information of our stockholders.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40" w:right="679" w:firstLine="270"/>
        <w:spacing w:after="0" w:line="279" w:lineRule="auto"/>
        <w:rPr>
          <w:sz w:val="20"/>
          <w:szCs w:val="20"/>
          <w:color w:val="auto"/>
        </w:rPr>
      </w:pPr>
      <w:r>
        <w:rPr>
          <w:rFonts w:ascii="Arial" w:cs="Arial" w:eastAsia="Arial" w:hAnsi="Arial"/>
          <w:sz w:val="17"/>
          <w:szCs w:val="17"/>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The address of that site is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63" w:lineRule="exact"/>
        <w:rPr>
          <w:sz w:val="20"/>
          <w:szCs w:val="20"/>
          <w:color w:val="auto"/>
        </w:rPr>
      </w:pPr>
    </w:p>
    <w:p>
      <w:pPr>
        <w:ind w:left="40" w:right="779" w:firstLine="270"/>
        <w:spacing w:after="0" w:line="302"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i w:val="1"/>
          <w:iCs w:val="1"/>
          <w:color w:val="auto"/>
        </w:rPr>
        <w:t>www.gsvcap.com</w:t>
      </w:r>
      <w:r>
        <w:rPr>
          <w:rFonts w:ascii="Arial" w:cs="Arial" w:eastAsia="Arial" w:hAnsi="Arial"/>
          <w:sz w:val="16"/>
          <w:szCs w:val="16"/>
          <w:color w:val="auto"/>
        </w:rPr>
        <w:t>. We make available free of charge on our website our annual report on Form 10-K, quarterly reports on Form 10-Q, current reports on Form 8-K and amendments to those reports as soon as reasonably practicable after we electronically file such material with, or furnish it to, the SEC. The information on our website is not incorporated by reference into this annual report on Form 10-K unless specifically so incorporated by reference herein.</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The following discussion is a general summary of certain material U.S. federal income tax considerations relating to our qualification and taxation as a RIC under subchapter M of the Code, and the acquisition, ownership and disposition of our common stock. This summary does not purport to be a complete description of the income tax considerations applicable to such an investment. For example, we have not described all of the tax consequences that may be relevant to certain types of holders subject to special treatment under U.S. federal income tax laws, including stockholders subject to the alternative minimum tax, tax-exempt organizations, insurance companies, dealers in securities, traders in securities that elect to use a mark-to-market method of accounting for their securities holdings, pension plans and trusts, and financial institutions. This summary is limited to beneficial owners of our common stock that will hold such common stock as capital assets (within the meaning of the Code). The discussion is based upon the Code, Treasury regulations, and administrative and judicial interpretations, each as of the date of this annual report on Form 10-K and all of which are subject to change, possibly retroactively, which could affect the continuing validity of this discussion.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80" w:lineRule="exact"/>
        <w:rPr>
          <w:sz w:val="20"/>
          <w:szCs w:val="20"/>
          <w:color w:val="auto"/>
        </w:rPr>
      </w:pPr>
    </w:p>
    <w:p>
      <w:pPr>
        <w:ind w:left="40" w:right="639" w:firstLine="270"/>
        <w:spacing w:after="0" w:line="302" w:lineRule="auto"/>
        <w:rPr>
          <w:sz w:val="20"/>
          <w:szCs w:val="20"/>
          <w:color w:val="auto"/>
        </w:rPr>
      </w:pPr>
      <w:r>
        <w:rPr>
          <w:rFonts w:ascii="Arial" w:cs="Arial" w:eastAsia="Arial" w:hAnsi="Arial"/>
          <w:sz w:val="16"/>
          <w:szCs w:val="16"/>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46"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If a partnership (including an entity treated as a partnership for U.S. federal income tax purposes) holds the shares of our common stock, the tax treatment of a partner in the partnership generally will depend upon the status of the partner, the activities of the partnership and certain determinations made at the partner level. Investors treated as a partnership for U.S. federal income tax purposes (or investors that are partners in such a partnership), are encouraged to consult with their own tax advisers with respect to the tax consequences relating to the acquisition, ownership and disposition of our common stock.</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“U.S. stockholder” generally is a beneficial owner of common stock who is for U.S. federal income tax purposes:</w:t>
      </w:r>
    </w:p>
    <w:p>
      <w:pPr>
        <w:spacing w:after="0" w:line="117"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17" w:lineRule="exact"/>
        <w:rPr>
          <w:rFonts w:ascii="Arial" w:cs="Arial" w:eastAsia="Arial" w:hAnsi="Arial"/>
          <w:sz w:val="18"/>
          <w:szCs w:val="18"/>
          <w:color w:val="auto"/>
        </w:rPr>
      </w:pPr>
    </w:p>
    <w:p>
      <w:pPr>
        <w:ind w:left="600" w:right="599" w:hanging="322"/>
        <w:spacing w:after="0" w:line="286"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thereof or the District of Columbia (and an entity organized outside of the United States that is treated as a U.S. corporation under specialized sections of the Code);</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639" w:hanging="322"/>
        <w:spacing w:after="0" w:line="264"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if a court within the United States has primary supervision over its administration and one or more U.S. persons have the authority to control all of its substantive decisions, or if the trust has a valid election in effect under the applicable U.S. Treasury regulations to be treated as a U.S. person); or</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17"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As used herein, the term “Non-U.S. stockholder” means a beneficial owner of common stock that is not a U.S. stockholder or a partnership for U.S. federal income tax purposes. A “Non-U.S. stockholder” does not include an individual present in the United States for 183 days or more in the taxable year of disposition of the common stock. Such a stockholder is encouraged to consult his or her own tax adviser regarding U.S. federal income tax consequences of the sale, exchange or other taxable disposition of the common stock.</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Election to be Taxed as a RIC</w:t>
      </w:r>
    </w:p>
    <w:p>
      <w:pPr>
        <w:spacing w:after="0" w:line="117"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We have elected to be treated as a RIC under the Code for the 2014 taxable year, have qualified to be treated as a RIC for the 2015 taxable year and expect to continue to operate in a manner so as to qualify for the tax treatment applicable to RICs. So long as we qualify and maintain our status as a RIC, we generally will not pay corporate-level U.S. federal and state income taxes on any ordinary income or capital gains that we distribute at least annually to our stockholders as dividends. Rather, any tax liability related to income earned by us as a RIC will represent obligations of our investors and will not be reflected in our consolidated financial statements. Included in our consolidated financial statements, the following wholly-owned subsidiaries are taxable subsidiaries (collectively, the “GSVC Holdings”), regardless of whether we are a RIC: GSVC AE Holdings, Inc., GSVC AV Holdings, Inc., GSVC NG Holdings, Inc., GSVC SW Holdings, Inc., GSVC WS Holdings, Inc., SPNPM Holdings LLC, and GSVC SVDS Holdings, Inc.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75"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For the fiscal year ended 2012, however, we failed to satisfy certain tests required for us to qualify as a RIC under the Code, and were therefore subject to corporate-level U.S. federal income tax. In September 2014, we filed our 2013 tax return as a RIC and sought to be granted RIC status for our 2013 taxable year; however, we determined we would not be eligible to elect to be treated as a RIC for the 2013 taxable year unless we were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We have not received such SEC Certification for our 2013 taxable year; however, in September 2015, we determined it was in the best interests of our stockholders to file the 2013 tax return as a C corporation.</w:t>
      </w:r>
    </w:p>
    <w:p>
      <w:pPr>
        <w:spacing w:after="0" w:line="71" w:lineRule="exact"/>
        <w:rPr>
          <w:sz w:val="20"/>
          <w:szCs w:val="20"/>
          <w:color w:val="auto"/>
        </w:rPr>
      </w:pPr>
    </w:p>
    <w:p>
      <w:pPr>
        <w:ind w:left="40" w:right="579" w:firstLine="270"/>
        <w:spacing w:after="0" w:line="293" w:lineRule="auto"/>
        <w:rPr>
          <w:sz w:val="20"/>
          <w:szCs w:val="20"/>
          <w:color w:val="auto"/>
        </w:rPr>
      </w:pPr>
      <w:r>
        <w:rPr>
          <w:rFonts w:ascii="Arial" w:cs="Arial" w:eastAsia="Arial" w:hAnsi="Arial"/>
          <w:sz w:val="16"/>
          <w:szCs w:val="16"/>
          <w:color w:val="auto"/>
        </w:rPr>
        <w:t>We evaluate tax positions taken or expected to be taken in the course of preparing our consolidated financial statements to determine whether the tax positions are “more-likely-than-not” of being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California.</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Taxation as a Regulated Investment Company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we:</w:t>
      </w:r>
    </w:p>
    <w:p>
      <w:pPr>
        <w:spacing w:after="0" w:line="117"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17" w:lineRule="exact"/>
        <w:rPr>
          <w:sz w:val="20"/>
          <w:szCs w:val="20"/>
          <w:color w:val="auto"/>
        </w:rPr>
      </w:pPr>
    </w:p>
    <w:p>
      <w:pPr>
        <w:ind w:left="40" w:right="659"/>
        <w:spacing w:after="0" w:line="264" w:lineRule="auto"/>
        <w:rPr>
          <w:sz w:val="20"/>
          <w:szCs w:val="20"/>
          <w:color w:val="auto"/>
        </w:rPr>
      </w:pPr>
      <w:r>
        <w:rPr>
          <w:rFonts w:ascii="Arial" w:cs="Arial" w:eastAsia="Arial" w:hAnsi="Arial"/>
          <w:sz w:val="18"/>
          <w:szCs w:val="18"/>
          <w:color w:val="auto"/>
        </w:rPr>
        <w:t>then the following rules will apply to us. We will not be subject to U.S. federal income tax on the portion of our income we distribute (or are deemed to distribute) to stockholders. We will be subject to U.S. federal income tax at the regular corporate rates on any income, including capital gains not distributed (or deemed distributed) to our stockholders.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will be subject to a 4% nondeductible U.S. federal excise tax on certain undistributed income unless we distribute in a timely manner an amount at least equal to the sum of (1) 98% of our net ordinary income for each calendar year, (2) 98.2% of our capital gains in excess of capital losses for the one-year period ending October 31 in that calendar year and (3) any ordinary income and net capital gains for preceding years that were not distributed during such preceding years (the “Excise Tax Avoidance Requirement”). We generally will endeavor in each year to make sufficient distributions to our stockholders to avoid any U.S. federal excise tax on our earnings.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order to qualify as a RIC for U.S. federal income tax purposes, we must, among other things:</w:t>
      </w:r>
    </w:p>
    <w:p>
      <w:pPr>
        <w:spacing w:after="0" w:line="117" w:lineRule="exact"/>
        <w:rPr>
          <w:sz w:val="20"/>
          <w:szCs w:val="20"/>
          <w:color w:val="auto"/>
        </w:rPr>
      </w:pPr>
    </w:p>
    <w:p>
      <w:pPr>
        <w:ind w:left="600" w:right="91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in effect an election to be treated as a business development company under the 1940 Act at all times during each taxable year;</w:t>
      </w:r>
    </w:p>
    <w:p>
      <w:pPr>
        <w:spacing w:after="0" w:line="62" w:lineRule="exact"/>
        <w:rPr>
          <w:rFonts w:ascii="Arial" w:cs="Arial" w:eastAsia="Arial" w:hAnsi="Arial"/>
          <w:sz w:val="18"/>
          <w:szCs w:val="18"/>
          <w:color w:val="auto"/>
        </w:rPr>
      </w:pPr>
    </w:p>
    <w:p>
      <w:pPr>
        <w:ind w:left="600" w:right="719" w:hanging="322"/>
        <w:spacing w:after="0" w:line="259"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loans of certain securities, gains from the sale of stock or other securities or foreign currencies, net income from certain “qualified publicly traded partnerships,” or other income derived with respect to our business of investing in such stock or securities (the “90% Income Test”); and</w:t>
      </w:r>
    </w:p>
    <w:p>
      <w:pPr>
        <w:spacing w:after="0" w:line="78"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ind w:left="880" w:right="579" w:hanging="332"/>
        <w:spacing w:after="0" w:line="286" w:lineRule="auto"/>
        <w:tabs>
          <w:tab w:leader="none" w:pos="8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7" w:lineRule="exact"/>
        <w:rPr>
          <w:rFonts w:ascii="Arial" w:cs="Arial" w:eastAsia="Arial" w:hAnsi="Arial"/>
          <w:sz w:val="17"/>
          <w:szCs w:val="17"/>
          <w:color w:val="auto"/>
        </w:rPr>
      </w:pPr>
    </w:p>
    <w:p>
      <w:pPr>
        <w:ind w:left="880" w:right="679" w:hanging="332"/>
        <w:spacing w:after="0" w:line="259"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7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Provided that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such discrepancy is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 quarter for purposes of applying the rule described in the preceding sentence, assuming that it is not the first quarter of RIC qualification.</w:t>
      </w:r>
    </w:p>
    <w:p>
      <w:pPr>
        <w:spacing w:after="0" w:line="74" w:lineRule="exact"/>
        <w:rPr>
          <w:sz w:val="20"/>
          <w:szCs w:val="20"/>
          <w:color w:val="auto"/>
        </w:rPr>
      </w:pPr>
    </w:p>
    <w:p>
      <w:pPr>
        <w:ind w:left="40" w:right="699" w:firstLine="270"/>
        <w:spacing w:after="0" w:line="291" w:lineRule="auto"/>
        <w:rPr>
          <w:sz w:val="20"/>
          <w:szCs w:val="20"/>
          <w:color w:val="auto"/>
        </w:rPr>
      </w:pPr>
      <w:r>
        <w:rPr>
          <w:rFonts w:ascii="Arial" w:cs="Arial" w:eastAsia="Arial" w:hAnsi="Arial"/>
          <w:sz w:val="16"/>
          <w:szCs w:val="16"/>
          <w:color w:val="auto"/>
        </w:rPr>
        <w:t>An alternative 50% Diversification Test applies to certain RICs that obtain SEC Certification for the applicable taxable year. Such SEC Certification may not be received earlier than 60 days prior to the close of the taxable year to which it applies. If a RIC has received this certification, then, for purposes of the 50% Diversification Test, securities of an issuer will be treated as good investments as long as the RIC’s basis in the securities of such issuer did not exceed 5% of the RIC’s total assets when acquired whether or not the RIC owns more than 10% of the voting securities of such issuer. This alternative test does not apply to the securities of any issuer if the RIC has continuously held securities of the issuer for 10 or more years preceding the applicable quarter end. The 25% Diversification Test is not affected by this alternative 50% Diversification Test.</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As a result of converting from a C corporation to a RIC, we are required to pay a corporate-level U.S. federal income tax on the net amount of the net built-in gains, if any, in our assets (</w:t>
      </w:r>
      <w:r>
        <w:rPr>
          <w:rFonts w:ascii="Arial" w:cs="Arial" w:eastAsia="Arial" w:hAnsi="Arial"/>
          <w:sz w:val="18"/>
          <w:szCs w:val="18"/>
          <w:i w:val="1"/>
          <w:iCs w:val="1"/>
          <w:color w:val="auto"/>
        </w:rPr>
        <w:t>i.e.</w:t>
      </w:r>
      <w:r>
        <w:rPr>
          <w:rFonts w:ascii="Arial" w:cs="Arial" w:eastAsia="Arial" w:hAnsi="Arial"/>
          <w:sz w:val="18"/>
          <w:szCs w:val="18"/>
          <w:color w:val="auto"/>
        </w:rPr>
        <w:t>, the amount by which the net fair market value of our assets exceeds our net adjusted basis in our assets) as of the date of conversion (</w:t>
      </w:r>
      <w:r>
        <w:rPr>
          <w:rFonts w:ascii="Arial" w:cs="Arial" w:eastAsia="Arial" w:hAnsi="Arial"/>
          <w:sz w:val="18"/>
          <w:szCs w:val="18"/>
          <w:i w:val="1"/>
          <w:iCs w:val="1"/>
          <w:color w:val="auto"/>
        </w:rPr>
        <w:t>i.e.</w:t>
      </w:r>
      <w:r>
        <w:rPr>
          <w:rFonts w:ascii="Arial" w:cs="Arial" w:eastAsia="Arial" w:hAnsi="Arial"/>
          <w:sz w:val="18"/>
          <w:szCs w:val="18"/>
          <w:color w:val="auto"/>
        </w:rPr>
        <w:t>, January 1, 2014) to the extent that such gains are recognized by us during the applicable recognition period, which is the five-year period (or shorter applicable period) beginning on the date of conversion.</w:t>
      </w:r>
    </w:p>
    <w:p>
      <w:pPr>
        <w:spacing w:after="0" w:line="80"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Any corporate-level built-in gain tax is payable at the time the built-in gains are recognized (which generally will be the years in which the built-in gain assets are sold in a taxable transaction). The amount of this tax will vary depending on the assets that are actually sold by us in the applicable period, the amount of realized gain (loss), the actual amount of net built-in gain or loss present in those assets as of the date of conversion, and the effective tax rates at such times. The payment of any such corporate-level U.S. federal income tax on built-in gain will be an expense that will reduce the amount available for distribution to our stockholders. The built-in gain tax is calculated by determining a RIC’s net unrealized built-in gains, if any, by which the fair market value of the assets of the RIC at the beginning of the first RIC-year exceeds the aggregate adjusted basis of such assets at that time.</w:t>
      </w:r>
    </w:p>
    <w:p>
      <w:pPr>
        <w:spacing w:after="0" w:line="59"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6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81"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71"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Maintain our Qualification as a RIC</w:t>
      </w:r>
    </w:p>
    <w:p>
      <w:pPr>
        <w:spacing w:after="0" w:line="117"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73"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(or shorter applicable period), unless we made a special election to pay corporate-level U.S. federal income tax on such built-in gain at the time of our requalification as a RIC.</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i w:val="1"/>
          <w:iCs w:val="1"/>
          <w:color w:val="auto"/>
        </w:rPr>
        <w:t>Investing in our securities involves a number of significant risks. In addition to the other information contained in this annual report on Form 10-K,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Investments</w:t>
      </w:r>
    </w:p>
    <w:p>
      <w:pPr>
        <w:spacing w:after="0" w:line="158" w:lineRule="exact"/>
        <w:rPr>
          <w:sz w:val="20"/>
          <w:szCs w:val="20"/>
          <w:color w:val="auto"/>
        </w:rPr>
      </w:pPr>
    </w:p>
    <w:p>
      <w:pPr>
        <w:ind w:left="40" w:right="1319"/>
        <w:spacing w:after="0" w:line="282" w:lineRule="auto"/>
        <w:rPr>
          <w:sz w:val="20"/>
          <w:szCs w:val="20"/>
          <w:color w:val="auto"/>
        </w:rPr>
      </w:pPr>
      <w:r>
        <w:rPr>
          <w:rFonts w:ascii="Arial" w:cs="Arial" w:eastAsia="Arial" w:hAnsi="Arial"/>
          <w:sz w:val="18"/>
          <w:szCs w:val="18"/>
          <w:b w:val="1"/>
          <w:bCs w:val="1"/>
          <w:color w:val="auto"/>
        </w:rPr>
        <w:t>Our investments in the rapidly growing venture-capital-backed emerging companies that we are targeting may be extremely risky and we could lose all or part of our investments.</w:t>
      </w:r>
    </w:p>
    <w:p>
      <w:pPr>
        <w:spacing w:after="0" w:line="58"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Investment in the rapidly growing venture-capital-backed emerging companies that we are targeting involves a number of significant risks, including the following:</w:t>
      </w:r>
    </w:p>
    <w:p>
      <w:pPr>
        <w:spacing w:after="0" w:line="62" w:lineRule="exact"/>
        <w:rPr>
          <w:sz w:val="20"/>
          <w:szCs w:val="20"/>
          <w:color w:val="auto"/>
        </w:rPr>
      </w:pPr>
    </w:p>
    <w:p>
      <w:pPr>
        <w:ind w:left="600" w:right="559" w:hanging="322"/>
        <w:spacing w:after="0" w:line="286"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57" w:lineRule="exact"/>
        <w:rPr>
          <w:rFonts w:ascii="Arial" w:cs="Arial" w:eastAsia="Arial" w:hAnsi="Arial"/>
          <w:sz w:val="17"/>
          <w:szCs w:val="17"/>
          <w:color w:val="auto"/>
        </w:rPr>
      </w:pPr>
    </w:p>
    <w:p>
      <w:pPr>
        <w:jc w:val="both"/>
        <w:ind w:left="600" w:right="919" w:hanging="322"/>
        <w:spacing w:after="0" w:line="286"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57" w:lineRule="exact"/>
        <w:rPr>
          <w:rFonts w:ascii="Arial" w:cs="Arial" w:eastAsia="Arial" w:hAnsi="Arial"/>
          <w:sz w:val="17"/>
          <w:szCs w:val="17"/>
          <w:color w:val="auto"/>
        </w:rPr>
      </w:pPr>
    </w:p>
    <w:p>
      <w:pPr>
        <w:ind w:left="600" w:right="899" w:hanging="322"/>
        <w:spacing w:after="0" w:line="312"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38" w:lineRule="exact"/>
        <w:rPr>
          <w:rFonts w:ascii="Arial" w:cs="Arial" w:eastAsia="Arial" w:hAnsi="Arial"/>
          <w:sz w:val="16"/>
          <w:szCs w:val="16"/>
          <w:color w:val="auto"/>
        </w:rPr>
      </w:pPr>
    </w:p>
    <w:p>
      <w:pPr>
        <w:ind w:left="600" w:right="539" w:hanging="322"/>
        <w:spacing w:after="0" w:line="293"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because they are typically privately owned, there is generally little publicly available information about these businesses; therefore, although GSV Asset Management’s agents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 and</w:t>
      </w:r>
    </w:p>
    <w:p>
      <w:pPr>
        <w:spacing w:after="0" w:line="56" w:lineRule="exact"/>
        <w:rPr>
          <w:rFonts w:ascii="Arial" w:cs="Arial" w:eastAsia="Arial" w:hAnsi="Arial"/>
          <w:sz w:val="16"/>
          <w:szCs w:val="16"/>
          <w:color w:val="auto"/>
        </w:rPr>
      </w:pPr>
    </w:p>
    <w:p>
      <w:pPr>
        <w:ind w:left="600" w:right="639" w:hanging="322"/>
        <w:spacing w:after="0" w:line="264"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sz w:val="20"/>
          <w:szCs w:val="20"/>
          <w:color w:val="auto"/>
        </w:rPr>
      </w:pPr>
    </w:p>
    <w:p>
      <w:pPr>
        <w:ind w:left="40" w:right="559" w:firstLine="270"/>
        <w:spacing w:after="0" w:line="279" w:lineRule="auto"/>
        <w:rPr>
          <w:sz w:val="20"/>
          <w:szCs w:val="20"/>
          <w:color w:val="auto"/>
        </w:rPr>
      </w:pPr>
      <w:r>
        <w:rPr>
          <w:rFonts w:ascii="Arial" w:cs="Arial" w:eastAsia="Arial" w:hAnsi="Arial"/>
          <w:sz w:val="17"/>
          <w:szCs w:val="17"/>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86" w:lineRule="exact"/>
        <w:rPr>
          <w:sz w:val="20"/>
          <w:szCs w:val="20"/>
          <w:color w:val="auto"/>
        </w:rPr>
      </w:pPr>
    </w:p>
    <w:p>
      <w:pPr>
        <w:ind w:left="40" w:right="599"/>
        <w:spacing w:after="0" w:line="282" w:lineRule="auto"/>
        <w:rPr>
          <w:sz w:val="20"/>
          <w:szCs w:val="20"/>
          <w:color w:val="auto"/>
        </w:rPr>
      </w:pPr>
      <w:r>
        <w:rPr>
          <w:rFonts w:ascii="Arial" w:cs="Arial" w:eastAsia="Arial" w:hAnsi="Arial"/>
          <w:sz w:val="18"/>
          <w:szCs w:val="18"/>
          <w:b w:val="1"/>
          <w:bCs w:val="1"/>
          <w:color w:val="auto"/>
        </w:rPr>
        <w:t>Because our investments are generally not in publicly traded securities, there will be uncertainty regarding the value of our investments, which could adversely affect the determination of our net asset value.</w:t>
      </w:r>
    </w:p>
    <w:p>
      <w:pPr>
        <w:spacing w:after="0" w:line="58" w:lineRule="exact"/>
        <w:rPr>
          <w:sz w:val="20"/>
          <w:szCs w:val="20"/>
          <w:color w:val="auto"/>
        </w:rPr>
      </w:pPr>
    </w:p>
    <w:p>
      <w:pPr>
        <w:jc w:val="both"/>
        <w:ind w:left="40" w:right="759" w:firstLine="270"/>
        <w:spacing w:after="0" w:line="264" w:lineRule="auto"/>
        <w:rPr>
          <w:sz w:val="20"/>
          <w:szCs w:val="20"/>
          <w:color w:val="auto"/>
        </w:rPr>
      </w:pPr>
      <w:r>
        <w:rPr>
          <w:rFonts w:ascii="Arial" w:cs="Arial" w:eastAsia="Arial" w:hAnsi="Arial"/>
          <w:sz w:val="18"/>
          <w:szCs w:val="18"/>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84" w:lineRule="auto"/>
        <w:rPr>
          <w:sz w:val="20"/>
          <w:szCs w:val="20"/>
          <w:color w:val="auto"/>
        </w:rPr>
      </w:pPr>
      <w:r>
        <w:rPr>
          <w:rFonts w:ascii="Arial" w:cs="Arial" w:eastAsia="Arial" w:hAnsi="Arial"/>
          <w:sz w:val="16"/>
          <w:szCs w:val="16"/>
          <w:color w:val="auto"/>
        </w:rPr>
        <w:t>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Valuation Committee in accordance with our written valuation policy. In connection with that determination, members of GSV Asset Management’s portfolio management team will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Valuation Committee takes into account in providing its fair value recommendation to the board of directors with respect to such non-traded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where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securities based on an overstated net asset value would pay a higher price than the value of our investments might warrant. Conversely, investors selling securities during a period in which the net asset value understates the value of our investments will receive a lower price for their securities than the value of our investments might warrant.</w:t>
      </w:r>
    </w:p>
    <w:p>
      <w:pPr>
        <w:spacing w:after="0" w:line="313" w:lineRule="exact"/>
        <w:rPr>
          <w:sz w:val="20"/>
          <w:szCs w:val="20"/>
          <w:color w:val="auto"/>
        </w:rPr>
      </w:pPr>
    </w:p>
    <w:p>
      <w:pPr>
        <w:ind w:left="40" w:right="779"/>
        <w:spacing w:after="0" w:line="266" w:lineRule="auto"/>
        <w:rPr>
          <w:sz w:val="20"/>
          <w:szCs w:val="20"/>
          <w:color w:val="auto"/>
        </w:rPr>
      </w:pPr>
      <w:r>
        <w:rPr>
          <w:rFonts w:ascii="Arial" w:cs="Arial" w:eastAsia="Arial" w:hAnsi="Arial"/>
          <w:sz w:val="18"/>
          <w:szCs w:val="18"/>
          <w:b w:val="1"/>
          <w:bCs w:val="1"/>
          <w:color w:val="auto"/>
        </w:rPr>
        <w:t>We may not realize gains from our equity investments and, because certain of our portfolio companies may incur substantial debt to finance their operations, we may experience a complete loss on our equity investment in the event of a bankruptcy or liquidation of any of our portfolio companies.</w:t>
      </w:r>
    </w:p>
    <w:p>
      <w:pPr>
        <w:spacing w:after="0" w:line="72" w:lineRule="exact"/>
        <w:rPr>
          <w:sz w:val="20"/>
          <w:szCs w:val="20"/>
          <w:color w:val="auto"/>
        </w:rPr>
      </w:pPr>
    </w:p>
    <w:p>
      <w:pPr>
        <w:ind w:left="40" w:right="779" w:firstLine="270"/>
        <w:spacing w:after="0" w:line="297" w:lineRule="auto"/>
        <w:rPr>
          <w:sz w:val="20"/>
          <w:szCs w:val="20"/>
          <w:color w:val="auto"/>
        </w:rPr>
      </w:pPr>
      <w:r>
        <w:rPr>
          <w:rFonts w:ascii="Arial" w:cs="Arial" w:eastAsia="Arial" w:hAnsi="Arial"/>
          <w:sz w:val="16"/>
          <w:szCs w:val="16"/>
          <w:color w:val="auto"/>
        </w:rPr>
        <w:t>We invest principally in the equity and equity-related securities of what we believe to be rapidly growing venture-capital-backed emerging companies. However, the equity interests we acquire may not appreciate in value and, in fact, may decline in value. During the year ended December 31, 2015, we wrote-off our investment in New Zoom, Inc., with a cost of $260,476, and recognized a complete loss as a result of its bankruptcy. We also recognized significant write-downs on our investments in Totus Solutions, Inc., DailyBreak, Inc., and the rSmart Group, Inc. during the year ended December 31, 2015.</w:t>
      </w:r>
    </w:p>
    <w:p>
      <w:pPr>
        <w:spacing w:after="0" w:line="50"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In addition, the private company securities we acquire are often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599"/>
        <w:spacing w:after="0" w:line="282" w:lineRule="auto"/>
        <w:rPr>
          <w:sz w:val="20"/>
          <w:szCs w:val="20"/>
          <w:color w:val="auto"/>
        </w:rPr>
      </w:pPr>
      <w:r>
        <w:rPr>
          <w:rFonts w:ascii="Arial" w:cs="Arial" w:eastAsia="Arial" w:hAnsi="Arial"/>
          <w:sz w:val="18"/>
          <w:szCs w:val="18"/>
          <w:b w:val="1"/>
          <w:bCs w:val="1"/>
          <w:color w:val="auto"/>
        </w:rPr>
        <w:t>Most of our portfolio companies are currently experiencing operating losses, which may be substantial, and there can be no assurance when or if such companies will operate at a profit.</w:t>
      </w:r>
    </w:p>
    <w:p>
      <w:pPr>
        <w:spacing w:after="0" w:line="58"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We have limited information about the financial performance and profitability of some of our portfolio companies. While according to public filings with the SEC, certain of our portfolio companies have earned net income in recent periods, we believe that many of our portfolio companies are currently experiencing operating losses. There can be no assurance when or if such companies will operate at a profit.</w:t>
      </w:r>
    </w:p>
    <w:p>
      <w:pPr>
        <w:spacing w:after="0" w:line="115" w:lineRule="exact"/>
        <w:rPr>
          <w:sz w:val="20"/>
          <w:szCs w:val="20"/>
          <w:color w:val="auto"/>
        </w:rPr>
      </w:pPr>
    </w:p>
    <w:p>
      <w:pPr>
        <w:ind w:left="40" w:right="1199"/>
        <w:spacing w:after="0" w:line="282" w:lineRule="auto"/>
        <w:rPr>
          <w:sz w:val="20"/>
          <w:szCs w:val="20"/>
          <w:color w:val="auto"/>
        </w:rPr>
      </w:pPr>
      <w:r>
        <w:rPr>
          <w:rFonts w:ascii="Arial" w:cs="Arial" w:eastAsia="Arial" w:hAnsi="Arial"/>
          <w:sz w:val="18"/>
          <w:szCs w:val="18"/>
          <w:b w:val="1"/>
          <w:bCs w:val="1"/>
          <w:color w:val="auto"/>
        </w:rPr>
        <w:t>The lack of liquidity in, and potentially extended holding period of, our many investments may adversely affect our business, and will delay any distributions of gains, if any.</w:t>
      </w:r>
    </w:p>
    <w:p>
      <w:pPr>
        <w:spacing w:after="0" w:line="58"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 significantly less than the value at which we have previously recorded our investments. We have no limitation on the portion of our portfolio that may be invested in illiquid securities, and a substantial portion or all of our portfolio may be invested in such illiquid securities from time to time.</w:t>
      </w:r>
    </w:p>
    <w:p>
      <w:pPr>
        <w:spacing w:after="0" w:line="70"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01" w:lineRule="exact"/>
        <w:rPr>
          <w:sz w:val="20"/>
          <w:szCs w:val="20"/>
          <w:color w:val="auto"/>
        </w:rPr>
      </w:pPr>
    </w:p>
    <w:p>
      <w:pPr>
        <w:jc w:val="both"/>
        <w:ind w:left="40" w:right="759"/>
        <w:spacing w:after="0" w:line="266" w:lineRule="auto"/>
        <w:rPr>
          <w:sz w:val="20"/>
          <w:szCs w:val="20"/>
          <w:color w:val="auto"/>
        </w:rPr>
      </w:pPr>
      <w:r>
        <w:rPr>
          <w:rFonts w:ascii="Arial" w:cs="Arial" w:eastAsia="Arial" w:hAnsi="Arial"/>
          <w:sz w:val="18"/>
          <w:szCs w:val="18"/>
          <w:b w:val="1"/>
          <w:bCs w:val="1"/>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72"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2015, 52.90% of our net asset value was comprised of investments in 6 portfolio companies.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Our financial results could be negatively affected if a significant portfolio investment fails to perform as expected.</w:t>
      </w:r>
    </w:p>
    <w:p>
      <w:pPr>
        <w:spacing w:after="0" w:line="133"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Our total investment in companies may be significant individually or in the aggregate.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positions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139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4"/>
                <w:szCs w:val="14"/>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8"/>
              </w:rPr>
              <w:t>Asset Value</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Data Analysis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17,198,903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56,353,248</w:t>
            </w:r>
          </w:p>
        </w:tc>
        <w:tc>
          <w:tcPr>
            <w:tcW w:w="90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Dropbox, Inc.</w:t>
            </w: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Online Storage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13,656,926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22,232,188</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Social Communication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14,271,866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18,525,884</w:t>
            </w:r>
          </w:p>
        </w:tc>
        <w:tc>
          <w:tcPr>
            <w:tcW w:w="9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Spotify Technology S.A.</w:t>
            </w: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Online Music Streaming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13,599,572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16,219,700</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Coursera, Inc.</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14,519,519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14,435,486</w:t>
            </w:r>
          </w:p>
        </w:tc>
        <w:tc>
          <w:tcPr>
            <w:tcW w:w="9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Solexel, Inc.</w:t>
            </w: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Solar Power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14,018,399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14,027,466</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PayNearMe, Inc.</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Electronic Payment System</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14,000,398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13,974,887</w:t>
            </w:r>
          </w:p>
        </w:tc>
        <w:tc>
          <w:tcPr>
            <w:tcW w:w="9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Lyft, Inc.</w:t>
            </w: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Peer to Peer Ridesharing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7,507,216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13,969,366</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Declara, Inc.</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Social Cognitive Learning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11,999,999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11,999,999</w:t>
            </w:r>
          </w:p>
        </w:tc>
        <w:tc>
          <w:tcPr>
            <w:tcW w:w="9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General Assembly Space, Inc.</w:t>
            </w: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Education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5,999,961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11,521,372</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126,772,759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193,259,596</w:t>
            </w:r>
          </w:p>
        </w:tc>
        <w:tc>
          <w:tcPr>
            <w:tcW w:w="90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0" w:lineRule="exact"/>
        <w:rPr>
          <w:sz w:val="20"/>
          <w:szCs w:val="20"/>
          <w:color w:val="auto"/>
        </w:rPr>
      </w:pPr>
    </w:p>
    <w:p>
      <w:pPr>
        <w:ind w:left="60" w:right="539"/>
        <w:spacing w:after="0" w:line="313" w:lineRule="auto"/>
        <w:rPr>
          <w:sz w:val="20"/>
          <w:szCs w:val="20"/>
          <w:color w:val="auto"/>
        </w:rPr>
      </w:pPr>
      <w:r>
        <w:rPr>
          <w:rFonts w:ascii="Arial" w:cs="Arial" w:eastAsia="Arial" w:hAnsi="Arial"/>
          <w:sz w:val="17"/>
          <w:szCs w:val="17"/>
          <w:b w:val="1"/>
          <w:bCs w:val="1"/>
          <w:color w:val="auto"/>
        </w:rPr>
        <w:t>Technology-related sectors in which we invest are subject to many risks, including volatility, intense competition, decreasing life cycles, product obsolescence, changing consumer preferences and periodic downturns.</w:t>
      </w:r>
    </w:p>
    <w:p>
      <w:pPr>
        <w:spacing w:after="0" w:line="34" w:lineRule="exact"/>
        <w:rPr>
          <w:sz w:val="20"/>
          <w:szCs w:val="20"/>
          <w:color w:val="auto"/>
        </w:rPr>
      </w:pPr>
    </w:p>
    <w:p>
      <w:pPr>
        <w:ind w:left="60" w:right="539" w:firstLine="270"/>
        <w:spacing w:after="0" w:line="271" w:lineRule="auto"/>
        <w:rPr>
          <w:sz w:val="20"/>
          <w:szCs w:val="20"/>
          <w:color w:val="auto"/>
        </w:rPr>
      </w:pPr>
      <w:r>
        <w:rPr>
          <w:rFonts w:ascii="Arial" w:cs="Arial" w:eastAsia="Arial" w:hAnsi="Arial"/>
          <w:sz w:val="17"/>
          <w:szCs w:val="17"/>
          <w:color w:val="auto"/>
        </w:rPr>
        <w:t>Given the experience of GSV Asset Management’s senior investment professionals within the technology space, we expect that a number of the companies with respect to which we invest will operate in technology-related sectors. The revenues,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equity securities that we may hold. This could, in turn, materially adversely affect our business, financial condition and results of operations.</w:t>
      </w:r>
    </w:p>
    <w:p>
      <w:pPr>
        <w:spacing w:after="0" w:line="107" w:lineRule="exact"/>
        <w:rPr>
          <w:sz w:val="20"/>
          <w:szCs w:val="20"/>
          <w:color w:val="auto"/>
        </w:rPr>
      </w:pPr>
    </w:p>
    <w:p>
      <w:pPr>
        <w:ind w:left="60" w:right="1039"/>
        <w:spacing w:after="0" w:line="282" w:lineRule="auto"/>
        <w:rPr>
          <w:sz w:val="20"/>
          <w:szCs w:val="20"/>
          <w:color w:val="auto"/>
        </w:rPr>
      </w:pPr>
      <w:r>
        <w:rPr>
          <w:rFonts w:ascii="Arial" w:cs="Arial" w:eastAsia="Arial" w:hAnsi="Arial"/>
          <w:sz w:val="18"/>
          <w:szCs w:val="18"/>
          <w:b w:val="1"/>
          <w:bCs w:val="1"/>
          <w:color w:val="auto"/>
        </w:rPr>
        <w:t>We may be limited in our ability to make follow-on investments, and our failure to make follow-on investments in our portfolio companies could impair the value of our portfolio.</w:t>
      </w:r>
    </w:p>
    <w:p>
      <w:pPr>
        <w:spacing w:after="0" w:line="58" w:lineRule="exact"/>
        <w:rPr>
          <w:sz w:val="20"/>
          <w:szCs w:val="20"/>
          <w:color w:val="auto"/>
        </w:rPr>
      </w:pPr>
    </w:p>
    <w:p>
      <w:pPr>
        <w:ind w:left="60" w:right="699" w:firstLine="270"/>
        <w:spacing w:after="0" w:line="259"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79" w:lineRule="exact"/>
        <w:rPr>
          <w:sz w:val="20"/>
          <w:szCs w:val="20"/>
          <w:color w:val="auto"/>
        </w:rPr>
      </w:pPr>
    </w:p>
    <w:p>
      <w:pPr>
        <w:ind w:left="60" w:right="619" w:firstLine="270"/>
        <w:spacing w:after="0" w:line="290" w:lineRule="auto"/>
        <w:rPr>
          <w:sz w:val="20"/>
          <w:szCs w:val="20"/>
          <w:color w:val="auto"/>
        </w:rPr>
      </w:pPr>
      <w:r>
        <w:rPr>
          <w:rFonts w:ascii="Arial" w:cs="Arial" w:eastAsia="Arial" w:hAnsi="Arial"/>
          <w:sz w:val="16"/>
          <w:szCs w:val="16"/>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qualify to maintain our status as RIC or lack access to the desired follow-on investment opportunity.</w:t>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In addition, we may be unable to complete follow-on investments in our portfolio companies that have conducted an IPO as a result of regulatory or financial restrictions.</w:t>
      </w:r>
    </w:p>
    <w:p>
      <w:pPr>
        <w:spacing w:after="0" w:line="85" w:lineRule="exact"/>
        <w:rPr>
          <w:sz w:val="20"/>
          <w:szCs w:val="20"/>
          <w:color w:val="auto"/>
        </w:rPr>
      </w:pPr>
    </w:p>
    <w:p>
      <w:pPr>
        <w:jc w:val="both"/>
        <w:ind w:left="40" w:right="619"/>
        <w:spacing w:after="0" w:line="266" w:lineRule="auto"/>
        <w:rPr>
          <w:sz w:val="20"/>
          <w:szCs w:val="20"/>
          <w:color w:val="auto"/>
        </w:rPr>
      </w:pPr>
      <w:r>
        <w:rPr>
          <w:rFonts w:ascii="Arial" w:cs="Arial" w:eastAsia="Arial" w:hAnsi="Arial"/>
          <w:sz w:val="18"/>
          <w:szCs w:val="18"/>
          <w:b w:val="1"/>
          <w:b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72"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stockholders, and may therefore suffer a decrease in the value of our investments.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Investments in foreign companies may involve significant risks in addition to the risks inherent in U.S. investments.</w:t>
      </w:r>
    </w:p>
    <w:p>
      <w:pPr>
        <w:spacing w:after="0" w:line="133"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While we invest primarily in U.S. companies, we may invest on an opportunistic basis in certain non-U.S. companies, including those located in emerging markets, that otherwise meet our investment criteria. In regards to the regulatory requirements for business development companies,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 current gross assets were comprised of qualifying assets. We would not be required, however, to dispose of any non-qualifying assets in such circumstances. In addition,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73"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121" w:lineRule="exact"/>
        <w:rPr>
          <w:sz w:val="20"/>
          <w:szCs w:val="20"/>
          <w:color w:val="auto"/>
        </w:rPr>
      </w:pPr>
    </w:p>
    <w:p>
      <w:pPr>
        <w:ind w:left="40" w:right="699" w:firstLine="270"/>
        <w:spacing w:after="0" w:line="293"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72" w:lineRule="auto"/>
        <w:rPr>
          <w:sz w:val="20"/>
          <w:szCs w:val="20"/>
          <w:color w:val="auto"/>
        </w:rPr>
      </w:pPr>
      <w:r>
        <w:rPr>
          <w:rFonts w:ascii="Arial" w:cs="Arial" w:eastAsia="Arial" w:hAnsi="Arial"/>
          <w:sz w:val="17"/>
          <w:szCs w:val="17"/>
          <w:color w:val="auto"/>
        </w:rPr>
        <w:t>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Any failure on our part to maintain our status as a business development company would reduce our operating flexibility.</w:t>
      </w:r>
    </w:p>
    <w:p>
      <w:pPr>
        <w:spacing w:after="0" w:line="144"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The 1940 Act imposes numerous constraints on the operations of business development companies. For example, business development companies are required to invest at least 70% of their gross assets in specified types of securities, primarily in private companies or thinly-traded U.S. public companies, cash, cash equivalents, U.S. government securities and other high quality debt investments that mature in one year or less. Furthermore, any failure to comply with the requirements imposed on business development companies by the 1940 Act could cause the SEC to bring an enforcement action against us and/or expose us to claims of private litigants. In addition, upon approval of a majority of our stockholders, we may elect to withdraw our status as a business development company. If we decide to withdraw our election, or if we otherwise fail to qualify, or maintain our qualification, to be treated as a business development company, we may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06" w:lineRule="exact"/>
        <w:rPr>
          <w:sz w:val="20"/>
          <w:szCs w:val="20"/>
          <w:color w:val="auto"/>
        </w:rPr>
      </w:pPr>
    </w:p>
    <w:p>
      <w:pPr>
        <w:ind w:left="40" w:right="659"/>
        <w:spacing w:after="0" w:line="261" w:lineRule="auto"/>
        <w:rPr>
          <w:sz w:val="20"/>
          <w:szCs w:val="20"/>
          <w:color w:val="auto"/>
        </w:rPr>
      </w:pPr>
      <w:r>
        <w:rPr>
          <w:rFonts w:ascii="Arial" w:cs="Arial" w:eastAsia="Arial" w:hAnsi="Arial"/>
          <w:sz w:val="18"/>
          <w:szCs w:val="18"/>
          <w:b w:val="1"/>
          <w:bCs w:val="1"/>
          <w:color w:val="auto"/>
        </w:rPr>
        <w:t>We are dependent upon GSV Asset Management’s investment professionals for our future success, particularly Michael T. Moe, Mark W. Flynn, William Tanona, Luben Pampoulov and Matthew Hanson. If we lose any of GSV Asset Management’s senior investment professionals, our ability to implement our business strategy could be significantly harmed.</w:t>
      </w:r>
    </w:p>
    <w:p>
      <w:pPr>
        <w:spacing w:after="0" w:line="76" w:lineRule="exact"/>
        <w:rPr>
          <w:sz w:val="20"/>
          <w:szCs w:val="20"/>
          <w:color w:val="auto"/>
        </w:rPr>
      </w:pPr>
    </w:p>
    <w:p>
      <w:pPr>
        <w:jc w:val="both"/>
        <w:ind w:left="40" w:right="1119" w:firstLine="270"/>
        <w:spacing w:after="0" w:line="297" w:lineRule="auto"/>
        <w:rPr>
          <w:sz w:val="20"/>
          <w:szCs w:val="20"/>
          <w:color w:val="auto"/>
        </w:rPr>
      </w:pPr>
      <w:r>
        <w:rPr>
          <w:rFonts w:ascii="Arial" w:cs="Arial" w:eastAsia="Arial" w:hAnsi="Arial"/>
          <w:sz w:val="16"/>
          <w:szCs w:val="16"/>
          <w:color w:val="auto"/>
        </w:rPr>
        <w:t>We depend on the diligence, skill and network of business contacts of the GSV Asset Management’s senior investment professionals. These senior investment professionals, together with other investment professionals employed by GSV Asset Management, evaluate, negotiate, structure, close, monitor and service our investments. Our future success will depend to a significant extent on the continued service and coordination of GSV Asset Management’s senior investment professionals, particularly Michael T. Moe, Mark W. Flynn, William Tanona, Luben Pampoulov and Matthew Hanson.</w:t>
      </w:r>
    </w:p>
    <w:p>
      <w:pPr>
        <w:spacing w:after="0" w:line="50" w:lineRule="exact"/>
        <w:rPr>
          <w:sz w:val="20"/>
          <w:szCs w:val="20"/>
          <w:color w:val="auto"/>
        </w:rPr>
      </w:pPr>
    </w:p>
    <w:p>
      <w:pPr>
        <w:ind w:left="40" w:right="579" w:firstLine="270"/>
        <w:spacing w:after="0" w:line="288" w:lineRule="auto"/>
        <w:rPr>
          <w:sz w:val="20"/>
          <w:szCs w:val="20"/>
          <w:color w:val="auto"/>
        </w:rPr>
      </w:pPr>
      <w:r>
        <w:rPr>
          <w:rFonts w:ascii="Arial" w:cs="Arial" w:eastAsia="Arial" w:hAnsi="Arial"/>
          <w:sz w:val="16"/>
          <w:szCs w:val="16"/>
          <w:color w:val="auto"/>
        </w:rPr>
        <w:t>All of GSV Asset Management’s senior investment professionals, including Michael T. Moe, Mark W. Flynn, William Tanona, Luben Pampoulov and Matthew Hanson, are at-will employees. As a result, although Messrs. Moe, Flynn, Tanona, Pampoulov and Hanson comprise the principals of GSV Asset Management, they are free to terminate their employment with GSV Asset Management at any time. In addition, none of GSV Asset Management’s senior investment professionals, including Messrs. Moe, Flynn, Tanona, Pampoulov and Hanson, are subject to any non-compete agreements that would restrict their ability to provide investment advisory services to an entity with an investment objective similar to our own in the event they were to terminate their employment with GSV Asset Management, or if GSV Asset Management were to no longer serve as our investment adviser. There can be no assurance that GSV Asset Management will be successful in retaining its senior investment professionals, including Messrs. Moe, Flynn, Tanona, Pampoulov and Hanson. The departure of any of Messrs. Moe, Flynn, Tanona, Pampoulov or Hanson could have a material adverse effect on our ability to achieve our investment objective.</w:t>
      </w:r>
    </w:p>
    <w:p>
      <w:pPr>
        <w:spacing w:after="0" w:line="61"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Our growth will require that GSV Asset Management retain and attract new investment and administrative personnel in a competitive market. Its ability to attract and retain personnel with the requisite credentials, experience and skills will depend on several factors including, but not limited to, its ability to offer competitive wages, benefits and professional growth opportunities. Many of the entities with which</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color w:val="auto"/>
        </w:rPr>
        <w:t>GSV Asset Management will compete for experienced personnel, including investment funds (such as private equity funds and mezzanine funds) and traditional financial services companies, will have greater resources than it.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financial condition and results of operations will depend on our ability to achieve our investment objective.</w:t>
      </w:r>
    </w:p>
    <w:p>
      <w:pPr>
        <w:spacing w:after="0" w:line="133"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Our ability to achieve our investment objective will depend on GSV Asset Management’s ability to identify, analyze and invest in companies that meet our investment criteria. Accomplishing this result on a cost-effective basis is largely a function of GSV Asset Management’s structuring of the investment process and its ability to provide competent, attentive and efficient services to us. We seek a specified number of investments in rapidly growing venture-capital-backed emerging companies, which may be extremely risky. There can be no assurance that GSV Asset Management will be successful in identifying and investing in companies that meet our investment criteria, or that we will achieve our investment objective.</w:t>
      </w:r>
    </w:p>
    <w:p>
      <w:pPr>
        <w:spacing w:after="0" w:line="70"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In addition to monitoring the performance of our existing investments, GSV Asset Management is required to offer, and may be called upon, to provide, managerial assistance to some of our portfolio companies. GSV Asset Management also currently manages GSV X Fund, the Coursera Funds and serves as sub-adviser to the GSV Ventures Funds, and may manage in the future one or more additional vehicles with similar or alternative investment strategies. These demands on their time may distract them or slow the rate of investment.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any inability to successfully operate our business or implement our investment policies and strategies as described herein, could adversely impact our ability to pay dividends.</w:t>
      </w:r>
    </w:p>
    <w:p>
      <w:pPr>
        <w:spacing w:after="0" w:line="106" w:lineRule="exact"/>
        <w:rPr>
          <w:sz w:val="20"/>
          <w:szCs w:val="20"/>
          <w:color w:val="auto"/>
        </w:rPr>
      </w:pPr>
    </w:p>
    <w:p>
      <w:pPr>
        <w:ind w:left="40" w:right="1419"/>
        <w:spacing w:after="0" w:line="282" w:lineRule="auto"/>
        <w:rPr>
          <w:sz w:val="20"/>
          <w:szCs w:val="20"/>
          <w:color w:val="auto"/>
        </w:rPr>
      </w:pPr>
      <w:r>
        <w:rPr>
          <w:rFonts w:ascii="Arial" w:cs="Arial" w:eastAsia="Arial" w:hAnsi="Arial"/>
          <w:sz w:val="18"/>
          <w:szCs w:val="18"/>
          <w:b w:val="1"/>
          <w:bCs w:val="1"/>
          <w:color w:val="auto"/>
        </w:rPr>
        <w:t>We will likely experience fluctuations in our quarterly results and we may be unable to replicate past investment opportunities or make the types of investments we have made to date in future periods.</w:t>
      </w:r>
    </w:p>
    <w:p>
      <w:pPr>
        <w:spacing w:after="0" w:line="58"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We will likely experience fluctuations in our quarterly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2015,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95" w:lineRule="exact"/>
        <w:rPr>
          <w:sz w:val="20"/>
          <w:szCs w:val="20"/>
          <w:color w:val="auto"/>
        </w:rPr>
      </w:pPr>
    </w:p>
    <w:p>
      <w:pPr>
        <w:ind w:left="40" w:right="799"/>
        <w:spacing w:after="0" w:line="282" w:lineRule="auto"/>
        <w:rPr>
          <w:sz w:val="20"/>
          <w:szCs w:val="20"/>
          <w:color w:val="auto"/>
        </w:rPr>
      </w:pPr>
      <w:r>
        <w:rPr>
          <w:rFonts w:ascii="Arial" w:cs="Arial" w:eastAsia="Arial" w:hAnsi="Arial"/>
          <w:sz w:val="18"/>
          <w:szCs w:val="18"/>
          <w:b w:val="1"/>
          <w:bCs w:val="1"/>
          <w:color w:val="auto"/>
        </w:rPr>
        <w:t>Our business model depends upon the development and maintenance of strong referral relationships with private equity, venture capital funds and investment banking firms.</w:t>
      </w:r>
    </w:p>
    <w:p>
      <w:pPr>
        <w:spacing w:after="0" w:line="58" w:lineRule="exact"/>
        <w:rPr>
          <w:sz w:val="20"/>
          <w:szCs w:val="20"/>
          <w:color w:val="auto"/>
        </w:rPr>
      </w:pPr>
    </w:p>
    <w:p>
      <w:pPr>
        <w:ind w:left="40" w:right="639" w:firstLine="270"/>
        <w:spacing w:after="0" w:line="254" w:lineRule="auto"/>
        <w:rPr>
          <w:sz w:val="20"/>
          <w:szCs w:val="20"/>
          <w:color w:val="auto"/>
        </w:rPr>
      </w:pPr>
      <w:r>
        <w:rPr>
          <w:rFonts w:ascii="Arial" w:cs="Arial" w:eastAsia="Arial" w:hAnsi="Arial"/>
          <w:sz w:val="18"/>
          <w:szCs w:val="18"/>
          <w:color w:val="auto"/>
        </w:rPr>
        <w:t>We are substantially dependent on our informal relationships, which we use to help identify and gain access to investment opportunities. If we fail to maintain our relationships with key firms, or if we fail to establish strong referral relationships with other firms or other sources of investment opportunities, we will not be able to grow our portfolio of equity investments and achieve our investment objective. In addition, persons with whom we have informal relationships are not obligated to inform us of investment opportunities, and therefore such relationships may not lead to the origination of equity or other investments. Any loss or diminishment of such relationships could effectively reduce our ability to identify attractive portfolio companies that meet our investment criteria, either for direct equity investments or for investments through private secondary market transactions or other secondary transactions.</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There are significant potential risks relating to investing in securities traded on private secondary marketplaces.</w:t>
      </w:r>
    </w:p>
    <w:p>
      <w:pPr>
        <w:spacing w:after="0" w:line="133"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have utilized and expect to continue to utilize private secondary marketplaces, such as SharesPost, Inc. and the NASDAQ Private Market, LLC, to acquire investments in our portfolio. When we purchase secondary shares, we may have little or no direct access to financial or other information from these portfolio companies. As a result, we are dependent upon the relationships and contacts of GSV Asset Management’s senior investment professionals and our board of directors to obtain the information for GSV Asset Management to perform research and due diligence, and to monitor our investments after they are made. There can be no assurance that GSV Asset Management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70"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cause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59"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16" w:lineRule="exact"/>
        <w:rPr>
          <w:sz w:val="20"/>
          <w:szCs w:val="20"/>
          <w:color w:val="auto"/>
        </w:rPr>
      </w:pPr>
    </w:p>
    <w:p>
      <w:pPr>
        <w:ind w:left="40" w:right="1399"/>
        <w:spacing w:after="0" w:line="282" w:lineRule="auto"/>
        <w:rPr>
          <w:sz w:val="20"/>
          <w:szCs w:val="20"/>
          <w:color w:val="auto"/>
        </w:rPr>
      </w:pPr>
      <w:r>
        <w:rPr>
          <w:rFonts w:ascii="Arial" w:cs="Arial" w:eastAsia="Arial" w:hAnsi="Arial"/>
          <w:sz w:val="18"/>
          <w:szCs w:val="18"/>
          <w:b w:val="1"/>
          <w:bCs w:val="1"/>
          <w:color w:val="auto"/>
        </w:rPr>
        <w:t>Due to transfer restrictions and the illiquid nature of our investments, we may not be able to purchase or sell our investments when we wish to do so.</w:t>
      </w:r>
    </w:p>
    <w:p>
      <w:pPr>
        <w:spacing w:after="0" w:line="58" w:lineRule="exact"/>
        <w:rPr>
          <w:sz w:val="20"/>
          <w:szCs w:val="20"/>
          <w:color w:val="auto"/>
        </w:rPr>
      </w:pPr>
    </w:p>
    <w:p>
      <w:pPr>
        <w:ind w:left="40" w:right="739" w:firstLine="270"/>
        <w:spacing w:after="0" w:line="270" w:lineRule="auto"/>
        <w:rPr>
          <w:sz w:val="20"/>
          <w:szCs w:val="20"/>
          <w:color w:val="auto"/>
        </w:rPr>
      </w:pPr>
      <w:r>
        <w:rPr>
          <w:rFonts w:ascii="Arial" w:cs="Arial" w:eastAsia="Arial" w:hAnsi="Arial"/>
          <w:sz w:val="17"/>
          <w:szCs w:val="17"/>
          <w:color w:val="auto"/>
        </w:rPr>
        <w:t>Most of our investments are or will be in equity or equity-related securities of privately held companies. The securities we acquire in private companies are typically subject to contractual transfer limitations, which may include prohibitions on transfer without the company’s consent may require that shares owned by us be held in escrow and may include provisions in company charter documents, investor rights of first refusal and co-sale and/or employment or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54" w:lineRule="auto"/>
        <w:rPr>
          <w:sz w:val="20"/>
          <w:szCs w:val="20"/>
          <w:color w:val="auto"/>
        </w:rPr>
      </w:pPr>
      <w:r>
        <w:rPr>
          <w:rFonts w:ascii="Arial" w:cs="Arial" w:eastAsia="Arial" w:hAnsi="Arial"/>
          <w:sz w:val="18"/>
          <w:szCs w:val="18"/>
          <w:color w:val="auto"/>
        </w:rPr>
        <w:t>as well as other contractual obligations, such as co-sale or tag-along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84"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85" w:lineRule="exact"/>
        <w:rPr>
          <w:sz w:val="20"/>
          <w:szCs w:val="20"/>
          <w:color w:val="auto"/>
        </w:rPr>
      </w:pPr>
    </w:p>
    <w:p>
      <w:pPr>
        <w:ind w:left="40" w:right="859" w:firstLine="270"/>
        <w:spacing w:after="0" w:line="302" w:lineRule="auto"/>
        <w:rPr>
          <w:sz w:val="20"/>
          <w:szCs w:val="20"/>
          <w:color w:val="auto"/>
        </w:rPr>
      </w:pPr>
      <w:r>
        <w:rPr>
          <w:rFonts w:ascii="Arial" w:cs="Arial" w:eastAsia="Arial" w:hAnsi="Arial"/>
          <w:sz w:val="16"/>
          <w:szCs w:val="16"/>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daily basis, depending on many factors, including the status of the private secondary markets and our particular portfolio at any given time.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There are significant potential risks associated with investing in venture capital companies with complex capital structures.</w:t>
      </w:r>
    </w:p>
    <w:p>
      <w:pPr>
        <w:spacing w:after="0" w:line="144"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invest primarily in what we believe to be rapidly growing venture-capital-backed emerging companies, either through private secondary transactions, other secondary transactions or direct investments in companies. Such private companies frequently have much more complex capital structures than traditional publicly 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Although we believe that GSV Asset Management’s senior investment professionals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103" w:lineRule="exact"/>
        <w:rPr>
          <w:sz w:val="20"/>
          <w:szCs w:val="20"/>
          <w:color w:val="auto"/>
        </w:rPr>
      </w:pPr>
    </w:p>
    <w:p>
      <w:pPr>
        <w:ind w:left="40" w:right="679"/>
        <w:spacing w:after="0" w:line="282" w:lineRule="auto"/>
        <w:rPr>
          <w:sz w:val="20"/>
          <w:szCs w:val="20"/>
          <w:color w:val="auto"/>
        </w:rPr>
      </w:pPr>
      <w:r>
        <w:rPr>
          <w:rFonts w:ascii="Arial" w:cs="Arial" w:eastAsia="Arial" w:hAnsi="Arial"/>
          <w:sz w:val="18"/>
          <w:szCs w:val="18"/>
          <w:b w:val="1"/>
          <w:bCs w:val="1"/>
          <w:color w:val="auto"/>
        </w:rPr>
        <w:t>Our business is subject to increasingly complex corporate governance, public disclosure and accounting requirements that are costly and could adversely affect our business and financial results.</w:t>
      </w:r>
    </w:p>
    <w:p>
      <w:pPr>
        <w:spacing w:after="0" w:line="58"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On July 21, 2010, the Dodd-Frank Act was enacted. There are significant corporate governance and executive compensation-related provisions in the Dodd-Frank Act, and the SEC has adopted, and will continue to adopt, additional rules and regulations that may impact us. Our efforts to comply with these requirements have resulted in, and are likely to continue to result in, an increase in expenses and a diversion of management’s time from other business activities.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In addition, our failure to keep pace with such rules, or for our management to appropriately address compliance with such rules fully and in a timely manner, exposes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result in our ability to operate our business in the ordinary course or may subject us to potential fines, regulatory findings or other matters that may materially impact our business.</w:t>
      </w:r>
    </w:p>
    <w:p>
      <w:pPr>
        <w:spacing w:after="0" w:line="50"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87" w:lineRule="exact"/>
        <w:rPr>
          <w:sz w:val="20"/>
          <w:szCs w:val="20"/>
          <w:color w:val="auto"/>
        </w:rPr>
      </w:pPr>
    </w:p>
    <w:p>
      <w:pPr>
        <w:ind w:left="40" w:right="779"/>
        <w:spacing w:after="0" w:line="314" w:lineRule="auto"/>
        <w:rPr>
          <w:sz w:val="20"/>
          <w:szCs w:val="20"/>
          <w:color w:val="auto"/>
        </w:rPr>
      </w:pPr>
      <w:r>
        <w:rPr>
          <w:rFonts w:ascii="Arial" w:cs="Arial" w:eastAsia="Arial" w:hAnsi="Arial"/>
          <w:sz w:val="16"/>
          <w:szCs w:val="16"/>
          <w:b w:val="1"/>
          <w:bCs w:val="1"/>
          <w:color w:val="auto"/>
        </w:rPr>
        <w:t>Capital markets may experience periods of disruption and instability and we cannot predict when these conditions will occur. Such market conditions could materially and adversely affect debt and equity capital markets in the United States and abroad, which could have a negative impact on our business, financial condition and results of operations.</w:t>
      </w:r>
    </w:p>
    <w:p>
      <w:pPr>
        <w:spacing w:after="0" w:line="38"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As a business development company, we must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73"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While market conditions have largely recovered from the events of 2008 and 2009, there have been continuing periods of volatility, some lasting longer than others. For example, in the latter half of 2015 and continuing through the date of this annual report, economic uncertainty and market volatility in China and geopolitical unrest in the Middle East, combined with continued volatility of oil prices, among other factors, have caused disruption in the capital markets, including the markets in which we participate. There can be no assurance these market conditions will not continue or worsen in the future.</w:t>
      </w:r>
    </w:p>
    <w:p>
      <w:pPr>
        <w:spacing w:after="0" w:line="75"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Equity capital may be difficult to raise during periods of adverse or volatile market conditions because, subject to some limited exceptions, as a business development company, we are generally not able to issue additional shares of our common stock at a price less than net asset value without first obtaining approval for such issuance from our stockholders and our independent directors.</w:t>
      </w:r>
    </w:p>
    <w:p>
      <w:pPr>
        <w:spacing w:after="0" w:line="39"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Volatility and dislocation in the capital markets can also create a challenging environment in which to raise or access debt capital. The reappearance of market conditions similar to those experienced from 2008 through 2009 for any substantial length of time could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w:t>
      </w:r>
    </w:p>
    <w:p>
      <w:pPr>
        <w:spacing w:after="0" w:line="84"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Significant changes or volatility in the capital markets may also have a negative effect on the valuations of our investments. Significant changes in the capital markets may also affect the pace of our investment activity and the potential for liquidity events involving our investments. Thus, the illiquidity of our investments may make it difficult for us to sell such investments to access capital if required, and as a result, we could realize significantly less than the value at which we have recorded our investments if we were</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059"/>
        <w:spacing w:after="0" w:line="277" w:lineRule="auto"/>
        <w:rPr>
          <w:sz w:val="20"/>
          <w:szCs w:val="20"/>
          <w:color w:val="auto"/>
        </w:rPr>
      </w:pPr>
      <w:r>
        <w:rPr>
          <w:rFonts w:ascii="Arial" w:cs="Arial" w:eastAsia="Arial" w:hAnsi="Arial"/>
          <w:sz w:val="18"/>
          <w:szCs w:val="18"/>
          <w:color w:val="auto"/>
        </w:rPr>
        <w:t>required to sell them for liquidity purposes. An inability to raise or access capital could have a material adverse effect on our business, financial condition or results of operations.</w:t>
      </w:r>
    </w:p>
    <w:p>
      <w:pPr>
        <w:spacing w:after="0" w:line="85" w:lineRule="exact"/>
        <w:rPr>
          <w:sz w:val="20"/>
          <w:szCs w:val="20"/>
          <w:color w:val="auto"/>
        </w:rPr>
      </w:pPr>
    </w:p>
    <w:p>
      <w:pPr>
        <w:ind w:left="40" w:right="999"/>
        <w:spacing w:after="0" w:line="347" w:lineRule="auto"/>
        <w:rPr>
          <w:sz w:val="20"/>
          <w:szCs w:val="20"/>
          <w:color w:val="auto"/>
        </w:rPr>
      </w:pPr>
      <w:r>
        <w:rPr>
          <w:rFonts w:ascii="Arial" w:cs="Arial" w:eastAsia="Arial" w:hAnsi="Arial"/>
          <w:sz w:val="16"/>
          <w:szCs w:val="16"/>
          <w:b w:val="1"/>
          <w:bCs w:val="1"/>
          <w:color w:val="auto"/>
        </w:rPr>
        <w:t>Uncertainty about the financial stability of the United States and of several countries in the European Union (EU) and China could have a significant adverse effect on our business, financial condition and results of operations.</w:t>
      </w:r>
    </w:p>
    <w:p>
      <w:pPr>
        <w:spacing w:after="0" w:line="12"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on August 5, 2011. Further, Moody’s and Fitch had warned that they may downgrade the federal government’s credit rating. Further downgrades or warnings by S&amp;P or other rating agencies, and the United States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pacing w:after="0" w:line="70"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In 2010, a financial crisis emerged in Europe, triggered by high budget deficits and rising direct and contingent sovereign debt in Greece, Ireland, Italy, Portugal and Spain, which created concerns about the ability of these nations to continue to service their sovereign debt obligations. While the financial stability of many of such countries has improved significantly, risks resulting from any future debt crisis in Europe or any similar crisis could have a detrimental impact on the global economic recovery, sovereign and non-sovereign debt in these countries and the financial condition of European financial institutions. In July and August 2015, Greece reached agreements with its international creditors for bailouts that provide aid in exchange for austerity terms that had previously been rejected by Greek voters. Market and economic disruptions have affected, and may in the future affect, consumer confidence levels and spending, personal bankruptcy rates, levels of incurrence and default on consumer debt and home prices, among other factors. We cannot assure you that market disruptions in Europe,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w:t>
      </w:r>
    </w:p>
    <w:p>
      <w:pPr>
        <w:spacing w:after="0" w:line="67"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In the second quarter of 2015, stock prices in China experienced a significant drop, resulting primarily from continued sell-off of shares trading in Chinese markets. In August 2015, Chinese authorities sharply devalued China’s currency. These market and economic disruptions affected, and may in the future affect, the U.S. capital markets, which could adversely affect our business.</w:t>
      </w:r>
    </w:p>
    <w:p>
      <w:pPr>
        <w:spacing w:after="0" w:line="39"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In October 2014, the U.S.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Additionally, in December 2015, the Federal Reserve announced a raise in the target range for the federal funds rate, based on a perceived improvement in economic conditions. The Federal Reserve also emphasized its plan to lift the target benchmark rate gradually over a three-year period, pending economic factors such as a rise in inflation. However, if key economic indicators, such as the unemployment rate or inflation, do not progress at a rate consistent with the Federal Reserve’s objectives, the Federal Reserve may deviate from its announced plan, causing interest rates and borrowing costs to rise at an increased rate, which may negatively impact our ability to access the debt markets on favorable terms. We can make no assurances as to how the Federal Reserve will adjust the benchmark rate in the future. These developments, along with the United States government’s credit and deficit concerns and the European sovereign debt crisis, could cause interest rates and borrowing costs to rise, which may negatively impact our ability to access the debt markets on favorable terms.</w:t>
      </w:r>
    </w:p>
    <w:p>
      <w:pPr>
        <w:spacing w:after="0" w:line="67"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Any further disruptive conditions in the financial industry and the impact of new legislation in response to those conditions could restrict our business operations and could adversely impact our results of operations and financial condition. In addition, the business development company market may be more sensitive to</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55" w:lineRule="auto"/>
        <w:rPr>
          <w:sz w:val="20"/>
          <w:szCs w:val="20"/>
          <w:color w:val="auto"/>
        </w:rPr>
      </w:pPr>
      <w:r>
        <w:rPr>
          <w:rFonts w:ascii="Arial" w:cs="Arial" w:eastAsia="Arial" w:hAnsi="Arial"/>
          <w:sz w:val="18"/>
          <w:szCs w:val="18"/>
          <w:color w:val="auto"/>
        </w:rPr>
        <w:t>changes in interest rates or other factors and to the extent the business development company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04" w:lineRule="exact"/>
        <w:rPr>
          <w:sz w:val="20"/>
          <w:szCs w:val="20"/>
          <w:color w:val="auto"/>
        </w:rPr>
      </w:pPr>
    </w:p>
    <w:p>
      <w:pPr>
        <w:ind w:left="40" w:right="759"/>
        <w:spacing w:after="0" w:line="266" w:lineRule="auto"/>
        <w:rPr>
          <w:sz w:val="20"/>
          <w:szCs w:val="20"/>
          <w:color w:val="auto"/>
        </w:rPr>
      </w:pPr>
      <w:r>
        <w:rPr>
          <w:rFonts w:ascii="Arial" w:cs="Arial" w:eastAsia="Arial" w:hAnsi="Arial"/>
          <w:sz w:val="18"/>
          <w:szCs w:val="18"/>
          <w:b w:val="1"/>
          <w:bCs w:val="1"/>
          <w:color w:val="auto"/>
        </w:rPr>
        <w:t>Our business and operation could be negatively affected if we become subject to any securities litigation or stockholder activism, which could cause us to incur significant expense, hinder execution of investment strategy and impact our stock price.</w:t>
      </w:r>
    </w:p>
    <w:p>
      <w:pPr>
        <w:spacing w:after="0" w:line="72"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business development company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operate in a highly competitive market for direct equity investment opportunities.</w:t>
      </w:r>
    </w:p>
    <w:p>
      <w:pPr>
        <w:spacing w:after="0" w:line="121"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incentive fee may induce GSV Asset Management to make speculative investments.</w:t>
      </w:r>
    </w:p>
    <w:p>
      <w:pPr>
        <w:spacing w:after="0" w:line="121" w:lineRule="exact"/>
        <w:rPr>
          <w:sz w:val="20"/>
          <w:szCs w:val="20"/>
          <w:color w:val="auto"/>
        </w:rPr>
      </w:pPr>
    </w:p>
    <w:p>
      <w:pPr>
        <w:ind w:left="40" w:right="639" w:firstLine="270"/>
        <w:spacing w:after="0" w:line="270" w:lineRule="auto"/>
        <w:rPr>
          <w:sz w:val="20"/>
          <w:szCs w:val="20"/>
          <w:color w:val="auto"/>
        </w:rPr>
      </w:pPr>
      <w:r>
        <w:rPr>
          <w:rFonts w:ascii="Arial" w:cs="Arial" w:eastAsia="Arial" w:hAnsi="Arial"/>
          <w:sz w:val="17"/>
          <w:szCs w:val="17"/>
          <w:color w:val="auto"/>
        </w:rPr>
        <w:t>The incentive fee payable by us to GSV Asset Management may create an incentive for GSV Asset Management to make investments on our behalf that are risky or more speculative than would be the case in the absence of such compensation arrangement. The way in which the incentive fee payable to GSV Asset Management is determined, which is calculated as a percentage of the return on invested capital, may encourage GSV Asset Management to use leverage to increase the return on our investments. In addition, the fact that our base management fee is payable based upon our gross assets, which is our total assets as reflected on our balance sheet (with no deduction for liabilities), may encourage GSV Asset Management to use leverage to make additional investments. On September 17, 2013, we completed a private placement of $69.0 million in aggregate principal amount of 5-year unsecured 5.25% Convertible Senior Notes (the “Convertible Senior Notes”). We also entered into a Loan and Security Agreement (the “Loan Agreement”),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79"/>
        <w:spacing w:after="0" w:line="273" w:lineRule="auto"/>
        <w:rPr>
          <w:sz w:val="20"/>
          <w:szCs w:val="20"/>
          <w:color w:val="auto"/>
        </w:rPr>
      </w:pPr>
      <w:r>
        <w:rPr>
          <w:rFonts w:ascii="Arial" w:cs="Arial" w:eastAsia="Arial" w:hAnsi="Arial"/>
          <w:sz w:val="17"/>
          <w:szCs w:val="17"/>
          <w:color w:val="auto"/>
        </w:rPr>
        <w:t>effective December 31, 2013, with Silicon Valley Bank to provide us with an $18 million credit facility (the “Credit Facility”). Under the Credit Facility, we are permitted to borrow an amount equal to the lesser of $18 million or 20% of our then-current net asset value. We will be required, however, to obtain the approval of our board of directors before we incur any additional indebtedness.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w:t>
      </w:r>
    </w:p>
    <w:p>
      <w:pPr>
        <w:spacing w:after="0" w:line="70"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In addition, GSV Asset Management has control over the timing of the acquisition and dispositions of our investments, and therefore over when we realize gains and losses on our investments. As a result, GSV Asset Management may face a conflict of interest in determining when it is appropriate to dispose of a specific investment to the extent doing so may serve to maximize its incentive fee at a point where disposing of such investment may not necessarily be in the best interests of our stockholders. Our board of directors monitors such conflicts of interest in connection with its review of the performance of GSV Asset Management under our Investment Advisory Agreement, as well as during its quarterly review of our financial performance and results of operations.</w:t>
      </w:r>
    </w:p>
    <w:p>
      <w:pPr>
        <w:spacing w:after="0" w:line="104" w:lineRule="exact"/>
        <w:rPr>
          <w:sz w:val="20"/>
          <w:szCs w:val="20"/>
          <w:color w:val="auto"/>
        </w:rPr>
      </w:pPr>
    </w:p>
    <w:p>
      <w:pPr>
        <w:ind w:left="40" w:right="1099"/>
        <w:spacing w:after="0" w:line="282" w:lineRule="auto"/>
        <w:rPr>
          <w:sz w:val="20"/>
          <w:szCs w:val="20"/>
          <w:color w:val="auto"/>
        </w:rPr>
      </w:pPr>
      <w:r>
        <w:rPr>
          <w:rFonts w:ascii="Arial" w:cs="Arial" w:eastAsia="Arial" w:hAnsi="Arial"/>
          <w:sz w:val="18"/>
          <w:szCs w:val="18"/>
          <w:b w:val="1"/>
          <w:bCs w:val="1"/>
          <w:color w:val="auto"/>
        </w:rPr>
        <w:t>Borrowings, such as the Convertible Senior Notes or the Credit Facility, can magnify the potential for gain or loss on amounts invested and may increase the risk of investing in us.</w:t>
      </w:r>
    </w:p>
    <w:p>
      <w:pPr>
        <w:spacing w:after="0" w:line="58"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our securities. In addition to the Convertible Senior Notes and the Credit Facility, we may borrow from and issue senior debt securities to banks, insurance companies and other lenders. Lenders of such senior securities would have fixed dollar claims on our assets that are superior to the claims of our common stockholders. Under the terms of the Credit Facility, we must repay all outstanding borrowings so that there is at least a 30-day period every twelve months during which we have no balance outstanding. We may be unable to repay all outstanding borrowings under the Credit Facility every twelve months.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Convertible Senior Notes and any future debt that we incur will depend largely on our financial performance and will be subject to prevailing economic conditions and competitive pressures. Moreover, as the management fee payable to GSV Asset Management will be payable on our gross assets, including those assets acquired through the use of leverage, GSV Asset Management may have a financial incentive to incur additional leverage which may not be consistent with our stockholders’ interests. In addition, our common stockholders will bear the burden of any increase in our expenses as a result of such leverage, including any increase in the management fee payable to GSV Asset Management. As a result of our use of leverage, we have experienced a substantial increase in operating expenses and may continue to do so in the future.</w:t>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use of borrowed funds to make investments exposes us to risks typically associated with leverage.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borrow money and may issue additional debt securities or preferred stock to leverage our capital structure. As a result:</w:t>
      </w:r>
    </w:p>
    <w:p>
      <w:pPr>
        <w:spacing w:after="0" w:line="129" w:lineRule="exact"/>
        <w:rPr>
          <w:sz w:val="20"/>
          <w:szCs w:val="20"/>
          <w:color w:val="auto"/>
        </w:rPr>
      </w:pPr>
    </w:p>
    <w:p>
      <w:pPr>
        <w:ind w:left="600" w:right="999" w:hanging="322"/>
        <w:spacing w:after="0" w:line="342"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shares of our common stock would be exposed to incremental risk of loss; therefore, a decrease in the value of our investments would have a greater negative impact on the value of our common shares than if we did not use leverage;</w:t>
      </w:r>
    </w:p>
    <w:p>
      <w:pPr>
        <w:spacing w:after="0" w:line="15" w:lineRule="exact"/>
        <w:rPr>
          <w:rFonts w:ascii="Arial" w:cs="Arial" w:eastAsia="Arial" w:hAnsi="Arial"/>
          <w:sz w:val="16"/>
          <w:szCs w:val="16"/>
          <w:color w:val="auto"/>
        </w:rPr>
      </w:pPr>
    </w:p>
    <w:p>
      <w:pPr>
        <w:ind w:left="600" w:right="539" w:hanging="322"/>
        <w:spacing w:after="0" w:line="277"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depreciation in the value of our assets may magnify losses associated with an investment and could totally eliminate the value of an asset to us;</w:t>
      </w:r>
    </w:p>
    <w:p>
      <w:pPr>
        <w:spacing w:after="0" w:line="62" w:lineRule="exact"/>
        <w:rPr>
          <w:rFonts w:ascii="Arial" w:cs="Arial" w:eastAsia="Arial" w:hAnsi="Arial"/>
          <w:sz w:val="18"/>
          <w:szCs w:val="18"/>
          <w:color w:val="auto"/>
        </w:rPr>
      </w:pPr>
    </w:p>
    <w:p>
      <w:pPr>
        <w:ind w:left="600" w:right="579" w:hanging="322"/>
        <w:spacing w:after="0" w:line="264"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79"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pay dividends on our common stock may be restricted if our asset coverage ratio, as provided in the 1940 Act, is not at least 200%, and any amounts used to service indebtedness or preferred stock would not be available for such dividends;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credit facility would be subject to periodic renewal by our lenders, whose continued participation cannot be guaranteed;</w:t>
      </w:r>
    </w:p>
    <w:p>
      <w:pPr>
        <w:spacing w:after="0" w:line="140" w:lineRule="exact"/>
        <w:rPr>
          <w:rFonts w:ascii="Arial" w:cs="Arial" w:eastAsia="Arial" w:hAnsi="Arial"/>
          <w:sz w:val="16"/>
          <w:szCs w:val="16"/>
          <w:color w:val="auto"/>
        </w:rPr>
      </w:pPr>
    </w:p>
    <w:p>
      <w:pPr>
        <w:ind w:left="600" w:right="539"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73" w:lineRule="exact"/>
        <w:rPr>
          <w:rFonts w:ascii="Arial" w:cs="Arial" w:eastAsia="Arial" w:hAnsi="Arial"/>
          <w:sz w:val="18"/>
          <w:szCs w:val="18"/>
          <w:color w:val="auto"/>
        </w:rPr>
      </w:pPr>
    </w:p>
    <w:p>
      <w:pPr>
        <w:ind w:left="600" w:right="1119" w:hanging="322"/>
        <w:spacing w:after="0" w:line="277"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and indirectly our common stockholders, bear the entire cost of issuing and paying interest or dividends on such securities;</w:t>
      </w:r>
    </w:p>
    <w:p>
      <w:pPr>
        <w:spacing w:after="0" w:line="62" w:lineRule="exact"/>
        <w:rPr>
          <w:rFonts w:ascii="Arial" w:cs="Arial" w:eastAsia="Arial" w:hAnsi="Arial"/>
          <w:sz w:val="18"/>
          <w:szCs w:val="18"/>
          <w:color w:val="auto"/>
        </w:rPr>
      </w:pPr>
    </w:p>
    <w:p>
      <w:pPr>
        <w:ind w:left="600" w:right="839" w:hanging="322"/>
        <w:spacing w:after="0" w:line="312"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38" w:lineRule="exact"/>
        <w:rPr>
          <w:rFonts w:ascii="Arial" w:cs="Arial" w:eastAsia="Arial" w:hAnsi="Arial"/>
          <w:sz w:val="16"/>
          <w:szCs w:val="16"/>
          <w:color w:val="auto"/>
        </w:rPr>
      </w:pPr>
    </w:p>
    <w:p>
      <w:pPr>
        <w:ind w:left="600" w:right="779" w:hanging="322"/>
        <w:spacing w:after="0" w:line="277"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convertible or exchangeable securities that we issue may have rights, preferences and privileges more favorable than those of our common shares; and</w:t>
      </w:r>
    </w:p>
    <w:p>
      <w:pPr>
        <w:spacing w:after="0" w:line="62" w:lineRule="exact"/>
        <w:rPr>
          <w:rFonts w:ascii="Arial" w:cs="Arial" w:eastAsia="Arial" w:hAnsi="Arial"/>
          <w:sz w:val="18"/>
          <w:szCs w:val="18"/>
          <w:color w:val="auto"/>
        </w:rPr>
      </w:pPr>
    </w:p>
    <w:p>
      <w:pPr>
        <w:ind w:left="600" w:right="659"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custodial relationships associated with our use of leverage would conform to the requirements of the 1940 Act, and no creditor would have veto power over our investment policies, strategies, objectives or decisions except in an event of default or if our asset coverage was less than 200%.</w:t>
      </w:r>
    </w:p>
    <w:p>
      <w:pPr>
        <w:spacing w:after="0" w:line="73"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Under the provisions of the 1940 Act, we are permitted, as a business development company, to issue senior securities only in amounts such that our asset coverage ratio equals at least 200% after each issuance of senior securities.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69" w:lineRule="exact"/>
        <w:rPr>
          <w:sz w:val="20"/>
          <w:szCs w:val="20"/>
          <w:color w:val="auto"/>
        </w:rPr>
      </w:pPr>
    </w:p>
    <w:p>
      <w:pPr>
        <w:ind w:left="40" w:right="819"/>
        <w:spacing w:after="0" w:line="282" w:lineRule="auto"/>
        <w:rPr>
          <w:sz w:val="20"/>
          <w:szCs w:val="20"/>
          <w:color w:val="auto"/>
        </w:rPr>
      </w:pPr>
      <w:r>
        <w:rPr>
          <w:rFonts w:ascii="Arial" w:cs="Arial" w:eastAsia="Arial" w:hAnsi="Arial"/>
          <w:sz w:val="18"/>
          <w:szCs w:val="18"/>
          <w:b w:val="1"/>
          <w:bCs w:val="1"/>
          <w:color w:val="auto"/>
        </w:rPr>
        <w:t>If we default on our obligations to pay our other indebtedness, we may not be able to make payments on the Convertible Senior Notes.</w:t>
      </w:r>
    </w:p>
    <w:p>
      <w:pPr>
        <w:spacing w:after="0" w:line="58" w:lineRule="exact"/>
        <w:rPr>
          <w:sz w:val="20"/>
          <w:szCs w:val="20"/>
          <w:color w:val="auto"/>
        </w:rPr>
      </w:pPr>
    </w:p>
    <w:p>
      <w:pPr>
        <w:ind w:left="40" w:right="559" w:firstLine="270"/>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the Credit Facility or other indebtedness to which we may be a party that is not waived by the required lenders or holders, and the remedies sought by the holders of such indebtedness could make us unable to pay principal, premium, if any, and interest on the Convertible Senior Notes and substantially decrease the market value of the Convertible Senior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Credit Facility or other debt that we may incur in the future to avoid being in default. If we breach our covenants under the Credit Facility or other debt and seek a waiver, we may not be able to obtain a waiver from the required lenders or holders. If this occurs, we would be in default under the Credit Facility or other debt, the lenders or holders could exercise their rights as described above, and we could be forced into bankruptcy or liquidation. If we are unable to repay debt, lenders having secured obligations, including the lenders under the Credit Facility, could proceed against the collateral securing the debt. Because the Credit Facility has, and any future credit facilities will likely have, customary cross-default provisions, if the indebtedness under the Convertible Senior Notes, the Credit Facility or under any future credit facility is accelerated, we may be unable to repay or finance the amounts due.</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jc w:val="both"/>
        <w:ind w:left="40" w:right="759"/>
        <w:spacing w:after="0" w:line="266" w:lineRule="auto"/>
        <w:rPr>
          <w:sz w:val="20"/>
          <w:szCs w:val="20"/>
          <w:color w:val="auto"/>
        </w:rPr>
      </w:pPr>
      <w:r>
        <w:rPr>
          <w:rFonts w:ascii="Arial" w:cs="Arial" w:eastAsia="Arial" w:hAnsi="Arial"/>
          <w:sz w:val="18"/>
          <w:szCs w:val="18"/>
          <w:b w:val="1"/>
          <w:bCs w:val="1"/>
          <w:color w:val="auto"/>
        </w:rPr>
        <w:t>We may default under the Credit Facility or any future borrowing facility we enter into or be unable to amend, repay or refinance any such facility on commercially reasonable terms, or at all, which could have a material adverse effect on our business, financial condition, results of operations and cash flows.</w:t>
      </w:r>
    </w:p>
    <w:p>
      <w:pPr>
        <w:spacing w:after="0" w:line="72"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As of December 31, 2015, substantially all of our assets were pledged as collateral under the Credit Facility. In the event we default under the Credit Facility or any other future borrowing facility, our business could be adversely affected as we may be forced to sell all or a portion of our investments quickly and prematurely at what may be disadvantageous prices to us in order to meet our outstanding payment obligations and/or support working capital requirements under the Credit Facility or such future borrowing facility, any of which would have a material adverse effect on our business, financial condition, results of operations and cash flows. In addition, following any such default, the agent for the lenders under the Credit Facility or such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110" w:lineRule="exact"/>
        <w:rPr>
          <w:sz w:val="20"/>
          <w:szCs w:val="20"/>
          <w:color w:val="auto"/>
        </w:rPr>
      </w:pPr>
    </w:p>
    <w:p>
      <w:pPr>
        <w:ind w:left="40" w:right="599"/>
        <w:spacing w:after="0" w:line="313" w:lineRule="auto"/>
        <w:rPr>
          <w:sz w:val="20"/>
          <w:szCs w:val="20"/>
          <w:color w:val="auto"/>
        </w:rPr>
      </w:pPr>
      <w:r>
        <w:rPr>
          <w:rFonts w:ascii="Arial" w:cs="Arial" w:eastAsia="Arial" w:hAnsi="Arial"/>
          <w:sz w:val="17"/>
          <w:szCs w:val="17"/>
          <w:b w:val="1"/>
          <w:bCs w:val="1"/>
          <w:color w:val="auto"/>
        </w:rPr>
        <w:t>Substantially all of our assets are subject to security interests under the Credit Facility, and if we default on our obligations under the Credit Facility we may suffer adverse consequences, including foreclosure on our assets.</w:t>
      </w:r>
    </w:p>
    <w:p>
      <w:pPr>
        <w:spacing w:after="0" w:line="34"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As of December 31, 2015, substantially all of our assets were pledged as collateral under the Credit Facility. If we default on our obligations under the Credit Facility, the lender may have the right to foreclose upon and sell, or otherwise transfer, the collateral subject to its security interests or superior claim. In such event, we may be forced to sell our investments to raise funds to repay our outstanding borrowings to avoid foreclosure and these forced sales may be at times and at prices we would not consider advantageous. Moreover, such deleveraging of our Company could significantly impair our ability to effectively operate our business in the manner in which we have historically operated. As a result, we could be forced to curtail or cease new investment activities and lower or eliminate the dividends that we have historically paid to our stockholders.</w:t>
      </w:r>
    </w:p>
    <w:p>
      <w:pPr>
        <w:spacing w:after="0" w:line="59" w:lineRule="exact"/>
        <w:rPr>
          <w:sz w:val="20"/>
          <w:szCs w:val="20"/>
          <w:color w:val="auto"/>
        </w:rPr>
      </w:pPr>
    </w:p>
    <w:p>
      <w:pPr>
        <w:ind w:left="40" w:right="739" w:firstLine="270"/>
        <w:spacing w:after="0" w:line="264" w:lineRule="auto"/>
        <w:rPr>
          <w:sz w:val="20"/>
          <w:szCs w:val="20"/>
          <w:color w:val="auto"/>
        </w:rPr>
      </w:pPr>
      <w:r>
        <w:rPr>
          <w:rFonts w:ascii="Arial" w:cs="Arial" w:eastAsia="Arial" w:hAnsi="Arial"/>
          <w:sz w:val="18"/>
          <w:szCs w:val="18"/>
          <w:color w:val="auto"/>
        </w:rPr>
        <w:t>In addition, if the lender exercises its right to sell the assets pledged under the Credit Facility, such sales may be completed at distressed sale prices, thereby diminishing or potentially eliminating the amount of cash available to us after repayment of our outstanding borrowings.</w:t>
      </w:r>
    </w:p>
    <w:p>
      <w:pPr>
        <w:spacing w:after="0" w:line="110" w:lineRule="exact"/>
        <w:rPr>
          <w:sz w:val="20"/>
          <w:szCs w:val="20"/>
          <w:color w:val="auto"/>
        </w:rPr>
      </w:pPr>
    </w:p>
    <w:p>
      <w:pPr>
        <w:ind w:left="40" w:right="819"/>
        <w:spacing w:after="0" w:line="282" w:lineRule="auto"/>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 and limit the flexibility of our investment policies.</w:t>
      </w:r>
    </w:p>
    <w:p>
      <w:pPr>
        <w:spacing w:after="0" w:line="58"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We have entered into an Investment Advisory Agreement with GSV Asset Management. GSV Asset Management is controlled by Michael T. Moe, our Chief Executive Officer and Chairman of our board of directors. Messrs. Moe, Tanona and Flynn, as principals of GSV Asset Management, collectively manage the business and internal affairs of GSV Asset Management. In addition, GSV Capital Service Company provides us with office facilities and administrative services pursuant to an Administration Agreement. GSV Capital Service Company is controlled by GSV Asset Management.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59"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GSV Asset Management also serves as sub-adviser to the GSV Ventures Funds and manages the GSV X Fund and the Coursera Funds.</w:t>
      </w:r>
    </w:p>
    <w:p>
      <w:pPr>
        <w:spacing w:after="0" w:line="64"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While the investment focus of each of these entities, including the GSV Ventures Funds, the GSV X Fund and the Coursera Funds,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spacing w:after="0" w:line="272" w:lineRule="auto"/>
        <w:rPr>
          <w:sz w:val="20"/>
          <w:szCs w:val="20"/>
          <w:color w:val="auto"/>
        </w:rPr>
      </w:pPr>
      <w:r>
        <w:rPr>
          <w:rFonts w:ascii="Arial" w:cs="Arial" w:eastAsia="Arial" w:hAnsi="Arial"/>
          <w:sz w:val="17"/>
          <w:szCs w:val="17"/>
          <w:color w:val="auto"/>
        </w:rPr>
        <w:t>executive officers, directors and investment adviser, GSV Asset Management,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we have priority over such other funds. Our board of directors will monitor on a quarterly basis any such allocation of investment opportunities between us and any such other funds.</w:t>
      </w:r>
    </w:p>
    <w:p>
      <w:pPr>
        <w:spacing w:after="0" w:line="70"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64"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staff providing any administrative services, which creates conflicts of interest that our board of directors must monitor.</w:t>
      </w:r>
    </w:p>
    <w:p>
      <w:pPr>
        <w:spacing w:after="0" w:line="102" w:lineRule="exact"/>
        <w:rPr>
          <w:sz w:val="20"/>
          <w:szCs w:val="20"/>
          <w:color w:val="auto"/>
        </w:rPr>
      </w:pPr>
    </w:p>
    <w:p>
      <w:pPr>
        <w:ind w:left="40" w:right="559"/>
        <w:spacing w:after="0" w:line="266" w:lineRule="auto"/>
        <w:rPr>
          <w:sz w:val="20"/>
          <w:szCs w:val="20"/>
          <w:color w:val="auto"/>
        </w:rPr>
      </w:pPr>
      <w:r>
        <w:rPr>
          <w:rFonts w:ascii="Arial" w:cs="Arial" w:eastAsia="Arial" w:hAnsi="Arial"/>
          <w:sz w:val="18"/>
          <w:szCs w:val="18"/>
          <w:b w:val="1"/>
          <w:bCs w:val="1"/>
          <w:color w:val="auto"/>
        </w:rPr>
        <w:t>GSV Asset Management has the right to resign on 60 days’ notice, and we may not be able to find a suitable replacement within that time, resulting in a disruption in our operations that could adversely affect our financial condition, business and results of operations.</w:t>
      </w:r>
    </w:p>
    <w:p>
      <w:pPr>
        <w:spacing w:after="0" w:line="72"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GSV Asset Management has the right, under the Investment Advisory Agreement, to resign at any time upon not more than 60 days’ written notice, whether we have found a replacement or not. If GSV Asset Management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GSV Asset Management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98" w:lineRule="exact"/>
        <w:rPr>
          <w:sz w:val="20"/>
          <w:szCs w:val="20"/>
          <w:color w:val="auto"/>
        </w:rPr>
      </w:pPr>
    </w:p>
    <w:p>
      <w:pPr>
        <w:ind w:left="40" w:right="1359"/>
        <w:spacing w:after="0" w:line="282" w:lineRule="auto"/>
        <w:rPr>
          <w:sz w:val="20"/>
          <w:szCs w:val="20"/>
          <w:color w:val="auto"/>
        </w:rPr>
      </w:pPr>
      <w:r>
        <w:rPr>
          <w:rFonts w:ascii="Arial" w:cs="Arial" w:eastAsia="Arial" w:hAnsi="Arial"/>
          <w:sz w:val="18"/>
          <w:szCs w:val="18"/>
          <w:b w:val="1"/>
          <w:bCs w:val="1"/>
          <w:color w:val="auto"/>
        </w:rPr>
        <w:t>We may have difficulty paying our required distributions if we recognize income before or without receiving cash representing such income.</w:t>
      </w:r>
    </w:p>
    <w:p>
      <w:pPr>
        <w:spacing w:after="0" w:line="58"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corporate-level U.S. federal income tax.</w:t>
      </w:r>
    </w:p>
    <w:p>
      <w:pPr>
        <w:spacing w:after="0" w:line="118" w:lineRule="exact"/>
        <w:rPr>
          <w:sz w:val="20"/>
          <w:szCs w:val="20"/>
          <w:color w:val="auto"/>
        </w:rPr>
      </w:pPr>
    </w:p>
    <w:p>
      <w:pPr>
        <w:ind w:left="40" w:right="879"/>
        <w:spacing w:after="0" w:line="347" w:lineRule="auto"/>
        <w:rPr>
          <w:sz w:val="20"/>
          <w:szCs w:val="20"/>
          <w:color w:val="auto"/>
        </w:rPr>
      </w:pPr>
      <w:r>
        <w:rPr>
          <w:rFonts w:ascii="Arial" w:cs="Arial" w:eastAsia="Arial" w:hAnsi="Arial"/>
          <w:sz w:val="16"/>
          <w:szCs w:val="16"/>
          <w:b w:val="1"/>
          <w:bCs w:val="1"/>
          <w:color w:val="auto"/>
        </w:rPr>
        <w:t>Regulations governing our operation as a business development company affect our ability to, and the way in which we, raise additional capital, which may expose us to risks, including the typical risks associated with leverage.</w:t>
      </w:r>
    </w:p>
    <w:p>
      <w:pPr>
        <w:spacing w:after="0" w:line="12"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We may in the future issue additional debt securities or preferred stock and/or borrow money from banks or other financial institutions, which we refer to collectively (along with the Convertible Senior Notes) as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72" w:lineRule="auto"/>
        <w:rPr>
          <w:sz w:val="20"/>
          <w:szCs w:val="20"/>
          <w:color w:val="auto"/>
        </w:rPr>
      </w:pPr>
      <w:r>
        <w:rPr>
          <w:rFonts w:ascii="Arial" w:cs="Arial" w:eastAsia="Arial" w:hAnsi="Arial"/>
          <w:sz w:val="17"/>
          <w:szCs w:val="17"/>
          <w:color w:val="auto"/>
        </w:rPr>
        <w:t>“senior securities,” up to the maximum amount permitted by the 1940 Act. Under the provisions of the 1940 Act, we are permitted, as a business development company,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70"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All of the costs of offering and servicing the Convertible Senior Notes and any additional debt or preferred stock we may issue in the future, including interest or preferential dividend payments thereon, will be borne by our common stockholders. The interests of the holders of the Convertible Senior Notes, any additional debt or preferred stock we may issue will not necessarily be aligned with the interests of our common stockholders. In particular, the rights of holders of the Convertible Senior Notes and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70"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GSV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93" w:lineRule="exact"/>
        <w:rPr>
          <w:sz w:val="20"/>
          <w:szCs w:val="20"/>
          <w:color w:val="auto"/>
        </w:rPr>
      </w:pPr>
    </w:p>
    <w:p>
      <w:pPr>
        <w:ind w:left="40" w:right="539"/>
        <w:spacing w:after="0" w:line="289" w:lineRule="auto"/>
        <w:rPr>
          <w:sz w:val="20"/>
          <w:szCs w:val="20"/>
          <w:color w:val="auto"/>
        </w:rPr>
      </w:pPr>
      <w:r>
        <w:rPr>
          <w:rFonts w:ascii="Arial" w:cs="Arial" w:eastAsia="Arial" w:hAnsi="Arial"/>
          <w:sz w:val="17"/>
          <w:szCs w:val="17"/>
          <w:b w:val="1"/>
          <w:bCs w:val="1"/>
          <w:color w:val="auto"/>
        </w:rPr>
        <w:t>In addition to regulatory requirements that restrict our ability to raise capital, the Convertible Senior Notes contain various covenants which, if not complied with, could require us to repurchase the Convertible Senior Notes thereby materially and adversely affecting our liquidity, financial condition, results of operations and ability to pay dividends.</w:t>
      </w:r>
    </w:p>
    <w:p>
      <w:pPr>
        <w:spacing w:after="0" w:line="54"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Convertible Senior Notes require us to comply with certain financial and operational covenants. These covenants require us to, among other things, maintain certain financial ratios, including asset coverage, debt to equity and interest coverage. 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from the lenders under the Convertible Senior Notes and accelerate repurchase of the Convertible Senior Notes, would have a material adverse impact on our liquidity, financial condition, results of operations and ability to pay dividends. In addition, holders of the Convertible Senior Notes will have the right to require us to repurchase the Convertible Senior Notes upon the occurrence of a fundamental change at a repurchase price equal to 100% of their principal amount, plus accrued and unpaid interest, if any. We may not have enough available cash or be able to obtain financing at the time we are required to make repurchases.</w:t>
      </w:r>
    </w:p>
    <w:p>
      <w:pPr>
        <w:spacing w:after="0" w:line="106" w:lineRule="exact"/>
        <w:rPr>
          <w:sz w:val="20"/>
          <w:szCs w:val="20"/>
          <w:color w:val="auto"/>
        </w:rPr>
      </w:pPr>
    </w:p>
    <w:p>
      <w:pPr>
        <w:ind w:left="40" w:right="659"/>
        <w:spacing w:after="0" w:line="282" w:lineRule="auto"/>
        <w:rPr>
          <w:sz w:val="20"/>
          <w:szCs w:val="20"/>
          <w:color w:val="auto"/>
        </w:rPr>
      </w:pPr>
      <w:r>
        <w:rPr>
          <w:rFonts w:ascii="Arial" w:cs="Arial" w:eastAsia="Arial" w:hAnsi="Arial"/>
          <w:sz w:val="18"/>
          <w:szCs w:val="18"/>
          <w:b w:val="1"/>
          <w:bCs w:val="1"/>
          <w:color w:val="auto"/>
        </w:rPr>
        <w:t>We will be subject to corporate-level U.S. federal income tax if we are profitable and are unable to qualify as a RIC, which could have a material adverse effect on us and our stockholders.</w:t>
      </w:r>
    </w:p>
    <w:p>
      <w:pPr>
        <w:spacing w:after="0" w:line="58"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We have elected to be treated as a RIC under the Code for the 2014 taxable year, have qualified to be treated as a RIC for the 2015 taxable year and expect to continue to operate in a manner so as to qualify for the tax treatment applicable to RICs. For the fiscal year ended 2012, however, we failed to satisfy certain tests required for us to qualify as a RIC under the Code, and were therefore subject to corporate-level U.S. federal income tax. In September 2014, we filed our 2013 tax return as a RIC and sought to be granted RIC status for</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90" w:lineRule="auto"/>
        <w:rPr>
          <w:sz w:val="20"/>
          <w:szCs w:val="20"/>
          <w:color w:val="auto"/>
        </w:rPr>
      </w:pPr>
      <w:r>
        <w:rPr>
          <w:rFonts w:ascii="Arial" w:cs="Arial" w:eastAsia="Arial" w:hAnsi="Arial"/>
          <w:sz w:val="16"/>
          <w:szCs w:val="16"/>
          <w:color w:val="auto"/>
        </w:rPr>
        <w:t>our 2013 taxable year; however, we determined we would not be eligible to elect to be treated as a RIC for the 2013 taxable year unless we were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We have not received SEC Certification for our 2013 taxable year; however, in September 2015, we determined it was in the best interests of our stockholders to file our 2013 tax return as a C corporation. See “Business — Material U.S. Federal Income Tax Considerations” and “Note 1 — Nature of Operations and Significant Accounting Policies — Summary of Significant Accounting Policies — U.S. Federal and State Income Taxes” and “Note 8 — Income Taxes” to our consolidated financial statements for the year ended December 31, 2015 for more information.</w:t>
      </w:r>
    </w:p>
    <w:p>
      <w:pPr>
        <w:spacing w:after="0" w:line="58"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Management generally believes that it will be in our best interests to be treated a RIC in any year in which we are profitable. If we fail to qualify as a RIC for any year in which we are profitable and such profits exceed certain loss carryforwards that we are entitled to utilize, we will be subject to corporate-level U.S. federal income tax on our income, which could substantially reduce our net assets, the amount of income available for distribution or reinvestment and the amount of our distributions. Such a failure could have a material adverse effect on us and our stockholders.</w:t>
      </w:r>
    </w:p>
    <w:p>
      <w:pPr>
        <w:spacing w:after="0" w:line="80"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California.</w:t>
      </w:r>
    </w:p>
    <w:p>
      <w:pPr>
        <w:spacing w:after="0" w:line="93" w:lineRule="exact"/>
        <w:rPr>
          <w:sz w:val="20"/>
          <w:szCs w:val="20"/>
          <w:color w:val="auto"/>
        </w:rPr>
      </w:pPr>
    </w:p>
    <w:p>
      <w:pPr>
        <w:jc w:val="both"/>
        <w:ind w:left="40" w:right="579"/>
        <w:spacing w:after="0" w:line="266" w:lineRule="auto"/>
        <w:rPr>
          <w:sz w:val="20"/>
          <w:szCs w:val="20"/>
          <w:color w:val="auto"/>
        </w:rPr>
      </w:pPr>
      <w:r>
        <w:rPr>
          <w:rFonts w:ascii="Arial" w:cs="Arial" w:eastAsia="Arial" w:hAnsi="Arial"/>
          <w:sz w:val="18"/>
          <w:szCs w:val="18"/>
          <w:b w:val="1"/>
          <w:bCs w:val="1"/>
          <w:color w:val="auto"/>
        </w:rPr>
        <w:t>In any year in which we intend to be treated as a RIC, we may be forced to dispose of investments at times when GSV Asset Management would not otherwise do so or raise additional capital at times when we would not otherwise do so, in each case in order to qualify for the special tax treatment accorded to RICs.</w:t>
      </w:r>
    </w:p>
    <w:p>
      <w:pPr>
        <w:spacing w:after="0" w:line="72"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To qualify for the special treatment accorded to RICs,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for special tax treatment accorded to RICs and, thus, be subject to corporate-level U.S. federal income tax.</w:t>
      </w:r>
    </w:p>
    <w:p>
      <w:pPr>
        <w:spacing w:after="0" w:line="97" w:lineRule="exact"/>
        <w:rPr>
          <w:sz w:val="20"/>
          <w:szCs w:val="20"/>
          <w:color w:val="auto"/>
        </w:rPr>
      </w:pPr>
    </w:p>
    <w:p>
      <w:pPr>
        <w:ind w:left="40" w:right="999"/>
        <w:spacing w:after="0" w:line="266" w:lineRule="auto"/>
        <w:rPr>
          <w:sz w:val="20"/>
          <w:szCs w:val="20"/>
          <w:color w:val="auto"/>
        </w:rPr>
      </w:pPr>
      <w:r>
        <w:rPr>
          <w:rFonts w:ascii="Arial" w:cs="Arial" w:eastAsia="Arial" w:hAnsi="Arial"/>
          <w:sz w:val="18"/>
          <w:szCs w:val="18"/>
          <w:b w:val="1"/>
          <w:b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72"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We have elected to be taxed for federal income tax purposes as a RIC under Subchapter M of the Code. If we meet certain requirements, including source of income, asset diversification and distribution requirements, and if we continue to qualify as a business development company, we will continue to qualify</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69" w:lineRule="auto"/>
        <w:rPr>
          <w:sz w:val="20"/>
          <w:szCs w:val="20"/>
          <w:color w:val="auto"/>
        </w:rPr>
      </w:pPr>
      <w:r>
        <w:rPr>
          <w:rFonts w:ascii="Arial" w:cs="Arial" w:eastAsia="Arial" w:hAnsi="Arial"/>
          <w:sz w:val="17"/>
          <w:szCs w:val="17"/>
          <w:color w:val="auto"/>
        </w:rPr>
        <w:t>to be a RIC under the Code and will not have to pay corporate-level income taxes on income we distribute to our stockholders as dividends, allowing us to substantially reduce or eliminate our corporate-level income tax liability. As a business development company, we are generally required to meet a coverage ratio of total assets to total senior securities, which includes all of our borrowings and any preferred stock we may issue in the future, of at least 200% at the time we issue any debt or preferred stock. This requirement limits the amount that we may borrow. Because we will continue to need capital to grow our investment portfolio, this limitation may prevent us from incurring debt or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business development company, we are generally not permitted to issue common stock priced below net asset value without stockholder approval. If additional funds are not available to us, we could be forced to curtail or cease new lending and investment activities, and our net asset value could decline.</w:t>
      </w:r>
    </w:p>
    <w:p>
      <w:pPr>
        <w:spacing w:after="0" w:line="98" w:lineRule="exact"/>
        <w:rPr>
          <w:sz w:val="20"/>
          <w:szCs w:val="20"/>
          <w:color w:val="auto"/>
        </w:rPr>
      </w:pPr>
    </w:p>
    <w:p>
      <w:pPr>
        <w:ind w:left="40" w:right="539"/>
        <w:spacing w:after="0" w:line="282" w:lineRule="auto"/>
        <w:rPr>
          <w:sz w:val="20"/>
          <w:szCs w:val="20"/>
          <w:color w:val="auto"/>
        </w:rPr>
      </w:pPr>
      <w:r>
        <w:rPr>
          <w:rFonts w:ascii="Arial" w:cs="Arial" w:eastAsia="Arial" w:hAnsi="Arial"/>
          <w:sz w:val="18"/>
          <w:szCs w:val="18"/>
          <w:b w:val="1"/>
          <w:bCs w:val="1"/>
          <w:color w:val="auto"/>
        </w:rPr>
        <w:t>We may continue to choose to pay dividends in our common stock, in which case you may be required to pay tax in excess of the cash you receive.</w:t>
      </w:r>
    </w:p>
    <w:p>
      <w:pPr>
        <w:spacing w:after="0" w:line="58" w:lineRule="exact"/>
        <w:rPr>
          <w:sz w:val="20"/>
          <w:szCs w:val="20"/>
          <w:color w:val="auto"/>
        </w:rPr>
      </w:pPr>
    </w:p>
    <w:p>
      <w:pPr>
        <w:ind w:left="40" w:right="559" w:firstLine="270"/>
        <w:spacing w:after="0" w:line="267" w:lineRule="auto"/>
        <w:rPr>
          <w:sz w:val="20"/>
          <w:szCs w:val="20"/>
          <w:color w:val="auto"/>
        </w:rPr>
      </w:pPr>
      <w:r>
        <w:rPr>
          <w:rFonts w:ascii="Arial" w:cs="Arial" w:eastAsia="Arial" w:hAnsi="Arial"/>
          <w:sz w:val="17"/>
          <w:szCs w:val="17"/>
          <w:color w:val="auto"/>
        </w:rPr>
        <w:t>We have in the past, and may continue to, distribute taxable dividends that are payable in part in our common stock. For example, on November 4, 2015, our board of directors declared a dividend of $2.76 per share to stockholders payable in cash and shares of our common stock. In accordance with certain applicable Treasury regulations and private letter rulings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common stock). In no event will any stockholder, electing to receive cash, receive less than 20% of his or her entire distribution in cash.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Even in the event the value of your investment declines, the base management fee will still be payable.</w:t>
      </w:r>
    </w:p>
    <w:p>
      <w:pPr>
        <w:spacing w:after="0" w:line="121"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The base management fee will be calculated at an annual rate of 2.0% of the value of our gross assets, which we pay monthly in arrears. The base management fee is payable regardless of whether the value of our gross assets or your investment declines. As a result, we will owe GSV Asset Management a base management fee regardless of whether we incurred significant realized capital losses and unrealized capital depreciation (losses) during the period for which the base management fee is paid.</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121" w:lineRule="exact"/>
        <w:rPr>
          <w:sz w:val="20"/>
          <w:szCs w:val="20"/>
          <w:color w:val="auto"/>
        </w:rPr>
      </w:pPr>
    </w:p>
    <w:p>
      <w:pPr>
        <w:ind w:left="40" w:right="879" w:firstLine="270"/>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1139"/>
        <w:spacing w:after="0" w:line="313" w:lineRule="auto"/>
        <w:rPr>
          <w:sz w:val="20"/>
          <w:szCs w:val="20"/>
          <w:color w:val="auto"/>
        </w:rPr>
      </w:pPr>
      <w:r>
        <w:rPr>
          <w:rFonts w:ascii="Arial" w:cs="Arial" w:eastAsia="Arial" w:hAnsi="Arial"/>
          <w:sz w:val="17"/>
          <w:szCs w:val="17"/>
          <w:b w:val="1"/>
          <w:bCs w:val="1"/>
          <w:color w:val="auto"/>
        </w:rPr>
        <w:t>We may in the future determine to fund a portion of our investments with preferred stock, which would magnify the potential for gain or loss and the risks of investing in us in the same way as our borrowings.</w:t>
      </w:r>
    </w:p>
    <w:p>
      <w:pPr>
        <w:spacing w:after="0" w:line="34"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w:t>
      </w:r>
    </w:p>
    <w:p>
      <w:pPr>
        <w:spacing w:after="0" w:line="117" w:lineRule="exact"/>
        <w:rPr>
          <w:sz w:val="20"/>
          <w:szCs w:val="20"/>
          <w:color w:val="auto"/>
        </w:rPr>
      </w:pPr>
    </w:p>
    <w:p>
      <w:pPr>
        <w:ind w:left="40" w:right="739"/>
        <w:spacing w:after="0" w:line="282" w:lineRule="auto"/>
        <w:rPr>
          <w:sz w:val="20"/>
          <w:szCs w:val="20"/>
          <w:color w:val="auto"/>
        </w:rPr>
      </w:pPr>
      <w:r>
        <w:rPr>
          <w:rFonts w:ascii="Arial" w:cs="Arial" w:eastAsia="Arial" w:hAnsi="Arial"/>
          <w:sz w:val="18"/>
          <w:szCs w:val="18"/>
          <w:b w:val="1"/>
          <w:bCs w:val="1"/>
          <w:color w:val="auto"/>
        </w:rPr>
        <w:t>Our board of directors is authorized to reclassify any unissued shares of stock into one or more classes of preferred stock, which could convey special rights and privileges to its owners.</w:t>
      </w:r>
    </w:p>
    <w:p>
      <w:pPr>
        <w:spacing w:after="0" w:line="58"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GSV Capital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99" w:lineRule="exact"/>
        <w:rPr>
          <w:sz w:val="20"/>
          <w:szCs w:val="20"/>
          <w:color w:val="auto"/>
        </w:rPr>
      </w:pPr>
    </w:p>
    <w:p>
      <w:pPr>
        <w:ind w:left="40" w:right="1039"/>
        <w:spacing w:after="0" w:line="282" w:lineRule="auto"/>
        <w:rPr>
          <w:sz w:val="20"/>
          <w:szCs w:val="20"/>
          <w:color w:val="auto"/>
        </w:rPr>
      </w:pPr>
      <w:r>
        <w:rPr>
          <w:rFonts w:ascii="Arial" w:cs="Arial" w:eastAsia="Arial" w:hAnsi="Arial"/>
          <w:sz w:val="18"/>
          <w:szCs w:val="18"/>
          <w:b w:val="1"/>
          <w:bCs w:val="1"/>
          <w:color w:val="auto"/>
        </w:rPr>
        <w:t>Our board of directors may change our investment objective, operating policies and strategies without prior notice or stockholder approval, the effects of which may be adverse.</w:t>
      </w:r>
    </w:p>
    <w:p>
      <w:pPr>
        <w:spacing w:after="0" w:line="58" w:lineRule="exact"/>
        <w:rPr>
          <w:sz w:val="20"/>
          <w:szCs w:val="20"/>
          <w:color w:val="auto"/>
        </w:rPr>
      </w:pPr>
    </w:p>
    <w:p>
      <w:pPr>
        <w:ind w:left="40" w:right="859" w:firstLine="270"/>
        <w:spacing w:after="0" w:line="257" w:lineRule="auto"/>
        <w:rPr>
          <w:sz w:val="20"/>
          <w:szCs w:val="20"/>
          <w:color w:val="auto"/>
        </w:rPr>
      </w:pPr>
      <w:r>
        <w:rPr>
          <w:rFonts w:ascii="Arial" w:cs="Arial" w:eastAsia="Arial" w:hAnsi="Arial"/>
          <w:sz w:val="18"/>
          <w:szCs w:val="18"/>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03" w:lineRule="exact"/>
        <w:rPr>
          <w:sz w:val="20"/>
          <w:szCs w:val="20"/>
          <w:color w:val="auto"/>
        </w:rPr>
      </w:pPr>
    </w:p>
    <w:p>
      <w:pPr>
        <w:ind w:left="40" w:right="839"/>
        <w:spacing w:after="0" w:line="282"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58" w:lineRule="exact"/>
        <w:rPr>
          <w:sz w:val="20"/>
          <w:szCs w:val="20"/>
          <w:color w:val="auto"/>
        </w:rPr>
      </w:pPr>
    </w:p>
    <w:p>
      <w:pPr>
        <w:ind w:left="40" w:right="619" w:firstLine="270"/>
        <w:spacing w:after="0" w:line="297" w:lineRule="auto"/>
        <w:rPr>
          <w:sz w:val="20"/>
          <w:szCs w:val="20"/>
          <w:color w:val="auto"/>
        </w:rPr>
      </w:pPr>
      <w:r>
        <w:rPr>
          <w:rFonts w:ascii="Arial" w:cs="Arial" w:eastAsia="Arial" w:hAnsi="Arial"/>
          <w:sz w:val="16"/>
          <w:szCs w:val="16"/>
          <w:color w:val="auto"/>
        </w:rPr>
        <w:t>Our charter and bylaws, as well as certain statutory and regulatory requirements, contain certain provisions that may have the effect of discouraging a third party from making an acquisition proposal for us. Our bylaws contain a provision exempting any and all acquisitions by any person of our shares of stock from the Control Share Act under the Maryland General Corporation Law. If our board of directors does not otherwise approve a business combination, the Control Share Act (if we amend our bylaws to be subject to that Act) may discourage others from trying to acquire control of us and increase the difficulty of</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55" w:lineRule="auto"/>
        <w:rPr>
          <w:sz w:val="20"/>
          <w:szCs w:val="20"/>
          <w:color w:val="auto"/>
        </w:rPr>
      </w:pPr>
      <w:r>
        <w:rPr>
          <w:rFonts w:ascii="Arial" w:cs="Arial" w:eastAsia="Arial" w:hAnsi="Arial"/>
          <w:sz w:val="18"/>
          <w:szCs w:val="18"/>
          <w:color w:val="auto"/>
        </w:rPr>
        <w:t>consummating any offer. Additionally, under our charter, our board of directors is divided into three classes serving staggered terms; our board of directors may, without stockholder action, authorize the issuance of shares of stock in one or more classes or series, including preferred stock; and our board of directors may, without stockholder action, amend our charter to increase the number of shares of stock of any class or series that we have authority to issue. These antitakeover provisions may inhibit a change of control in circumstances that could otherwise give the holders of our common stock the opportunity to realize a premium over the market price for our common stock.</w:t>
      </w:r>
    </w:p>
    <w:p>
      <w:pPr>
        <w:spacing w:after="0" w:line="108" w:lineRule="exact"/>
        <w:rPr>
          <w:sz w:val="20"/>
          <w:szCs w:val="20"/>
          <w:color w:val="auto"/>
        </w:rPr>
      </w:pPr>
    </w:p>
    <w:p>
      <w:pPr>
        <w:ind w:left="40" w:right="679"/>
        <w:spacing w:after="0" w:line="313" w:lineRule="auto"/>
        <w:rPr>
          <w:sz w:val="20"/>
          <w:szCs w:val="20"/>
          <w:color w:val="auto"/>
        </w:rPr>
      </w:pPr>
      <w:r>
        <w:rPr>
          <w:rFonts w:ascii="Arial" w:cs="Arial" w:eastAsia="Arial" w:hAnsi="Arial"/>
          <w:sz w:val="17"/>
          <w:szCs w:val="17"/>
          <w:b w:val="1"/>
          <w:b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34"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64" w:lineRule="exact"/>
        <w:rPr>
          <w:sz w:val="20"/>
          <w:szCs w:val="20"/>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117"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99" w:lineRule="exact"/>
        <w:rPr>
          <w:sz w:val="20"/>
          <w:szCs w:val="20"/>
          <w:color w:val="auto"/>
        </w:rPr>
      </w:pPr>
    </w:p>
    <w:p>
      <w:pPr>
        <w:ind w:left="40" w:right="699"/>
        <w:spacing w:after="0" w:line="282" w:lineRule="auto"/>
        <w:rPr>
          <w:sz w:val="20"/>
          <w:szCs w:val="20"/>
          <w:color w:val="auto"/>
        </w:rPr>
      </w:pPr>
      <w:r>
        <w:rPr>
          <w:rFonts w:ascii="Arial" w:cs="Arial" w:eastAsia="Arial" w:hAnsi="Arial"/>
          <w:sz w:val="18"/>
          <w:szCs w:val="18"/>
          <w:b w:val="1"/>
          <w:bCs w:val="1"/>
          <w:color w:val="auto"/>
        </w:rPr>
        <w:t>Terrorist attacks, acts of war or natural disasters may affect any market for our securities, impact the businesses in which we invest and harm our business, operating results and financial condition.</w:t>
      </w:r>
    </w:p>
    <w:p>
      <w:pPr>
        <w:spacing w:after="0" w:line="58"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face cyber-security risks.</w:t>
      </w:r>
    </w:p>
    <w:p>
      <w:pPr>
        <w:spacing w:after="0" w:line="121" w:lineRule="exact"/>
        <w:rPr>
          <w:sz w:val="20"/>
          <w:szCs w:val="20"/>
          <w:color w:val="auto"/>
        </w:rPr>
      </w:pPr>
    </w:p>
    <w:p>
      <w:pPr>
        <w:ind w:left="40" w:right="759" w:firstLine="270"/>
        <w:spacing w:after="0" w:line="302" w:lineRule="auto"/>
        <w:rPr>
          <w:sz w:val="20"/>
          <w:szCs w:val="20"/>
          <w:color w:val="auto"/>
        </w:rPr>
      </w:pPr>
      <w:r>
        <w:rPr>
          <w:rFonts w:ascii="Arial" w:cs="Arial" w:eastAsia="Arial" w:hAnsi="Arial"/>
          <w:sz w:val="16"/>
          <w:szCs w:val="16"/>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69" w:lineRule="exact"/>
        <w:rPr>
          <w:sz w:val="20"/>
          <w:szCs w:val="20"/>
          <w:color w:val="auto"/>
        </w:rPr>
      </w:pPr>
    </w:p>
    <w:p>
      <w:pPr>
        <w:ind w:left="40" w:right="579"/>
        <w:spacing w:after="0" w:line="313" w:lineRule="auto"/>
        <w:rPr>
          <w:sz w:val="20"/>
          <w:szCs w:val="20"/>
          <w:color w:val="auto"/>
        </w:rPr>
      </w:pPr>
      <w:r>
        <w:rPr>
          <w:rFonts w:ascii="Arial" w:cs="Arial" w:eastAsia="Arial" w:hAnsi="Arial"/>
          <w:sz w:val="17"/>
          <w:szCs w:val="17"/>
          <w:b w:val="1"/>
          <w:bCs w:val="1"/>
          <w:color w:val="auto"/>
        </w:rPr>
        <w:t>The failure in cyber security systems, as well as the occurrence of events unanticipated in our disaster recovery systems and management continuity planning could impair our ability to conduct business effectively.</w:t>
      </w:r>
    </w:p>
    <w:p>
      <w:pPr>
        <w:spacing w:after="0" w:line="34"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our managers were unavailable in the event of a disaster, our ability to effectively conduct our business could be severely compromised.</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depend heavily upon computer systems to perform necessary business functions. Despite our implementation of a variety of security measures, our computer systems could be subject to cyber-attacks and unauthorized access, such as physical and electronic break-ins or unauthorized tampering.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stockholders may experience dilution upon the conversion of our Convertible Senior Notes.</w:t>
      </w:r>
    </w:p>
    <w:p>
      <w:pPr>
        <w:spacing w:after="0" w:line="121"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Our Convertible Senior Notes are convertible into shares of our common stock. Upon conversion, we must deliver shares of our common stock. The initial conversion rate of our Convertible Senior Notes was 61.5091 shares of our common stock per $1,000 principal amount of the Convertible Senior Notes (equivalent to a conversion price of approximately $16.26 per share of common stock), subject to adjustment in certain circumstances. As a result of our dividend paid on December 31, 2015 to stockholders of record on November 16, 2015, the conversion rate was increased to 82.7567 shares of common stock per $1,000 principal amount of Convertible Senior Notes, which is equivalent to a conversion price of approximately $12.08 per share of common stock. Based on the current conversion rate, the maximum number of shares of common stock that would be issued upon conversion of the $69.0 million of convertible debt currently outstanding is 5,710,212. If we deliver shares of common stock upon a conversion at the time our net asset value per share exceeds the conversion price in effect at such time, our stockholders may incur dilution. In addition, our stockholders will experience dilution in their ownership percentage of our common stock upon our issuance of common stock in connection with the conversion of our Convertible Senior Notes and any dividends paid on our common stock will also be paid on shares issued in connection with such conversion after such issuance.</w:t>
      </w:r>
    </w:p>
    <w:p>
      <w:pPr>
        <w:spacing w:after="0" w:line="97" w:lineRule="exact"/>
        <w:rPr>
          <w:sz w:val="20"/>
          <w:szCs w:val="20"/>
          <w:color w:val="auto"/>
        </w:rPr>
      </w:pPr>
    </w:p>
    <w:p>
      <w:pPr>
        <w:jc w:val="both"/>
        <w:ind w:left="40" w:right="1039"/>
        <w:spacing w:after="0" w:line="266" w:lineRule="auto"/>
        <w:rPr>
          <w:sz w:val="20"/>
          <w:szCs w:val="20"/>
          <w:color w:val="auto"/>
        </w:rPr>
      </w:pPr>
      <w:r>
        <w:rPr>
          <w:rFonts w:ascii="Arial" w:cs="Arial" w:eastAsia="Arial" w:hAnsi="Arial"/>
          <w:sz w:val="18"/>
          <w:szCs w:val="18"/>
          <w:b w:val="1"/>
          <w:bCs w:val="1"/>
          <w:color w:val="auto"/>
        </w:rPr>
        <w:t>We may not have, or have the ability to raise, the funds necessary to repurchase our Convertible Senior Notes upon a fundamental change, and our debt may contain limitations on our ability to deliver shares of our common stock upon conversion or pay cash upon repurchase of our Convertible Senior Notes.</w:t>
      </w:r>
    </w:p>
    <w:p>
      <w:pPr>
        <w:spacing w:after="0" w:line="72"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Holders of our Convertible Senior Notes will have the right to require us to repurchase their notes upon the occurrence of certain significant corporate events involving us, including if our common stock ceases to trade on any national securities exchange or we consolidate or merge into another entity in certain circumstances, at a repurchase price equal to 100% of their principal amount, plus accrued and unpaid interest, if any. We refer to such a corporate event as a “fundamental change.” However, we may not have enough available cash or be able to obtain financing at the time we are required to make repurchases of Convertible Senior Notes surrendered therefor. In addition, our ability to repurchase our Convertible Senior Notes or deliver shares of our common stock upon conversions of the Convertible Senior Notes may be limited by law, by regulatory authority or by agreements governing our indebtedness. Our failure to repurchase the notes at a time when the repurchase is required by the indenture relating to the Convertible Senior Notes or to deliver any shares of our common stock deliverable on future conversions of the Convertible Senior Notes as required by the indenture would constitute a default under the indenture. A default under the indenture or the occurrence of a fundamental change itself could also lead to a default under agreements governing our indebtedness. If the repayment of the related indebtedness were to be accelerated after any applicable notice or grace periods, we may not have sufficient funds to repay the indebtedness and repurchase our Convertible Senior Notes.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Provisions of our Convertible Senior Notes could discourage an acquisition of us by a third party.</w:t>
      </w:r>
    </w:p>
    <w:p>
      <w:pPr>
        <w:spacing w:after="0" w:line="12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Certain provisions of our Convertible Senior Notes could make it more difficult or more expensive for a third party to acquire us. Upon the occurrence of a fundamental change, the holders of our Convertible Senior Notes will have the right, at their option, to require us to repurchase all or a portion of their Convertible Senior Notes, plus accrued and unpaid interest. We may also be required to increase the conversion rate of the</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color w:val="auto"/>
        </w:rPr>
        <w:t>Convertible Senior Notes in certain other circumstances, including in the event of certain fundamental changes. These provisions could discourage an acquisition of us by a third party.</w:t>
      </w:r>
    </w:p>
    <w:p>
      <w:pPr>
        <w:spacing w:after="0" w:line="85" w:lineRule="exact"/>
        <w:rPr>
          <w:sz w:val="20"/>
          <w:szCs w:val="20"/>
          <w:color w:val="auto"/>
        </w:rPr>
      </w:pPr>
    </w:p>
    <w:p>
      <w:pPr>
        <w:ind w:left="40" w:right="619"/>
        <w:spacing w:after="0" w:line="282" w:lineRule="auto"/>
        <w:rPr>
          <w:sz w:val="20"/>
          <w:szCs w:val="20"/>
          <w:color w:val="auto"/>
        </w:rPr>
      </w:pPr>
      <w:r>
        <w:rPr>
          <w:rFonts w:ascii="Arial" w:cs="Arial" w:eastAsia="Arial" w:hAnsi="Arial"/>
          <w:sz w:val="18"/>
          <w:szCs w:val="18"/>
          <w:b w:val="1"/>
          <w:bCs w:val="1"/>
          <w:color w:val="auto"/>
        </w:rPr>
        <w:t>Certain adverse consequences could result if our Convertible Senior Notes are treated as equity interests in us for purposes of regulations under the Employee Retirement Income Security Act of 1974.</w:t>
      </w:r>
    </w:p>
    <w:p>
      <w:pPr>
        <w:spacing w:after="0" w:line="58"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Pursuant to regulations under the Employee Retirement Income Security Act of 1974 (“ERISA”), it is possible that, due to their convertibility feature, our Convertible Senior Notes could be treated as equity interests in us. In that event, if employee benefit plans subject to Title I of ERISA, plans that are not subject to ERISA but that are subject to Section 4975 of the Code, such as individual retirement accounts, and entities that are deemed to hold the assets of such plans or accounts (such plans, accounts, and entities, “Benefit Plan Investors”) were to acquire 25% or more of the aggregate value of our Convertible Senior Notes, among other consequences, we and our management would be subject to ERISA fiduciary duties, and certain transactions we might enter into, or may have entered into, in the ordinary course of our business might constitute non-exempt “prohibited transactions” under Section 406 of ERISA or Section 4975 of the Code and might have to be rescinded at significant cost to us. Moreover, if our underlying assets were deemed to be assets constituting plan assets, (i) our assets could be subject to ERISA’s reporting and disclosure requirements, (ii) a fiduciary causing a Benefit Plan Investor to make an investment in our equity interests could be deemed to have delegated its responsibility to manage the assets of the Benefit Plan Investor, and (iii) various providers of fiduciary or other services to us, and any other parties with authority or control with respect to our assets, could be deemed to be plan fiduciaries or otherwise parties in interest or disqualified persons by virtue of their provision of such services.</w:t>
      </w:r>
    </w:p>
    <w:p>
      <w:pPr>
        <w:spacing w:after="0" w:line="67" w:lineRule="exact"/>
        <w:rPr>
          <w:sz w:val="20"/>
          <w:szCs w:val="20"/>
          <w:color w:val="auto"/>
        </w:rPr>
      </w:pPr>
    </w:p>
    <w:p>
      <w:pPr>
        <w:ind w:left="40" w:right="539" w:firstLine="270"/>
        <w:spacing w:after="0" w:line="308" w:lineRule="auto"/>
        <w:rPr>
          <w:sz w:val="20"/>
          <w:szCs w:val="20"/>
          <w:color w:val="auto"/>
        </w:rPr>
      </w:pPr>
      <w:r>
        <w:rPr>
          <w:rFonts w:ascii="Arial" w:cs="Arial" w:eastAsia="Arial" w:hAnsi="Arial"/>
          <w:sz w:val="17"/>
          <w:szCs w:val="17"/>
          <w:color w:val="auto"/>
        </w:rPr>
        <w:t>We do not believe that our Convertible Senior Notes should be treated as equity interests in us for purposes of ERISA in light of the relevant regulations. No assurance can be given, however, that our Convertible Senior Notes will not be so treated.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accounting for convertible debt securities is complex and subject to uncertainty.</w:t>
      </w:r>
    </w:p>
    <w:p>
      <w:pPr>
        <w:spacing w:after="0" w:line="121"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The accounting for convertible debt securities is complex and subject to frequent scrutiny by the accounting regulatory bodies and is subject to change. The issuance of our Convertible Senior Notes may affect our earnings per share on a fully diluted basis in certain periods. Further, we cannot predict if or when changes in the accounting for convertible debt securities could be made and whether any such change could have an adverse impact on our reported or future financial results. Any such impacts could adversely affect the market price or value of our common stock.</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common stock price may be volatile and may decrease substantially.</w:t>
      </w:r>
    </w:p>
    <w:p>
      <w:pPr>
        <w:spacing w:after="0" w:line="121"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79" w:lineRule="exact"/>
        <w:rPr>
          <w:sz w:val="20"/>
          <w:szCs w:val="20"/>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117" w:lineRule="exact"/>
        <w:rPr>
          <w:rFonts w:ascii="Arial" w:cs="Arial" w:eastAsia="Arial" w:hAnsi="Arial"/>
          <w:sz w:val="18"/>
          <w:szCs w:val="18"/>
          <w:color w:val="auto"/>
        </w:rPr>
      </w:pPr>
    </w:p>
    <w:p>
      <w:pPr>
        <w:ind w:left="600" w:right="559" w:hanging="32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RICs, business development companies or other financial services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or business development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qualify as a RIC for a particular taxable year, or the loss of RIC status;</w:t>
      </w:r>
    </w:p>
    <w:p>
      <w:pPr>
        <w:spacing w:after="0" w:line="117" w:lineRule="exact"/>
        <w:rPr>
          <w:rFonts w:ascii="Arial" w:cs="Arial" w:eastAsia="Arial" w:hAnsi="Arial"/>
          <w:sz w:val="18"/>
          <w:szCs w:val="18"/>
          <w:color w:val="auto"/>
        </w:rPr>
      </w:pPr>
    </w:p>
    <w:p>
      <w:pPr>
        <w:ind w:left="600" w:right="1059" w:hanging="32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our earnings or fluctuations in our operating results or changes in the expectations of securities analysts;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valuation of our portfolio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sentiment against technology-related companies;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departures of any of the senior investment professionals of GSV Asset Management.</w:t>
      </w:r>
    </w:p>
    <w:p>
      <w:pPr>
        <w:spacing w:after="0" w:line="117" w:lineRule="exact"/>
        <w:rPr>
          <w:sz w:val="20"/>
          <w:szCs w:val="20"/>
          <w:color w:val="auto"/>
        </w:rPr>
      </w:pPr>
    </w:p>
    <w:p>
      <w:pPr>
        <w:ind w:left="40" w:right="859" w:firstLine="270"/>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02" w:lineRule="exact"/>
        <w:rPr>
          <w:sz w:val="20"/>
          <w:szCs w:val="20"/>
          <w:color w:val="auto"/>
        </w:rPr>
      </w:pPr>
    </w:p>
    <w:p>
      <w:pPr>
        <w:ind w:left="40" w:right="919"/>
        <w:spacing w:after="0" w:line="282" w:lineRule="auto"/>
        <w:rPr>
          <w:sz w:val="20"/>
          <w:szCs w:val="20"/>
          <w:color w:val="auto"/>
        </w:rPr>
      </w:pPr>
      <w:r>
        <w:rPr>
          <w:rFonts w:ascii="Arial" w:cs="Arial" w:eastAsia="Arial" w:hAnsi="Arial"/>
          <w:sz w:val="18"/>
          <w:szCs w:val="18"/>
          <w:b w:val="1"/>
          <w:bCs w:val="1"/>
          <w:color w:val="auto"/>
        </w:rPr>
        <w:t>Shares of our common stock have recently traded at discounts from net asset value and may do so in the future, or they could trade at premiums that may prove to be unsustainable.</w:t>
      </w:r>
    </w:p>
    <w:p>
      <w:pPr>
        <w:spacing w:after="0" w:line="58"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Shares of business development companies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IPOs and other exit events for venture-capital-backed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70" w:lineRule="exact"/>
        <w:rPr>
          <w:sz w:val="20"/>
          <w:szCs w:val="20"/>
          <w:color w:val="auto"/>
        </w:rPr>
      </w:pPr>
    </w:p>
    <w:p>
      <w:pPr>
        <w:ind w:left="40" w:right="699" w:firstLine="270"/>
        <w:spacing w:after="0" w:line="291" w:lineRule="auto"/>
        <w:rPr>
          <w:sz w:val="20"/>
          <w:szCs w:val="20"/>
          <w:color w:val="auto"/>
        </w:rPr>
      </w:pPr>
      <w:r>
        <w:rPr>
          <w:rFonts w:ascii="Arial" w:cs="Arial" w:eastAsia="Arial" w:hAnsi="Arial"/>
          <w:sz w:val="16"/>
          <w:szCs w:val="16"/>
          <w:color w:val="auto"/>
        </w:rPr>
        <w:t>The possibility that our shares will trade at a discount from net asset value or at premiums that are unsustainable are risks separate and distinct from the risk that our net asset value per share will decrease. The risk of purchasing shares of a business development company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 As of March 14, 2016, the closing price of our common stock on the Nasdaq Capital Market was $6.04 per share, which represented an approximately 50.0% discount to our net asset value of $12.08 per share as of December 31, 2015.</w:t>
      </w:r>
    </w:p>
    <w:p>
      <w:pPr>
        <w:spacing w:after="0" w:line="96" w:lineRule="exact"/>
        <w:rPr>
          <w:sz w:val="20"/>
          <w:szCs w:val="20"/>
          <w:color w:val="auto"/>
        </w:rPr>
      </w:pPr>
    </w:p>
    <w:p>
      <w:pPr>
        <w:ind w:left="40" w:right="979"/>
        <w:spacing w:after="0" w:line="282" w:lineRule="auto"/>
        <w:rPr>
          <w:sz w:val="20"/>
          <w:szCs w:val="20"/>
          <w:color w:val="auto"/>
        </w:rPr>
      </w:pPr>
      <w:r>
        <w:rPr>
          <w:rFonts w:ascii="Arial" w:cs="Arial" w:eastAsia="Arial" w:hAnsi="Arial"/>
          <w:sz w:val="18"/>
          <w:szCs w:val="18"/>
          <w:b w:val="1"/>
          <w:bCs w:val="1"/>
          <w:color w:val="auto"/>
        </w:rPr>
        <w:t>There is a risk that you may not receive dividends or that our dividends may not grow over time, particularly since we invest primarily in securities that do not produce current income.</w:t>
      </w:r>
    </w:p>
    <w:p>
      <w:pPr>
        <w:spacing w:after="0" w:line="58"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We cannot assure you that we will achieve investment results or maintain a tax status that will allow or require any specified level of cash distributions or year-to-year increases in cash distributions. 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business development companies that primarily make debt investments.</w:t>
      </w:r>
    </w:p>
    <w:p>
      <w:pPr>
        <w:spacing w:after="0" w:line="101" w:lineRule="exact"/>
        <w:rPr>
          <w:sz w:val="20"/>
          <w:szCs w:val="20"/>
          <w:color w:val="auto"/>
        </w:rPr>
      </w:pPr>
    </w:p>
    <w:p>
      <w:pPr>
        <w:ind w:left="40" w:right="1219"/>
        <w:spacing w:after="0" w:line="282" w:lineRule="auto"/>
        <w:rPr>
          <w:sz w:val="20"/>
          <w:szCs w:val="20"/>
          <w:color w:val="auto"/>
        </w:rPr>
      </w:pPr>
      <w:r>
        <w:rPr>
          <w:rFonts w:ascii="Arial" w:cs="Arial" w:eastAsia="Arial" w:hAnsi="Arial"/>
          <w:sz w:val="18"/>
          <w:szCs w:val="18"/>
          <w:b w:val="1"/>
          <w:bCs w:val="1"/>
          <w:color w:val="auto"/>
        </w:rPr>
        <w:t>We have broad discretion over the use of proceeds from our offerings, to the extent they are successful, and will use proceeds in part to satisfy operating expenses.</w:t>
      </w:r>
    </w:p>
    <w:p>
      <w:pPr>
        <w:spacing w:after="0" w:line="58" w:lineRule="exact"/>
        <w:rPr>
          <w:sz w:val="20"/>
          <w:szCs w:val="20"/>
          <w:color w:val="auto"/>
        </w:rPr>
      </w:pPr>
    </w:p>
    <w:p>
      <w:pPr>
        <w:ind w:left="40" w:right="679" w:firstLine="270"/>
        <w:spacing w:after="0" w:line="254" w:lineRule="auto"/>
        <w:rPr>
          <w:sz w:val="20"/>
          <w:szCs w:val="20"/>
          <w:color w:val="auto"/>
        </w:rPr>
      </w:pPr>
      <w:r>
        <w:rPr>
          <w:rFonts w:ascii="Arial" w:cs="Arial" w:eastAsia="Arial" w:hAnsi="Arial"/>
          <w:sz w:val="18"/>
          <w:szCs w:val="18"/>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timeframe contemplated. We will also pay operating expenses, and may pay other expenses such as due diligence expenses of potential new investments, from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left="40" w:right="879" w:firstLine="270"/>
        <w:spacing w:after="0" w:line="312" w:lineRule="auto"/>
        <w:rPr>
          <w:sz w:val="20"/>
          <w:szCs w:val="20"/>
          <w:color w:val="auto"/>
        </w:rPr>
      </w:pPr>
      <w:r>
        <w:rPr>
          <w:rFonts w:ascii="Arial" w:cs="Arial" w:eastAsia="Arial" w:hAnsi="Arial"/>
          <w:sz w:val="16"/>
          <w:szCs w:val="16"/>
          <w:color w:val="auto"/>
        </w:rPr>
        <w:t>Our corporate headquarters are located at 2925 Woodside Road, Woodside, California, 94062, in the offices of GSV Asset Management. We do not own or lease any office space directly; however, we will pay a portion of the rent as allocated to us by GSV Capital Service Company. Our office facilities are suitable and adequate for our business as it is presently conducted.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Although we and GSV Asset Management may, from time to time, be involved in litigation arising out of our and GSV Asset Management’s operations in the normal course of business or otherwise, except as described below, neither we nor GSV Asset Management is currently a party to any pending material legal proceedings.</w:t>
      </w:r>
    </w:p>
    <w:p>
      <w:pPr>
        <w:spacing w:after="0" w:line="73"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 xml:space="preserve">GSV Asset Management, Matthew Hanson, and Michael Moe (collectively, the “Defendants”) have each been named as a defendant in a lawsuit initially filed in December 2014 and as subsequently amended on December 15, 2015, in the United States District Court for the Northern District of California, Oakland Division, captioned </w:t>
      </w:r>
      <w:r>
        <w:rPr>
          <w:rFonts w:ascii="Arial" w:cs="Arial" w:eastAsia="Arial" w:hAnsi="Arial"/>
          <w:sz w:val="17"/>
          <w:szCs w:val="17"/>
          <w:i w:val="1"/>
          <w:iCs w:val="1"/>
          <w:color w:val="auto"/>
        </w:rPr>
        <w:t>Continental Advisors S. A. and Precedo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Group LLC, Plaintiffs v. GSV Asset Management, Matthew Hanson and Michael Moe</w:t>
      </w:r>
      <w:r>
        <w:rPr>
          <w:rFonts w:ascii="Arial" w:cs="Arial" w:eastAsia="Arial" w:hAnsi="Arial"/>
          <w:sz w:val="17"/>
          <w:szCs w:val="17"/>
          <w:color w:val="auto"/>
        </w:rPr>
        <w:t>. The lawsuit, as amended, alleges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Defendants engaged in fraud and fraudulent inducement, aiding and abetting fraud, tortious interference with business relations and negligent misrepresentation relating to an offering of a large block of shares of Twitter, Inc. The plaintiffs seek compensatory damages and attorneys’ fees and costs, among other relief.</w:t>
      </w:r>
    </w:p>
    <w:p>
      <w:pPr>
        <w:spacing w:after="0" w:line="70"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The Defendants deny the plaintiffs’ allegations and have, and intend to continue to, defend themselves vigorously against the plaintiffs’ allegations.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44" w:lineRule="exact"/>
        <w:rPr>
          <w:sz w:val="20"/>
          <w:szCs w:val="20"/>
          <w:color w:val="auto"/>
        </w:rPr>
      </w:pPr>
    </w:p>
    <w:p>
      <w:pPr>
        <w:ind w:left="60" w:right="679" w:firstLine="270"/>
        <w:spacing w:after="0" w:line="264" w:lineRule="auto"/>
        <w:rPr>
          <w:sz w:val="20"/>
          <w:szCs w:val="20"/>
          <w:color w:val="auto"/>
        </w:rPr>
      </w:pPr>
      <w:r>
        <w:rPr>
          <w:rFonts w:ascii="Arial" w:cs="Arial" w:eastAsia="Arial" w:hAnsi="Arial"/>
          <w:sz w:val="18"/>
          <w:szCs w:val="18"/>
          <w:color w:val="auto"/>
        </w:rPr>
        <w:t>Our common stock is traded on the Nasdaq Capital Market under the symbol “GSVC.” The following table sets forth the high and low closing prices for our common stock for each fiscal quarter for the years ended December 31, 2015 and 2014. The last reported closing market price of our common stock on March 14, 2016 was $6.04.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52057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96"/>
        </w:trPr>
        <w:tc>
          <w:tcPr>
            <w:tcW w:w="66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Fiscal 2015</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66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10.42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w w:val="95"/>
              </w:rPr>
              <w:t>7.53</w:t>
            </w:r>
            <w:r>
              <w:rPr>
                <w:rFonts w:ascii="Arial" w:cs="Arial" w:eastAsia="Arial" w:hAnsi="Arial"/>
                <w:sz w:val="29"/>
                <w:szCs w:val="29"/>
                <w:color w:val="auto"/>
                <w:w w:val="95"/>
                <w:vertAlign w:val="superscript"/>
              </w:rPr>
              <w:t>(1)</w:t>
            </w:r>
          </w:p>
        </w:tc>
        <w:tc>
          <w:tcPr>
            <w:tcW w:w="0" w:type="dxa"/>
            <w:vAlign w:val="bottom"/>
          </w:tcPr>
          <w:p>
            <w:pPr>
              <w:spacing w:after="0"/>
              <w:rPr>
                <w:sz w:val="1"/>
                <w:szCs w:val="1"/>
                <w:color w:val="auto"/>
              </w:rPr>
            </w:pPr>
          </w:p>
        </w:tc>
      </w:tr>
      <w:tr>
        <w:trPr>
          <w:trHeight w:val="216"/>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w w:val="97"/>
              </w:rPr>
              <w:t>11.07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11.26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First Quarter</w:t>
            </w:r>
          </w:p>
        </w:tc>
        <w:tc>
          <w:tcPr>
            <w:tcW w:w="14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w w:val="97"/>
              </w:rPr>
              <w:t>10.38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10.26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11.69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w w:val="97"/>
              </w:rPr>
              <w:t>10.57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13.78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4"/>
              </w:rPr>
              <w:t>10.14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599" w:hanging="272"/>
        <w:spacing w:after="0" w:line="264"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high and low adjusted-close prices for the period from October 1, 2015 through December 31, 2015, were $7.66 and $4.77, respectively. These prices reflect the retroactive effect of the $2.76 dividend declared on November 4, 2015 and paid, in part cash and in part shares of common stock, on December 31, 2015.</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9, 2016, there were 2 holders of record of our common stock.</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60" w:right="539" w:firstLine="270"/>
        <w:spacing w:after="0" w:line="286" w:lineRule="auto"/>
        <w:rPr>
          <w:sz w:val="20"/>
          <w:szCs w:val="20"/>
          <w:color w:val="auto"/>
        </w:rPr>
      </w:pPr>
      <w:r>
        <w:rPr>
          <w:rFonts w:ascii="Arial" w:cs="Arial" w:eastAsia="Arial" w:hAnsi="Arial"/>
          <w:sz w:val="16"/>
          <w:szCs w:val="16"/>
          <w:color w:val="auto"/>
        </w:rPr>
        <w:t>We have elected to be treated as a RIC under the Code for the 2014 taxable year, have qualified to be treated as a RIC for the 2015 taxable year and expect to continue to operate in a manner so as to qualify for the tax treatment applicable to RICs. To obtain and maintain RIC tax treatment, we must, among other things, distribute at least 90% of our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we may in the future decide to retain such capital gains for investment. If this happens, our stockholders will be treated as if they received an actual distribution of the capital gains we retain and reinvested the net after-tax proceeds in us. Stockholders also may be eligible to claim a tax credit (or, in certain circumstances, a tax refund) equal to the allocable share of the tax we paid on the capital gains deemed distributed to them. See “Business — Material U.S. Federal Income Tax Considerations.”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200" w:lineRule="exact"/>
        <w:rPr>
          <w:sz w:val="20"/>
          <w:szCs w:val="20"/>
          <w:color w:val="auto"/>
        </w:rPr>
      </w:pPr>
    </w:p>
    <w:p>
      <w:pPr>
        <w:spacing w:after="0" w:line="32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The following table summarizes our dividends declared and paid or to be paid on all shares, including dividends reinvested, if any, during the years ended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November 4, 2015</w:t>
            </w: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16, 2015</w:t>
            </w: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2015</w:t>
            </w:r>
          </w:p>
        </w:tc>
        <w:tc>
          <w:tcPr>
            <w:tcW w:w="1140" w:type="dxa"/>
            <w:vAlign w:val="bottom"/>
            <w:gridSpan w:val="2"/>
            <w:shd w:val="clear" w:color="auto" w:fill="CCEEFF"/>
          </w:tcPr>
          <w:p>
            <w:pPr>
              <w:jc w:val="right"/>
              <w:ind w:right="128"/>
              <w:spacing w:after="0" w:line="250" w:lineRule="exact"/>
              <w:rPr>
                <w:sz w:val="20"/>
                <w:szCs w:val="20"/>
                <w:color w:val="auto"/>
              </w:rPr>
            </w:pPr>
            <w:r>
              <w:rPr>
                <w:rFonts w:ascii="Arial" w:cs="Arial" w:eastAsia="Arial" w:hAnsi="Arial"/>
                <w:sz w:val="17"/>
                <w:szCs w:val="17"/>
                <w:color w:val="auto"/>
              </w:rPr>
              <w:t>$  2.76</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559" w:hanging="272"/>
        <w:spacing w:after="0" w:line="272" w:lineRule="auto"/>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dividend was paid in cash or shares of our common stock at the election of stockholders, although the total amount of cash distributed to all stockholders was limited to approximately 50% of the total dividend to be paid to all stockholders. As a result of stockholder elections, the dividend consisted of approximately 2,860,903 shares of common stock issued in lieu of cash, or approximately 14.8% of our outstanding shares prior to the dividend,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dividend represented a return of capital.</w:t>
      </w:r>
    </w:p>
    <w:p>
      <w:pPr>
        <w:spacing w:after="0" w:line="70" w:lineRule="exact"/>
        <w:rPr>
          <w:sz w:val="20"/>
          <w:szCs w:val="20"/>
          <w:color w:val="auto"/>
        </w:rPr>
      </w:pPr>
    </w:p>
    <w:p>
      <w:pPr>
        <w:ind w:left="60" w:right="559" w:firstLine="270"/>
        <w:spacing w:after="0" w:line="269" w:lineRule="auto"/>
        <w:rPr>
          <w:sz w:val="20"/>
          <w:szCs w:val="20"/>
          <w:color w:val="auto"/>
        </w:rPr>
      </w:pPr>
      <w:r>
        <w:rPr>
          <w:rFonts w:ascii="Arial" w:cs="Arial" w:eastAsia="Arial" w:hAnsi="Arial"/>
          <w:sz w:val="17"/>
          <w:szCs w:val="17"/>
          <w:color w:val="auto"/>
        </w:rPr>
        <w:t>Our current intention is to make any distributions out of assets legally available in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it will not receive a corresponding cash distribution. In addition, reinvested dividends have the effect of increasing our gross assets, which may correspondingly increase the management fee payable to GSV Asset Management. If stockholders hold shares in the name of a broker or financial intermediary, they should contact the broker or financial intermediary regarding their election to receive distributions in cash.</w:t>
      </w:r>
    </w:p>
    <w:p>
      <w:pPr>
        <w:spacing w:after="0" w:line="200" w:lineRule="exact"/>
        <w:rPr>
          <w:sz w:val="20"/>
          <w:szCs w:val="20"/>
          <w:color w:val="auto"/>
        </w:rPr>
      </w:pPr>
    </w:p>
    <w:p>
      <w:pPr>
        <w:spacing w:after="0" w:line="31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The following graph compares the return on our common stock with that of the Standard &amp; Poor’s 500 Stock Index and the Nasdaq Stock Index, as we do not believe there is an appropriate index of companies with an investment strategy similar to our own with which to compare the return on our common stock, for the period from April 28, 2011 (the date of our IPO) to December 31, 2015. The graph assumes that, on April 28, 2011, a person invested $100 in each of our common stock, the Standard &amp; Poor’s 500 Stock Index and the Nasdaq Stock Index. The graph measures total stockholder return, which takes into account both changes in stock price and dividends. It assumes that dividends are reinvested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53975</wp:posOffset>
            </wp:positionV>
            <wp:extent cx="4570730" cy="3104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7073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The graph and other information furnished under this Part II, Item 5 of this annual report on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12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In connection with the cash and stock dividend declared by our board of directors on November 4, 2015 and paid on December 31, 2015, and as a result of the election of stockholders, we issued 2,860,903 shares of common stock, or approximately 14.8% of our outstanding shares prior to the dividend, at a price of $9.425 per share, which equaled the average of the volume weighted-average trading price per share of our common stock on December 28, 29 and 30, 2015. We have reported all other sales of our unregistered equity securities that occurred during the period covered by this report in our reports on Form 10-Q or Form 8-K, as applicable.</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 w:right="759" w:firstLine="270"/>
        <w:spacing w:after="0" w:line="302" w:lineRule="auto"/>
        <w:rPr>
          <w:sz w:val="20"/>
          <w:szCs w:val="20"/>
          <w:color w:val="auto"/>
        </w:rPr>
      </w:pPr>
      <w:r>
        <w:rPr>
          <w:rFonts w:ascii="Arial" w:cs="Arial" w:eastAsia="Arial" w:hAnsi="Arial"/>
          <w:sz w:val="16"/>
          <w:szCs w:val="16"/>
          <w:color w:val="auto"/>
        </w:rPr>
        <w:t>The following selected financial and other data for the years ended December 31, 2015, 2014, 2013, 2012, and for the period from January 6, 2011 (date of inception) to December, 31 2011, respectively, is derived from our financial statements. The data should be read in conjunction with our financial statements and notes thereto and “Management’s Discussion and Analysis of Financial Condition and Results of Operations,” which are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52311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As of and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As of and for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2"/>
              </w:rPr>
              <w:t>As of and for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As of and for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As of and for</w:t>
            </w:r>
          </w:p>
        </w:tc>
        <w:tc>
          <w:tcPr>
            <w:tcW w:w="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January 6,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0"/>
              </w:rPr>
              <w:t>(date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the year ended</w:t>
            </w:r>
          </w:p>
        </w:tc>
        <w:tc>
          <w:tcPr>
            <w:tcW w:w="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the year ended</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the year ended</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the year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96"/>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Total investment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290,896</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185,946</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48,951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248,077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162,328</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26,978,235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7"/>
              </w:rPr>
              <w:t>21,775,939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22,083,875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8,530,958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2,196,192</w:t>
            </w:r>
          </w:p>
        </w:tc>
        <w:tc>
          <w:tcPr>
            <w:tcW w:w="0" w:type="dxa"/>
            <w:vAlign w:val="bottom"/>
          </w:tcPr>
          <w:p>
            <w:pPr>
              <w:spacing w:after="0"/>
              <w:rPr>
                <w:sz w:val="1"/>
                <w:szCs w:val="1"/>
                <w:color w:val="auto"/>
              </w:rPr>
            </w:pPr>
          </w:p>
        </w:tc>
      </w:tr>
      <w:tr>
        <w:trPr>
          <w:trHeight w:val="193"/>
        </w:trPr>
        <w:tc>
          <w:tcPr>
            <w:tcW w:w="3100" w:type="dxa"/>
            <w:vAlign w:val="bottom"/>
            <w:gridSpan w:val="3"/>
          </w:tcPr>
          <w:p>
            <w:pPr>
              <w:ind w:left="20"/>
              <w:spacing w:after="0"/>
              <w:rPr>
                <w:sz w:val="20"/>
                <w:szCs w:val="20"/>
                <w:color w:val="auto"/>
              </w:rPr>
            </w:pPr>
            <w:r>
              <w:rPr>
                <w:rFonts w:ascii="Arial" w:cs="Arial" w:eastAsia="Arial" w:hAnsi="Arial"/>
                <w:sz w:val="16"/>
                <w:szCs w:val="16"/>
                <w:color w:val="auto"/>
                <w:w w:val="93"/>
              </w:rPr>
              <w:t>(Provision)/Benefit for taxes on net investment</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6"/>
                <w:szCs w:val="16"/>
                <w:color w:val="auto"/>
              </w:rPr>
              <w:t>loss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(21,969,370)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8,810,102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13,159,268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investment loss</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(48,656,709)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(12,779,891)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(8,875,656)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(8,282,881)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(2,033,864)</w:t>
            </w:r>
          </w:p>
        </w:tc>
        <w:tc>
          <w:tcPr>
            <w:tcW w:w="0" w:type="dxa"/>
            <w:vAlign w:val="bottom"/>
          </w:tcPr>
          <w:p>
            <w:pPr>
              <w:spacing w:after="0"/>
              <w:rPr>
                <w:sz w:val="1"/>
                <w:szCs w:val="1"/>
                <w:color w:val="auto"/>
              </w:rPr>
            </w:pPr>
          </w:p>
        </w:tc>
      </w:tr>
      <w:tr>
        <w:trPr>
          <w:trHeight w:val="20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Net realized gain (loss) on investments</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54,144,229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97"/>
              </w:rPr>
              <w:t>23,926,124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(21,706,021)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(1,380,519)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(Provision)/Benefit for taxes on net realized</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losses/gains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342,802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(9,769,036)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9,426,234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Net change in unrealized appreciation</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6"/>
                <w:szCs w:val="16"/>
                <w:color w:val="auto"/>
              </w:rPr>
              <w:t>(depreciation) of investments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(13,422,245)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(5,811,797)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87,445,149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(10,170,850)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(1,579,800)</w:t>
            </w:r>
          </w:p>
        </w:tc>
        <w:tc>
          <w:tcPr>
            <w:tcW w:w="0" w:type="dxa"/>
            <w:vAlign w:val="bottom"/>
          </w:tcPr>
          <w:p>
            <w:pPr>
              <w:spacing w:after="0"/>
              <w:rPr>
                <w:sz w:val="1"/>
                <w:szCs w:val="1"/>
                <w:color w:val="auto"/>
              </w:rPr>
            </w:pPr>
          </w:p>
        </w:tc>
      </w:tr>
      <w:tr>
        <w:trPr>
          <w:trHeight w:val="196"/>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(Provision)/Benefit for taxes on unrealized</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appreciation/deprecation of investments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16,058,080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2,371,829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(30,906,063)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100" w:type="dxa"/>
            <w:vAlign w:val="bottom"/>
            <w:gridSpan w:val="3"/>
          </w:tcPr>
          <w:p>
            <w:pPr>
              <w:ind w:left="20"/>
              <w:spacing w:after="0"/>
              <w:rPr>
                <w:sz w:val="20"/>
                <w:szCs w:val="20"/>
                <w:color w:val="auto"/>
              </w:rPr>
            </w:pPr>
            <w:r>
              <w:rPr>
                <w:rFonts w:ascii="Arial" w:cs="Arial" w:eastAsia="Arial" w:hAnsi="Arial"/>
                <w:sz w:val="16"/>
                <w:szCs w:val="16"/>
                <w:color w:val="auto"/>
                <w:w w:val="92"/>
              </w:rPr>
              <w:t>Net increase (decrease) in net assets resulting</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6"/>
                <w:szCs w:val="16"/>
                <w:color w:val="auto"/>
              </w:rPr>
              <w:t>from operations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8,466,157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(2,062,771)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35,383,643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4"/>
              </w:rPr>
              <w:t>(19,834,250)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(3,613,664)</w:t>
            </w:r>
          </w:p>
        </w:tc>
        <w:tc>
          <w:tcPr>
            <w:tcW w:w="0" w:type="dxa"/>
            <w:vAlign w:val="bottom"/>
          </w:tcPr>
          <w:p>
            <w:pPr>
              <w:spacing w:after="0"/>
              <w:rPr>
                <w:sz w:val="1"/>
                <w:szCs w:val="1"/>
                <w:color w:val="auto"/>
              </w:rPr>
            </w:pPr>
          </w:p>
        </w:tc>
      </w:tr>
      <w:tr>
        <w:trPr>
          <w:trHeight w:val="206"/>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Per Common Share Data:</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00" w:type="dxa"/>
            <w:vAlign w:val="bottom"/>
            <w:gridSpan w:val="3"/>
          </w:tcPr>
          <w:p>
            <w:pPr>
              <w:ind w:left="20"/>
              <w:spacing w:after="0"/>
              <w:rPr>
                <w:sz w:val="20"/>
                <w:szCs w:val="20"/>
                <w:color w:val="auto"/>
              </w:rPr>
            </w:pPr>
            <w:r>
              <w:rPr>
                <w:rFonts w:ascii="Arial" w:cs="Arial" w:eastAsia="Arial" w:hAnsi="Arial"/>
                <w:sz w:val="16"/>
                <w:szCs w:val="16"/>
                <w:color w:val="auto"/>
                <w:w w:val="92"/>
              </w:rPr>
              <w:t>Net increase (decrease) in net assets resulting</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6"/>
                <w:szCs w:val="16"/>
                <w:color w:val="auto"/>
              </w:rPr>
              <w:t>from operations per average share: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43"/>
        </w:trPr>
        <w:tc>
          <w:tcPr>
            <w:tcW w:w="310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i w:val="1"/>
                <w:iCs w:val="1"/>
                <w:color w:val="auto"/>
              </w:rPr>
              <w:t>Weighted-Average Common Shares:</w:t>
            </w:r>
            <w:r>
              <w:rPr>
                <w:rFonts w:ascii="Arial" w:cs="Arial" w:eastAsia="Arial" w:hAnsi="Arial"/>
                <w:sz w:val="27"/>
                <w:szCs w:val="27"/>
                <w:i w:val="1"/>
                <w:iCs w:val="1"/>
                <w:color w:val="auto"/>
                <w:vertAlign w:val="superscript"/>
              </w:rPr>
              <w:t>(2)</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19,327,938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97"/>
              </w:rPr>
              <w:t>19,320,100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19,320,100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16,096,330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3,377,429</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19,327,938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7"/>
              </w:rPr>
              <w:t>19,320,100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20,541,014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16,096,330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3,377,429</w:t>
            </w:r>
          </w:p>
        </w:tc>
        <w:tc>
          <w:tcPr>
            <w:tcW w:w="0" w:type="dxa"/>
            <w:vAlign w:val="bottom"/>
          </w:tcPr>
          <w:p>
            <w:pPr>
              <w:spacing w:after="0"/>
              <w:rPr>
                <w:sz w:val="1"/>
                <w:szCs w:val="1"/>
                <w:color w:val="auto"/>
              </w:rPr>
            </w:pPr>
          </w:p>
        </w:tc>
      </w:tr>
      <w:tr>
        <w:trPr>
          <w:trHeight w:val="243"/>
        </w:trPr>
        <w:tc>
          <w:tcPr>
            <w:tcW w:w="310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Net asset value per share</w:t>
            </w:r>
            <w:r>
              <w:rPr>
                <w:rFonts w:ascii="Arial" w:cs="Arial" w:eastAsia="Arial" w:hAnsi="Arial"/>
                <w:sz w:val="27"/>
                <w:szCs w:val="27"/>
                <w:color w:val="auto"/>
                <w:vertAlign w:val="superscript"/>
              </w:rPr>
              <w:t>(3)</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Market price at year-end</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0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Distributions declared</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Shares Outstanding at year end/period</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22,181,003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7"/>
              </w:rPr>
              <w:t>19,320,100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19,320,100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19,320,100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5,520,100</w:t>
            </w:r>
          </w:p>
        </w:tc>
        <w:tc>
          <w:tcPr>
            <w:tcW w:w="0" w:type="dxa"/>
            <w:vAlign w:val="bottom"/>
          </w:tcPr>
          <w:p>
            <w:pPr>
              <w:spacing w:after="0"/>
              <w:rPr>
                <w:sz w:val="1"/>
                <w:szCs w:val="1"/>
                <w:color w:val="auto"/>
              </w:rPr>
            </w:pPr>
          </w:p>
        </w:tc>
      </w:tr>
      <w:tr>
        <w:trPr>
          <w:trHeight w:val="203"/>
        </w:trPr>
        <w:tc>
          <w:tcPr>
            <w:tcW w:w="3100" w:type="dxa"/>
            <w:vAlign w:val="bottom"/>
            <w:gridSpan w:val="3"/>
          </w:tcPr>
          <w:p>
            <w:pPr>
              <w:ind w:left="20"/>
              <w:spacing w:after="0"/>
              <w:rPr>
                <w:sz w:val="20"/>
                <w:szCs w:val="20"/>
                <w:color w:val="auto"/>
              </w:rPr>
            </w:pPr>
            <w:r>
              <w:rPr>
                <w:rFonts w:ascii="Arial" w:cs="Arial" w:eastAsia="Arial" w:hAnsi="Arial"/>
                <w:sz w:val="16"/>
                <w:szCs w:val="16"/>
                <w:b w:val="1"/>
                <w:bCs w:val="1"/>
                <w:color w:val="auto"/>
              </w:rPr>
              <w:t>Balance Sheet Data: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0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Total assets</w:t>
            </w:r>
            <w:r>
              <w:rPr>
                <w:rFonts w:ascii="Arial" w:cs="Arial" w:eastAsia="Arial" w:hAnsi="Arial"/>
                <w:sz w:val="27"/>
                <w:szCs w:val="27"/>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399,790,643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7"/>
              </w:rPr>
              <w:t>485,646,096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377,947,558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253,130,728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91,798,242</w:t>
            </w:r>
          </w:p>
        </w:tc>
        <w:tc>
          <w:tcPr>
            <w:tcW w:w="0" w:type="dxa"/>
            <w:vAlign w:val="bottom"/>
          </w:tcPr>
          <w:p>
            <w:pPr>
              <w:spacing w:after="0"/>
              <w:rPr>
                <w:sz w:val="1"/>
                <w:szCs w:val="1"/>
                <w:color w:val="auto"/>
              </w:rPr>
            </w:pPr>
          </w:p>
        </w:tc>
      </w:tr>
      <w:tr>
        <w:trPr>
          <w:trHeight w:val="193"/>
        </w:trPr>
        <w:tc>
          <w:tcPr>
            <w:tcW w:w="3100" w:type="dxa"/>
            <w:vAlign w:val="bottom"/>
            <w:gridSpan w:val="3"/>
          </w:tcPr>
          <w:p>
            <w:pPr>
              <w:ind w:left="20"/>
              <w:spacing w:after="0"/>
              <w:rPr>
                <w:sz w:val="20"/>
                <w:szCs w:val="20"/>
                <w:color w:val="auto"/>
              </w:rPr>
            </w:pPr>
            <w:r>
              <w:rPr>
                <w:rFonts w:ascii="Arial" w:cs="Arial" w:eastAsia="Arial" w:hAnsi="Arial"/>
                <w:sz w:val="16"/>
                <w:szCs w:val="16"/>
                <w:color w:val="auto"/>
                <w:w w:val="92"/>
              </w:rPr>
              <w:t>Convertible Senior Notes embedded derivative</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6"/>
                <w:szCs w:val="16"/>
                <w:color w:val="auto"/>
              </w:rPr>
              <w:t>liability</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799,000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5"/>
              </w:rPr>
              <w:t>Convertible Senior Notes payable 5.25% due</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September 15, 2018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68,596,619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7"/>
              </w:rPr>
              <w:t>68,462,353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68,335,295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Total liabilities</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89"/>
              </w:rPr>
              <w:t>131,779,698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87"/>
              </w:rPr>
              <w:t>199,742,423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89,981,114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547,927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20,294,994</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net assets</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268,010,945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7"/>
              </w:rPr>
              <w:t>285,903,673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287,966,444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252,582,801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71,503,248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519" w:hanging="272"/>
        <w:spacing w:after="0" w:line="297"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each of the years ended December 31, 2013 and 2012, and for the period from January 6, 2011 (date of inception) to December, 31 2011, total assets increased due to the issuance of Convertible Senior Notes in September 2013 as well as multiple equity offerings. During the year ended December 31, 2014, total assets increased due to the purchase of a United States Treasury Bill on margin. During the year ended December 31, 2015, total assets decreased due to a declared dividend, which was paid on December 31, 2015. Refer to Note 4 to the consolidated financial statements for further details.</w:t>
      </w:r>
    </w:p>
    <w:p>
      <w:pPr>
        <w:spacing w:after="0" w:line="50" w:lineRule="exact"/>
        <w:rPr>
          <w:rFonts w:ascii="Arial" w:cs="Arial" w:eastAsia="Arial" w:hAnsi="Arial"/>
          <w:sz w:val="16"/>
          <w:szCs w:val="16"/>
          <w:color w:val="auto"/>
        </w:rPr>
      </w:pPr>
    </w:p>
    <w:p>
      <w:pPr>
        <w:ind w:left="300" w:right="539" w:hanging="272"/>
        <w:spacing w:after="0" w:line="277"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Weighted-average common shares for the period from January 6, 2011 (date of inception) to December 31, 2011 were calculated starting from the issuance of 100 shares as of February 28, 2011.</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asset value per share is based on weighted-average basic shares outstanding for the period.</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40" w:right="2559" w:hanging="39"/>
        <w:spacing w:after="0" w:line="39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50" w:lineRule="exact"/>
        <w:rPr>
          <w:sz w:val="20"/>
          <w:szCs w:val="20"/>
          <w:color w:val="auto"/>
        </w:rPr>
      </w:pPr>
    </w:p>
    <w:p>
      <w:pPr>
        <w:ind w:left="40" w:right="1139" w:firstLine="270"/>
        <w:spacing w:after="0" w:line="277" w:lineRule="auto"/>
        <w:rPr>
          <w:sz w:val="20"/>
          <w:szCs w:val="20"/>
          <w:color w:val="auto"/>
        </w:rPr>
      </w:pPr>
      <w:r>
        <w:rPr>
          <w:rFonts w:ascii="Arial" w:cs="Arial" w:eastAsia="Arial" w:hAnsi="Arial"/>
          <w:sz w:val="18"/>
          <w:szCs w:val="18"/>
          <w:color w:val="auto"/>
        </w:rPr>
        <w:t>The forward-looking statements contained in this annual report on Form 10-K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639" w:hanging="322"/>
        <w:spacing w:after="0" w:line="277"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939" w:hanging="322"/>
        <w:spacing w:after="0" w:line="277"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in our annual report on Form 10-K and in our filings with the SEC.</w:t>
      </w:r>
    </w:p>
    <w:p>
      <w:pPr>
        <w:spacing w:after="0" w:line="62"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our annual report on Form 10-K, in the “Risk Factors” section. You should not place undue reliance on these forward-looking statements, which apply only as of the date of this annual report on Form 10-K.</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firstLine="270"/>
        <w:spacing w:after="0" w:line="308" w:lineRule="auto"/>
        <w:rPr>
          <w:sz w:val="20"/>
          <w:szCs w:val="20"/>
          <w:color w:val="auto"/>
        </w:rPr>
      </w:pPr>
      <w:r>
        <w:rPr>
          <w:rFonts w:ascii="Arial" w:cs="Arial" w:eastAsia="Arial" w:hAnsi="Arial"/>
          <w:sz w:val="17"/>
          <w:szCs w:val="17"/>
          <w:color w:val="auto"/>
        </w:rPr>
        <w:t>The following analysis of our financial condition and results of operations should be read in conjunction with our consolidated financial statements and the related notes thereto contained elsewhere in this annual report on Form 10-K.</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are an externally managed, non-diversified closed-end management investment company that has elected to be regulated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regards to the regulatory requirements for business development companies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 See “Business — Operating and Regulatory Structure.”</w:t>
      </w:r>
    </w:p>
    <w:p>
      <w:pPr>
        <w:spacing w:after="0" w:line="64" w:lineRule="exact"/>
        <w:rPr>
          <w:sz w:val="20"/>
          <w:szCs w:val="20"/>
          <w:color w:val="auto"/>
        </w:rPr>
      </w:pPr>
    </w:p>
    <w:p>
      <w:pPr>
        <w:ind w:left="40" w:right="679" w:firstLine="270"/>
        <w:spacing w:after="0" w:line="286" w:lineRule="auto"/>
        <w:rPr>
          <w:sz w:val="20"/>
          <w:szCs w:val="20"/>
          <w:color w:val="auto"/>
        </w:rPr>
      </w:pPr>
      <w:r>
        <w:rPr>
          <w:rFonts w:ascii="Arial" w:cs="Arial" w:eastAsia="Arial" w:hAnsi="Arial"/>
          <w:sz w:val="17"/>
          <w:szCs w:val="17"/>
          <w:color w:val="auto"/>
        </w:rPr>
        <w:t>We acquire our investments through direct investments with prospective portfolio companies,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5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70"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 (Portfolio Activity)</w:t>
      </w:r>
    </w:p>
    <w:p>
      <w:pPr>
        <w:spacing w:after="0" w:line="117" w:lineRule="exact"/>
        <w:rPr>
          <w:sz w:val="20"/>
          <w:szCs w:val="20"/>
          <w:color w:val="auto"/>
        </w:rPr>
      </w:pPr>
    </w:p>
    <w:p>
      <w:pPr>
        <w:ind w:left="40" w:right="699" w:firstLine="270"/>
        <w:spacing w:after="0" w:line="293" w:lineRule="auto"/>
        <w:rPr>
          <w:sz w:val="20"/>
          <w:szCs w:val="20"/>
          <w:color w:val="auto"/>
        </w:rPr>
      </w:pPr>
      <w:r>
        <w:rPr>
          <w:rFonts w:ascii="Arial" w:cs="Arial" w:eastAsia="Arial" w:hAnsi="Arial"/>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as well as sales of existing investments. The fair value, as of December 31, 2015, of all of our portfolio investments, excluding U.S. Treasury Bills and Strips, was $349,808,767. The following table summarizes the investment purchases we funded during the year ended December 31, 2015. “Total Gross Payments” include both the actual cost of an investment as well as capitalized costs, (such as legal and other fees) associated with entering into a portfolio company investment.</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3040" w:type="dxa"/>
            <w:vAlign w:val="bottom"/>
            <w:gridSpan w:val="3"/>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16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8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Total through</w:t>
            </w: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Fundings by Portfolio Company (Industry)</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040" w:type="dxa"/>
            <w:vAlign w:val="bottom"/>
            <w:gridSpan w:val="3"/>
            <w:vMerge w:val="continue"/>
          </w:tcPr>
          <w:p>
            <w:pPr>
              <w:spacing w:after="0"/>
              <w:rPr>
                <w:sz w:val="14"/>
                <w:szCs w:val="14"/>
                <w:color w:val="auto"/>
              </w:rPr>
            </w:pPr>
          </w:p>
        </w:tc>
        <w:tc>
          <w:tcPr>
            <w:tcW w:w="94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96"/>
              </w:rPr>
              <w:t>2015</w:t>
            </w:r>
          </w:p>
        </w:tc>
        <w:tc>
          <w:tcPr>
            <w:tcW w:w="102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94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40" w:type="dxa"/>
            <w:vAlign w:val="bottom"/>
            <w:tcBorders>
              <w:top w:val="single" w:sz="8" w:color="auto"/>
            </w:tcBorders>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NestGSV, Inc. (d/b/a GSV Labs, Inc.)</w:t>
            </w:r>
          </w:p>
        </w:tc>
        <w:tc>
          <w:tcPr>
            <w:tcW w:w="80" w:type="dxa"/>
            <w:vAlign w:val="bottom"/>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(Incubator)</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$ 1,000,000</w:t>
            </w:r>
          </w:p>
        </w:tc>
        <w:tc>
          <w:tcPr>
            <w:tcW w:w="110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$ 1,499,999</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6"/>
              </w:rPr>
              <w:t>$ 1,000,000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3,499,999</w:t>
            </w:r>
          </w:p>
        </w:tc>
        <w:tc>
          <w:tcPr>
            <w:tcW w:w="0" w:type="dxa"/>
            <w:vAlign w:val="bottom"/>
          </w:tcPr>
          <w:p>
            <w:pPr>
              <w:spacing w:after="0"/>
              <w:rPr>
                <w:sz w:val="1"/>
                <w:szCs w:val="1"/>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Fullbridge, Inc. (Business Education)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964,042</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964,042</w:t>
            </w: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Lyft, Inc. (Peer to Peer Ridesharing)</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2,499,985</w:t>
            </w:r>
          </w:p>
        </w:tc>
        <w:tc>
          <w:tcPr>
            <w:tcW w:w="1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2,499,985</w:t>
            </w:r>
          </w:p>
        </w:tc>
        <w:tc>
          <w:tcPr>
            <w:tcW w:w="0" w:type="dxa"/>
            <w:vAlign w:val="bottom"/>
          </w:tcPr>
          <w:p>
            <w:pPr>
              <w:spacing w:after="0"/>
              <w:rPr>
                <w:sz w:val="1"/>
                <w:szCs w:val="1"/>
                <w:color w:val="auto"/>
              </w:rPr>
            </w:pPr>
          </w:p>
        </w:tc>
      </w:tr>
      <w:tr>
        <w:trPr>
          <w:trHeight w:val="202"/>
        </w:trPr>
        <w:tc>
          <w:tcPr>
            <w:tcW w:w="30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PayNearMe, Inc. (Cash Payment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Network)</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3,999,998</w:t>
            </w: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3,999,998</w:t>
            </w:r>
          </w:p>
        </w:tc>
        <w:tc>
          <w:tcPr>
            <w:tcW w:w="0" w:type="dxa"/>
            <w:vAlign w:val="bottom"/>
          </w:tcPr>
          <w:p>
            <w:pPr>
              <w:spacing w:after="0"/>
              <w:rPr>
                <w:sz w:val="1"/>
                <w:szCs w:val="1"/>
                <w:color w:val="auto"/>
              </w:rPr>
            </w:pPr>
          </w:p>
        </w:tc>
      </w:tr>
      <w:tr>
        <w:trPr>
          <w:trHeight w:val="202"/>
        </w:trPr>
        <w:tc>
          <w:tcPr>
            <w:tcW w:w="30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GSV Sustainability Partners (Clean</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Borders>
              <w:lef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1,200,000</w:t>
            </w:r>
          </w:p>
        </w:tc>
        <w:tc>
          <w:tcPr>
            <w:tcW w:w="14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2,300,000</w:t>
            </w:r>
          </w:p>
        </w:tc>
        <w:tc>
          <w:tcPr>
            <w:tcW w:w="0" w:type="dxa"/>
            <w:vAlign w:val="bottom"/>
          </w:tcPr>
          <w:p>
            <w:pPr>
              <w:spacing w:after="0"/>
              <w:rPr>
                <w:sz w:val="1"/>
                <w:szCs w:val="1"/>
                <w:color w:val="auto"/>
              </w:rPr>
            </w:pPr>
          </w:p>
        </w:tc>
      </w:tr>
      <w:tr>
        <w:trPr>
          <w:trHeight w:val="202"/>
        </w:trPr>
        <w:tc>
          <w:tcPr>
            <w:tcW w:w="30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Earlyshares.com, Inc. (Equity</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Crowdfunding)</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2"/>
        </w:trPr>
        <w:tc>
          <w:tcPr>
            <w:tcW w:w="30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Enjoy Technology, Inc. (Online</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Shopping)</w:t>
            </w:r>
          </w:p>
        </w:tc>
        <w:tc>
          <w:tcPr>
            <w:tcW w:w="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4,000,000</w:t>
            </w:r>
          </w:p>
        </w:tc>
        <w:tc>
          <w:tcPr>
            <w:tcW w:w="0" w:type="dxa"/>
            <w:vAlign w:val="bottom"/>
          </w:tcPr>
          <w:p>
            <w:pPr>
              <w:spacing w:after="0"/>
              <w:rPr>
                <w:sz w:val="1"/>
                <w:szCs w:val="1"/>
                <w:color w:val="auto"/>
              </w:rPr>
            </w:pPr>
          </w:p>
        </w:tc>
      </w:tr>
      <w:tr>
        <w:trPr>
          <w:trHeight w:val="202"/>
        </w:trPr>
        <w:tc>
          <w:tcPr>
            <w:tcW w:w="30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Aspiration Partners, Inc. (Financial</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999,975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999,975</w:t>
            </w: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Declara, Inc. (Social Cognitive Learning)</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2,000,000</w:t>
            </w:r>
          </w:p>
        </w:tc>
        <w:tc>
          <w:tcPr>
            <w:tcW w:w="0" w:type="dxa"/>
            <w:vAlign w:val="bottom"/>
          </w:tcPr>
          <w:p>
            <w:pPr>
              <w:spacing w:after="0"/>
              <w:rPr>
                <w:sz w:val="1"/>
                <w:szCs w:val="1"/>
                <w:color w:val="auto"/>
              </w:rPr>
            </w:pPr>
          </w:p>
        </w:tc>
      </w:tr>
      <w:tr>
        <w:trPr>
          <w:trHeight w:val="202"/>
        </w:trPr>
        <w:tc>
          <w:tcPr>
            <w:tcW w:w="30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EdSurge, Inc. (Education Media</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Platform)</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2"/>
        </w:trPr>
        <w:tc>
          <w:tcPr>
            <w:tcW w:w="30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Circle Media (f/k/a S3 Digital Corp.</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(d/b/a S3i)) (Sports Analytics)</w:t>
            </w:r>
          </w:p>
        </w:tc>
        <w:tc>
          <w:tcPr>
            <w:tcW w:w="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30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Spotify Technology S.A. (Music</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color w:val="auto"/>
              </w:rPr>
              <w:t>Streaming Service)</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10,001,100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10,001,100</w:t>
            </w: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Capitalized Fees</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26,100</w:t>
            </w:r>
          </w:p>
        </w:tc>
        <w:tc>
          <w:tcPr>
            <w:tcW w:w="110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4,440</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115,420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3"/>
          </w:tcPr>
          <w:p>
            <w:pPr>
              <w:ind w:left="20"/>
              <w:spacing w:after="0"/>
              <w:rPr>
                <w:sz w:val="20"/>
                <w:szCs w:val="20"/>
                <w:color w:val="auto"/>
              </w:rPr>
            </w:pPr>
            <w:r>
              <w:rPr>
                <w:rFonts w:ascii="Arial" w:cs="Arial" w:eastAsia="Arial" w:hAnsi="Arial"/>
                <w:sz w:val="18"/>
                <w:szCs w:val="18"/>
                <w:color w:val="auto"/>
              </w:rPr>
              <w:t>Total Gross Payments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$ 8,990,125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$ 1,554,439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$ 6,602,095</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13,808,860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30,955,519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-3541395</wp:posOffset>
            </wp:positionV>
            <wp:extent cx="52139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portfolio investments we sold during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80" w:type="dxa"/>
            <w:vAlign w:val="bottom"/>
          </w:tcPr>
          <w:p>
            <w:pPr>
              <w:spacing w:after="0"/>
              <w:rPr>
                <w:sz w:val="16"/>
                <w:szCs w:val="16"/>
                <w:color w:val="auto"/>
              </w:rPr>
            </w:pPr>
          </w:p>
        </w:tc>
        <w:tc>
          <w:tcPr>
            <w:tcW w:w="920" w:type="dxa"/>
            <w:vAlign w:val="bottom"/>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Net</w:t>
            </w:r>
          </w:p>
        </w:tc>
        <w:tc>
          <w:tcPr>
            <w:tcW w:w="10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22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Sold</w:t>
            </w:r>
          </w:p>
        </w:tc>
        <w:tc>
          <w:tcPr>
            <w:tcW w:w="10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3"/>
                <w:szCs w:val="13"/>
                <w:b w:val="1"/>
                <w:bCs w:val="1"/>
                <w:color w:val="auto"/>
              </w:rPr>
              <w:t>Share Price</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Proceeds</w:t>
            </w:r>
          </w:p>
        </w:tc>
        <w:tc>
          <w:tcPr>
            <w:tcW w:w="100" w:type="dxa"/>
            <w:vAlign w:val="bottom"/>
          </w:tcPr>
          <w:p>
            <w:pPr>
              <w:spacing w:after="0"/>
              <w:rPr>
                <w:sz w:val="15"/>
                <w:szCs w:val="15"/>
                <w:color w:val="auto"/>
              </w:rPr>
            </w:pPr>
          </w:p>
        </w:tc>
        <w:tc>
          <w:tcPr>
            <w:tcW w:w="1020" w:type="dxa"/>
            <w:vAlign w:val="bottom"/>
            <w:tcBorders>
              <w:bottom w:val="single" w:sz="8" w:color="auto"/>
            </w:tcBorders>
            <w:gridSpan w:val="2"/>
          </w:tcPr>
          <w:p>
            <w:pPr>
              <w:jc w:val="right"/>
              <w:ind w:right="80"/>
              <w:spacing w:after="0" w:line="176" w:lineRule="exact"/>
              <w:rPr>
                <w:sz w:val="20"/>
                <w:szCs w:val="20"/>
                <w:color w:val="auto"/>
              </w:rPr>
            </w:pPr>
            <w:r>
              <w:rPr>
                <w:rFonts w:ascii="Arial" w:cs="Arial" w:eastAsia="Arial" w:hAnsi="Arial"/>
                <w:sz w:val="13"/>
                <w:szCs w:val="13"/>
                <w:b w:val="1"/>
                <w:bCs w:val="1"/>
                <w:color w:val="auto"/>
              </w:rPr>
              <w:t>Gain/(Loss)</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10"/>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$19,558,200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$13,220,095</w:t>
            </w:r>
          </w:p>
        </w:tc>
        <w:tc>
          <w:tcPr>
            <w:tcW w:w="0" w:type="dxa"/>
            <w:vAlign w:val="bottom"/>
          </w:tcPr>
          <w:p>
            <w:pPr>
              <w:spacing w:after="0"/>
              <w:rPr>
                <w:sz w:val="1"/>
                <w:szCs w:val="1"/>
                <w:color w:val="auto"/>
              </w:rPr>
            </w:pPr>
          </w:p>
        </w:tc>
      </w:tr>
      <w:tr>
        <w:trPr>
          <w:trHeight w:val="216"/>
        </w:trPr>
        <w:tc>
          <w:tcPr>
            <w:tcW w:w="2220" w:type="dxa"/>
            <w:vAlign w:val="bottom"/>
            <w:gridSpan w:val="3"/>
          </w:tcPr>
          <w:p>
            <w:pPr>
              <w:ind w:left="20"/>
              <w:spacing w:after="0"/>
              <w:rPr>
                <w:sz w:val="20"/>
                <w:szCs w:val="20"/>
                <w:color w:val="auto"/>
              </w:rPr>
            </w:pPr>
            <w:r>
              <w:rPr>
                <w:rFonts w:ascii="Arial" w:cs="Arial" w:eastAsia="Arial" w:hAnsi="Arial"/>
                <w:sz w:val="18"/>
                <w:szCs w:val="18"/>
                <w:color w:val="auto"/>
              </w:rPr>
              <w:t>Twitter, Inc.</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June 30, 2015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51.52</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20,608,011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13,666,419</w:t>
            </w:r>
          </w:p>
        </w:tc>
        <w:tc>
          <w:tcPr>
            <w:tcW w:w="0" w:type="dxa"/>
            <w:vAlign w:val="bottom"/>
          </w:tcPr>
          <w:p>
            <w:pPr>
              <w:spacing w:after="0"/>
              <w:rPr>
                <w:sz w:val="1"/>
                <w:szCs w:val="1"/>
                <w:color w:val="auto"/>
              </w:rPr>
            </w:pPr>
          </w:p>
        </w:tc>
      </w:tr>
      <w:tr>
        <w:trPr>
          <w:trHeight w:val="216"/>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2U, Inc. (f/k/a 2tor, Inc.)</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1,319,233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47,192,835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37,160,718</w:t>
            </w:r>
          </w:p>
        </w:tc>
        <w:tc>
          <w:tcPr>
            <w:tcW w:w="0" w:type="dxa"/>
            <w:vAlign w:val="bottom"/>
          </w:tcPr>
          <w:p>
            <w:pPr>
              <w:spacing w:after="0"/>
              <w:rPr>
                <w:sz w:val="1"/>
                <w:szCs w:val="1"/>
                <w:color w:val="auto"/>
              </w:rPr>
            </w:pPr>
          </w:p>
        </w:tc>
      </w:tr>
      <w:tr>
        <w:trPr>
          <w:trHeight w:val="216"/>
        </w:trPr>
        <w:tc>
          <w:tcPr>
            <w:tcW w:w="2220" w:type="dxa"/>
            <w:vAlign w:val="bottom"/>
            <w:gridSpan w:val="3"/>
          </w:tcPr>
          <w:p>
            <w:pPr>
              <w:ind w:left="20"/>
              <w:spacing w:after="0"/>
              <w:rPr>
                <w:sz w:val="20"/>
                <w:szCs w:val="20"/>
                <w:color w:val="auto"/>
              </w:rPr>
            </w:pPr>
            <w:r>
              <w:rPr>
                <w:rFonts w:ascii="Arial" w:cs="Arial" w:eastAsia="Arial" w:hAnsi="Arial"/>
                <w:sz w:val="18"/>
                <w:szCs w:val="18"/>
                <w:color w:val="auto"/>
              </w:rPr>
              <w:t>SugarCRM, Inc.</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September 30, 2015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1,874,000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549,710</w:t>
            </w:r>
          </w:p>
        </w:tc>
        <w:tc>
          <w:tcPr>
            <w:tcW w:w="0" w:type="dxa"/>
            <w:vAlign w:val="bottom"/>
          </w:tcPr>
          <w:p>
            <w:pPr>
              <w:spacing w:after="0"/>
              <w:rPr>
                <w:sz w:val="1"/>
                <w:szCs w:val="1"/>
                <w:color w:val="auto"/>
              </w:rPr>
            </w:pPr>
          </w:p>
        </w:tc>
      </w:tr>
      <w:tr>
        <w:trPr>
          <w:trHeight w:val="205"/>
        </w:trPr>
        <w:tc>
          <w:tcPr>
            <w:tcW w:w="222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Global Education Learning</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20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(Holdings) Ltd.</w:t>
            </w:r>
            <w:r>
              <w:rPr>
                <w:rFonts w:ascii="Arial" w:cs="Arial" w:eastAsia="Arial" w:hAnsi="Arial"/>
                <w:sz w:val="30"/>
                <w:szCs w:val="30"/>
                <w:color w:val="auto"/>
                <w:vertAlign w:val="superscript"/>
              </w:rPr>
              <w:t>(3)</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2015</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3,354,594</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2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Totus Solutions, Inc.</w:t>
            </w:r>
            <w:r>
              <w:rPr>
                <w:rFonts w:ascii="Arial" w:cs="Arial" w:eastAsia="Arial" w:hAnsi="Arial"/>
                <w:sz w:val="29"/>
                <w:szCs w:val="29"/>
                <w:color w:val="auto"/>
                <w:vertAlign w:val="superscript"/>
              </w:rPr>
              <w:t>(4)</w:t>
            </w:r>
          </w:p>
        </w:tc>
        <w:tc>
          <w:tcPr>
            <w:tcW w:w="1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September 30, 2015</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50,000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(6,052,203)</w:t>
            </w:r>
          </w:p>
        </w:tc>
        <w:tc>
          <w:tcPr>
            <w:tcW w:w="0" w:type="dxa"/>
            <w:vAlign w:val="bottom"/>
          </w:tcPr>
          <w:p>
            <w:pPr>
              <w:spacing w:after="0"/>
              <w:rPr>
                <w:sz w:val="1"/>
                <w:szCs w:val="1"/>
                <w:color w:val="auto"/>
              </w:rPr>
            </w:pPr>
          </w:p>
        </w:tc>
      </w:tr>
      <w:tr>
        <w:trPr>
          <w:trHeight w:val="216"/>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DailyBreak, Inc.</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2,225,795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(2,854,204)</w:t>
            </w:r>
          </w:p>
        </w:tc>
        <w:tc>
          <w:tcPr>
            <w:tcW w:w="0" w:type="dxa"/>
            <w:vAlign w:val="bottom"/>
          </w:tcPr>
          <w:p>
            <w:pPr>
              <w:spacing w:after="0"/>
              <w:rPr>
                <w:sz w:val="1"/>
                <w:szCs w:val="1"/>
                <w:color w:val="auto"/>
              </w:rPr>
            </w:pPr>
          </w:p>
        </w:tc>
      </w:tr>
      <w:tr>
        <w:trPr>
          <w:trHeight w:val="216"/>
        </w:trPr>
        <w:tc>
          <w:tcPr>
            <w:tcW w:w="2220" w:type="dxa"/>
            <w:vAlign w:val="bottom"/>
            <w:gridSpan w:val="3"/>
          </w:tcPr>
          <w:p>
            <w:pPr>
              <w:ind w:left="20"/>
              <w:spacing w:after="0"/>
              <w:rPr>
                <w:sz w:val="20"/>
                <w:szCs w:val="20"/>
                <w:color w:val="auto"/>
              </w:rPr>
            </w:pPr>
            <w:r>
              <w:rPr>
                <w:rFonts w:ascii="Arial" w:cs="Arial" w:eastAsia="Arial" w:hAnsi="Arial"/>
                <w:sz w:val="18"/>
                <w:szCs w:val="18"/>
                <w:color w:val="auto"/>
              </w:rPr>
              <w:t>The rSmart Group, Inc.</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September 30, 2015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1,201,923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(1,264,160)</w:t>
            </w:r>
          </w:p>
        </w:tc>
        <w:tc>
          <w:tcPr>
            <w:tcW w:w="0" w:type="dxa"/>
            <w:vAlign w:val="bottom"/>
          </w:tcPr>
          <w:p>
            <w:pPr>
              <w:spacing w:after="0"/>
              <w:rPr>
                <w:sz w:val="1"/>
                <w:szCs w:val="1"/>
                <w:color w:val="auto"/>
              </w:rPr>
            </w:pPr>
          </w:p>
        </w:tc>
      </w:tr>
      <w:tr>
        <w:trPr>
          <w:trHeight w:val="216"/>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NewZoom, Inc.</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(260,476)</w:t>
            </w:r>
          </w:p>
        </w:tc>
        <w:tc>
          <w:tcPr>
            <w:tcW w:w="0" w:type="dxa"/>
            <w:vAlign w:val="bottom"/>
          </w:tcPr>
          <w:p>
            <w:pPr>
              <w:spacing w:after="0"/>
              <w:rPr>
                <w:sz w:val="1"/>
                <w:szCs w:val="1"/>
                <w:color w:val="auto"/>
              </w:rPr>
            </w:pPr>
          </w:p>
        </w:tc>
      </w:tr>
      <w:tr>
        <w:trPr>
          <w:trHeight w:val="205"/>
        </w:trPr>
        <w:tc>
          <w:tcPr>
            <w:tcW w:w="2220" w:type="dxa"/>
            <w:vAlign w:val="bottom"/>
            <w:gridSpan w:val="3"/>
          </w:tcPr>
          <w:p>
            <w:pPr>
              <w:ind w:left="20"/>
              <w:spacing w:after="0" w:line="206" w:lineRule="exact"/>
              <w:rPr>
                <w:sz w:val="20"/>
                <w:szCs w:val="20"/>
                <w:color w:val="auto"/>
              </w:rPr>
            </w:pPr>
            <w:r>
              <w:rPr>
                <w:rFonts w:ascii="Arial" w:cs="Arial" w:eastAsia="Arial" w:hAnsi="Arial"/>
                <w:sz w:val="18"/>
                <w:szCs w:val="18"/>
                <w:color w:val="auto"/>
              </w:rPr>
              <w:t>Global Education Learning</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20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(Holdings) Ltd.</w:t>
            </w:r>
            <w:r>
              <w:rPr>
                <w:rFonts w:ascii="Arial" w:cs="Arial" w:eastAsia="Arial" w:hAnsi="Arial"/>
                <w:sz w:val="30"/>
                <w:szCs w:val="30"/>
                <w:color w:val="auto"/>
                <w:vertAlign w:val="superscript"/>
              </w:rPr>
              <w:t>(3)</w:t>
            </w:r>
          </w:p>
        </w:tc>
        <w:tc>
          <w:tcPr>
            <w:tcW w:w="10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2015</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305,800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92,951,440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54,165,899</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9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Realized gains (losses) excludes any realized gains (losses) incurred on the maturity of our treasury investments.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 tax distribution from Global Education Learning (Holdings) Ltd.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sales of multiple share classes as well a debt investment in Totus Solutions, Inc.</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Results of Operations — </w:t>
      </w:r>
      <w:r>
        <w:rPr>
          <w:rFonts w:ascii="Arial" w:cs="Arial" w:eastAsia="Arial" w:hAnsi="Arial"/>
          <w:sz w:val="18"/>
          <w:szCs w:val="18"/>
          <w:b w:val="1"/>
          <w:bCs w:val="1"/>
          <w:i w:val="1"/>
          <w:iCs w:val="1"/>
          <w:color w:val="auto"/>
        </w:rPr>
        <w:t>For the fiscal years ended December 31, 2015, 2014 and 2013</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fiscal years ended December 31, 2015, 2014 and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482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December 31, 2015</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December 31, 2014</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Per Basic</w:t>
            </w:r>
          </w:p>
        </w:tc>
        <w:tc>
          <w:tcPr>
            <w:tcW w:w="0" w:type="dxa"/>
            <w:vAlign w:val="bottom"/>
          </w:tcPr>
          <w:p>
            <w:pPr>
              <w:spacing w:after="0"/>
              <w:rPr>
                <w:sz w:val="1"/>
                <w:szCs w:val="1"/>
                <w:color w:val="auto"/>
              </w:rPr>
            </w:pPr>
          </w:p>
        </w:tc>
      </w:tr>
      <w:tr>
        <w:trPr>
          <w:trHeight w:val="202"/>
        </w:trPr>
        <w:tc>
          <w:tcPr>
            <w:tcW w:w="27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640" w:type="dxa"/>
            <w:vAlign w:val="bottom"/>
            <w:tcBorders>
              <w:bottom w:val="single" w:sz="8" w:color="auto"/>
            </w:tcBorders>
          </w:tcPr>
          <w:p>
            <w:pPr>
              <w:jc w:val="right"/>
              <w:ind w:right="2"/>
              <w:spacing w:after="0" w:line="202" w:lineRule="exact"/>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23"/>
                <w:szCs w:val="23"/>
                <w:b w:val="1"/>
                <w:bCs w:val="1"/>
                <w:color w:val="auto"/>
                <w:w w:val="93"/>
                <w:vertAlign w:val="superscript"/>
              </w:rPr>
              <w:t>(1)</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23"/>
                <w:szCs w:val="23"/>
                <w:b w:val="1"/>
                <w:bCs w:val="1"/>
                <w:color w:val="auto"/>
                <w:w w:val="97"/>
                <w:vertAlign w:val="superscript"/>
              </w:rPr>
              <w:t>(1)</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700" w:type="dxa"/>
            <w:vAlign w:val="bottom"/>
            <w:tcBorders>
              <w:bottom w:val="single" w:sz="8" w:color="auto"/>
            </w:tcBorders>
          </w:tcPr>
          <w:p>
            <w:pPr>
              <w:jc w:val="right"/>
              <w:ind w:right="19"/>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27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290,896</w:t>
            </w:r>
          </w:p>
        </w:tc>
        <w:tc>
          <w:tcPr>
            <w:tcW w:w="60" w:type="dxa"/>
            <w:vAlign w:val="bottom"/>
          </w:tcPr>
          <w:p>
            <w:pPr>
              <w:spacing w:after="0"/>
              <w:rPr>
                <w:sz w:val="18"/>
                <w:szCs w:val="18"/>
                <w:color w:val="auto"/>
              </w:rPr>
            </w:pPr>
          </w:p>
        </w:tc>
        <w:tc>
          <w:tcPr>
            <w:tcW w:w="640" w:type="dxa"/>
            <w:vAlign w:val="bottom"/>
          </w:tcPr>
          <w:p>
            <w:pPr>
              <w:jc w:val="right"/>
              <w:ind w:right="62"/>
              <w:spacing w:after="0"/>
              <w:rPr>
                <w:sz w:val="20"/>
                <w:szCs w:val="20"/>
                <w:color w:val="auto"/>
              </w:rPr>
            </w:pPr>
            <w:r>
              <w:rPr>
                <w:rFonts w:ascii="Arial" w:cs="Arial" w:eastAsia="Arial" w:hAnsi="Arial"/>
                <w:sz w:val="18"/>
                <w:szCs w:val="18"/>
                <w:b w:val="1"/>
                <w:bCs w:val="1"/>
                <w:color w:val="auto"/>
              </w:rPr>
              <w:t>0.02</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185,946</w:t>
            </w:r>
          </w:p>
        </w:tc>
        <w:tc>
          <w:tcPr>
            <w:tcW w:w="4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8"/>
                <w:szCs w:val="18"/>
                <w:b w:val="1"/>
                <w:bCs w:val="1"/>
                <w:color w:val="auto"/>
              </w:rPr>
              <w:t>0.01</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48,951</w:t>
            </w:r>
          </w:p>
        </w:tc>
        <w:tc>
          <w:tcPr>
            <w:tcW w:w="4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244,115</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185,059</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25,871</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8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46,781</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887</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23,080</w:t>
            </w:r>
          </w:p>
        </w:tc>
        <w:tc>
          <w:tcPr>
            <w:tcW w:w="740" w:type="dxa"/>
            <w:vAlign w:val="bottom"/>
            <w:gridSpan w:val="2"/>
          </w:tcPr>
          <w:p>
            <w:pPr>
              <w:jc w:val="right"/>
              <w:ind w:right="59"/>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5"/>
              </w:rPr>
              <w:t>26,978,235</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1.41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5"/>
              </w:rPr>
              <w:t>21,775,939</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3"/>
              </w:rPr>
              <w:t>22,083,875</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8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8,044,801</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7,562,488</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5,426,485</w:t>
            </w:r>
          </w:p>
        </w:tc>
        <w:tc>
          <w:tcPr>
            <w:tcW w:w="740" w:type="dxa"/>
            <w:vAlign w:val="bottom"/>
            <w:gridSpan w:val="2"/>
          </w:tcPr>
          <w:p>
            <w:pPr>
              <w:jc w:val="right"/>
              <w:ind w:right="59"/>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8,170,326</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3,614,347</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10,523,552</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Costs incurred under</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Administration Agreement</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2,681,079</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3,199,904</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3,089,771</w:t>
            </w:r>
          </w:p>
        </w:tc>
        <w:tc>
          <w:tcPr>
            <w:tcW w:w="740" w:type="dxa"/>
            <w:vAlign w:val="bottom"/>
            <w:gridSpan w:val="2"/>
          </w:tcPr>
          <w:p>
            <w:pPr>
              <w:jc w:val="right"/>
              <w:ind w:right="59"/>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373,676</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260,000</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260,250</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1,357,988</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1,764,722</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876,769</w:t>
            </w:r>
          </w:p>
        </w:tc>
        <w:tc>
          <w:tcPr>
            <w:tcW w:w="740" w:type="dxa"/>
            <w:vAlign w:val="bottom"/>
            <w:gridSpan w:val="2"/>
          </w:tcPr>
          <w:p>
            <w:pPr>
              <w:jc w:val="right"/>
              <w:ind w:right="59"/>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Interest and Credit Facility</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4,961,169</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5,503,843</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1,278,997</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880,778</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509,418</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668,635</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529,051</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Loss (Gain) on fair value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adjustment for embedded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derivative</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(798,000)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99,000</w:t>
            </w:r>
          </w:p>
        </w:tc>
        <w:tc>
          <w:tcPr>
            <w:tcW w:w="740" w:type="dxa"/>
            <w:vAlign w:val="bottom"/>
            <w:gridSpan w:val="2"/>
          </w:tcPr>
          <w:p>
            <w:pPr>
              <w:jc w:val="right"/>
              <w:ind w:right="59"/>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rPr>
              <w:t>(Provision)/Benefit for taxes on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760" w:type="dxa"/>
            <w:vAlign w:val="bottom"/>
            <w:gridSpan w:val="2"/>
            <w:shd w:val="clear" w:color="auto" w:fill="CCEEFF"/>
          </w:tcPr>
          <w:p>
            <w:pPr>
              <w:ind w:left="360"/>
              <w:spacing w:after="0" w:line="266" w:lineRule="exact"/>
              <w:rPr>
                <w:sz w:val="20"/>
                <w:szCs w:val="20"/>
                <w:color w:val="auto"/>
              </w:rPr>
            </w:pPr>
            <w:r>
              <w:rPr>
                <w:rFonts w:ascii="Arial" w:cs="Arial" w:eastAsia="Arial" w:hAnsi="Arial"/>
                <w:sz w:val="18"/>
                <w:szCs w:val="18"/>
                <w:color w:val="auto"/>
              </w:rPr>
              <w:t>net investment loss</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(21,969,370)</w:t>
            </w: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8,810,102</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13,159,268</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8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(48,656,709)</w:t>
            </w:r>
          </w:p>
        </w:tc>
        <w:tc>
          <w:tcPr>
            <w:tcW w:w="700" w:type="dxa"/>
            <w:vAlign w:val="bottom"/>
            <w:gridSpan w:val="2"/>
          </w:tcPr>
          <w:p>
            <w:pPr>
              <w:jc w:val="right"/>
              <w:ind w:right="2"/>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(12,779,891)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(8,875,656)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Net Realized Gain/(Loss) on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54,144,229</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23,926,124</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(21,706,021)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(Provision)/Benefit for taxes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on Net Realized Capital</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Gains/Losses</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342,802</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(9,769,036)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9,426,234</w:t>
            </w:r>
          </w:p>
        </w:tc>
        <w:tc>
          <w:tcPr>
            <w:tcW w:w="740" w:type="dxa"/>
            <w:vAlign w:val="bottom"/>
            <w:gridSpan w:val="2"/>
          </w:tcPr>
          <w:p>
            <w:pPr>
              <w:jc w:val="right"/>
              <w:ind w:right="59"/>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Net change in Unrealized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Appreciation/(Depreciation) of</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(13,422,245)</w:t>
            </w: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(0.69)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(5,811,797)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87,445,149</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(Provision)/Benefit for taxes on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Appreciation/Depreciation of</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16,058,080</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0.83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2,371,829</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8"/>
              </w:rPr>
              <w:t>(30,906,063)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Increase/(Decrease) in Net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Assets Resulting From</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8,466,157</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(2,062,771)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35,383,643</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599" w:hanging="272"/>
        <w:spacing w:after="0" w:line="277"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19,327,938 shares outstanding for the year ended December 31, 2015, and 19,320,100 shares outstanding for the years ended December 31, 2014 and 2013.</w:t>
      </w:r>
    </w:p>
    <w:p>
      <w:pPr>
        <w:spacing w:after="0" w:line="62" w:lineRule="exact"/>
        <w:rPr>
          <w:rFonts w:ascii="Arial" w:cs="Arial" w:eastAsia="Arial" w:hAnsi="Arial"/>
          <w:sz w:val="18"/>
          <w:szCs w:val="18"/>
          <w:color w:val="auto"/>
        </w:rPr>
      </w:pPr>
    </w:p>
    <w:p>
      <w:pPr>
        <w:ind w:left="300" w:right="599" w:hanging="272"/>
        <w:spacing w:after="0" w:line="259"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Due to our change in tax status to a RIC from a C Corporation, the associated accrued benefits and provisions from previous years were reversed, resulting in a provision for net investment loss, a benefit for net realized gains, and a benefit for unrealized depreciation of investments for the year ended December 31, 2015. Refer to “Note 8 — Income Taxes” to our consolidated financial statements for further detail.</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fiscal years ended December 31, 2015, 2014 and 2013</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Investment income increased to $290,896 for the year ended December 31, 2015, from $185,946 for the year ended December 31, 2014. The increase was primarily due to the addition of several new term loans to Fullbridge, Inc. during the year ended December 31, 2015.</w:t>
      </w:r>
    </w:p>
    <w:p>
      <w:pPr>
        <w:spacing w:after="0" w:line="73" w:lineRule="exact"/>
        <w:rPr>
          <w:sz w:val="20"/>
          <w:szCs w:val="20"/>
          <w:color w:val="auto"/>
        </w:rPr>
      </w:pPr>
    </w:p>
    <w:p>
      <w:pPr>
        <w:ind w:left="40" w:right="739" w:firstLine="270"/>
        <w:spacing w:after="0" w:line="342" w:lineRule="auto"/>
        <w:rPr>
          <w:sz w:val="20"/>
          <w:szCs w:val="20"/>
          <w:color w:val="auto"/>
        </w:rPr>
      </w:pPr>
      <w:r>
        <w:rPr>
          <w:rFonts w:ascii="Arial" w:cs="Arial" w:eastAsia="Arial" w:hAnsi="Arial"/>
          <w:sz w:val="16"/>
          <w:szCs w:val="16"/>
          <w:color w:val="auto"/>
        </w:rPr>
        <w:t>Investment income increased to $185,946 for the year ended December 31, 2014, from $48,951 for the year ended December 31, 2013. The increase was primarily due to the addition of several new term loans during the year ended December 31, 2014.</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Total operating expenses increased to $26,978,235 for the year ended December 31, 2015, from $21,775,939 for the year ended December 31, 2014. The increase was primarily due to a significant increase in accrued incentive fees and an increase in management fees. This was offset by decreases in interest expense, professional fees, which include legal, valuation, audit and consulting fees, and costs incurred under the Administration Agreement. The increase in incentive fees resulted from the significant increase in realized gain on investments for the year ended December 31, 2015, as compared to the year ended December 31, 2014. The increased management fees were a result of the growth in our average total assets for the year ended December 31, 2015 as compared to the year ended December 31, 2014. This increase was partially offset by the decline in the fair value of our portfolio investments over the same period. The decrease in interest expense resulted from the lower average borrowings under the Credit Facility for the year ended December 31, 2015, as compared to the year ended December 31, 2014. The decrease in costs incurred under the Administration Agreement resulted from a decrease in the overhead allocation. The decrease in professional fees resulted primarily from the write-off of deferred offering costs during the year ended December 31, 2014.</w:t>
      </w:r>
    </w:p>
    <w:p>
      <w:pPr>
        <w:spacing w:after="0" w:line="65"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Total operating expenses decreased to $21,775,939, for the year ended December 31, 2014, from $22,083,875 for the year ended December 31, 2013. The decrease was primarily due to a significant decrease in accrued incentive fees. This was offset by increases in interest expense, investment management fees, and professional fees, which include legal, valuation, audit and consulting fees. The decrease in incentive fees resulted from the depreciation in our portfolio for the year ended December 31, 2014 relative to the year ended December 31, 2013. The increase in interest expense resulted from the Convertible Senior Notes and borrowings under the Credit Facility. These borrowings have enabled us to increase our portfolio and continue to invest in emerging companies. Refer to “— Overview” above for a further discussion of our investment philosophy. The increased management fees were a result of the growth in our total assets, which was caused primarily by the growth of our investment portfolio for the year ended December 31, 2014 relative to the year ended December 31, 2013. The increase in professional fees, to $1,764,722 during the year ended December 31, 2014 from $876,769 during the year ended December 31, 2013, was attributable primarily to increases in audit fees, compliance costs related to testing under the Sarbanes-Oxley Act, as well as the write-off of deferred offering expenses.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(Provision)/Benefit for Taxes on Net Investment Loss</w:t>
      </w:r>
    </w:p>
    <w:p>
      <w:pPr>
        <w:spacing w:after="0" w:line="117" w:lineRule="exact"/>
        <w:rPr>
          <w:sz w:val="20"/>
          <w:szCs w:val="20"/>
          <w:color w:val="auto"/>
        </w:rPr>
      </w:pPr>
    </w:p>
    <w:p>
      <w:pPr>
        <w:ind w:left="40" w:right="519" w:firstLine="270"/>
        <w:spacing w:after="0" w:line="276" w:lineRule="auto"/>
        <w:rPr>
          <w:sz w:val="20"/>
          <w:szCs w:val="20"/>
          <w:color w:val="auto"/>
        </w:rPr>
      </w:pPr>
      <w:r>
        <w:rPr>
          <w:rFonts w:ascii="Arial" w:cs="Arial" w:eastAsia="Arial" w:hAnsi="Arial"/>
          <w:sz w:val="17"/>
          <w:szCs w:val="17"/>
          <w:color w:val="auto"/>
        </w:rPr>
        <w:t>For the year ended December 31, 2015, we recognized a provision for taxes on net investment loss of $21,969,370, compared to our recognition of a benefit for taxes on net investment loss of $8,810,102 for the year ended December 31, 2014. Typically for a taxable entity, a net investment loss will generate a benefit for taxes; however, as a result of our election to be treated as a RIC, we have reversed the previously accrued benefits for taxes on net investment loss from prior periods. This reversal resulted in a provision for taxes on net investment loss for the year ended December 31, 2015.</w:t>
      </w:r>
    </w:p>
    <w:p>
      <w:pPr>
        <w:spacing w:after="0" w:line="64" w:lineRule="exact"/>
        <w:rPr>
          <w:sz w:val="20"/>
          <w:szCs w:val="20"/>
          <w:color w:val="auto"/>
        </w:rPr>
      </w:pPr>
    </w:p>
    <w:p>
      <w:pPr>
        <w:ind w:left="40" w:right="639" w:firstLine="270"/>
        <w:spacing w:after="0" w:line="302" w:lineRule="auto"/>
        <w:rPr>
          <w:sz w:val="20"/>
          <w:szCs w:val="20"/>
          <w:color w:val="auto"/>
        </w:rPr>
      </w:pPr>
      <w:r>
        <w:rPr>
          <w:rFonts w:ascii="Arial" w:cs="Arial" w:eastAsia="Arial" w:hAnsi="Arial"/>
          <w:sz w:val="16"/>
          <w:szCs w:val="16"/>
          <w:color w:val="auto"/>
        </w:rPr>
        <w:t>For the year ended December 31, 2014, we recognized a benefit for taxes on net investment loss of $8,810,102, compared to a benefit for taxes of $13,159,268 for the year ended December 31, 2013. The decreased recognition of a benefit for taxes on net investment loss is due to the fact that fiscal year 2013 was the first year a benefit was recognized, and the benefit was based on the cumulative net operating loss for the period from January 6, 2011 (date of inception) to December 31, 2013.</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117" w:lineRule="exact"/>
        <w:rPr>
          <w:sz w:val="20"/>
          <w:szCs w:val="20"/>
          <w:color w:val="auto"/>
        </w:rPr>
      </w:pPr>
    </w:p>
    <w:p>
      <w:pPr>
        <w:jc w:val="both"/>
        <w:ind w:left="40" w:right="579" w:firstLine="270"/>
        <w:spacing w:after="0" w:line="312" w:lineRule="auto"/>
        <w:rPr>
          <w:sz w:val="20"/>
          <w:szCs w:val="20"/>
          <w:color w:val="auto"/>
        </w:rPr>
      </w:pPr>
      <w:r>
        <w:rPr>
          <w:rFonts w:ascii="Arial" w:cs="Arial" w:eastAsia="Arial" w:hAnsi="Arial"/>
          <w:sz w:val="16"/>
          <w:szCs w:val="16"/>
          <w:color w:val="auto"/>
        </w:rPr>
        <w:t>For the year ended December 31, 2015, we recognized a net investment loss of $48,656,709, compared to a net investment loss of $12,779,891 for the year ended December 31, 2014. The increase in net investment loss is primarily the result of our recognition of a provision for taxes on net investment loss and, to a lesser extent, the increased operating expenses discussed above.</w:t>
      </w:r>
    </w:p>
    <w:p>
      <w:pPr>
        <w:spacing w:after="0" w:line="39"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For the year ended December 31, 2014, we recognized a net investment loss of $12,779,891, compared to a net investment loss of $8,875,656 for the year ended December 31, 2013. Net investment losses increased by $3,904,235 year over year primarily because of the decreased benefit for taxes on net investment loss.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Realized Gain/(Loss) on Investments</w:t>
      </w:r>
    </w:p>
    <w:p>
      <w:pPr>
        <w:spacing w:after="0" w:line="117" w:lineRule="exact"/>
        <w:rPr>
          <w:sz w:val="20"/>
          <w:szCs w:val="20"/>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For the year ended December 31, 2015, net realized gains on investments were $54,144,229, which resulted from the sales of our investments in Twitter, Inc., 2U, Inc. and SugarCRM, Inc. Our realized gains were partially offset by losses from other smaller positions, such as Totus Solutions, Inc., DailyBreak, Inc., The rSmart Group, Inc. and NewZoom, Inc.</w:t>
      </w:r>
    </w:p>
    <w:p>
      <w:pPr>
        <w:spacing w:after="0" w:line="57"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For the year ended December 31, 2014, net realized gains on investments were $23,926,124. The realized gains resulted primarily from the sales of Twitter, Inc., Control4 Corporation, Facebook, Inc. DianRong (f/k/a SinoLending Ltd.), ZocDoc Inc. and Palantir Technologies, Inc. The gains were offset by losses resulting from the sales of Violin Memory, Inc. and Silver Springs Networks, Inc.</w:t>
      </w:r>
    </w:p>
    <w:p>
      <w:pPr>
        <w:spacing w:after="0" w:line="79" w:lineRule="exact"/>
        <w:rPr>
          <w:sz w:val="20"/>
          <w:szCs w:val="20"/>
          <w:color w:val="auto"/>
        </w:rPr>
      </w:pPr>
    </w:p>
    <w:p>
      <w:pPr>
        <w:jc w:val="both"/>
        <w:ind w:left="40" w:right="719" w:firstLine="270"/>
        <w:spacing w:after="0" w:line="264" w:lineRule="auto"/>
        <w:rPr>
          <w:sz w:val="20"/>
          <w:szCs w:val="20"/>
          <w:color w:val="auto"/>
        </w:rPr>
      </w:pPr>
      <w:r>
        <w:rPr>
          <w:rFonts w:ascii="Arial" w:cs="Arial" w:eastAsia="Arial" w:hAnsi="Arial"/>
          <w:sz w:val="18"/>
          <w:szCs w:val="18"/>
          <w:color w:val="auto"/>
        </w:rPr>
        <w:t>For the year ended December 31, 2013, we recognized a net realized loss of $21,706,021. The realized loss resulted primarily from our write-offs of Kno, Inc., Top Hat 430, Inc., Serious Energy, Inc., AltEgo, LLC, and Starfish Holdings, Inc., as well as the sales of Groupon, Inc., and Zynga, Inc.</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(Provision)/Benefit for Taxes on Net Realized Gains/Losses on Investments</w:t>
      </w:r>
    </w:p>
    <w:p>
      <w:pPr>
        <w:spacing w:after="0" w:line="117"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For the year ended December 31, 2015, we recognized a benefit of $342,802 for taxes on net realized capital gains, compared to our recognition of a provision of $9,769,036 for taxes on net realized capital gains for the year ended December 31, 2014. Typically for a taxable entity, net realized capital gains will generate a provision for taxes; however, as a result of our election to be treated as a RIC, we have reversed the previously accrued provisions for taxes on net realized capital gains from prior periods. This reversal resulted in a benefit for taxes on net realized capital gains for the year ended December 31, 2015.</w:t>
      </w:r>
    </w:p>
    <w:p>
      <w:pPr>
        <w:spacing w:after="0" w:line="50"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For the year ended December 31, 2014, we recognized a provision of $9,769,036 for taxes on net realized capital gains, compared to our recognition of a benefit of $9,426,234 for taxes on net realized capital losses for the year ended December 31, 2013. The recognition of a provision instead of a benefit for taxes is due to the fact that we had a net realized gain for the year ended December 31, 2014 of approximately $23.9 million, as compared to a net realized loss of approximately $21.7 million for the year ended December 31, 2013.</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117" w:lineRule="exact"/>
        <w:rPr>
          <w:sz w:val="20"/>
          <w:szCs w:val="20"/>
          <w:color w:val="auto"/>
        </w:rPr>
      </w:pPr>
    </w:p>
    <w:p>
      <w:pPr>
        <w:ind w:left="60" w:right="619" w:firstLine="270"/>
        <w:spacing w:after="0" w:line="257" w:lineRule="auto"/>
        <w:rPr>
          <w:sz w:val="20"/>
          <w:szCs w:val="20"/>
          <w:color w:val="auto"/>
        </w:rPr>
      </w:pPr>
      <w:r>
        <w:rPr>
          <w:rFonts w:ascii="Arial" w:cs="Arial" w:eastAsia="Arial" w:hAnsi="Arial"/>
          <w:sz w:val="18"/>
          <w:szCs w:val="18"/>
          <w:color w:val="auto"/>
        </w:rPr>
        <w:t>For the year ended December 31, 2015, we had a net change in unrealized depreciation of $13,422,245. For the year ended December 31, 2014, we had a net change in unrealized depreciation of $5,811,797. For the year ended December 31, 2013, we had a net change in unrealized appreciation of $87,445,149. The following tables summarize, by portfolio company, the significant changes in unrealized appreciation and/or depreciation of our investment portfolio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52139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1"/>
              </w:rPr>
              <w:t>December 31, 2015</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December 31, 2014</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0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3"/>
            <w:vMerge w:val="continue"/>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2U, Inc. (f/k/a 2tor, Inc.)</w:t>
            </w:r>
          </w:p>
        </w:tc>
        <w:tc>
          <w:tcPr>
            <w:tcW w:w="9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0"/>
              </w:rPr>
              <w:t>$ (13,310,392)</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10,032,117</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23,342,509</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4"/>
              </w:rPr>
              <w:t>13,310,392</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Palantir Technologies,</w:t>
            </w: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10,877,933</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17,198,903</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56,353,248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39,154,345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17,198,903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45,475,315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28,276,412</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Dataminr, Inc.</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7,443,644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3,164,265</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11,388,389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8,224,124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3,164,265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3,944,745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780,480</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Lyft, Inc.</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6,466,730</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7,507,216</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13,969,366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6,462,150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5,003,634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4,999,054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Totus Solutions, Inc.</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5,894,116</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6,101,443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207,327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(5,894,116)</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General Assembly Space,</w:t>
            </w: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5,395,948</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5,999,961</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11,521,372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5,521,411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5,999,961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6,125,424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125,463</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Dailybreak, Inc.</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2,857,204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2,857,204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(2,857,204)</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The rSmart Group,</w:t>
            </w: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1,074,654</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1,267,240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192,586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(1,074,654)</w:t>
            </w:r>
          </w:p>
        </w:tc>
        <w:tc>
          <w:tcPr>
            <w:tcW w:w="0" w:type="dxa"/>
            <w:vAlign w:val="bottom"/>
          </w:tcPr>
          <w:p>
            <w:pPr>
              <w:spacing w:after="0"/>
              <w:rPr>
                <w:sz w:val="1"/>
                <w:szCs w:val="1"/>
                <w:color w:val="auto"/>
              </w:rPr>
            </w:pPr>
          </w:p>
        </w:tc>
      </w:tr>
      <w:tr>
        <w:trPr>
          <w:trHeight w:val="130"/>
        </w:trPr>
        <w:tc>
          <w:tcPr>
            <w:tcW w:w="15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Circle Media (f/k/a</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S3 Digital Corp.</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(d/b/a S3i))</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(1,050,872)</w:t>
            </w:r>
          </w:p>
        </w:tc>
        <w:tc>
          <w:tcPr>
            <w:tcW w:w="1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1,835,610</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1,266,621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(568,989)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1,811,314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2,293,197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481,883</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Gilt Groupe Holdings,</w:t>
            </w: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(2,628,721)</w:t>
            </w: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6,594,433</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539,387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(6,055,046)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6,594,433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3,168,108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(3,426,325)</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Dropbox, Inc.</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(2,836,295)</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13,656,926</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22,232,188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8,575,262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13,656,926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25,068,483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11,411,557</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Orchestra One, Inc. (f/k/a</w:t>
            </w: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540" w:type="dxa"/>
            <w:vAlign w:val="bottom"/>
            <w:tcBorders>
              <w:right w:val="single" w:sz="8" w:color="CCEEFF"/>
            </w:tcBorders>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Learnist</w:t>
            </w:r>
          </w:p>
        </w:tc>
        <w:tc>
          <w:tcPr>
            <w:tcW w:w="80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(5,374,947)</w:t>
            </w: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4,959,616</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(4,955,252)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4,959,615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5,379,310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419,695</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Twitter, Inc.</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(25,607,941)</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14,271,866</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18,525,884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4,254,018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27,551,563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57,413,522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29,861,959</w:t>
            </w:r>
          </w:p>
        </w:tc>
        <w:tc>
          <w:tcPr>
            <w:tcW w:w="0" w:type="dxa"/>
            <w:vAlign w:val="bottom"/>
          </w:tcPr>
          <w:p>
            <w:pPr>
              <w:spacing w:after="0"/>
              <w:rPr>
                <w:sz w:val="1"/>
                <w:szCs w:val="1"/>
                <w:color w:val="auto"/>
              </w:rPr>
            </w:pPr>
          </w:p>
        </w:tc>
      </w:tr>
      <w:tr>
        <w:trPr>
          <w:trHeight w:val="189"/>
        </w:trPr>
        <w:tc>
          <w:tcPr>
            <w:tcW w:w="15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(2,623,306)</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251,836,207</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247,684,641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(4,151,566)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302,201,095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300,672,835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(1,528,260)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Totals</w:t>
            </w:r>
          </w:p>
        </w:tc>
        <w:tc>
          <w:tcPr>
            <w:tcW w:w="960" w:type="dxa"/>
            <w:vAlign w:val="bottom"/>
            <w:gridSpan w:val="2"/>
          </w:tcPr>
          <w:p>
            <w:pPr>
              <w:jc w:val="right"/>
              <w:ind w:right="120"/>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 xml:space="preserve"> (13,422,245)</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89"/>
              </w:rPr>
              <w:t>327,025,003</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383,485,460</w:t>
            </w:r>
          </w:p>
        </w:tc>
        <w:tc>
          <w:tcPr>
            <w:tcW w:w="1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4"/>
              </w:rPr>
              <w:t>56,460,457</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408,399,713</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478,282,415</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4"/>
              </w:rPr>
              <w:t>69,882,702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1139" w:hanging="272"/>
        <w:spacing w:after="0" w:line="308" w:lineRule="auto"/>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represents all investments (including U.S. Treasury Bills and U.S. Treasury Strips) for which individual change in unrealized appreciation/(depreciation) was less than $1,000,000 for the year ended December 31, 2015.</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ind w:left="20"/>
              <w:spacing w:after="0"/>
              <w:rPr>
                <w:rFonts w:ascii="Arial" w:cs="Arial" w:eastAsia="Arial" w:hAnsi="Arial"/>
                <w:sz w:val="14"/>
                <w:szCs w:val="14"/>
                <w:b w:val="1"/>
                <w:bCs w:val="1"/>
                <w:color w:val="0000EE"/>
                <w:w w:val="99"/>
              </w:rPr>
            </w:pPr>
            <w:hyperlink w:anchor="page3">
              <w:r>
                <w:rPr>
                  <w:rFonts w:ascii="Arial" w:cs="Arial" w:eastAsia="Arial" w:hAnsi="Arial"/>
                  <w:sz w:val="14"/>
                  <w:szCs w:val="14"/>
                  <w:b w:val="1"/>
                  <w:bCs w:val="1"/>
                  <w:color w:val="0000EE"/>
                  <w:w w:val="99"/>
                </w:rPr>
                <w:t>TABLE OF CONTENTS</w:t>
              </w:r>
            </w:hyperlink>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1"/>
              </w:rPr>
              <w:t>December 31, 2014</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December 31, 2013</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0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3"/>
            <w:vMerge w:val="continue"/>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2U, Inc. (f/k/a 2tor, Inc.)</w:t>
            </w: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12,031,001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10,032,117</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23,342,509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4"/>
              </w:rPr>
              <w:t>13,310,392</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10,031,318</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11,310,709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1,279,391</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Avenues Global</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Holdings, LLC</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1,287,770</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10,151,854</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11,303,410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1,151,556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10,150,484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10,014,270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(136,214)</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Control4 Corporation</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(6,289,367)</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7,010,762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13,300,129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6,289,367</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Cricket Media (f/k/a</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ePals Inc.)</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(1,373,074)</w:t>
            </w: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2,448,959</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331,126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(2,117,833)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2,444,759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(744,759)</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Dailybreak, Inc.</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(1,637,647)</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2,857,204</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(2,857,204)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2,430,950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1,211,393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(1,219,557)</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Dropbox, Inc.</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9,212,846</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13,656,926</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25,068,483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11,411,557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13,656,486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15,855,197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2,198,711</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Facebook, Inc.</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(4,327,603)</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5,236,147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9,563,750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4,327,603</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Fullbridge, Inc.</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(1,599,234)</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6,396,180</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4,753,412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(1,642,768)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3,784,016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3,740,482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(43,534)</w:t>
            </w:r>
          </w:p>
        </w:tc>
        <w:tc>
          <w:tcPr>
            <w:tcW w:w="0" w:type="dxa"/>
            <w:vAlign w:val="bottom"/>
          </w:tcPr>
          <w:p>
            <w:pPr>
              <w:spacing w:after="0"/>
              <w:rPr>
                <w:sz w:val="1"/>
                <w:szCs w:val="1"/>
                <w:color w:val="auto"/>
              </w:rPr>
            </w:pPr>
          </w:p>
        </w:tc>
      </w:tr>
      <w:tr>
        <w:trPr>
          <w:trHeight w:val="130"/>
        </w:trPr>
        <w:tc>
          <w:tcPr>
            <w:tcW w:w="15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NestGSV, Inc. (d/b/a</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GSV Labs, Inc.)</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(1,432,690)</w:t>
            </w:r>
          </w:p>
        </w:tc>
        <w:tc>
          <w:tcPr>
            <w:tcW w:w="1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5,038,507</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3,760,744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(1,277,763)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1,627,278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1,782,205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154,927</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Ozy Media, Inc.</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1,872,891</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8,500,199</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10,738,090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2,237,891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3,865,000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365,000</w:t>
            </w:r>
          </w:p>
        </w:tc>
        <w:tc>
          <w:tcPr>
            <w:tcW w:w="0" w:type="dxa"/>
            <w:vAlign w:val="bottom"/>
          </w:tcPr>
          <w:p>
            <w:pPr>
              <w:spacing w:after="0"/>
              <w:rPr>
                <w:sz w:val="1"/>
                <w:szCs w:val="1"/>
                <w:color w:val="auto"/>
              </w:rPr>
            </w:pPr>
          </w:p>
        </w:tc>
      </w:tr>
      <w:tr>
        <w:trPr>
          <w:trHeight w:val="130"/>
        </w:trPr>
        <w:tc>
          <w:tcPr>
            <w:tcW w:w="15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Palantir Technologies,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15,498,029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w w:val="99"/>
              </w:rPr>
              <w:t>17,198,903</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45,475,315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28,276,412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21,060,447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33,838,830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12,778,383</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Silver Spring Networks,</w:t>
            </w:r>
          </w:p>
        </w:tc>
        <w:tc>
          <w:tcPr>
            <w:tcW w:w="8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3,002,683</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5,145,271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2,142,588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(3,002,683)</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Spotify Technology S.A.</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1,233,464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3,598,472</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5,676,873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2,078,401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3,598,472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4,443,409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844,937</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SugarCRM, Inc.</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1,881,141</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8,299,914</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11,260,934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2,961,020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8,299,794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9,379,673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1,079,879</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Totus Solutions, Inc.</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(3,620,982)</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6,101,443</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207,327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(5,894,116)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6,023,973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3,750,839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(2,273,134)</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Twitter, Inc.</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(39,969,390)</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27,551,563</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57,413,522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29,861,959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32,991,111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102,822,460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69,831,349</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Violin Memory, Inc.</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10,615,550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14,819,618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4,204,068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(10,615,550)</w:t>
            </w:r>
          </w:p>
        </w:tc>
        <w:tc>
          <w:tcPr>
            <w:tcW w:w="0" w:type="dxa"/>
            <w:vAlign w:val="bottom"/>
          </w:tcPr>
          <w:p>
            <w:pPr>
              <w:spacing w:after="0"/>
              <w:rPr>
                <w:sz w:val="1"/>
                <w:szCs w:val="1"/>
                <w:color w:val="auto"/>
              </w:rPr>
            </w:pPr>
          </w:p>
        </w:tc>
      </w:tr>
      <w:tr>
        <w:trPr>
          <w:trHeight w:val="189"/>
        </w:trPr>
        <w:tc>
          <w:tcPr>
            <w:tcW w:w="15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(2,197,185)</w:t>
            </w:r>
          </w:p>
        </w:tc>
        <w:tc>
          <w:tcPr>
            <w:tcW w:w="10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286,567,472</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278,950,670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(7,616,802)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138,743,468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133,323,851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(5,419,617)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Totals</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(5,811,797)</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89"/>
              </w:rPr>
              <w:t>408,399,713</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478,282,415</w:t>
            </w:r>
          </w:p>
        </w:tc>
        <w:tc>
          <w:tcPr>
            <w:tcW w:w="1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4"/>
              </w:rPr>
              <w:t>69,882,702</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290,554,354</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366,248,853</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6"/>
              </w:rPr>
              <w:t>75,694,499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-2957830</wp:posOffset>
            </wp:positionV>
            <wp:extent cx="52139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1139" w:hanging="272"/>
        <w:spacing w:after="0" w:line="308"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represents all investments (including U.S. Treasury Bills and U.S. Treasury Strips) for which individual change in unrealized appreciation/(depreciation) was less than $1,000,000 for the year ended December 31, 2014.</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560" w:type="dxa"/>
            <w:vAlign w:val="bottom"/>
            <w:gridSpan w:val="4"/>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jc w:val="center"/>
              <w:ind w:left="648"/>
              <w:spacing w:after="0"/>
              <w:rPr>
                <w:sz w:val="20"/>
                <w:szCs w:val="20"/>
                <w:color w:val="auto"/>
              </w:rPr>
            </w:pPr>
            <w:r>
              <w:rPr>
                <w:rFonts w:ascii="Arial" w:cs="Arial" w:eastAsia="Arial" w:hAnsi="Arial"/>
                <w:sz w:val="14"/>
                <w:szCs w:val="14"/>
                <w:b w:val="1"/>
                <w:bCs w:val="1"/>
                <w:color w:val="auto"/>
                <w:w w:val="91"/>
              </w:rPr>
              <w:t>December 31, 2013</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1"/>
              </w:rPr>
              <w:t>December 31, 2012</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0" w:type="dxa"/>
            <w:vAlign w:val="bottom"/>
          </w:tcPr>
          <w:p>
            <w:pPr>
              <w:spacing w:after="0"/>
              <w:rPr>
                <w:sz w:val="1"/>
                <w:szCs w:val="1"/>
                <w:color w:val="auto"/>
              </w:rPr>
            </w:pPr>
          </w:p>
        </w:tc>
      </w:tr>
      <w:tr>
        <w:trPr>
          <w:trHeight w:val="171"/>
        </w:trPr>
        <w:tc>
          <w:tcPr>
            <w:tcW w:w="1560" w:type="dxa"/>
            <w:vAlign w:val="bottom"/>
            <w:gridSpan w:val="4"/>
            <w:vMerge w:val="continue"/>
          </w:tcPr>
          <w:p>
            <w:pPr>
              <w:spacing w:after="0"/>
              <w:rPr>
                <w:sz w:val="14"/>
                <w:szCs w:val="14"/>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99"/>
              </w:rPr>
              <w:t>(Depreciation)</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w w:val="99"/>
              </w:rPr>
              <w:t>2U, Inc. (f/k/a 2tor, Inc.)</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1,310,329</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w w:val="99"/>
              </w:rPr>
              <w:t>10,031,318</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11,310,709</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1,279,391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10,030,724</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9,999,786</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(30,938)</w:t>
            </w:r>
          </w:p>
        </w:tc>
        <w:tc>
          <w:tcPr>
            <w:tcW w:w="0" w:type="dxa"/>
            <w:vAlign w:val="bottom"/>
          </w:tcPr>
          <w:p>
            <w:pPr>
              <w:spacing w:after="0"/>
              <w:rPr>
                <w:sz w:val="1"/>
                <w:szCs w:val="1"/>
                <w:color w:val="auto"/>
              </w:rPr>
            </w:pPr>
          </w:p>
        </w:tc>
      </w:tr>
      <w:tr>
        <w:trPr>
          <w:trHeight w:val="130"/>
        </w:trPr>
        <w:tc>
          <w:tcPr>
            <w:tcW w:w="15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4C Insights (f/k/a The</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Echo Systems Corp.)</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(1,478,693)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1,512,392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229,234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(1,283,158)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1,512,392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1,707,927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195,535</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Chegg, Inc.</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(5,643,621)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14,022,863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8,551,589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(5,471,274)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14,021,197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14,193,544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172,347</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Control4 Corporation</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6,176,725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7,010,762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13,300,129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6,289,367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7,011,025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7,123,667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112,642</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Dailybreak, Inc.</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(1,212,840)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2,430,950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1,211,393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(1,219,557)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1,993,283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(6,717)</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Dropbox, Inc.</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1,417,851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13,656,486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15,855,197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2,198,711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13,656,486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14,437,346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780,860</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Facebook Inc</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5,482,897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5,236,147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9,563,750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4,327,603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10,472,294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9,317,000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(1,155,294)</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Groupon Inc.</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1,739,974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2,128,774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388,800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(1,739,974)</w:t>
            </w:r>
          </w:p>
        </w:tc>
        <w:tc>
          <w:tcPr>
            <w:tcW w:w="0" w:type="dxa"/>
            <w:vAlign w:val="bottom"/>
          </w:tcPr>
          <w:p>
            <w:pPr>
              <w:spacing w:after="0"/>
              <w:rPr>
                <w:sz w:val="1"/>
                <w:szCs w:val="1"/>
                <w:color w:val="auto"/>
              </w:rPr>
            </w:pPr>
          </w:p>
        </w:tc>
      </w:tr>
      <w:tr>
        <w:trPr>
          <w:trHeight w:val="130"/>
        </w:trPr>
        <w:tc>
          <w:tcPr>
            <w:tcW w:w="156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Palantir Technologies,</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3"/>
          </w:tcPr>
          <w:p>
            <w:pPr>
              <w:ind w:left="180"/>
              <w:spacing w:after="0"/>
              <w:rPr>
                <w:sz w:val="20"/>
                <w:szCs w:val="20"/>
                <w:color w:val="auto"/>
              </w:rPr>
            </w:pPr>
            <w:r>
              <w:rPr>
                <w:rFonts w:ascii="Arial" w:cs="Arial" w:eastAsia="Arial" w:hAnsi="Arial"/>
                <w:sz w:val="14"/>
                <w:szCs w:val="14"/>
                <w:color w:val="auto"/>
              </w:rPr>
              <w:t>Inc</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12,766,416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21,060,447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33,838,830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12,778,383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21,060,447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21,072,414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11,967</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Stormwind, LLC</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1,659,330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2,019,687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4,205,142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2,185,455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2,019,687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2,545,812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526,125</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SugarCRM, Inc.</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1,092,092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8,299,794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9,379,673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1,079,879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3,813,378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3,801,165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(12,213)</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Top Hat 430, Inc.</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4,167,943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4,167,943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(4,167,943)</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Totus Solutions, Inc.</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(2,249,386)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6,023,973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3,750,839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(2,273,134)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5,023,748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(23,748)</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Twitter, Inc.</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66,711,060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32,991,111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2"/>
              </w:rPr>
              <w:t>102,822,460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69,831,349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32,991,111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36,111,400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3,120,289</w:t>
            </w:r>
          </w:p>
        </w:tc>
        <w:tc>
          <w:tcPr>
            <w:tcW w:w="0" w:type="dxa"/>
            <w:vAlign w:val="bottom"/>
          </w:tcPr>
          <w:p>
            <w:pPr>
              <w:spacing w:after="0"/>
              <w:rPr>
                <w:sz w:val="1"/>
                <w:szCs w:val="1"/>
                <w:color w:val="auto"/>
              </w:rPr>
            </w:pPr>
          </w:p>
        </w:tc>
      </w:tr>
      <w:tr>
        <w:trPr>
          <w:trHeight w:val="149"/>
        </w:trPr>
        <w:tc>
          <w:tcPr>
            <w:tcW w:w="15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Violin Memory, Inc.</w:t>
            </w: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(10,596,703)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14,819,618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4,204,068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(10,615,550)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14,818,843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14,799,996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(18,847)</w:t>
            </w:r>
          </w:p>
        </w:tc>
        <w:tc>
          <w:tcPr>
            <w:tcW w:w="0" w:type="dxa"/>
            <w:vAlign w:val="bottom"/>
          </w:tcPr>
          <w:p>
            <w:pPr>
              <w:spacing w:after="0"/>
              <w:rPr>
                <w:sz w:val="1"/>
                <w:szCs w:val="1"/>
                <w:color w:val="auto"/>
              </w:rPr>
            </w:pPr>
          </w:p>
        </w:tc>
      </w:tr>
      <w:tr>
        <w:trPr>
          <w:trHeight w:val="149"/>
        </w:trPr>
        <w:tc>
          <w:tcPr>
            <w:tcW w:w="15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Zynga, Inc.</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1,744,796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3,003,462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1,258,666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(1,744,796)</w:t>
            </w:r>
          </w:p>
        </w:tc>
        <w:tc>
          <w:tcPr>
            <w:tcW w:w="0" w:type="dxa"/>
            <w:vAlign w:val="bottom"/>
          </w:tcPr>
          <w:p>
            <w:pPr>
              <w:spacing w:after="0"/>
              <w:rPr>
                <w:sz w:val="1"/>
                <w:szCs w:val="1"/>
                <w:color w:val="auto"/>
              </w:rPr>
            </w:pPr>
          </w:p>
        </w:tc>
      </w:tr>
      <w:tr>
        <w:trPr>
          <w:trHeight w:val="189"/>
        </w:trPr>
        <w:tc>
          <w:tcPr>
            <w:tcW w:w="1560" w:type="dxa"/>
            <w:vAlign w:val="bottom"/>
            <w:gridSpan w:val="4"/>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4,356,979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151,438,806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148,025,840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(3,412,966)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2"/>
              </w:rPr>
              <w:t>105,416,224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97,646,279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(7,769,945)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Totals</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9"/>
              </w:rPr>
              <w:t>87,445,149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9"/>
              </w:rPr>
              <w:t>290,554,354</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366,248,853</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6"/>
              </w:rPr>
              <w:t>75,694,499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253,147,735</w:t>
            </w:r>
          </w:p>
        </w:tc>
        <w:tc>
          <w:tcPr>
            <w:tcW w:w="22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241,397,085</w:t>
            </w:r>
          </w:p>
        </w:tc>
        <w:tc>
          <w:tcPr>
            <w:tcW w:w="1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3"/>
              </w:rPr>
              <w:t>(11,750,650)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9861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9861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1489710</wp:posOffset>
            </wp:positionH>
            <wp:positionV relativeFrom="paragraph">
              <wp:posOffset>-213995</wp:posOffset>
            </wp:positionV>
            <wp:extent cx="1117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1489710</wp:posOffset>
            </wp:positionH>
            <wp:positionV relativeFrom="paragraph">
              <wp:posOffset>-187960</wp:posOffset>
            </wp:positionV>
            <wp:extent cx="1117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-213995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-187960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-213995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-187960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-213995</wp:posOffset>
            </wp:positionV>
            <wp:extent cx="1200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-187960</wp:posOffset>
            </wp:positionV>
            <wp:extent cx="1200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-213995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-187960</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-213995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-187960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-213995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-187960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-2580640</wp:posOffset>
            </wp:positionV>
            <wp:extent cx="52139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1139" w:hanging="272"/>
        <w:spacing w:after="0" w:line="308" w:lineRule="auto"/>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represents all investments (including U.S. Treasury Bills and U.S. Treasury Strips) for which individual change in unrealized appreciation/(depreciation) was less than $1,000,000 for the year ended December 31, 2013.</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(Provision)/Benefit for Taxes on Unrealized Appreciation/Depreciation of Investments</w:t>
      </w:r>
    </w:p>
    <w:p>
      <w:pPr>
        <w:spacing w:after="0" w:line="117" w:lineRule="exact"/>
        <w:rPr>
          <w:sz w:val="20"/>
          <w:szCs w:val="20"/>
          <w:color w:val="auto"/>
        </w:rPr>
      </w:pPr>
    </w:p>
    <w:p>
      <w:pPr>
        <w:ind w:left="60" w:right="699" w:firstLine="270"/>
        <w:spacing w:after="0" w:line="257" w:lineRule="auto"/>
        <w:rPr>
          <w:sz w:val="20"/>
          <w:szCs w:val="20"/>
          <w:color w:val="auto"/>
        </w:rPr>
      </w:pPr>
      <w:r>
        <w:rPr>
          <w:rFonts w:ascii="Arial" w:cs="Arial" w:eastAsia="Arial" w:hAnsi="Arial"/>
          <w:sz w:val="18"/>
          <w:szCs w:val="18"/>
          <w:color w:val="auto"/>
        </w:rPr>
        <w:t>For the year ended December 31, 2015, we recognized a benefit for taxes of $16,058,080 on unrealized depreciation of investments. As a result of our election to be treated as a RIC, we have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80" w:lineRule="exact"/>
        <w:rPr>
          <w:sz w:val="20"/>
          <w:szCs w:val="20"/>
          <w:color w:val="auto"/>
        </w:rPr>
      </w:pPr>
    </w:p>
    <w:p>
      <w:pPr>
        <w:ind w:left="60" w:right="1279" w:firstLine="270"/>
        <w:spacing w:after="0" w:line="277" w:lineRule="auto"/>
        <w:rPr>
          <w:sz w:val="20"/>
          <w:szCs w:val="20"/>
          <w:color w:val="auto"/>
        </w:rPr>
      </w:pPr>
      <w:r>
        <w:rPr>
          <w:rFonts w:ascii="Arial" w:cs="Arial" w:eastAsia="Arial" w:hAnsi="Arial"/>
          <w:sz w:val="18"/>
          <w:szCs w:val="18"/>
          <w:color w:val="auto"/>
        </w:rPr>
        <w:t>For the year ended December 31, 2014, we recognized a benefit for taxes of $2,371,829 on unrealized depreciation of investments.</w:t>
      </w:r>
    </w:p>
    <w:p>
      <w:pPr>
        <w:spacing w:after="0" w:line="62" w:lineRule="exact"/>
        <w:rPr>
          <w:sz w:val="20"/>
          <w:szCs w:val="20"/>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The difference between the two periods is due to the fact that our investments had net unrealized depreciation of approximately $13.4 million for the year ended December 31, 2015 compared to approximately $5.8 million for the year ended December 31, 2014, as shown in the tables above.</w:t>
      </w:r>
    </w:p>
    <w:p>
      <w:pPr>
        <w:spacing w:after="0" w:line="73" w:lineRule="exact"/>
        <w:rPr>
          <w:sz w:val="20"/>
          <w:szCs w:val="20"/>
          <w:color w:val="auto"/>
        </w:rPr>
      </w:pPr>
    </w:p>
    <w:p>
      <w:pPr>
        <w:ind w:left="60" w:right="1279" w:firstLine="270"/>
        <w:spacing w:after="0" w:line="277" w:lineRule="auto"/>
        <w:rPr>
          <w:sz w:val="20"/>
          <w:szCs w:val="20"/>
          <w:color w:val="auto"/>
        </w:rPr>
      </w:pPr>
      <w:r>
        <w:rPr>
          <w:rFonts w:ascii="Arial" w:cs="Arial" w:eastAsia="Arial" w:hAnsi="Arial"/>
          <w:sz w:val="18"/>
          <w:szCs w:val="18"/>
          <w:color w:val="auto"/>
        </w:rPr>
        <w:t>For the year ended December 31, 2014, we recognized a benefit for taxes of $2,371,829 on unrealized depreciation of investments.</w:t>
      </w:r>
    </w:p>
    <w:p>
      <w:pPr>
        <w:spacing w:after="0" w:line="62" w:lineRule="exact"/>
        <w:rPr>
          <w:sz w:val="20"/>
          <w:szCs w:val="20"/>
          <w:color w:val="auto"/>
        </w:rPr>
      </w:pPr>
    </w:p>
    <w:p>
      <w:pPr>
        <w:ind w:left="60" w:right="1019" w:firstLine="270"/>
        <w:spacing w:after="0" w:line="277" w:lineRule="auto"/>
        <w:rPr>
          <w:sz w:val="20"/>
          <w:szCs w:val="20"/>
          <w:color w:val="auto"/>
        </w:rPr>
      </w:pPr>
      <w:r>
        <w:rPr>
          <w:rFonts w:ascii="Arial" w:cs="Arial" w:eastAsia="Arial" w:hAnsi="Arial"/>
          <w:sz w:val="18"/>
          <w:szCs w:val="18"/>
          <w:color w:val="auto"/>
        </w:rPr>
        <w:t>For the year ended December 31, 2013, we recognized a provision for taxes of $30,906,063 on unrealized appreciation of investments.</w:t>
      </w:r>
    </w:p>
    <w:p>
      <w:pPr>
        <w:spacing w:after="0" w:line="62" w:lineRule="exact"/>
        <w:rPr>
          <w:sz w:val="20"/>
          <w:szCs w:val="20"/>
          <w:color w:val="auto"/>
        </w:rPr>
      </w:pPr>
    </w:p>
    <w:p>
      <w:pPr>
        <w:ind w:left="60" w:right="519" w:firstLine="270"/>
        <w:spacing w:after="0" w:line="286" w:lineRule="auto"/>
        <w:rPr>
          <w:sz w:val="20"/>
          <w:szCs w:val="20"/>
          <w:color w:val="auto"/>
        </w:rPr>
      </w:pPr>
      <w:r>
        <w:rPr>
          <w:rFonts w:ascii="Arial" w:cs="Arial" w:eastAsia="Arial" w:hAnsi="Arial"/>
          <w:sz w:val="17"/>
          <w:szCs w:val="17"/>
          <w:color w:val="auto"/>
        </w:rPr>
        <w:t>The difference between the two periods is due to the fact that, during the year ended December 31, 2014, the change in unrealized depreciation of our investments was approximately $5.8 million, whereas in the year ended December 31, 2013 we had a net change of unrealized appreciation of approximately $87.4 million, as shown in the tables above.</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Increase/Decrease in Net Assets Resulting from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2015, the net increase in net assets resulting from operations was $8,466,157.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2014, the net decrease in net assets resulting from operations was $2,062,771.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2013, the net increase in net assets resulting from operations was $35,383,643.</w:t>
      </w:r>
    </w:p>
    <w:p>
      <w:pPr>
        <w:spacing w:after="0" w:line="117" w:lineRule="exact"/>
        <w:rPr>
          <w:sz w:val="20"/>
          <w:szCs w:val="20"/>
          <w:color w:val="auto"/>
        </w:rPr>
      </w:pPr>
    </w:p>
    <w:p>
      <w:pPr>
        <w:ind w:left="60" w:right="639" w:firstLine="270"/>
        <w:spacing w:after="0" w:line="257" w:lineRule="auto"/>
        <w:rPr>
          <w:sz w:val="20"/>
          <w:szCs w:val="20"/>
          <w:color w:val="auto"/>
        </w:rPr>
      </w:pPr>
      <w:r>
        <w:rPr>
          <w:rFonts w:ascii="Arial" w:cs="Arial" w:eastAsia="Arial" w:hAnsi="Arial"/>
          <w:sz w:val="18"/>
          <w:szCs w:val="18"/>
          <w:color w:val="auto"/>
        </w:rPr>
        <w:t>The increase in net assets resulting from operations for the year ended December 31, 2015, as compared to the year ended December 31, 2014, is the result of an increase in our net realized gains, our recognition of a benefit for taxes on net realized capital gains, as discussed above, and our recognition of a benefit for taxes on unrealized depreciation of investments, all of which was largely offset by the increased net investment loss, the increase in unrealized depreciation of our portfolio and an increase in our total operating expenses.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decrease in net assets resulting from operations for the year ended December 31, 2014, as compared to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2013, is primarily the result of the unrealized depreciation of the portfolio as a whole during the year ended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2014, which was partially offset by the increase in realized gains and decreased operating expenses.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 w:right="919" w:firstLine="270"/>
        <w:spacing w:after="0" w:line="277" w:lineRule="auto"/>
        <w:rPr>
          <w:sz w:val="20"/>
          <w:szCs w:val="20"/>
          <w:color w:val="auto"/>
        </w:rPr>
      </w:pPr>
      <w:r>
        <w:rPr>
          <w:rFonts w:ascii="Arial" w:cs="Arial" w:eastAsia="Arial" w:hAnsi="Arial"/>
          <w:sz w:val="18"/>
          <w:szCs w:val="18"/>
          <w:color w:val="auto"/>
        </w:rPr>
        <w:t>Our liquidity and capital resources are generated primarily from the net proceeds of public offerings of our equity and debt securities, advances from our Credit Facility, as well as the sales of our investments.</w:t>
      </w:r>
    </w:p>
    <w:p>
      <w:pPr>
        <w:spacing w:after="0" w:line="62" w:lineRule="exact"/>
        <w:rPr>
          <w:sz w:val="20"/>
          <w:szCs w:val="20"/>
          <w:color w:val="auto"/>
        </w:rPr>
      </w:pPr>
    </w:p>
    <w:p>
      <w:pPr>
        <w:ind w:left="60" w:right="779" w:firstLine="270"/>
        <w:spacing w:after="0" w:line="302" w:lineRule="auto"/>
        <w:rPr>
          <w:sz w:val="20"/>
          <w:szCs w:val="20"/>
          <w:color w:val="auto"/>
        </w:rPr>
      </w:pPr>
      <w:r>
        <w:rPr>
          <w:rFonts w:ascii="Arial" w:cs="Arial" w:eastAsia="Arial" w:hAnsi="Arial"/>
          <w:sz w:val="16"/>
          <w:szCs w:val="16"/>
          <w:color w:val="auto"/>
        </w:rPr>
        <w:t>Our primary use of cash is to make investments and to pay our operating expenses. Our current policy is to maintain cash reserves and liquid securities in an amount sufficient to pay our operating expenses, including investment management fees and costs incurred under the Administration Agreement, for approximately two years. For the years ended December 31, 2015, 2014 and 2013 our operating expenses were $26,978,235, $21,775,939, and $22,083,875,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51885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92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auto"/>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$13,349,877</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3,472,880</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7,219,203</w:t>
            </w:r>
          </w:p>
        </w:tc>
        <w:tc>
          <w:tcPr>
            <w:tcW w:w="0" w:type="dxa"/>
            <w:vAlign w:val="bottom"/>
          </w:tcPr>
          <w:p>
            <w:pPr>
              <w:spacing w:after="0"/>
              <w:rPr>
                <w:sz w:val="1"/>
                <w:szCs w:val="1"/>
                <w:color w:val="auto"/>
              </w:rPr>
            </w:pPr>
          </w:p>
        </w:tc>
      </w:tr>
      <w:tr>
        <w:trPr>
          <w:trHeight w:val="257"/>
        </w:trPr>
        <w:tc>
          <w:tcPr>
            <w:tcW w:w="4740" w:type="dxa"/>
            <w:vAlign w:val="bottom"/>
            <w:gridSpan w:val="3"/>
          </w:tcPr>
          <w:p>
            <w:pPr>
              <w:ind w:left="20"/>
              <w:spacing w:after="0" w:line="256" w:lineRule="exact"/>
              <w:rPr>
                <w:sz w:val="20"/>
                <w:szCs w:val="20"/>
                <w:color w:val="auto"/>
              </w:rPr>
            </w:pPr>
            <w:r>
              <w:rPr>
                <w:rFonts w:ascii="Arial" w:cs="Arial" w:eastAsia="Arial" w:hAnsi="Arial"/>
                <w:sz w:val="18"/>
                <w:szCs w:val="18"/>
                <w:color w:val="auto"/>
                <w:w w:val="98"/>
              </w:rPr>
              <w:t>Amounts available for borrowing under the Credit Facility</w:t>
            </w:r>
            <w:r>
              <w:rPr>
                <w:rFonts w:ascii="Arial" w:cs="Arial" w:eastAsia="Arial" w:hAnsi="Arial"/>
                <w:sz w:val="29"/>
                <w:szCs w:val="29"/>
                <w:color w:val="auto"/>
                <w:w w:val="98"/>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18,000,000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18,000,000</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 of Publicly Traded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Portfolio Companies</w:t>
            </w:r>
            <w:r>
              <w:rPr>
                <w:rFonts w:ascii="Arial" w:cs="Arial" w:eastAsia="Arial" w:hAnsi="Arial"/>
                <w:sz w:val="29"/>
                <w:szCs w:val="29"/>
                <w:color w:val="auto"/>
                <w:vertAlign w:val="superscript"/>
              </w:rPr>
              <w:t>(2)</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2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26,486,074</w:t>
            </w:r>
          </w:p>
        </w:tc>
        <w:tc>
          <w:tcPr>
            <w:tcW w:w="20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65,586,615</w:t>
            </w:r>
          </w:p>
        </w:tc>
        <w:tc>
          <w:tcPr>
            <w:tcW w:w="2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11,706,338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Subject to other Sales Restrictions</w:t>
            </w:r>
            <w:r>
              <w:rPr>
                <w:rFonts w:ascii="Arial" w:cs="Arial" w:eastAsia="Arial" w:hAnsi="Arial"/>
                <w:sz w:val="29"/>
                <w:szCs w:val="29"/>
                <w:color w:val="auto"/>
                <w:vertAlign w:val="superscript"/>
              </w:rPr>
              <w:t>(4)(5)(6)</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67,296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23,673,635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1,666,667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26,553,370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89,260,250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13,373,005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Total Cash reserves and Liquid securities</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57,903,247</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92,733,130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38,592,208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-334010</wp:posOffset>
            </wp:positionV>
            <wp:extent cx="521398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36" w:lineRule="exact"/>
        <w:rPr>
          <w:sz w:val="20"/>
          <w:szCs w:val="20"/>
          <w:color w:val="auto"/>
        </w:rPr>
      </w:pPr>
    </w:p>
    <w:p>
      <w:pPr>
        <w:ind w:left="300" w:right="679" w:hanging="272"/>
        <w:spacing w:after="0" w:line="308" w:lineRule="auto"/>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Subject to leverage and borrowing base restrictions under the Credit facility. Refer to “Note 9 — Long Term Liabilities” to our consolidated financial statements for the year ended December 31, 2015 for details regarding the Credit Facility.</w:t>
      </w:r>
    </w:p>
    <w:p>
      <w:pPr>
        <w:spacing w:after="0" w:line="38" w:lineRule="exact"/>
        <w:rPr>
          <w:rFonts w:ascii="Arial" w:cs="Arial" w:eastAsia="Arial" w:hAnsi="Arial"/>
          <w:sz w:val="17"/>
          <w:szCs w:val="17"/>
          <w:color w:val="auto"/>
        </w:rPr>
      </w:pPr>
    </w:p>
    <w:p>
      <w:pPr>
        <w:ind w:left="300" w:right="779" w:hanging="272"/>
        <w:spacing w:after="0" w:line="277"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portfolio investments are pledged as collateral to secure any borrowings under the Credit Facility. We may incur losses if we liquidate these positions to pay operating expenses or fund new investments.</w:t>
      </w:r>
    </w:p>
    <w:p>
      <w:pPr>
        <w:spacing w:after="0" w:line="62" w:lineRule="exact"/>
        <w:rPr>
          <w:rFonts w:ascii="Arial" w:cs="Arial" w:eastAsia="Arial" w:hAnsi="Arial"/>
          <w:sz w:val="18"/>
          <w:szCs w:val="18"/>
          <w:color w:val="auto"/>
        </w:rPr>
      </w:pPr>
    </w:p>
    <w:p>
      <w:pPr>
        <w:ind w:left="300" w:right="559" w:hanging="272"/>
        <w:spacing w:after="0" w:line="277"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“Unrestricted Securities” represents common stock of our publicly traded companies that are not subject to any restrictions upon sale.</w:t>
      </w:r>
    </w:p>
    <w:p>
      <w:pPr>
        <w:spacing w:after="0" w:line="62" w:lineRule="exact"/>
        <w:rPr>
          <w:rFonts w:ascii="Arial" w:cs="Arial" w:eastAsia="Arial" w:hAnsi="Arial"/>
          <w:sz w:val="18"/>
          <w:szCs w:val="18"/>
          <w:color w:val="auto"/>
        </w:rPr>
      </w:pPr>
    </w:p>
    <w:p>
      <w:pPr>
        <w:ind w:left="300" w:right="559" w:hanging="272"/>
        <w:spacing w:after="0" w:line="259"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December 31, 2015, this balance represents our shares of common stock of Cricket Media (f/k/a ePals Inc.). These shares are freely tradable, however at certain times during the year, these shares may be subject to black-out periods as a result of Michael Moe’s position as a director of Cricket Media. During these black-out periods, we may be unable to sell these securities under Canadian Securities law.</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00" w:right="599" w:hanging="272"/>
        <w:spacing w:after="0" w:line="279" w:lineRule="auto"/>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As of December 31, 2014, this balance represents our shares of common stock of 2U, Inc. (f/k/a 2tor, Inc.) and Cricket Media (f/k/a ePals Inc.). These shares are freely tradable, however at certain times during the year, these shares may be subject to black-out periods as a result of Michael Moe’s position as a director of both 2U, Inc. and Cricket Media. During these black-out periods, we may be unable to sell these securities under U.S. and Canadian Securities law.</w:t>
      </w:r>
    </w:p>
    <w:p>
      <w:pPr>
        <w:spacing w:after="0" w:line="63" w:lineRule="exact"/>
        <w:rPr>
          <w:rFonts w:ascii="Arial" w:cs="Arial" w:eastAsia="Arial" w:hAnsi="Arial"/>
          <w:sz w:val="17"/>
          <w:szCs w:val="17"/>
          <w:color w:val="auto"/>
        </w:rPr>
      </w:pPr>
    </w:p>
    <w:p>
      <w:pPr>
        <w:ind w:left="300" w:right="619" w:hanging="272"/>
        <w:spacing w:after="0" w:line="259"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December 31, 2013, this balance represents our shares of common stock of Cricket Media (f/k/a ePals Inc.). These shares are freely tradable, however at certain times during the year, these shares may be subject to black-out periods as a result of Michael Moe’s position as a director of Cricket Media (f/k/a ePals Inc.). During these black-out periods, we may be unable to sell these securities under Canadian Securities law.</w:t>
      </w:r>
    </w:p>
    <w:p>
      <w:pPr>
        <w:spacing w:after="0" w:line="79" w:lineRule="exact"/>
        <w:rPr>
          <w:sz w:val="20"/>
          <w:szCs w:val="20"/>
          <w:color w:val="auto"/>
        </w:rPr>
      </w:pPr>
    </w:p>
    <w:p>
      <w:pPr>
        <w:jc w:val="both"/>
        <w:ind w:left="60" w:right="539" w:firstLine="270"/>
        <w:spacing w:after="0" w:line="288" w:lineRule="auto"/>
        <w:rPr>
          <w:sz w:val="20"/>
          <w:szCs w:val="20"/>
          <w:color w:val="auto"/>
        </w:rPr>
      </w:pPr>
      <w:r>
        <w:rPr>
          <w:rFonts w:ascii="Arial" w:cs="Arial" w:eastAsia="Arial" w:hAnsi="Arial"/>
          <w:sz w:val="16"/>
          <w:szCs w:val="16"/>
          <w:color w:val="auto"/>
        </w:rPr>
        <w:t>During the year ended December 31, 2015, cash and cash equivalents increased to approximately $13.3 million at the end of the year, from approximately $3.5 million at the beginning of the year. Net cash provided by operating activities during the year ended December 31, 2015, consisting primarily of the items described in “— Results of Operations,” was approximately $54.2 million.</w:t>
      </w:r>
    </w:p>
    <w:p>
      <w:pPr>
        <w:ind w:left="60" w:right="559"/>
        <w:spacing w:after="0" w:line="254" w:lineRule="auto"/>
        <w:rPr>
          <w:sz w:val="20"/>
          <w:szCs w:val="20"/>
          <w:color w:val="auto"/>
        </w:rPr>
      </w:pPr>
      <w:r>
        <w:rPr>
          <w:rFonts w:ascii="Arial" w:cs="Arial" w:eastAsia="Arial" w:hAnsi="Arial"/>
          <w:sz w:val="18"/>
          <w:szCs w:val="18"/>
          <w:color w:val="auto"/>
        </w:rPr>
        <w:t>This reflects purchases and sales of portfolio investments of approximately $31.0 million and $92.9 million, respectively, as well as purchases and maturities of treasury investments of approximately $255.0 million and $328.6 million, respectively. During the year ended December 31, 2015, net cash used in financing activities was $44.4 million, reflecting net repayments of borrowings under the Credit Facility.</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sales of our equity or debt securities during the years ended December 31, 2015 or 2014.</w:t>
      </w:r>
    </w:p>
    <w:p>
      <w:pPr>
        <w:spacing w:after="0" w:line="117" w:lineRule="exact"/>
        <w:rPr>
          <w:sz w:val="20"/>
          <w:szCs w:val="20"/>
          <w:color w:val="auto"/>
        </w:rPr>
      </w:pPr>
    </w:p>
    <w:p>
      <w:pPr>
        <w:ind w:left="60" w:right="659" w:firstLine="270"/>
        <w:spacing w:after="0" w:line="277" w:lineRule="auto"/>
        <w:rPr>
          <w:sz w:val="20"/>
          <w:szCs w:val="20"/>
          <w:color w:val="auto"/>
        </w:rPr>
      </w:pPr>
      <w:r>
        <w:rPr>
          <w:rFonts w:ascii="Arial" w:cs="Arial" w:eastAsia="Arial" w:hAnsi="Arial"/>
          <w:sz w:val="18"/>
          <w:szCs w:val="18"/>
          <w:color w:val="auto"/>
        </w:rPr>
        <w:t>As a result of our distribution, which was payable on December 31, 2015, we issued 2,860,903 shares of common stock. Refer to “— Distributions” below for details of the distribution paid.</w:t>
      </w:r>
    </w:p>
    <w:p>
      <w:pPr>
        <w:spacing w:after="0" w:line="62" w:lineRule="exact"/>
        <w:rPr>
          <w:sz w:val="20"/>
          <w:szCs w:val="20"/>
          <w:color w:val="auto"/>
        </w:rPr>
      </w:pPr>
    </w:p>
    <w:p>
      <w:pPr>
        <w:ind w:left="60" w:right="779" w:firstLine="270"/>
        <w:spacing w:after="0" w:line="425" w:lineRule="auto"/>
        <w:rPr>
          <w:sz w:val="20"/>
          <w:szCs w:val="20"/>
          <w:color w:val="auto"/>
        </w:rPr>
      </w:pPr>
      <w:r>
        <w:rPr>
          <w:rFonts w:ascii="Arial" w:cs="Arial" w:eastAsia="Arial" w:hAnsi="Arial"/>
          <w:sz w:val="18"/>
          <w:szCs w:val="18"/>
          <w:color w:val="auto"/>
        </w:rPr>
        <w:t xml:space="preserve">As of December 31, 2015, we had no borrowings under the Credit Facility, and $18 million unused under the Credit Facility. </w:t>
      </w: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8"/>
          </w:tcPr>
          <w:p>
            <w:pPr>
              <w:jc w:val="right"/>
              <w:ind w:right="28"/>
              <w:spacing w:after="0" w:line="150" w:lineRule="exact"/>
              <w:rPr>
                <w:sz w:val="20"/>
                <w:szCs w:val="20"/>
                <w:color w:val="auto"/>
              </w:rPr>
            </w:pPr>
            <w:r>
              <w:rPr>
                <w:rFonts w:ascii="Arial" w:cs="Arial" w:eastAsia="Arial" w:hAnsi="Arial"/>
                <w:sz w:val="14"/>
                <w:szCs w:val="14"/>
                <w:b w:val="1"/>
                <w:bCs w:val="1"/>
                <w:color w:val="auto"/>
              </w:rPr>
              <w:t>Payments Due By Period</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5"/>
              </w:rPr>
              <w:t>Less than</w:t>
            </w:r>
          </w:p>
        </w:tc>
        <w:tc>
          <w:tcPr>
            <w:tcW w:w="18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1 – 3 years</w:t>
            </w:r>
          </w:p>
        </w:tc>
        <w:tc>
          <w:tcPr>
            <w:tcW w:w="160" w:type="dxa"/>
            <w:vAlign w:val="bottom"/>
          </w:tcPr>
          <w:p>
            <w:pPr>
              <w:spacing w:after="0"/>
              <w:rPr>
                <w:sz w:val="10"/>
                <w:szCs w:val="10"/>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3 – 5 years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48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3480" w:type="dxa"/>
            <w:vAlign w:val="bottom"/>
            <w:gridSpan w:val="3"/>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Credit Facility</w:t>
            </w:r>
            <w:r>
              <w:rPr>
                <w:rFonts w:ascii="Arial" w:cs="Arial" w:eastAsia="Arial" w:hAnsi="Arial"/>
                <w:sz w:val="29"/>
                <w:szCs w:val="29"/>
                <w:color w:val="auto"/>
                <w:vertAlign w:val="superscript"/>
              </w:rPr>
              <w:t>(2)(3)</w:t>
            </w:r>
          </w:p>
        </w:tc>
        <w:tc>
          <w:tcPr>
            <w:tcW w:w="1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5</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r>
              <w:rPr>
                <w:rFonts w:ascii="Arial" w:cs="Arial" w:eastAsia="Arial" w:hAnsi="Arial"/>
                <w:sz w:val="18"/>
                <w:szCs w:val="18"/>
                <w:u w:val="single" w:color="auto"/>
                <w:color w:val="auto"/>
              </w:rPr>
              <w:t>0</w:t>
            </w:r>
          </w:p>
        </w:tc>
        <w:tc>
          <w:tcPr>
            <w:tcW w:w="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248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799" w:hanging="272"/>
        <w:spacing w:after="0" w:line="264" w:lineRule="auto"/>
        <w:tabs>
          <w:tab w:leader="none" w:pos="30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Payable for securities purchased” relates to the purchase of the United States Treasury Bill on margin. The payable for securities purchased was subsequently repaid on January 7, 2016 when the United States Treasury Bill matured and the $3.5 million margin deposit which was posted as collateral was returned.</w:t>
      </w:r>
    </w:p>
    <w:p>
      <w:pPr>
        <w:spacing w:after="0" w:line="73" w:lineRule="exact"/>
        <w:rPr>
          <w:rFonts w:ascii="Arial" w:cs="Arial" w:eastAsia="Arial" w:hAnsi="Arial"/>
          <w:sz w:val="18"/>
          <w:szCs w:val="18"/>
          <w:i w:val="1"/>
          <w:iCs w:val="1"/>
          <w:color w:val="auto"/>
        </w:rPr>
      </w:pPr>
    </w:p>
    <w:p>
      <w:pPr>
        <w:ind w:left="300" w:hanging="272"/>
        <w:spacing w:after="0"/>
        <w:tabs>
          <w:tab w:leader="none" w:pos="30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unused amount of the Credit Facility as of December 31, 2015 was $18 million.</w:t>
      </w:r>
    </w:p>
    <w:p>
      <w:pPr>
        <w:spacing w:after="0" w:line="117" w:lineRule="exact"/>
        <w:rPr>
          <w:rFonts w:ascii="Arial" w:cs="Arial" w:eastAsia="Arial" w:hAnsi="Arial"/>
          <w:sz w:val="18"/>
          <w:szCs w:val="18"/>
          <w:i w:val="1"/>
          <w:iCs w:val="1"/>
          <w:color w:val="auto"/>
        </w:rPr>
      </w:pPr>
    </w:p>
    <w:p>
      <w:pPr>
        <w:ind w:left="300" w:right="979" w:hanging="272"/>
        <w:spacing w:after="0" w:line="277" w:lineRule="auto"/>
        <w:tabs>
          <w:tab w:leader="none" w:pos="30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The weighted-average interest rates incurred under the Credit Facility were 8.11%, 8.00%, and 0.00% for the years ended December 31, 2015, 2014 and 2013, respectively.</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0" w:right="619" w:firstLine="270"/>
        <w:spacing w:after="0" w:line="308" w:lineRule="auto"/>
        <w:rPr>
          <w:sz w:val="20"/>
          <w:szCs w:val="20"/>
          <w:color w:val="auto"/>
        </w:rPr>
      </w:pPr>
      <w:r>
        <w:rPr>
          <w:rFonts w:ascii="Arial" w:cs="Arial" w:eastAsia="Arial" w:hAnsi="Arial"/>
          <w:sz w:val="17"/>
          <w:szCs w:val="17"/>
          <w:color w:val="auto"/>
        </w:rPr>
        <w:t>As of December 31, 2015, we had no off-balance sheet arrangements, including any risk management of commodity pricing or other hedging practices. However, we may employ hedging and other risk management techniques in the future.</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60" w:right="539" w:firstLine="270"/>
        <w:spacing w:after="0" w:line="312" w:lineRule="auto"/>
        <w:rPr>
          <w:sz w:val="20"/>
          <w:szCs w:val="20"/>
          <w:color w:val="auto"/>
        </w:rPr>
      </w:pPr>
      <w:r>
        <w:rPr>
          <w:rFonts w:ascii="Arial" w:cs="Arial" w:eastAsia="Arial" w:hAnsi="Arial"/>
          <w:sz w:val="16"/>
          <w:szCs w:val="16"/>
          <w:color w:val="auto"/>
        </w:rPr>
        <w:t>The timing and amount of our dividends, if any, will be determined by our board of directors and will be declared out of assets legally available for distribution. The following table lists the cash distributions, including dividends and returns of capital, if any, per share that we have declared since our formation on January 6, 2011. The table is divided by fiscal year according to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47510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6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9"/>
              </w:rPr>
              <w:t>per Share</w:t>
            </w:r>
          </w:p>
        </w:tc>
        <w:tc>
          <w:tcPr>
            <w:tcW w:w="0" w:type="dxa"/>
            <w:vAlign w:val="bottom"/>
          </w:tcPr>
          <w:p>
            <w:pPr>
              <w:spacing w:after="0"/>
              <w:rPr>
                <w:sz w:val="1"/>
                <w:szCs w:val="1"/>
                <w:color w:val="auto"/>
              </w:rPr>
            </w:pPr>
          </w:p>
        </w:tc>
      </w:tr>
      <w:tr>
        <w:trPr>
          <w:trHeight w:val="210"/>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November 16, 2015</w:t>
            </w:r>
          </w:p>
        </w:tc>
        <w:tc>
          <w:tcPr>
            <w:tcW w:w="16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2015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Total</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475107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00" w:right="559" w:hanging="272"/>
        <w:spacing w:after="0" w:line="272" w:lineRule="auto"/>
        <w:tabs>
          <w:tab w:leader="none" w:pos="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dividend was paid in cash or shares of our common stock at the election of stockholders, although the total amount of cash distributed to all stockholders was limited to approximately 50% of the total dividend to be paid to all stockholders. As a result of stockholder elections, the dividend consisted of approximately 2,860,903 shares of common stock issued in lieu of cash, or approximately 14.8% of our outstanding shares prior to the dividend,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dividend represented a return of capital.</w:t>
      </w:r>
    </w:p>
    <w:p>
      <w:pPr>
        <w:spacing w:after="0" w:line="70"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If there are earnings or realized capital gains to be distributed, we intend to declare and pay a dividend at least annually. The amount of realized capital gains available for distribution to stockholders will be impacted by our tax status.</w:t>
      </w:r>
    </w:p>
    <w:p>
      <w:pPr>
        <w:spacing w:after="0" w:line="85" w:lineRule="exact"/>
        <w:rPr>
          <w:sz w:val="20"/>
          <w:szCs w:val="20"/>
          <w:color w:val="auto"/>
        </w:rPr>
      </w:pPr>
    </w:p>
    <w:p>
      <w:pPr>
        <w:ind w:left="60" w:right="519" w:firstLine="270"/>
        <w:spacing w:after="0" w:line="287" w:lineRule="auto"/>
        <w:rPr>
          <w:sz w:val="20"/>
          <w:szCs w:val="20"/>
          <w:color w:val="auto"/>
        </w:rPr>
      </w:pPr>
      <w:r>
        <w:rPr>
          <w:rFonts w:ascii="Arial" w:cs="Arial" w:eastAsia="Arial" w:hAnsi="Arial"/>
          <w:sz w:val="16"/>
          <w:szCs w:val="16"/>
          <w:color w:val="auto"/>
        </w:rPr>
        <w:t>Our current intention is to make any future distributions out of assets legally available therefrom in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61" w:lineRule="exact"/>
        <w:rPr>
          <w:sz w:val="20"/>
          <w:szCs w:val="20"/>
          <w:color w:val="auto"/>
        </w:rPr>
      </w:pPr>
    </w:p>
    <w:p>
      <w:pPr>
        <w:ind w:left="60" w:right="519" w:firstLine="270"/>
        <w:spacing w:after="0" w:line="253" w:lineRule="auto"/>
        <w:rPr>
          <w:sz w:val="20"/>
          <w:szCs w:val="20"/>
          <w:color w:val="auto"/>
        </w:rPr>
      </w:pPr>
      <w:r>
        <w:rPr>
          <w:rFonts w:ascii="Arial" w:cs="Arial" w:eastAsia="Arial" w:hAnsi="Arial"/>
          <w:sz w:val="18"/>
          <w:szCs w:val="18"/>
          <w:color w:val="auto"/>
        </w:rPr>
        <w:t>Although we have elected to be taxed as a RIC under Subchapter M of the Code for the 2014 taxable year and subsequent years, we were taxed as a C Corporation under the Code for our 2013 taxable year. So long as we qualify and maintain our status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Included in our consolidated financial statements, the GSVC Holdings are taxable subsidiaries, regardless of whether we are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200" w:lineRule="exact"/>
        <w:rPr>
          <w:sz w:val="20"/>
          <w:szCs w:val="20"/>
          <w:color w:val="auto"/>
        </w:rPr>
      </w:pPr>
    </w:p>
    <w:p>
      <w:pPr>
        <w:spacing w:after="0" w:line="3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have also qualified to be treated as a RIC for the 2015 taxable year and continue to operate in a manner so as to qualify for the tax treatment applicable to RICs. In order to qualify as a RIC and to avoid corporate level tax on the income we distribute to our stockholders, we are required, under Subchapter M of the Code, to distribute at least 90% of our ordinary income and short-term capital gains to our stockholders on an annual basis. See “Note 1 — Nature of Operations and Significant Accounting</w:t>
      </w:r>
    </w:p>
    <w:p>
      <w:pPr>
        <w:spacing w:after="0" w:line="2" w:lineRule="exact"/>
        <w:rPr>
          <w:sz w:val="20"/>
          <w:szCs w:val="20"/>
          <w:color w:val="auto"/>
        </w:rPr>
      </w:pPr>
    </w:p>
    <w:p>
      <w:pPr>
        <w:ind w:left="40" w:right="679"/>
        <w:spacing w:after="0" w:line="261" w:lineRule="auto"/>
        <w:rPr>
          <w:sz w:val="20"/>
          <w:szCs w:val="20"/>
          <w:color w:val="auto"/>
        </w:rPr>
      </w:pPr>
      <w:r>
        <w:rPr>
          <w:rFonts w:ascii="Arial" w:cs="Arial" w:eastAsia="Arial" w:hAnsi="Arial"/>
          <w:sz w:val="18"/>
          <w:szCs w:val="18"/>
          <w:color w:val="auto"/>
        </w:rPr>
        <w:t>Policies — Summary of Significant Accounting Policies — U.S. Federal and State Income Taxes” and “Note 8 — Income Taxes” to our consolidated financial statements for the year ended December 31, 2015 for more information.</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519" w:firstLine="270"/>
        <w:spacing w:after="0" w:line="290" w:lineRule="auto"/>
        <w:rPr>
          <w:sz w:val="20"/>
          <w:szCs w:val="20"/>
          <w:color w:val="auto"/>
        </w:rPr>
      </w:pPr>
      <w:r>
        <w:rPr>
          <w:rFonts w:ascii="Arial" w:cs="Arial" w:eastAsia="Arial" w:hAnsi="Arial"/>
          <w:sz w:val="16"/>
          <w:szCs w:val="16"/>
          <w:color w:val="auto"/>
        </w:rPr>
        <w:t>On September 17, 2013, we issued $69 million aggregate principal amount of Convertible Senior Notes which bear interest at a fixed rate of 5.25% per year, are payable semi-annually and mature on September 15, 2018, unless previously repurchased or converted in accordance with their terms. We do not have the right to redeem the Convertible Senior Notes prior to maturity. The Convertible Senior Notes were convertible into shares of our common stock based on an initial conversion rate of 61.5091 shares of common stock per $1,000 principal amount of the Convertible Senior Notes, which was equivalent to an initial conversion price of approximately $16.26 per share of common stock. As a result of our dividend paid on December 31, 2015 to stockholders of record on November 16, 2015, the conversion rate was increased to 82.7567 shares of common stock per $1,000 principal amount of the Convertible Senior Notes, which is equivalent to a conversion price of approximately $12.08 per share of common stock.</w:t>
      </w:r>
    </w:p>
    <w:p>
      <w:pPr>
        <w:spacing w:after="0" w:line="58" w:lineRule="exact"/>
        <w:rPr>
          <w:sz w:val="20"/>
          <w:szCs w:val="20"/>
          <w:color w:val="auto"/>
        </w:rPr>
      </w:pPr>
    </w:p>
    <w:p>
      <w:pPr>
        <w:ind w:left="40" w:right="639" w:firstLine="270"/>
        <w:spacing w:after="0" w:line="293" w:lineRule="auto"/>
        <w:rPr>
          <w:sz w:val="20"/>
          <w:szCs w:val="20"/>
          <w:color w:val="auto"/>
        </w:rPr>
      </w:pPr>
      <w:r>
        <w:rPr>
          <w:rFonts w:ascii="Arial" w:cs="Arial" w:eastAsia="Arial" w:hAnsi="Arial"/>
          <w:sz w:val="16"/>
          <w:szCs w:val="16"/>
          <w:color w:val="auto"/>
        </w:rPr>
        <w:t>The Convertible Senior Notes are our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 “Structurally junior” indicates that creditors of a parent entity are subordinate to creditors of a subsidiary entity with respect to the subsidiary’s assets.</w:t>
      </w:r>
    </w:p>
    <w:p>
      <w:pPr>
        <w:spacing w:after="0" w:line="57" w:lineRule="exact"/>
        <w:rPr>
          <w:sz w:val="20"/>
          <w:szCs w:val="20"/>
          <w:color w:val="auto"/>
        </w:rPr>
      </w:pPr>
    </w:p>
    <w:p>
      <w:pPr>
        <w:ind w:left="40" w:right="919" w:firstLine="270"/>
        <w:spacing w:after="0" w:line="308" w:lineRule="auto"/>
        <w:rPr>
          <w:sz w:val="20"/>
          <w:szCs w:val="20"/>
          <w:color w:val="auto"/>
        </w:rPr>
      </w:pPr>
      <w:r>
        <w:rPr>
          <w:rFonts w:ascii="Arial" w:cs="Arial" w:eastAsia="Arial" w:hAnsi="Arial"/>
          <w:sz w:val="17"/>
          <w:szCs w:val="17"/>
          <w:color w:val="auto"/>
        </w:rPr>
        <w:t>The terms of the Convertible Senior Notes offering required us to place approximately $10.8 million of the proceeds of the offering in an escrow account with the Trustee to secure the payment of the first six interest payments.</w:t>
      </w:r>
    </w:p>
    <w:p>
      <w:pPr>
        <w:spacing w:after="0" w:line="38"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We incurred approximately $3.5 million of legal and other costs associated with issuing the Convertible Senior Notes. These costs were deferred and are being amortized over the life of the Convertible Senior Notes. As of December 31, 2015, of the approximately $3.5 million incurred, approximately $2.1 million remains to be amortized and is included within deferred financing costs on the Consolidated Statements of Assets and Liabilities. See “Note 1 — Nature of Operations and Significant Accounting Policies — Summary of Significant Accounting Policies” and “Note 9 — Long Term Liabilities” to our consolidated financial statements for the year ended December 31, 2015 for more information.</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ind w:left="40" w:right="739" w:firstLine="270"/>
        <w:spacing w:after="0" w:line="276" w:lineRule="auto"/>
        <w:rPr>
          <w:sz w:val="20"/>
          <w:szCs w:val="20"/>
          <w:color w:val="auto"/>
        </w:rPr>
      </w:pPr>
      <w:r>
        <w:rPr>
          <w:rFonts w:ascii="Arial" w:cs="Arial" w:eastAsia="Arial" w:hAnsi="Arial"/>
          <w:sz w:val="17"/>
          <w:szCs w:val="17"/>
          <w:color w:val="auto"/>
        </w:rPr>
        <w:t>The Convertible Senior Notes contain an interest make-whole payment provision that allows note holders who convert their notes into common stock prior to September 15, 2016 to receive a number of shares of our common stock calculated at the applicable conversion rate for the principal amount of notes being converted, as well as the cash proceeds from the sale by the escrow agent of the portion of the Government Securities in the escrow account that are remaining with respect to any of the first six interest payments that have not been made on the notes being converted.</w:t>
      </w:r>
    </w:p>
    <w:p>
      <w:pPr>
        <w:spacing w:after="0" w:line="64"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Refer to “Note 9 — Long Term Liabilities” to our consolidated financial statements for the year ended December 31, 2015 for a detailed discussion of the Convertible Senior Notes and their interest make-whole payment provision.</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We entered into the Loan Agreement, effective December 31, 2013, with Silicon Valley Bank to provide us with an $18 million Credit Facility, which matures on December 31, 2016, and bears interest at a per annum rate equal to the greater of (i) the prime rate plus 4.75% and (ii) 8.0% on amounts drawn. In addition, a fee of $180,000 per annum (1.0% of the $18 million revolving line of credit) is charged under the Loan Agreement. Under the Credit Facility, we are permitted to borrow an amount equal to the lesser of $18 million or 20% of our then-current net asset value. The Credit Facility is secured by all of our property and assets, except for our assets pledged to secure certain obligations in connection with our issuance of the Convertible Senior Notes and, as provided for in the Loan Agreement, as may be pledged in connection with any future issuance by us of convertible senior notes on substantially similar terms. As of December 31, 2015, we had no borrowings under the Credit Facility.</w:t>
      </w:r>
    </w:p>
    <w:p>
      <w:pPr>
        <w:spacing w:after="0" w:line="58"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Refer to “Note 9 — Long Term Liabilities” to our consolidated financial statements for the year ended December 31, 2015 for a detailed discussion of the Credit Facility.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have entered into the Investment Advisory Agreement with GSV Asset Management. Pursuant to the Investment Advisory Agreement, GSV Asset Management will be paid a base annual fee of 2.00% of gross assets, which is our total assets as reflected on our Statement of Assets and Liabilities (with no deduction for liabilities) reduced by any non-portfolio investments, and an annual incentive fee equal to the lesser of (i) 20% of our realized capital gains during each calendar year, if any, calculated on an investment-by-investment basis, subject to a non-compounded preferred return, or “hurdle,”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Incentive Fees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have not paid GSV Asset Management any incentive fees since inception under the terms of the Investment Advisory Agreement. For GAAP purposes, in accordance with the AICPA’s TPA (TIS 6910.2), for periods in which we do not pay an incentive fee, we are required to accrue incentive fees as if we had fully liquidated our entire investment portfolio at the fair value stated on the Consolidated Statements of Assets and Liabilities as of December 31, 2015 and December 31, 2014. This accrual considers both the hypothetical liquidation of our portfolio described previously, as well as our actual cumulative realized gains and losses since inception.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years ended December 31, 2015, 2014, and 2013, we accrued incentive fees of $8,170,326, $3,614,347, and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$10,523,552, respectively, for financial statement purposes. As of December 31, 2015, an incentive fee of $5.0 million has been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earned for the year ended December 31, 2015 but has not yet been paid to GSV Asset Management. No incentive fee was payable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years ended December 31, 2014 and 2013.</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17"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GSV Asset Management earned $8,044,801, $7,562,488, and $5,426,485 in management fees for the years ended December 31, 2015, 2014, and 2013, respectively.</w:t>
      </w:r>
    </w:p>
    <w:p>
      <w:pPr>
        <w:spacing w:after="0" w:line="62" w:lineRule="exact"/>
        <w:rPr>
          <w:sz w:val="20"/>
          <w:szCs w:val="20"/>
          <w:color w:val="auto"/>
        </w:rPr>
      </w:pPr>
    </w:p>
    <w:p>
      <w:pPr>
        <w:ind w:left="40" w:right="719" w:firstLine="270"/>
        <w:spacing w:after="0" w:line="286" w:lineRule="auto"/>
        <w:rPr>
          <w:sz w:val="20"/>
          <w:szCs w:val="20"/>
          <w:color w:val="auto"/>
        </w:rPr>
      </w:pPr>
      <w:r>
        <w:rPr>
          <w:rFonts w:ascii="Arial" w:cs="Arial" w:eastAsia="Arial" w:hAnsi="Arial"/>
          <w:sz w:val="17"/>
          <w:szCs w:val="17"/>
          <w:color w:val="auto"/>
        </w:rPr>
        <w:t>As of December 31, 2015, we were owed $220,770 from GSV Asset Management for reimbursement of expenses paid for by us that were the responsibility of GSV Asset Management. In addition, as of December 31, 2015, we owed GSV Asset Management $5,047,429 for earned incentive fees, and to a lesser extent, the reimbursement of other expenses.</w:t>
      </w:r>
    </w:p>
    <w:p>
      <w:pPr>
        <w:spacing w:after="0" w:line="57"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As of December 31, 2014, we were owed $204,825 from GSV Asset Management for reimbursement of expenses paid for by us that were the responsibility of GSV Asset Management. In addition, as of December 31, 2014, we owed GSV Asset Management $23,396 for reimbursement of other expenses.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We have entered into the Administration Agreement with GSV Capital Service Company to provide administrative services, including furnishing us with office facilities, equipment, clerical, bookkeeping services and other administrative services. We reimburse GSV Capital Service Company an allocable portion of overhead and other expenses in performing its obligations under the Administration Agreement. There were $2,681,079, $3,199,904, and $3,089,771 in such costs incurred under the Administration Agreement for the years ended December 31, 2015, 2014, and 2013, respectively.</w:t>
      </w:r>
    </w:p>
    <w:p>
      <w:pPr>
        <w:spacing w:after="0" w:line="64" w:lineRule="exact"/>
        <w:rPr>
          <w:sz w:val="20"/>
          <w:szCs w:val="20"/>
          <w:color w:val="auto"/>
        </w:rPr>
      </w:pPr>
    </w:p>
    <w:p>
      <w:pPr>
        <w:ind w:left="40" w:right="659" w:firstLine="270"/>
        <w:spacing w:after="0" w:line="290" w:lineRule="auto"/>
        <w:rPr>
          <w:sz w:val="20"/>
          <w:szCs w:val="20"/>
          <w:color w:val="auto"/>
        </w:rPr>
      </w:pPr>
      <w:r>
        <w:rPr>
          <w:rFonts w:ascii="Arial" w:cs="Arial" w:eastAsia="Arial" w:hAnsi="Arial"/>
          <w:sz w:val="16"/>
          <w:szCs w:val="16"/>
          <w:color w:val="auto"/>
        </w:rPr>
        <w:t>In February 2013, Mark Moe, who is the brother of our Chief Executive Officer, Michael Moe, joined NestGSV, Inc. (d/b/a GSV Labs, Inc.), one of our portfolio companies, as a Vice President of Business Development, Global Expansion. On August 26, 2014, Diane Flynn, who is the spouse of our President, Mark Flynn, joined NestGSV, Inc. (d/b/a GSV Labs, Inc.), on a contract basis as chief marketing officer. In February 2015, she became the chief marketing officer on a full-time basis. Ron Johnson, the CEO of Enjoy Technology, Inc., one of our portfolio companies, is the brother-in-law of our President, Mark Flynn. As of December 31, 2015, the fair value of our investments in NestGSV, Inc. (d/b/a GSV Labs, Inc.) and Enjoy Technology, Inc. were $6,870,844 and $5,439,400, respectively. GSV Sustainability Partners utilizes office space paid for by GSV Asset Management without paying us or GSV Asset Management any consideration for rent. We do not consider this an arms-length transaction.</w:t>
      </w:r>
    </w:p>
    <w:p>
      <w:pPr>
        <w:spacing w:after="0" w:line="58"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as of December 31, 2015, GSV Asset Management also manages the GSV X Fund, the Coursera Funds and serves as sub-adviser to the GSV Ventures Funds, and will likely manage one or more private funds in the future.</w:t>
      </w:r>
    </w:p>
    <w:p>
      <w:pPr>
        <w:spacing w:after="0" w:line="85"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While the investment focus of each of these entities, including the GSV Ventures Funds, the GSV X Fund and the Coursera Funds,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GSV Asset Management,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us and the other funds that are currently, or in the future may be, managed by GSV Asset Management, to the extent it does identify such opportunities, GSV Asset Management has established an allocation policy to ensure that we have priority over such other funds. Our board of directors will monitor on a quarterly basis any such allocation of investment opportunities between us and any such other funds.</w:t>
      </w:r>
    </w:p>
    <w:p>
      <w:pPr>
        <w:spacing w:after="0" w:line="75"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interests of us or our stockholders and may result in actual or perceived conflicts of interest.</w:t>
      </w:r>
    </w:p>
    <w:p>
      <w:pPr>
        <w:spacing w:after="0" w:line="64"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In the ordinary course of business, we may enter into transactions with portfolio companies that may be considered related-party transactions.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39" w:firstLine="270"/>
        <w:spacing w:after="0" w:line="291" w:lineRule="auto"/>
        <w:rPr>
          <w:sz w:val="20"/>
          <w:szCs w:val="20"/>
          <w:color w:val="auto"/>
        </w:rPr>
      </w:pPr>
      <w:r>
        <w:rPr>
          <w:rFonts w:ascii="Arial" w:cs="Arial" w:eastAsia="Arial" w:hAnsi="Arial"/>
          <w:sz w:val="16"/>
          <w:szCs w:val="16"/>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60" w:right="559" w:firstLine="270"/>
        <w:spacing w:after="0" w:line="270" w:lineRule="auto"/>
        <w:rPr>
          <w:sz w:val="20"/>
          <w:szCs w:val="20"/>
          <w:color w:val="auto"/>
        </w:rPr>
      </w:pPr>
      <w:r>
        <w:rPr>
          <w:rFonts w:ascii="Arial" w:cs="Arial" w:eastAsia="Arial" w:hAnsi="Arial"/>
          <w:sz w:val="17"/>
          <w:szCs w:val="17"/>
          <w:color w:val="auto"/>
        </w:rPr>
        <w:t>As disclosed in Note 1 of the consolidated financial statements, the preparation of financial statements in conformity with generally accepted accounting principles requires us to make estimates and assumptions about future events that affect the amounts reported in the financial statements and accompanying notes. Actual results could differ significantly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revenue recognition, the determination of realized and unrealized gains/losses, and our election to be treated as a regulated investment company. See “Note 1 — Nature of Operations and Significant Accounting Policies” to our consolidated financial statements for the year ended December 31, 2015, which describes our critical accounting policies and recently adopted accounting pronouncements not yet required to be adopted by us.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From December 31, 2015 through March 15, 2016, we closed on investment purchases of $6,000,004 plus transaction costs as shown in following table. “Total Gross Payments” include the cost of entering into a portfolio company investment. Refer to “Note 1 — Nature of Operations and Significant Accounting Policies” to our consolidated financial statements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139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Transaction Date</w:t>
            </w:r>
          </w:p>
        </w:tc>
        <w:tc>
          <w:tcPr>
            <w:tcW w:w="16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2"/>
              </w:rPr>
              <w:t>Gross Payments</w:t>
            </w:r>
          </w:p>
        </w:tc>
      </w:tr>
      <w:tr>
        <w:trPr>
          <w:trHeight w:val="21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Curious.com Inc.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3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1/14/16</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2,000,003</w:t>
            </w:r>
          </w:p>
        </w:tc>
      </w:tr>
      <w:tr>
        <w:trPr>
          <w:trHeight w:val="216"/>
        </w:trPr>
        <w:tc>
          <w:tcPr>
            <w:tcW w:w="3180" w:type="dxa"/>
            <w:vAlign w:val="bottom"/>
          </w:tcPr>
          <w:p>
            <w:pPr>
              <w:ind w:left="200"/>
              <w:spacing w:after="0"/>
              <w:rPr>
                <w:sz w:val="20"/>
                <w:szCs w:val="20"/>
                <w:color w:val="auto"/>
              </w:rPr>
            </w:pPr>
            <w:r>
              <w:rPr>
                <w:rFonts w:ascii="Arial" w:cs="Arial" w:eastAsia="Arial" w:hAnsi="Arial"/>
                <w:sz w:val="18"/>
                <w:szCs w:val="18"/>
                <w:color w:val="auto"/>
              </w:rPr>
              <w:t>Preferred Shares</w:t>
            </w: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NestGSV, Inc. (d/b/a GSV Labs, Inc.)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Incubator</w:t>
            </w:r>
          </w:p>
        </w:tc>
        <w:tc>
          <w:tcPr>
            <w:tcW w:w="13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2/17/16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r>
      <w:tr>
        <w:trPr>
          <w:trHeight w:val="216"/>
        </w:trPr>
        <w:tc>
          <w:tcPr>
            <w:tcW w:w="3180" w:type="dxa"/>
            <w:vAlign w:val="bottom"/>
          </w:tcPr>
          <w:p>
            <w:pPr>
              <w:ind w:left="200"/>
              <w:spacing w:after="0"/>
              <w:rPr>
                <w:sz w:val="20"/>
                <w:szCs w:val="20"/>
                <w:color w:val="auto"/>
              </w:rPr>
            </w:pPr>
            <w:r>
              <w:rPr>
                <w:rFonts w:ascii="Arial" w:cs="Arial" w:eastAsia="Arial" w:hAnsi="Arial"/>
                <w:sz w:val="18"/>
                <w:szCs w:val="18"/>
                <w:color w:val="auto"/>
              </w:rPr>
              <w:t>Debt Investment</w:t>
            </w: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Lytro, Inc.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Light Field Imaging Platform</w:t>
            </w:r>
          </w:p>
        </w:tc>
        <w:tc>
          <w:tcPr>
            <w:tcW w:w="13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3/1/16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2,500,001</w:t>
            </w:r>
          </w:p>
        </w:tc>
      </w:tr>
      <w:tr>
        <w:trPr>
          <w:trHeight w:val="216"/>
        </w:trPr>
        <w:tc>
          <w:tcPr>
            <w:tcW w:w="3180" w:type="dxa"/>
            <w:vAlign w:val="bottom"/>
          </w:tcPr>
          <w:p>
            <w:pPr>
              <w:ind w:left="200"/>
              <w:spacing w:after="0"/>
              <w:rPr>
                <w:sz w:val="20"/>
                <w:szCs w:val="20"/>
                <w:color w:val="auto"/>
              </w:rPr>
            </w:pPr>
            <w:r>
              <w:rPr>
                <w:rFonts w:ascii="Arial" w:cs="Arial" w:eastAsia="Arial" w:hAnsi="Arial"/>
                <w:sz w:val="18"/>
                <w:szCs w:val="18"/>
                <w:color w:val="auto"/>
              </w:rPr>
              <w:t>Preferred Shares</w:t>
            </w: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Business Education</w:t>
            </w:r>
          </w:p>
        </w:tc>
        <w:tc>
          <w:tcPr>
            <w:tcW w:w="1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3/14/16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1,000,000</w:t>
            </w:r>
          </w:p>
        </w:tc>
      </w:tr>
      <w:tr>
        <w:trPr>
          <w:trHeight w:val="216"/>
        </w:trPr>
        <w:tc>
          <w:tcPr>
            <w:tcW w:w="3180" w:type="dxa"/>
            <w:vAlign w:val="bottom"/>
          </w:tcPr>
          <w:p>
            <w:pPr>
              <w:ind w:left="200"/>
              <w:spacing w:after="0"/>
              <w:rPr>
                <w:sz w:val="20"/>
                <w:szCs w:val="20"/>
                <w:color w:val="auto"/>
              </w:rPr>
            </w:pPr>
            <w:r>
              <w:rPr>
                <w:rFonts w:ascii="Arial" w:cs="Arial" w:eastAsia="Arial" w:hAnsi="Arial"/>
                <w:sz w:val="18"/>
                <w:szCs w:val="18"/>
                <w:color w:val="auto"/>
              </w:rPr>
              <w:t>Convertible Promissory Note</w:t>
            </w: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Payments</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6,000,004</w:t>
            </w:r>
          </w:p>
        </w:tc>
      </w:tr>
      <w:tr>
        <w:trPr>
          <w:trHeight w:val="20"/>
        </w:trPr>
        <w:tc>
          <w:tcPr>
            <w:tcW w:w="3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919" w:firstLine="270"/>
        <w:spacing w:after="0" w:line="277" w:lineRule="auto"/>
        <w:rPr>
          <w:sz w:val="20"/>
          <w:szCs w:val="20"/>
          <w:color w:val="auto"/>
        </w:rPr>
      </w:pPr>
      <w:r>
        <w:rPr>
          <w:rFonts w:ascii="Arial" w:cs="Arial" w:eastAsia="Arial" w:hAnsi="Arial"/>
          <w:sz w:val="18"/>
          <w:szCs w:val="18"/>
          <w:color w:val="auto"/>
        </w:rPr>
        <w:t>From December 31, 2015 through March 15, 2016, we sold investments of $4,612,363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714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 Sold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Arial" w:cs="Arial" w:eastAsia="Arial" w:hAnsi="Arial"/>
                <w:sz w:val="14"/>
                <w:szCs w:val="14"/>
                <w:b w:val="1"/>
                <w:bCs w:val="1"/>
                <w:color w:val="auto"/>
                <w:w w:val="90"/>
              </w:rPr>
              <w:t>Average Net</w:t>
            </w:r>
          </w:p>
        </w:tc>
        <w:tc>
          <w:tcPr>
            <w:tcW w:w="160" w:type="dxa"/>
            <w:vAlign w:val="bottom"/>
          </w:tcPr>
          <w:p>
            <w:pPr>
              <w:spacing w:after="0"/>
              <w:rPr>
                <w:sz w:val="16"/>
                <w:szCs w:val="16"/>
                <w:color w:val="auto"/>
              </w:rPr>
            </w:pP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6"/>
              </w:rPr>
              <w:t>Net Proceeds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46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8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3"/>
                <w:szCs w:val="13"/>
                <w:b w:val="1"/>
                <w:bCs w:val="1"/>
                <w:color w:val="auto"/>
              </w:rPr>
              <w:t>Share Price</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Gain/(Loss)</w:t>
            </w:r>
          </w:p>
        </w:tc>
        <w:tc>
          <w:tcPr>
            <w:tcW w:w="0" w:type="dxa"/>
            <w:vAlign w:val="bottom"/>
          </w:tcPr>
          <w:p>
            <w:pPr>
              <w:spacing w:after="0"/>
              <w:rPr>
                <w:sz w:val="1"/>
                <w:szCs w:val="1"/>
                <w:color w:val="auto"/>
              </w:rPr>
            </w:pPr>
          </w:p>
        </w:tc>
      </w:tr>
      <w:tr>
        <w:trPr>
          <w:trHeight w:val="210"/>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1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1/27/16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1,638,925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974,224</w:t>
            </w:r>
          </w:p>
        </w:tc>
        <w:tc>
          <w:tcPr>
            <w:tcW w:w="0" w:type="dxa"/>
            <w:vAlign w:val="bottom"/>
          </w:tcPr>
          <w:p>
            <w:pPr>
              <w:spacing w:after="0"/>
              <w:rPr>
                <w:sz w:val="1"/>
                <w:szCs w:val="1"/>
                <w:color w:val="auto"/>
              </w:rPr>
            </w:pPr>
          </w:p>
        </w:tc>
      </w:tr>
      <w:tr>
        <w:trPr>
          <w:trHeight w:val="216"/>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Bloom Energy Corporation</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3/4/16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201,589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14.75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2,973,438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(882,163)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4,612,363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92,061</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We are presently in the final stages of negotiations with respect to several private company investments that we anticipate entering into within the next 30 to 60 days, subject to satisfaction of applicable closing</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919"/>
        <w:spacing w:after="0" w:line="276" w:lineRule="auto"/>
        <w:rPr>
          <w:sz w:val="20"/>
          <w:szCs w:val="20"/>
          <w:color w:val="auto"/>
        </w:rPr>
      </w:pPr>
      <w:r>
        <w:rPr>
          <w:rFonts w:ascii="Arial" w:cs="Arial" w:eastAsia="Arial" w:hAnsi="Arial"/>
          <w:sz w:val="17"/>
          <w:szCs w:val="17"/>
          <w:color w:val="auto"/>
        </w:rPr>
        <w:t>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 From December 31, 2015 through March 15, 2016, we made no such escrow deposits.</w:t>
      </w:r>
    </w:p>
    <w:p>
      <w:pPr>
        <w:spacing w:after="0" w:line="60" w:lineRule="exact"/>
        <w:rPr>
          <w:sz w:val="20"/>
          <w:szCs w:val="20"/>
          <w:color w:val="auto"/>
        </w:rPr>
      </w:pPr>
    </w:p>
    <w:p>
      <w:pPr>
        <w:ind w:left="60" w:right="4499" w:hanging="39"/>
        <w:spacing w:after="0" w:line="393" w:lineRule="auto"/>
        <w:rPr>
          <w:sz w:val="20"/>
          <w:szCs w:val="20"/>
          <w:color w:val="auto"/>
        </w:rPr>
      </w:pPr>
      <w:r>
        <w:rPr>
          <w:rFonts w:ascii="Arial" w:cs="Arial" w:eastAsia="Arial" w:hAnsi="Arial"/>
          <w:sz w:val="18"/>
          <w:szCs w:val="18"/>
          <w:b w:val="1"/>
          <w:bCs w:val="1"/>
          <w:color w:val="auto"/>
        </w:rPr>
        <w:t>Item 7A.</w:t>
      </w:r>
      <w:r>
        <w:rPr>
          <w:sz w:val="20"/>
          <w:szCs w:val="20"/>
          <w:color w:val="auto"/>
        </w:rPr>
        <w:t xml:space="preserve"> </w:t>
      </w:r>
      <w:r>
        <w:rPr>
          <w:rFonts w:ascii="Arial" w:cs="Arial" w:eastAsia="Arial" w:hAnsi="Arial"/>
          <w:sz w:val="18"/>
          <w:szCs w:val="18"/>
          <w:b w:val="1"/>
          <w:bCs w:val="1"/>
          <w:color w:val="auto"/>
        </w:rPr>
        <w:t xml:space="preserve">Quantitative and Qualitative Disclosures about Market Risk </w:t>
      </w:r>
      <w:r>
        <w:rPr>
          <w:rFonts w:ascii="Arial" w:cs="Arial" w:eastAsia="Arial" w:hAnsi="Arial"/>
          <w:sz w:val="18"/>
          <w:szCs w:val="18"/>
          <w:b w:val="1"/>
          <w:bCs w:val="1"/>
          <w:i w:val="1"/>
          <w:iCs w:val="1"/>
          <w:color w:val="auto"/>
        </w:rPr>
        <w:t>Market Risk</w:t>
      </w:r>
    </w:p>
    <w:p>
      <w:pPr>
        <w:spacing w:after="0" w:line="1" w:lineRule="exact"/>
        <w:rPr>
          <w:sz w:val="20"/>
          <w:szCs w:val="20"/>
          <w:color w:val="auto"/>
        </w:rPr>
      </w:pPr>
    </w:p>
    <w:p>
      <w:pPr>
        <w:ind w:left="60" w:right="579" w:firstLine="270"/>
        <w:spacing w:after="0" w:line="255" w:lineRule="auto"/>
        <w:rPr>
          <w:sz w:val="20"/>
          <w:szCs w:val="20"/>
          <w:color w:val="auto"/>
        </w:rPr>
      </w:pPr>
      <w:r>
        <w:rPr>
          <w:rFonts w:ascii="Arial" w:cs="Arial" w:eastAsia="Arial" w:hAnsi="Arial"/>
          <w:sz w:val="18"/>
          <w:szCs w:val="18"/>
          <w:color w:val="auto"/>
        </w:rPr>
        <w:t>Our equity investments are primarily in growth companies that in many cases have short operating histories and are generally illiquid. In addition to the risks that these companies may fail to achieve their objectives, the price we may receive for these companies in private transactions may be significantly impacted by periods of disruption and instability in the capital markets such as the recent market volatility in China and geopolitical unrest in the Middle East.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0" w:right="59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80" w:lineRule="exact"/>
        <w:rPr>
          <w:sz w:val="20"/>
          <w:szCs w:val="20"/>
          <w:color w:val="auto"/>
        </w:rPr>
      </w:pPr>
    </w:p>
    <w:p>
      <w:pPr>
        <w:ind w:left="60" w:right="779" w:firstLine="270"/>
        <w:spacing w:after="0" w:line="279" w:lineRule="auto"/>
        <w:rPr>
          <w:sz w:val="20"/>
          <w:szCs w:val="20"/>
          <w:color w:val="auto"/>
        </w:rPr>
      </w:pPr>
      <w:r>
        <w:rPr>
          <w:rFonts w:ascii="Arial" w:cs="Arial" w:eastAsia="Arial" w:hAnsi="Arial"/>
          <w:sz w:val="17"/>
          <w:szCs w:val="17"/>
          <w:color w:val="auto"/>
        </w:rPr>
        <w:t>As of December 31, 2015, all of our debt investments bore a fixed rate of interest. As of December 31, 2015, all of our borrowings bear a fixed rate of interest with the exception of the Credit Facility which is indexed to the prime rate. We do not expect a significant impact on net investment income, due to changes in the prime rate, based on its historical stability. The table below, however, indicates the impact on our net investment income should the prime rate rise.</w:t>
      </w:r>
    </w:p>
    <w:p>
      <w:pPr>
        <w:spacing w:after="0" w:line="63" w:lineRule="exact"/>
        <w:rPr>
          <w:sz w:val="20"/>
          <w:szCs w:val="20"/>
          <w:color w:val="auto"/>
        </w:rPr>
      </w:pPr>
    </w:p>
    <w:p>
      <w:pPr>
        <w:ind w:left="60" w:right="959" w:firstLine="270"/>
        <w:spacing w:after="0" w:line="277" w:lineRule="auto"/>
        <w:rPr>
          <w:sz w:val="20"/>
          <w:szCs w:val="20"/>
          <w:color w:val="auto"/>
        </w:rPr>
      </w:pPr>
      <w:r>
        <w:rPr>
          <w:rFonts w:ascii="Arial" w:cs="Arial" w:eastAsia="Arial" w:hAnsi="Arial"/>
          <w:sz w:val="18"/>
          <w:szCs w:val="18"/>
          <w:color w:val="auto"/>
        </w:rPr>
        <w:t>Based on our December 31, 2015, balance sheet, the following table shows the annual impact on net income of changes in interest rates assuming no changes in our investment and borrowing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421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p>
        </w:tc>
        <w:tc>
          <w:tcPr>
            <w:tcW w:w="16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Expense</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Income/(Loss)</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(1,815,000)</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1,650,000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(1,650,000)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(1,485,000)</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 200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Although we believe that this measure is indicative of our sensitivity to interest rate changes, it does not adjust for potential changes in credit quality, size and composition of the assets on the balance sheet and other business developments that could affect net increase in net assets resulting from operations, or net income.</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1" w:name="page72"/>
    <w:bookmarkEnd w:id="7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14"/>
                <w:szCs w:val="14"/>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600" w:type="dxa"/>
            <w:vAlign w:val="bottom"/>
            <w:gridSpan w:val="11"/>
            <w:shd w:val="clear" w:color="auto" w:fill="CCEEFF"/>
          </w:tcPr>
          <w:p>
            <w:pPr>
              <w:spacing w:after="0" w:line="170" w:lineRule="exact"/>
              <w:rPr>
                <w:rFonts w:ascii="Arial" w:cs="Arial" w:eastAsia="Arial" w:hAnsi="Arial"/>
                <w:sz w:val="18"/>
                <w:szCs w:val="18"/>
                <w:color w:val="0000EE"/>
              </w:rPr>
            </w:pPr>
            <w:hyperlink w:anchor="page73">
              <w:r>
                <w:rPr>
                  <w:rFonts w:ascii="Arial" w:cs="Arial" w:eastAsia="Arial" w:hAnsi="Arial"/>
                  <w:sz w:val="18"/>
                  <w:szCs w:val="18"/>
                  <w:color w:val="0000EE"/>
                </w:rPr>
                <w:t>Reports of Independent Registered Public Accounting Firms</w:t>
              </w:r>
            </w:hyperlink>
          </w:p>
        </w:tc>
        <w:tc>
          <w:tcPr>
            <w:tcW w:w="480" w:type="dxa"/>
            <w:vAlign w:val="bottom"/>
            <w:gridSpan w:val="2"/>
            <w:shd w:val="clear" w:color="auto" w:fill="CCEEFF"/>
          </w:tcPr>
          <w:p>
            <w:pPr>
              <w:jc w:val="right"/>
              <w:spacing w:after="0" w:line="170" w:lineRule="exact"/>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c>
          <w:tcPr>
            <w:tcW w:w="120" w:type="dxa"/>
            <w:vAlign w:val="bottom"/>
            <w:shd w:val="clear" w:color="auto" w:fill="CCEEFF"/>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00" w:type="dxa"/>
            <w:vAlign w:val="bottom"/>
            <w:gridSpan w:val="11"/>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Assets and Liabilities as of December 31, 2015 and</w:t>
              </w:r>
            </w:hyperlink>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5720" w:type="dxa"/>
            <w:vAlign w:val="bottom"/>
            <w:tcBorders>
              <w:top w:val="single" w:sz="8" w:color="0000EE"/>
            </w:tcBorders>
            <w:gridSpan w:val="7"/>
          </w:tcPr>
          <w:p>
            <w:pPr>
              <w:ind w:left="180"/>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December 31, 2014</w:t>
              </w:r>
            </w:hyperlink>
          </w:p>
        </w:tc>
        <w:tc>
          <w:tcPr>
            <w:tcW w:w="1880" w:type="dxa"/>
            <w:vAlign w:val="bottom"/>
            <w:gridSpan w:val="4"/>
          </w:tcPr>
          <w:p>
            <w:pPr>
              <w:spacing w:after="0"/>
              <w:rPr>
                <w:sz w:val="17"/>
                <w:szCs w:val="17"/>
                <w:color w:val="auto"/>
              </w:rPr>
            </w:pPr>
          </w:p>
        </w:tc>
        <w:tc>
          <w:tcPr>
            <w:tcW w:w="480" w:type="dxa"/>
            <w:vAlign w:val="bottom"/>
            <w:gridSpan w:val="2"/>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00" w:type="dxa"/>
            <w:vAlign w:val="bottom"/>
            <w:gridSpan w:val="11"/>
            <w:shd w:val="clear" w:color="auto" w:fill="CCEEFF"/>
          </w:tcPr>
          <w:p>
            <w:pPr>
              <w:spacing w:after="0" w:line="176" w:lineRule="exact"/>
              <w:rPr>
                <w:rFonts w:ascii="Arial" w:cs="Arial" w:eastAsia="Arial" w:hAnsi="Arial"/>
                <w:sz w:val="18"/>
                <w:szCs w:val="18"/>
                <w:color w:val="0000EE"/>
                <w:w w:val="98"/>
              </w:rPr>
            </w:pPr>
            <w:hyperlink w:anchor="page77">
              <w:r>
                <w:rPr>
                  <w:rFonts w:ascii="Arial" w:cs="Arial" w:eastAsia="Arial" w:hAnsi="Arial"/>
                  <w:sz w:val="18"/>
                  <w:szCs w:val="18"/>
                  <w:color w:val="0000EE"/>
                  <w:w w:val="98"/>
                </w:rPr>
                <w:t>Consolidated Statements of Operations for the years ended December 31, 2015, 2014 and 2013</w:t>
              </w:r>
            </w:hyperlink>
          </w:p>
        </w:tc>
        <w:tc>
          <w:tcPr>
            <w:tcW w:w="4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74</w:t>
              </w:r>
            </w:hyperlink>
          </w:p>
        </w:tc>
        <w:tc>
          <w:tcPr>
            <w:tcW w:w="1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00" w:type="dxa"/>
            <w:vAlign w:val="bottom"/>
            <w:gridSpan w:val="11"/>
          </w:tcPr>
          <w:p>
            <w:pPr>
              <w:spacing w:after="0" w:line="17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Consolidated Statements of Changes in Net Assets for the years ended December 31, 2015, 2014 and</w:t>
              </w:r>
            </w:hyperlink>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79">
              <w:r>
                <w:rPr>
                  <w:rFonts w:ascii="Arial" w:cs="Arial" w:eastAsia="Arial" w:hAnsi="Arial"/>
                  <w:sz w:val="18"/>
                  <w:szCs w:val="18"/>
                  <w:color w:val="0000EE"/>
                  <w:w w:val="84"/>
                </w:rPr>
                <w:t>2013</w:t>
              </w:r>
            </w:hyperlink>
          </w:p>
        </w:tc>
        <w:tc>
          <w:tcPr>
            <w:tcW w:w="10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gridSpan w:val="2"/>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00" w:type="dxa"/>
            <w:vAlign w:val="bottom"/>
            <w:gridSpan w:val="11"/>
            <w:shd w:val="clear" w:color="auto" w:fill="CCEEFF"/>
          </w:tcPr>
          <w:p>
            <w:pPr>
              <w:spacing w:after="0" w:line="176" w:lineRule="exact"/>
              <w:rPr>
                <w:rFonts w:ascii="Arial" w:cs="Arial" w:eastAsia="Arial" w:hAnsi="Arial"/>
                <w:sz w:val="18"/>
                <w:szCs w:val="18"/>
                <w:color w:val="0000EE"/>
                <w:w w:val="98"/>
              </w:rPr>
            </w:pPr>
            <w:hyperlink w:anchor="page80">
              <w:r>
                <w:rPr>
                  <w:rFonts w:ascii="Arial" w:cs="Arial" w:eastAsia="Arial" w:hAnsi="Arial"/>
                  <w:sz w:val="18"/>
                  <w:szCs w:val="18"/>
                  <w:color w:val="0000EE"/>
                  <w:w w:val="98"/>
                </w:rPr>
                <w:t>Consolidated Statements of Cash Flows for the years ended December 31, 2015, 2014 and 2013</w:t>
              </w:r>
            </w:hyperlink>
          </w:p>
        </w:tc>
        <w:tc>
          <w:tcPr>
            <w:tcW w:w="4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c>
          <w:tcPr>
            <w:tcW w:w="1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00" w:type="dxa"/>
            <w:vAlign w:val="bottom"/>
            <w:gridSpan w:val="11"/>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Schedule of Investments as of December 31, 2015</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00" w:type="dxa"/>
            <w:vAlign w:val="bottom"/>
            <w:gridSpan w:val="11"/>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Schedule of Investments as of December 31, 2014</w:t>
              </w:r>
            </w:hyperlink>
          </w:p>
        </w:tc>
        <w:tc>
          <w:tcPr>
            <w:tcW w:w="4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85</w:t>
              </w:r>
            </w:hyperlink>
          </w:p>
        </w:tc>
        <w:tc>
          <w:tcPr>
            <w:tcW w:w="1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00" w:type="dxa"/>
            <w:vAlign w:val="bottom"/>
            <w:gridSpan w:val="11"/>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Notes to the Consolidated Financial Statements</w:t>
              </w:r>
            </w:hyperlink>
          </w:p>
        </w:tc>
        <w:tc>
          <w:tcPr>
            <w:tcW w:w="480" w:type="dxa"/>
            <w:vAlign w:val="bottom"/>
            <w:gridSpan w:val="2"/>
          </w:tcPr>
          <w:p>
            <w:pPr>
              <w:jc w:val="right"/>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790"/>
        </w:trPr>
        <w:tc>
          <w:tcPr>
            <w:tcW w:w="140" w:type="dxa"/>
            <w:vAlign w:val="bottom"/>
          </w:tcPr>
          <w:p>
            <w:pPr>
              <w:spacing w:after="0"/>
              <w:rPr>
                <w:sz w:val="24"/>
                <w:szCs w:val="24"/>
                <w:color w:val="auto"/>
              </w:rPr>
            </w:pPr>
          </w:p>
        </w:tc>
        <w:tc>
          <w:tcPr>
            <w:tcW w:w="3400" w:type="dxa"/>
            <w:vAlign w:val="bottom"/>
            <w:tcBorders>
              <w:top w:val="single" w:sz="8" w:color="0000EE"/>
            </w:tcBorders>
            <w:gridSpan w:val="4"/>
          </w:tcPr>
          <w:p>
            <w:pPr>
              <w:spacing w:after="0"/>
              <w:rPr>
                <w:sz w:val="24"/>
                <w:szCs w:val="24"/>
                <w:color w:val="auto"/>
              </w:rPr>
            </w:pPr>
          </w:p>
        </w:tc>
        <w:tc>
          <w:tcPr>
            <w:tcW w:w="2320" w:type="dxa"/>
            <w:vAlign w:val="bottom"/>
            <w:gridSpan w:val="3"/>
          </w:tcPr>
          <w:p>
            <w:pPr>
              <w:jc w:val="right"/>
              <w:ind w:right="980"/>
              <w:spacing w:after="0"/>
              <w:rPr>
                <w:sz w:val="20"/>
                <w:szCs w:val="20"/>
                <w:color w:val="auto"/>
              </w:rPr>
            </w:pPr>
            <w:r>
              <w:rPr>
                <w:rFonts w:ascii="Arial" w:cs="Arial" w:eastAsia="Arial" w:hAnsi="Arial"/>
                <w:sz w:val="18"/>
                <w:szCs w:val="18"/>
                <w:color w:val="auto"/>
              </w:rPr>
              <w:t>69</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GSV Capital Corp.</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Woodside, California</w:t>
      </w:r>
    </w:p>
    <w:p>
      <w:pPr>
        <w:spacing w:after="0" w:line="103"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have audited the accompanying consolidated statement of assets and liabilities of GSV Capital Corp. and subsidiaries (the “Company”), including the consolidated schedule of investments, as of December 31, 2015, and the related consolidated statements of operations, changes in net assets, and cash flows for the year ended December 31, 2015. Our audit also included the 2015 financial statement schedule listed in the Index at Item 15(a)(2). These financial statements and financial statement schedule are the responsibility of the Company's management. Our responsibility is to express an opinion on the financial statements and financial statement schedule based on our audit.</w:t>
      </w:r>
    </w:p>
    <w:p>
      <w:pPr>
        <w:spacing w:after="0" w:line="85"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Our procedures included confirmation of investments as of December 31, 2015, by correspondence with the portfolio companies and custodian; when replies were not received, we performed other auditing procedures. We believe that our audit provides a reasonable basis for our opinion.</w:t>
      </w:r>
    </w:p>
    <w:p>
      <w:pPr>
        <w:spacing w:after="0" w:line="59"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GSV Capital Corp. and subsidiaries as of December 31, 2015, and the results of their operations, changes in their net assets, and their cash flows for the year ended December 31, 2015, in conformity with accounting principles generally accepted in the United States of America. Also, in our opinion, such financial statement schedule, when considered in relation to the basic 2015 consolidated financial statements taken as a whole, presents fairly, in all material respects, the information set forth therein.</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the Company’s internal control over financial reporting as of December 31, 2015, based on criteria established in </w:t>
      </w:r>
      <w:r>
        <w:rPr>
          <w:rFonts w:ascii="Arial" w:cs="Arial" w:eastAsia="Arial" w:hAnsi="Arial"/>
          <w:sz w:val="17"/>
          <w:szCs w:val="17"/>
          <w:i w:val="1"/>
          <w:iCs w:val="1"/>
          <w:color w:val="auto"/>
        </w:rPr>
        <w:t>Internal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our report dated March 15, 2016 expressed an unqualified opinion on the Company’s internal control over financial reporting.</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GSV Capital Corp.</w:t>
      </w:r>
    </w:p>
    <w:p>
      <w:pPr>
        <w:spacing w:after="0" w:line="103"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We have audited the accompanying consolidated statement of assets and liabilities of GSV Capital Corp. and subsidiaries (the “Company”), including the consolidated schedule of investments, as of December 31, 2014, and the related consolidated statements of operations, changes in net assets, and cash flows for each of the two years in the period ended December 31, 2014, and financial highlights for each of the three years in the period ended December 31, 2014 and the period from January 6, 2011 (date of inception) to December 31, 2011. Our audits of the basic consolidated financial statements included the financial statement schedule listed in the index appearing under Item 15(a)(2). These financial statements and financial statement schedule are the responsibility of the Company’s management. Our responsibility is to express an opinion on these financial statements and financial statement schedule based on our audits.</w:t>
      </w:r>
    </w:p>
    <w:p>
      <w:pPr>
        <w:spacing w:after="0" w:line="71"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Our procedures included verification by confirmation of securities as of December 31, 2014, by correspondence with the portfolio companies and custodian, or by other appropriate auditing procedures where replies were not received. We believe that our audits provide a reasonable basis for our opinion.</w:t>
      </w:r>
    </w:p>
    <w:p>
      <w:pPr>
        <w:spacing w:after="0" w:line="84"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GSV Capital Corp. and subsidiaries as of December 31, 2014, and the results of their operations, their changes in net assets, and their cash flows for each of the two years in the period ended December 31, 2014, and their financial highlights for each of the three years in the period ended December 31, 2014 and the period from January 6, 2011 (date of inception) to December 31, 2011,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16, 2015</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590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5"/>
              </w:rPr>
              <w:t>Investments in controlled securities (cost of $21,830,392 and $17,933,651,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7"/>
        </w:trPr>
        <w:tc>
          <w:tcPr>
            <w:tcW w:w="5900" w:type="dxa"/>
            <w:vAlign w:val="bottom"/>
            <w:shd w:val="clear" w:color="auto" w:fill="CCEEFF"/>
          </w:tcPr>
          <w:p>
            <w:pPr>
              <w:ind w:left="38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22,871,790</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18,819,335</w:t>
            </w:r>
          </w:p>
        </w:tc>
      </w:tr>
      <w:tr>
        <w:trPr>
          <w:trHeight w:val="205"/>
        </w:trPr>
        <w:tc>
          <w:tcPr>
            <w:tcW w:w="5900" w:type="dxa"/>
            <w:vAlign w:val="bottom"/>
          </w:tcPr>
          <w:p>
            <w:pPr>
              <w:ind w:left="200"/>
              <w:spacing w:after="0" w:line="206" w:lineRule="exact"/>
              <w:rPr>
                <w:sz w:val="20"/>
                <w:szCs w:val="20"/>
                <w:color w:val="auto"/>
              </w:rPr>
            </w:pPr>
            <w:r>
              <w:rPr>
                <w:rFonts w:ascii="Arial" w:cs="Arial" w:eastAsia="Arial" w:hAnsi="Arial"/>
                <w:sz w:val="18"/>
                <w:szCs w:val="18"/>
                <w:color w:val="auto"/>
                <w:w w:val="97"/>
              </w:rPr>
              <w:t>Investments in affiliated securities (cost of $73,942,123 and $80,760,208,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7"/>
        </w:trPr>
        <w:tc>
          <w:tcPr>
            <w:tcW w:w="5900" w:type="dxa"/>
            <w:vAlign w:val="bottom"/>
          </w:tcPr>
          <w:p>
            <w:pPr>
              <w:ind w:left="38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66,075,585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70,172,313</w:t>
            </w:r>
          </w:p>
        </w:tc>
      </w:tr>
      <w:tr>
        <w:trPr>
          <w:trHeight w:val="202"/>
        </w:trPr>
        <w:tc>
          <w:tcPr>
            <w:tcW w:w="5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Investments in non-controlled/non-affiliated securities (cost of $197,577,328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$202,417,830, respectively)</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260,861,392</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281,992,669</w:t>
            </w:r>
          </w:p>
        </w:tc>
      </w:tr>
      <w:tr>
        <w:trPr>
          <w:trHeight w:val="202"/>
        </w:trPr>
        <w:tc>
          <w:tcPr>
            <w:tcW w:w="5900" w:type="dxa"/>
            <w:vAlign w:val="bottom"/>
          </w:tcPr>
          <w:p>
            <w:pPr>
              <w:ind w:left="200"/>
              <w:spacing w:after="0" w:line="201" w:lineRule="exact"/>
              <w:rPr>
                <w:sz w:val="20"/>
                <w:szCs w:val="20"/>
                <w:color w:val="auto"/>
              </w:rPr>
            </w:pPr>
            <w:r>
              <w:rPr>
                <w:rFonts w:ascii="Arial" w:cs="Arial" w:eastAsia="Arial" w:hAnsi="Arial"/>
                <w:sz w:val="18"/>
                <w:szCs w:val="18"/>
                <w:color w:val="auto"/>
              </w:rPr>
              <w:t>Investments in treasury bill (cost of $29,999,968 and $100,001,692,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9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30,000,000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100,000,056</w:t>
            </w:r>
          </w:p>
        </w:tc>
      </w:tr>
      <w:tr>
        <w:trPr>
          <w:trHeight w:val="205"/>
        </w:trPr>
        <w:tc>
          <w:tcPr>
            <w:tcW w:w="590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Investments owned and pledged (amortized cost of $3,675,192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7"/>
        </w:trPr>
        <w:tc>
          <w:tcPr>
            <w:tcW w:w="5900" w:type="dxa"/>
            <w:vAlign w:val="bottom"/>
            <w:shd w:val="clear" w:color="auto" w:fill="CCEEFF"/>
          </w:tcPr>
          <w:p>
            <w:pPr>
              <w:ind w:left="380"/>
              <w:spacing w:after="0" w:line="266" w:lineRule="exact"/>
              <w:rPr>
                <w:sz w:val="20"/>
                <w:szCs w:val="20"/>
                <w:color w:val="auto"/>
              </w:rPr>
            </w:pPr>
            <w:r>
              <w:rPr>
                <w:rFonts w:ascii="Arial" w:cs="Arial" w:eastAsia="Arial" w:hAnsi="Arial"/>
                <w:sz w:val="18"/>
                <w:szCs w:val="18"/>
                <w:color w:val="auto"/>
              </w:rPr>
              <w:t>$7,286,332, respectively)</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3,676,693</w:t>
            </w:r>
          </w:p>
        </w:tc>
        <w:tc>
          <w:tcPr>
            <w:tcW w:w="22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7,298,042</w:t>
            </w:r>
          </w:p>
        </w:tc>
      </w:tr>
      <w:tr>
        <w:trPr>
          <w:trHeight w:val="195"/>
        </w:trPr>
        <w:tc>
          <w:tcPr>
            <w:tcW w:w="590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rPr>
              <w:t>Total Investments (cost of $327,025,003 and $408,399,713,</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30"/>
        </w:trPr>
        <w:tc>
          <w:tcPr>
            <w:tcW w:w="59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383,485,460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478,282,415</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13,349,877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3,472,880</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48,889</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5900" w:type="dxa"/>
            <w:vAlign w:val="bottom"/>
          </w:tcPr>
          <w:p>
            <w:pPr>
              <w:ind w:left="20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220,770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204,825</w:t>
            </w:r>
          </w:p>
        </w:tc>
      </w:tr>
      <w:tr>
        <w:trPr>
          <w:trHeight w:val="257"/>
        </w:trPr>
        <w:tc>
          <w:tcPr>
            <w:tcW w:w="59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Portfolio companies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56,371</w:t>
            </w:r>
          </w:p>
        </w:tc>
        <w:tc>
          <w:tcPr>
            <w:tcW w:w="2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85,356</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97,183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26,671</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227,826</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596,926</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2,300,225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2,928,134</w:t>
            </w: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399,790,643</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485,646,096</w:t>
            </w:r>
          </w:p>
        </w:tc>
      </w:tr>
      <w:tr>
        <w:trPr>
          <w:trHeight w:val="210"/>
        </w:trPr>
        <w:tc>
          <w:tcPr>
            <w:tcW w:w="59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5900" w:type="dxa"/>
            <w:vAlign w:val="bottom"/>
          </w:tcPr>
          <w:p>
            <w:pPr>
              <w:ind w:left="20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5,047,429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23,396</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292,950</w:t>
            </w:r>
          </w:p>
        </w:tc>
      </w:tr>
      <w:tr>
        <w:trPr>
          <w:trHeight w:val="257"/>
        </w:trPr>
        <w:tc>
          <w:tcPr>
            <w:tcW w:w="5900" w:type="dxa"/>
            <w:vAlign w:val="bottom"/>
          </w:tcPr>
          <w:p>
            <w:pPr>
              <w:ind w:left="2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17,314,565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14,137,899</w:t>
            </w:r>
          </w:p>
        </w:tc>
      </w:tr>
      <w:tr>
        <w:trPr>
          <w:trHeight w:val="257"/>
        </w:trPr>
        <w:tc>
          <w:tcPr>
            <w:tcW w:w="59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683,423</w:t>
            </w:r>
          </w:p>
        </w:tc>
        <w:tc>
          <w:tcPr>
            <w:tcW w:w="2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641,276</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1,056,563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1,139,458</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26,499,357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90,001,692</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Current taxes payable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134,733</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12,476,155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6,907,666</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Line of credit payable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18,000,000</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embedded derivative liability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Convertible Senior Notes payable 5.25% due September 15, 2018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68,596,619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68,462,353</w:t>
            </w:r>
          </w:p>
        </w:tc>
      </w:tr>
      <w:tr>
        <w:trPr>
          <w:trHeight w:val="20"/>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131,779,698</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199,742,423</w:t>
            </w:r>
          </w:p>
        </w:tc>
      </w:tr>
      <w:tr>
        <w:trPr>
          <w:trHeight w:val="210"/>
        </w:trPr>
        <w:tc>
          <w:tcPr>
            <w:tcW w:w="59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3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268,010,945</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285,903,673</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-3909695</wp:posOffset>
            </wp:positionV>
            <wp:extent cx="5213985" cy="283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-2331720</wp:posOffset>
            </wp:positionV>
            <wp:extent cx="521398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5" w:name="page76"/>
    <w:bookmarkEnd w:id="7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CONSOLIDATED STATEMENTS OF ASSETS AND LIABILITIES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r>
      <w:tr>
        <w:trPr>
          <w:trHeight w:val="21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8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Common stock, par value $0.01 per share (100,000,000 authorized;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180"/>
              <w:spacing w:after="0"/>
              <w:rPr>
                <w:sz w:val="20"/>
                <w:szCs w:val="20"/>
                <w:color w:val="auto"/>
              </w:rPr>
            </w:pPr>
            <w:r>
              <w:rPr>
                <w:rFonts w:ascii="Arial" w:cs="Arial" w:eastAsia="Arial" w:hAnsi="Arial"/>
                <w:sz w:val="18"/>
                <w:szCs w:val="18"/>
                <w:color w:val="auto"/>
              </w:rPr>
              <w:t>22,181,003 and 19,320,100 issued and outstanding,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221,810</w:t>
            </w:r>
          </w:p>
        </w:tc>
        <w:tc>
          <w:tcPr>
            <w:tcW w:w="12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193,201</w:t>
            </w: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237,757,527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275,837,514</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Accumulated net investment loss</w:t>
            </w: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w w:val="94"/>
              </w:rPr>
              <w:t>(16,634,037)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(31,972,292)</w:t>
            </w: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net realized gains on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2,681,342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496,782</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Accumulated net unrealized appreciation of investments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43,984,303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41,348,468</w:t>
            </w:r>
          </w:p>
        </w:tc>
        <w:tc>
          <w:tcPr>
            <w:tcW w:w="1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268,010,945</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285,903,673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-385445</wp:posOffset>
            </wp:positionV>
            <wp:extent cx="5213985"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7" w:lineRule="exact"/>
        <w:rPr>
          <w:rFonts w:ascii="Arial" w:cs="Arial" w:eastAsia="Arial" w:hAnsi="Arial"/>
          <w:sz w:val="18"/>
          <w:szCs w:val="18"/>
          <w:color w:val="auto"/>
        </w:rPr>
      </w:pPr>
    </w:p>
    <w:p>
      <w:pPr>
        <w:ind w:left="300" w:right="659" w:hanging="272"/>
        <w:spacing w:after="0" w:line="293"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Refer to “Note 9 — Long Term Liabilities.” In accordance with the terms of the Company’s Convertible Senior Notes payable, the Company deposited $10,867,500 in an escrow account with U.S. Bank National Association, the trustee. These funds were used to purchase six U.S. Treasury Strips with an original cost of $10,845,236. As of December 31, 2015, four of the government securities purchased had matured and the proceeds were used by the trustee in accordance with the terms of the escrow agreement. At December 31, 2015, the remaining government securities are shown on the consolidated statements of Assets and Liabilities as “Investments owned and pledged” with an amortized cost of $3,675,192.</w:t>
      </w:r>
    </w:p>
    <w:p>
      <w:pPr>
        <w:spacing w:after="0" w:line="200" w:lineRule="exact"/>
        <w:rPr>
          <w:sz w:val="20"/>
          <w:szCs w:val="20"/>
          <w:color w:val="auto"/>
        </w:rPr>
      </w:pPr>
    </w:p>
    <w:p>
      <w:pPr>
        <w:spacing w:after="0" w:line="289"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6" w:name="page77"/>
    <w:bookmarkEnd w:id="7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796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4"/>
                <w:szCs w:val="14"/>
                <w:color w:val="auto"/>
              </w:rPr>
            </w:pPr>
          </w:p>
        </w:tc>
      </w:tr>
      <w:tr>
        <w:trPr>
          <w:trHeight w:val="210"/>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7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Interest income from controlled securities</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7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Interest income from affiliated securities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130,021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23,615</w:t>
            </w:r>
          </w:p>
        </w:tc>
      </w:tr>
      <w:tr>
        <w:trPr>
          <w:trHeight w:val="216"/>
        </w:trPr>
        <w:tc>
          <w:tcPr>
            <w:tcW w:w="4720" w:type="dxa"/>
            <w:vAlign w:val="bottom"/>
            <w:gridSpan w:val="3"/>
          </w:tcPr>
          <w:p>
            <w:pPr>
              <w:ind w:left="20"/>
              <w:spacing w:after="0"/>
              <w:rPr>
                <w:sz w:val="20"/>
                <w:szCs w:val="20"/>
                <w:color w:val="auto"/>
              </w:rPr>
            </w:pPr>
            <w:r>
              <w:rPr>
                <w:rFonts w:ascii="Arial" w:cs="Arial" w:eastAsia="Arial" w:hAnsi="Arial"/>
                <w:sz w:val="18"/>
                <w:szCs w:val="18"/>
                <w:color w:val="auto"/>
                <w:w w:val="99"/>
              </w:rPr>
              <w:t>Interest income from non-controlled/non-affiliated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2,256</w:t>
            </w:r>
          </w:p>
        </w:tc>
      </w:tr>
      <w:tr>
        <w:trPr>
          <w:trHeight w:val="257"/>
        </w:trPr>
        <w:tc>
          <w:tcPr>
            <w:tcW w:w="47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Dividend income from affiliated securities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13,008</w:t>
            </w:r>
          </w:p>
        </w:tc>
      </w:tr>
      <w:tr>
        <w:trPr>
          <w:trHeight w:val="202"/>
        </w:trPr>
        <w:tc>
          <w:tcPr>
            <w:tcW w:w="47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Dividend income from non-controlled/non-affiliated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10,072</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48,951</w:t>
            </w:r>
          </w:p>
        </w:tc>
      </w:tr>
      <w:tr>
        <w:trPr>
          <w:trHeight w:val="210"/>
        </w:trPr>
        <w:tc>
          <w:tcPr>
            <w:tcW w:w="472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7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Management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8,044,801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7,562,488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5,426,485</w:t>
            </w:r>
          </w:p>
        </w:tc>
      </w:tr>
      <w:tr>
        <w:trPr>
          <w:trHeight w:val="257"/>
        </w:trPr>
        <w:tc>
          <w:tcPr>
            <w:tcW w:w="47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Incentive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8,170,326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3,614,347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10,523,552</w:t>
            </w:r>
          </w:p>
        </w:tc>
      </w:tr>
      <w:tr>
        <w:trPr>
          <w:trHeight w:val="257"/>
        </w:trPr>
        <w:tc>
          <w:tcPr>
            <w:tcW w:w="47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Costs incurred under Administration Agreement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2,681,079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3,199,904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3,089,771</w:t>
            </w:r>
          </w:p>
        </w:tc>
      </w:tr>
      <w:tr>
        <w:trPr>
          <w:trHeight w:val="216"/>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Directors’ fees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373,676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260,250</w:t>
            </w:r>
          </w:p>
        </w:tc>
      </w:tr>
      <w:tr>
        <w:trPr>
          <w:trHeight w:val="216"/>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1,357,988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1,764,722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876,769</w:t>
            </w:r>
          </w:p>
        </w:tc>
      </w:tr>
      <w:tr>
        <w:trPr>
          <w:trHeight w:val="216"/>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Interest and Credit Facility expense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4,961,169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5,503,843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1,278,997</w:t>
            </w:r>
          </w:p>
        </w:tc>
      </w:tr>
      <w:tr>
        <w:trPr>
          <w:trHeight w:val="216"/>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gridSpan w:val="3"/>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509,418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668,635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529,051</w:t>
            </w:r>
          </w:p>
        </w:tc>
      </w:tr>
      <w:tr>
        <w:trPr>
          <w:trHeight w:val="202"/>
        </w:trPr>
        <w:tc>
          <w:tcPr>
            <w:tcW w:w="47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(Gain)/Loss on fair value adjustment for embedded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derivative</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26,978,235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21,775,939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22,083,875</w:t>
            </w:r>
          </w:p>
        </w:tc>
      </w:tr>
      <w:tr>
        <w:trPr>
          <w:trHeight w:val="257"/>
        </w:trPr>
        <w:tc>
          <w:tcPr>
            <w:tcW w:w="20" w:type="dxa"/>
            <w:vAlign w:val="bottom"/>
            <w:shd w:val="clear" w:color="auto" w:fill="CCEEFF"/>
          </w:tcPr>
          <w:p>
            <w:pPr>
              <w:spacing w:after="0"/>
              <w:rPr>
                <w:sz w:val="22"/>
                <w:szCs w:val="22"/>
                <w:color w:val="auto"/>
              </w:rPr>
            </w:pPr>
          </w:p>
        </w:tc>
        <w:tc>
          <w:tcPr>
            <w:tcW w:w="47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(Provision)/Benefit for taxes on net investment loss</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(21,969,370)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8,810,102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13,159,268</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Investment Loss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(48,656,709)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(12,779,891)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(8,875,656)</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Realized Gains/(Losses):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From affiliated securities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(10,170,567)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(7,839,791)</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non-controlled/non-affiliated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64,314,796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23,915,705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(13,866,230)</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Realized Gains/(Losses) on investments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54,144,229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23,926,124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(21,706,021)</w:t>
            </w:r>
          </w:p>
        </w:tc>
      </w:tr>
      <w:tr>
        <w:trPr>
          <w:trHeight w:val="195"/>
        </w:trPr>
        <w:tc>
          <w:tcPr>
            <w:tcW w:w="20" w:type="dxa"/>
            <w:vAlign w:val="bottom"/>
            <w:shd w:val="clear" w:color="auto" w:fill="CCEEFF"/>
          </w:tcPr>
          <w:p>
            <w:pPr>
              <w:spacing w:after="0"/>
              <w:rPr>
                <w:sz w:val="16"/>
                <w:szCs w:val="16"/>
                <w:color w:val="auto"/>
              </w:rPr>
            </w:pPr>
          </w:p>
        </w:tc>
        <w:tc>
          <w:tcPr>
            <w:tcW w:w="470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b w:val="1"/>
                <w:bCs w:val="1"/>
                <w:color w:val="auto"/>
                <w:w w:val="93"/>
              </w:rPr>
              <w:t>(Provision)/Benefit for taxes on net realized gain/loss on</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1"/>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360"/>
              <w:spacing w:after="0" w:line="271" w:lineRule="exact"/>
              <w:rPr>
                <w:sz w:val="20"/>
                <w:szCs w:val="20"/>
                <w:color w:val="auto"/>
              </w:rPr>
            </w:pPr>
            <w:r>
              <w:rPr>
                <w:rFonts w:ascii="Arial" w:cs="Arial" w:eastAsia="Arial" w:hAnsi="Arial"/>
                <w:sz w:val="18"/>
                <w:szCs w:val="18"/>
                <w:b w:val="1"/>
                <w:bCs w:val="1"/>
                <w:color w:val="auto"/>
              </w:rPr>
              <w:t>investments</w:t>
            </w:r>
            <w:r>
              <w:rPr>
                <w:rFonts w:ascii="Arial" w:cs="Arial" w:eastAsia="Arial" w:hAnsi="Arial"/>
                <w:sz w:val="30"/>
                <w:szCs w:val="30"/>
                <w:b w:val="1"/>
                <w:bCs w:val="1"/>
                <w:color w:val="auto"/>
                <w:vertAlign w:val="superscript"/>
              </w:rPr>
              <w:t>(2)</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(9,769,036)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9,426,234</w:t>
            </w:r>
          </w:p>
        </w:tc>
      </w:tr>
      <w:tr>
        <w:trPr>
          <w:trHeight w:val="198"/>
        </w:trPr>
        <w:tc>
          <w:tcPr>
            <w:tcW w:w="20" w:type="dxa"/>
            <w:vAlign w:val="bottom"/>
          </w:tcPr>
          <w:p>
            <w:pPr>
              <w:spacing w:after="0"/>
              <w:rPr>
                <w:sz w:val="17"/>
                <w:szCs w:val="17"/>
                <w:color w:val="auto"/>
              </w:rPr>
            </w:pPr>
          </w:p>
        </w:tc>
        <w:tc>
          <w:tcPr>
            <w:tcW w:w="4700" w:type="dxa"/>
            <w:vAlign w:val="bottom"/>
            <w:gridSpan w:val="2"/>
          </w:tcPr>
          <w:p>
            <w:pPr>
              <w:ind w:left="180"/>
              <w:spacing w:after="0" w:line="198" w:lineRule="exact"/>
              <w:rPr>
                <w:sz w:val="20"/>
                <w:szCs w:val="20"/>
                <w:color w:val="auto"/>
              </w:rPr>
            </w:pPr>
            <w:r>
              <w:rPr>
                <w:rFonts w:ascii="Arial" w:cs="Arial" w:eastAsia="Arial" w:hAnsi="Arial"/>
                <w:sz w:val="18"/>
                <w:szCs w:val="18"/>
                <w:b w:val="1"/>
                <w:bCs w:val="1"/>
                <w:color w:val="auto"/>
                <w:w w:val="93"/>
              </w:rPr>
              <w:t>Net Change in Unrealized Appreciation/(Depreciation) of</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700" w:type="dxa"/>
            <w:vAlign w:val="bottom"/>
            <w:gridSpan w:val="2"/>
          </w:tcPr>
          <w:p>
            <w:pPr>
              <w:ind w:left="36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controlled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(627,139)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From affiliated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(6,867,225)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1,600,822</w:t>
            </w: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non-controlled/non-affiliated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(14,181,484)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1,718,047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85,844,327</w:t>
            </w:r>
          </w:p>
        </w:tc>
      </w:tr>
      <w:tr>
        <w:trPr>
          <w:trHeight w:val="191"/>
        </w:trPr>
        <w:tc>
          <w:tcPr>
            <w:tcW w:w="20" w:type="dxa"/>
            <w:vAlign w:val="bottom"/>
            <w:tcBorders>
              <w:top w:val="single" w:sz="8" w:color="CCEEFF"/>
            </w:tcBorders>
          </w:tcPr>
          <w:p>
            <w:pPr>
              <w:spacing w:after="0"/>
              <w:rPr>
                <w:sz w:val="16"/>
                <w:szCs w:val="16"/>
                <w:color w:val="auto"/>
              </w:rPr>
            </w:pPr>
          </w:p>
        </w:tc>
        <w:tc>
          <w:tcPr>
            <w:tcW w:w="4700" w:type="dxa"/>
            <w:vAlign w:val="bottom"/>
            <w:tcBorders>
              <w:top w:val="single" w:sz="8" w:color="CCEEFF"/>
            </w:tcBorders>
            <w:gridSpan w:val="2"/>
          </w:tcPr>
          <w:p>
            <w:pPr>
              <w:ind w:left="180"/>
              <w:spacing w:after="0" w:line="191" w:lineRule="exact"/>
              <w:rPr>
                <w:sz w:val="20"/>
                <w:szCs w:val="20"/>
                <w:color w:val="auto"/>
              </w:rPr>
            </w:pPr>
            <w:r>
              <w:rPr>
                <w:rFonts w:ascii="Arial" w:cs="Arial" w:eastAsia="Arial" w:hAnsi="Arial"/>
                <w:sz w:val="18"/>
                <w:szCs w:val="18"/>
                <w:b w:val="1"/>
                <w:bCs w:val="1"/>
                <w:color w:val="auto"/>
                <w:w w:val="93"/>
              </w:rPr>
              <w:t>Net Change in Unrealized Appreciation/(Depreciation) of</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700" w:type="dxa"/>
            <w:vAlign w:val="bottom"/>
            <w:gridSpan w:val="2"/>
          </w:tcPr>
          <w:p>
            <w:pPr>
              <w:ind w:left="36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(13,422,245)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(5,811,797)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87,445,149</w:t>
            </w:r>
          </w:p>
        </w:tc>
      </w:tr>
      <w:tr>
        <w:trPr>
          <w:trHeight w:val="195"/>
        </w:trPr>
        <w:tc>
          <w:tcPr>
            <w:tcW w:w="20" w:type="dxa"/>
            <w:vAlign w:val="bottom"/>
            <w:shd w:val="clear" w:color="auto" w:fill="CCEEFF"/>
          </w:tcPr>
          <w:p>
            <w:pPr>
              <w:spacing w:after="0"/>
              <w:rPr>
                <w:sz w:val="16"/>
                <w:szCs w:val="16"/>
                <w:color w:val="auto"/>
              </w:rPr>
            </w:pPr>
          </w:p>
        </w:tc>
        <w:tc>
          <w:tcPr>
            <w:tcW w:w="470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b w:val="1"/>
                <w:bCs w:val="1"/>
                <w:color w:val="auto"/>
              </w:rPr>
              <w:t>(Provision)/Benefit for taxes on unrealized</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1"/>
        </w:trPr>
        <w:tc>
          <w:tcPr>
            <w:tcW w:w="20" w:type="dxa"/>
            <w:vAlign w:val="bottom"/>
            <w:shd w:val="clear" w:color="auto" w:fill="CCEEFF"/>
          </w:tcPr>
          <w:p>
            <w:pPr>
              <w:spacing w:after="0"/>
              <w:rPr>
                <w:sz w:val="23"/>
                <w:szCs w:val="23"/>
                <w:color w:val="auto"/>
              </w:rPr>
            </w:pPr>
          </w:p>
        </w:tc>
        <w:tc>
          <w:tcPr>
            <w:tcW w:w="4700" w:type="dxa"/>
            <w:vAlign w:val="bottom"/>
            <w:gridSpan w:val="2"/>
            <w:shd w:val="clear" w:color="auto" w:fill="CCEEFF"/>
          </w:tcPr>
          <w:p>
            <w:pPr>
              <w:ind w:left="360"/>
              <w:spacing w:after="0" w:line="271" w:lineRule="exact"/>
              <w:rPr>
                <w:sz w:val="20"/>
                <w:szCs w:val="20"/>
                <w:color w:val="auto"/>
              </w:rPr>
            </w:pPr>
            <w:r>
              <w:rPr>
                <w:rFonts w:ascii="Arial" w:cs="Arial" w:eastAsia="Arial" w:hAnsi="Arial"/>
                <w:sz w:val="18"/>
                <w:szCs w:val="18"/>
                <w:b w:val="1"/>
                <w:bCs w:val="1"/>
                <w:color w:val="auto"/>
              </w:rPr>
              <w:t>appreciation/depreciation of investments</w:t>
            </w:r>
            <w:r>
              <w:rPr>
                <w:rFonts w:ascii="Arial" w:cs="Arial" w:eastAsia="Arial" w:hAnsi="Arial"/>
                <w:sz w:val="30"/>
                <w:szCs w:val="30"/>
                <w:b w:val="1"/>
                <w:bCs w:val="1"/>
                <w:color w:val="auto"/>
                <w:vertAlign w:val="superscript"/>
              </w:rPr>
              <w:t>(2)</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16,058,080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2,371,829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(30,906,063)</w:t>
            </w:r>
          </w:p>
        </w:tc>
      </w:tr>
      <w:tr>
        <w:trPr>
          <w:trHeight w:val="191"/>
        </w:trPr>
        <w:tc>
          <w:tcPr>
            <w:tcW w:w="20" w:type="dxa"/>
            <w:vAlign w:val="bottom"/>
            <w:tcBorders>
              <w:top w:val="single" w:sz="8" w:color="CCEEFF"/>
            </w:tcBorders>
          </w:tcPr>
          <w:p>
            <w:pPr>
              <w:spacing w:after="0"/>
              <w:rPr>
                <w:sz w:val="16"/>
                <w:szCs w:val="16"/>
                <w:color w:val="auto"/>
              </w:rPr>
            </w:pPr>
          </w:p>
        </w:tc>
        <w:tc>
          <w:tcPr>
            <w:tcW w:w="4700" w:type="dxa"/>
            <w:vAlign w:val="bottom"/>
            <w:tcBorders>
              <w:top w:val="single" w:sz="8" w:color="CCEEFF"/>
            </w:tcBorders>
            <w:gridSpan w:val="2"/>
          </w:tcPr>
          <w:p>
            <w:pPr>
              <w:ind w:left="180"/>
              <w:spacing w:after="0" w:line="191" w:lineRule="exact"/>
              <w:rPr>
                <w:sz w:val="20"/>
                <w:szCs w:val="20"/>
                <w:color w:val="auto"/>
              </w:rPr>
            </w:pPr>
            <w:r>
              <w:rPr>
                <w:rFonts w:ascii="Arial" w:cs="Arial" w:eastAsia="Arial" w:hAnsi="Arial"/>
                <w:sz w:val="18"/>
                <w:szCs w:val="18"/>
                <w:b w:val="1"/>
                <w:bCs w:val="1"/>
                <w:color w:val="auto"/>
                <w:w w:val="98"/>
              </w:rPr>
              <w:t>Net Increase/(Decrease) in Net Assets Resulting from</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700" w:type="dxa"/>
            <w:vAlign w:val="bottom"/>
            <w:gridSpan w:val="2"/>
          </w:tcPr>
          <w:p>
            <w:pPr>
              <w:ind w:left="36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8,466,157</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(2,062,771)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35,383,643</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700" w:type="dxa"/>
            <w:vAlign w:val="bottom"/>
            <w:gridSpan w:val="2"/>
            <w:shd w:val="clear" w:color="auto" w:fill="CCEEFF"/>
          </w:tcPr>
          <w:p>
            <w:pPr>
              <w:ind w:left="180"/>
              <w:spacing w:after="0" w:line="191" w:lineRule="exact"/>
              <w:rPr>
                <w:sz w:val="20"/>
                <w:szCs w:val="20"/>
                <w:color w:val="auto"/>
              </w:rPr>
            </w:pPr>
            <w:r>
              <w:rPr>
                <w:rFonts w:ascii="Arial" w:cs="Arial" w:eastAsia="Arial" w:hAnsi="Arial"/>
                <w:sz w:val="18"/>
                <w:szCs w:val="18"/>
                <w:b w:val="1"/>
                <w:bCs w:val="1"/>
                <w:color w:val="auto"/>
                <w:w w:val="98"/>
              </w:rPr>
              <w:t>Net Increase/(Decrease) in Net Assets Resulting from</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Operations per Common Share</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60"/>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4700" w:type="dxa"/>
            <w:vAlign w:val="bottom"/>
            <w:gridSpan w:val="2"/>
            <w:shd w:val="clear" w:color="auto" w:fill="CCEEFF"/>
          </w:tcPr>
          <w:p>
            <w:pPr>
              <w:ind w:left="360"/>
              <w:spacing w:after="0" w:line="250" w:lineRule="exact"/>
              <w:rPr>
                <w:sz w:val="20"/>
                <w:szCs w:val="20"/>
                <w:color w:val="auto"/>
              </w:rPr>
            </w:pPr>
            <w:r>
              <w:rPr>
                <w:rFonts w:ascii="Arial" w:cs="Arial" w:eastAsia="Arial" w:hAnsi="Arial"/>
                <w:sz w:val="17"/>
                <w:szCs w:val="17"/>
                <w:b w:val="1"/>
                <w:bCs w:val="1"/>
                <w:color w:val="auto"/>
              </w:rPr>
              <w:t>Diluted</w:t>
            </w:r>
            <w:r>
              <w:rPr>
                <w:rFonts w:ascii="Arial" w:cs="Arial" w:eastAsia="Arial" w:hAnsi="Arial"/>
                <w:sz w:val="28"/>
                <w:szCs w:val="28"/>
                <w:b w:val="1"/>
                <w:bCs w:val="1"/>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10"/>
        </w:trPr>
        <w:tc>
          <w:tcPr>
            <w:tcW w:w="20" w:type="dxa"/>
            <w:vAlign w:val="bottom"/>
            <w:tcBorders>
              <w:top w:val="single" w:sz="8" w:color="CCEEFF"/>
            </w:tcBorders>
          </w:tcPr>
          <w:p>
            <w:pPr>
              <w:spacing w:after="0"/>
              <w:rPr>
                <w:sz w:val="18"/>
                <w:szCs w:val="18"/>
                <w:color w:val="auto"/>
              </w:rPr>
            </w:pPr>
          </w:p>
        </w:tc>
        <w:tc>
          <w:tcPr>
            <w:tcW w:w="47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Weighted-Average Common Shares Outstanding</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19,327,938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19,320,100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19,320,100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gridSpan w:val="2"/>
          </w:tcPr>
          <w:p>
            <w:pPr>
              <w:ind w:left="360"/>
              <w:spacing w:after="0" w:line="250" w:lineRule="exact"/>
              <w:rPr>
                <w:sz w:val="20"/>
                <w:szCs w:val="20"/>
                <w:color w:val="auto"/>
              </w:rPr>
            </w:pPr>
            <w:r>
              <w:rPr>
                <w:rFonts w:ascii="Arial" w:cs="Arial" w:eastAsia="Arial" w:hAnsi="Arial"/>
                <w:sz w:val="17"/>
                <w:szCs w:val="17"/>
                <w:b w:val="1"/>
                <w:bCs w:val="1"/>
                <w:color w:val="auto"/>
              </w:rPr>
              <w:t>Diluted</w:t>
            </w:r>
            <w:r>
              <w:rPr>
                <w:rFonts w:ascii="Arial" w:cs="Arial" w:eastAsia="Arial" w:hAnsi="Arial"/>
                <w:sz w:val="28"/>
                <w:szCs w:val="28"/>
                <w:b w:val="1"/>
                <w:bCs w:val="1"/>
                <w:color w:val="auto"/>
                <w:vertAlign w:val="superscript"/>
              </w:rPr>
              <w:t>(3)</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19,327,938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19,320,100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20,541,014</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-5839460</wp:posOffset>
            </wp:positionV>
            <wp:extent cx="5213985"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-4244340</wp:posOffset>
            </wp:positionV>
            <wp:extent cx="5213985"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-3935730</wp:posOffset>
            </wp:positionV>
            <wp:extent cx="5213985"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-3378200</wp:posOffset>
            </wp:positionV>
            <wp:extent cx="521398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-2237740</wp:posOffset>
            </wp:positionV>
            <wp:extent cx="5213985" cy="291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-1645920</wp:posOffset>
            </wp:positionV>
            <wp:extent cx="5213985" cy="3175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-719455</wp:posOffset>
            </wp:positionV>
            <wp:extent cx="5213985"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-410845</wp:posOffset>
            </wp:positionV>
            <wp:extent cx="5213985" cy="2317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231775"/>
                    </a:xfrm>
                    <a:prstGeom prst="rect">
                      <a:avLst/>
                    </a:prstGeom>
                    <a:noFill/>
                  </pic:spPr>
                </pic:pic>
              </a:graphicData>
            </a:graphic>
          </wp:anchor>
        </w:drawing>
      </w:r>
    </w:p>
    <w:p>
      <w:pPr>
        <w:spacing w:after="0" w:line="236" w:lineRule="exact"/>
        <w:rPr>
          <w:sz w:val="20"/>
          <w:szCs w:val="20"/>
          <w:color w:val="auto"/>
        </w:rPr>
      </w:pPr>
    </w:p>
    <w:p>
      <w:pPr>
        <w:ind w:left="3040" w:right="1959" w:hanging="3012"/>
        <w:spacing w:after="0" w:line="884" w:lineRule="auto"/>
        <w:tabs>
          <w:tab w:leader="none" w:pos="3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This balance is a related-party transaction. Refer to “Note 2 — Related-Party Arrangements” for more detail. </w:t>
      </w:r>
      <w:r>
        <w:rPr>
          <w:rFonts w:ascii="Arial" w:cs="Arial" w:eastAsia="Arial" w:hAnsi="Arial"/>
          <w:sz w:val="18"/>
          <w:szCs w:val="18"/>
          <w:i w:val="1"/>
          <w:iCs w:val="1"/>
          <w:color w:val="auto"/>
        </w:rPr>
        <w:t>See notes to the consolidated financial statements</w:t>
      </w:r>
    </w:p>
    <w:p>
      <w:pPr>
        <w:spacing w:after="0" w:line="1"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681"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OPERATIONS – (continued)</w:t>
      </w:r>
    </w:p>
    <w:p>
      <w:pPr>
        <w:spacing w:after="0" w:line="121" w:lineRule="exact"/>
        <w:rPr>
          <w:sz w:val="20"/>
          <w:szCs w:val="20"/>
          <w:color w:val="auto"/>
        </w:rPr>
      </w:pPr>
    </w:p>
    <w:p>
      <w:pPr>
        <w:ind w:left="280" w:right="599" w:hanging="272"/>
        <w:spacing w:after="0" w:line="286" w:lineRule="auto"/>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Due to the Company’s change in tax status to a regulated investment company (“RIC”) from a C Corporation, the associated accrued benefits and provisions from previous years were reversed, resulting in a provision for net investment loss, a benefit for net realized gains, and a benefit for unrealized depreciation of investments for the year ended December 31, 2015. Refer to “Note 8 — Income Taxes” and “Management’s Discussion and Analysis of Financial Condition and Results of</w:t>
      </w:r>
    </w:p>
    <w:p>
      <w:pPr>
        <w:spacing w:after="0" w:line="1"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8"/>
          <w:szCs w:val="18"/>
          <w:color w:val="auto"/>
        </w:rPr>
        <w:t>Operations — Results of Operations” for further detail.</w:t>
      </w:r>
    </w:p>
    <w:p>
      <w:pPr>
        <w:spacing w:after="0" w:line="102" w:lineRule="exact"/>
        <w:rPr>
          <w:rFonts w:ascii="Arial" w:cs="Arial" w:eastAsia="Arial" w:hAnsi="Arial"/>
          <w:sz w:val="16"/>
          <w:szCs w:val="16"/>
          <w:color w:val="auto"/>
        </w:rPr>
      </w:pPr>
    </w:p>
    <w:p>
      <w:pPr>
        <w:ind w:left="280" w:right="599" w:hanging="272"/>
        <w:spacing w:after="0" w:line="302" w:lineRule="auto"/>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the years ended December 31, 2015, and 2014, respectively, 5,710,212 and 4,244,128 potentially dilutive common shares were excluded from the weighted-average common shares outstanding for diluted net increase in net assets resulting from operations per common share because the effect of these shares would have been anti-dilutive. Refer to “Note 5 — Net Increase in Net Assets Resulting from Operations per Common Share — Basic and Diluted” for further detail.</w:t>
      </w:r>
    </w:p>
    <w:p>
      <w:pPr>
        <w:spacing w:after="0" w:line="200" w:lineRule="exact"/>
        <w:rPr>
          <w:sz w:val="20"/>
          <w:szCs w:val="20"/>
          <w:color w:val="auto"/>
        </w:rPr>
      </w:pPr>
    </w:p>
    <w:p>
      <w:pPr>
        <w:spacing w:after="0" w:line="278"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8" w:name="page79"/>
    <w:bookmarkEnd w:id="7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r>
      <w:tr>
        <w:trPr>
          <w:trHeight w:val="149"/>
        </w:trPr>
        <w:tc>
          <w:tcPr>
            <w:tcW w:w="45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540" w:type="dxa"/>
            <w:vAlign w:val="bottom"/>
          </w:tcPr>
          <w:p>
            <w:pPr>
              <w:spacing w:after="0"/>
              <w:rPr>
                <w:sz w:val="14"/>
                <w:szCs w:val="14"/>
                <w:color w:val="auto"/>
              </w:rPr>
            </w:pPr>
          </w:p>
        </w:tc>
        <w:tc>
          <w:tcPr>
            <w:tcW w:w="1020" w:type="dxa"/>
            <w:vAlign w:val="bottom"/>
          </w:tcPr>
          <w:p>
            <w:pPr>
              <w:jc w:val="center"/>
              <w:ind w:left="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1160" w:type="dxa"/>
            <w:vAlign w:val="bottom"/>
            <w:gridSpan w:val="2"/>
          </w:tcPr>
          <w:p>
            <w:pPr>
              <w:jc w:val="center"/>
              <w:ind w:left="19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r>
      <w:tr>
        <w:trPr>
          <w:trHeight w:val="191"/>
        </w:trPr>
        <w:tc>
          <w:tcPr>
            <w:tcW w:w="45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8"/>
              </w:rPr>
              <w:t>Net Increase/(Decrease) in Net Assets Resulting from</w:t>
            </w: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r>
      <w:tr>
        <w:trPr>
          <w:trHeight w:val="234"/>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10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(48,656,709)</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 (12,779,891)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(8,875,656)</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Gains/(Losses) on Investments</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54,144,229</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23,926,124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(21,706,021)</w:t>
            </w:r>
          </w:p>
        </w:tc>
      </w:tr>
      <w:tr>
        <w:trPr>
          <w:trHeight w:val="202"/>
        </w:trPr>
        <w:tc>
          <w:tcPr>
            <w:tcW w:w="4540" w:type="dxa"/>
            <w:vAlign w:val="bottom"/>
          </w:tcPr>
          <w:p>
            <w:pPr>
              <w:ind w:left="20"/>
              <w:spacing w:after="0" w:line="201" w:lineRule="exact"/>
              <w:rPr>
                <w:sz w:val="20"/>
                <w:szCs w:val="20"/>
                <w:color w:val="auto"/>
              </w:rPr>
            </w:pPr>
            <w:r>
              <w:rPr>
                <w:rFonts w:ascii="Arial" w:cs="Arial" w:eastAsia="Arial" w:hAnsi="Arial"/>
                <w:sz w:val="18"/>
                <w:szCs w:val="18"/>
                <w:color w:val="auto"/>
                <w:w w:val="96"/>
              </w:rPr>
              <w:t>(Provision)/Benefit for Taxes on Realized Gains/Losses on</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342,802</w:t>
            </w:r>
          </w:p>
        </w:tc>
        <w:tc>
          <w:tcPr>
            <w:tcW w:w="10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(9,769,036)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9,426,234</w:t>
            </w:r>
          </w:p>
        </w:tc>
      </w:tr>
      <w:tr>
        <w:trPr>
          <w:trHeight w:val="202"/>
        </w:trPr>
        <w:tc>
          <w:tcPr>
            <w:tcW w:w="4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Change in Unrealized Appreciation/(Depreciation) of</w:t>
            </w:r>
          </w:p>
        </w:tc>
        <w:tc>
          <w:tcPr>
            <w:tcW w:w="10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(13,422,245)</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(5,811,797)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87,445,149</w:t>
            </w:r>
          </w:p>
        </w:tc>
      </w:tr>
      <w:tr>
        <w:trPr>
          <w:trHeight w:val="202"/>
        </w:trPr>
        <w:tc>
          <w:tcPr>
            <w:tcW w:w="4540" w:type="dxa"/>
            <w:vAlign w:val="bottom"/>
          </w:tcPr>
          <w:p>
            <w:pPr>
              <w:ind w:left="20"/>
              <w:spacing w:after="0" w:line="201" w:lineRule="exact"/>
              <w:rPr>
                <w:sz w:val="20"/>
                <w:szCs w:val="20"/>
                <w:color w:val="auto"/>
              </w:rPr>
            </w:pPr>
            <w:r>
              <w:rPr>
                <w:rFonts w:ascii="Arial" w:cs="Arial" w:eastAsia="Arial" w:hAnsi="Arial"/>
                <w:sz w:val="18"/>
                <w:szCs w:val="18"/>
                <w:color w:val="auto"/>
              </w:rPr>
              <w:t>(Provision)/Benefit for Taxes on Unrealized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Appreciation/Depreciation of Investments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16,058,080</w:t>
            </w:r>
          </w:p>
        </w:tc>
        <w:tc>
          <w:tcPr>
            <w:tcW w:w="1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2,371,829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(30,906,063)</w:t>
            </w:r>
          </w:p>
        </w:tc>
      </w:tr>
      <w:tr>
        <w:trPr>
          <w:trHeight w:val="191"/>
        </w:trPr>
        <w:tc>
          <w:tcPr>
            <w:tcW w:w="45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8"/>
              </w:rPr>
              <w:t>Net Increase (Decrease) in Net Assets Resulting from</w:t>
            </w: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8,466,157</w:t>
            </w: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(2,062,771)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35,383,643</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color w:val="auto"/>
              </w:rPr>
              <w:t>Distributions from realized gains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(53,323,476)</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26,964,591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1"/>
        </w:trPr>
        <w:tc>
          <w:tcPr>
            <w:tcW w:w="45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4"/>
              </w:rPr>
              <w:t>Net Increase in Net Assets Resulting from Capital Share</w:t>
            </w: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Transactions</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26,964,591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Total Increase/(Decrease) in Net Assets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(17,892,728)</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(2,062,771)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35,383,643</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Beginning of Year</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285,903,673</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287,966,444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252,582,801</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Year</w:t>
            </w:r>
          </w:p>
        </w:tc>
        <w:tc>
          <w:tcPr>
            <w:tcW w:w="102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268,010,945</w:t>
            </w: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285,903,673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287,966,444</w:t>
            </w:r>
          </w:p>
        </w:tc>
      </w:tr>
      <w:tr>
        <w:trPr>
          <w:trHeight w:val="21"/>
        </w:trPr>
        <w:tc>
          <w:tcPr>
            <w:tcW w:w="4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020" w:type="dxa"/>
            <w:vAlign w:val="bottom"/>
          </w:tcPr>
          <w:p>
            <w:pPr>
              <w:jc w:val="right"/>
              <w:spacing w:after="0"/>
              <w:rPr>
                <w:sz w:val="20"/>
                <w:szCs w:val="20"/>
                <w:color w:val="auto"/>
              </w:rPr>
            </w:pPr>
            <w:r>
              <w:rPr>
                <w:rFonts w:ascii="Arial" w:cs="Arial" w:eastAsia="Arial" w:hAnsi="Arial"/>
                <w:sz w:val="18"/>
                <w:szCs w:val="18"/>
                <w:color w:val="auto"/>
              </w:rPr>
              <w:t>2,860,903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at Beginning of Year</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19,320,100</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19,320,100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19,320,100</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Year</w:t>
            </w:r>
          </w:p>
        </w:tc>
        <w:tc>
          <w:tcPr>
            <w:tcW w:w="1020" w:type="dxa"/>
            <w:vAlign w:val="bottom"/>
          </w:tcPr>
          <w:p>
            <w:pPr>
              <w:jc w:val="right"/>
              <w:spacing w:after="0"/>
              <w:rPr>
                <w:sz w:val="20"/>
                <w:szCs w:val="20"/>
                <w:color w:val="auto"/>
              </w:rPr>
            </w:pPr>
            <w:r>
              <w:rPr>
                <w:rFonts w:ascii="Arial" w:cs="Arial" w:eastAsia="Arial" w:hAnsi="Arial"/>
                <w:sz w:val="18"/>
                <w:szCs w:val="18"/>
                <w:color w:val="auto"/>
              </w:rPr>
              <w:t>22,181,003</w:t>
            </w: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19,320,100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19,320,100</w:t>
            </w:r>
          </w:p>
        </w:tc>
      </w:tr>
      <w:tr>
        <w:trPr>
          <w:trHeight w:val="21"/>
        </w:trPr>
        <w:tc>
          <w:tcPr>
            <w:tcW w:w="4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-1757680</wp:posOffset>
            </wp:positionV>
            <wp:extent cx="521398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9" w:name="page80"/>
    <w:bookmarkEnd w:id="7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482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Year ended</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470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700" w:type="dxa"/>
            <w:vAlign w:val="bottom"/>
          </w:tcPr>
          <w:p>
            <w:pPr>
              <w:spacing w:after="0"/>
              <w:rPr>
                <w:sz w:val="14"/>
                <w:szCs w:val="14"/>
                <w:color w:val="auto"/>
              </w:rPr>
            </w:pPr>
          </w:p>
        </w:tc>
        <w:tc>
          <w:tcPr>
            <w:tcW w:w="1080" w:type="dxa"/>
            <w:vAlign w:val="bottom"/>
          </w:tcPr>
          <w:p>
            <w:pPr>
              <w:jc w:val="center"/>
              <w:ind w:left="32"/>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060" w:type="dxa"/>
            <w:vAlign w:val="bottom"/>
          </w:tcPr>
          <w:p>
            <w:pPr>
              <w:jc w:val="center"/>
              <w:ind w:left="32"/>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1000" w:type="dxa"/>
            <w:vAlign w:val="bottom"/>
          </w:tcPr>
          <w:p>
            <w:pPr>
              <w:jc w:val="center"/>
              <w:ind w:left="32"/>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r>
      <w:tr>
        <w:trPr>
          <w:trHeight w:val="202"/>
        </w:trPr>
        <w:tc>
          <w:tcPr>
            <w:tcW w:w="4700" w:type="dxa"/>
            <w:vAlign w:val="bottom"/>
          </w:tcPr>
          <w:p>
            <w:pPr>
              <w:ind w:left="20"/>
              <w:spacing w:after="0" w:line="201" w:lineRule="exact"/>
              <w:rPr>
                <w:sz w:val="20"/>
                <w:szCs w:val="20"/>
                <w:color w:val="auto"/>
              </w:rPr>
            </w:pPr>
            <w:r>
              <w:rPr>
                <w:rFonts w:ascii="Arial" w:cs="Arial" w:eastAsia="Arial" w:hAnsi="Arial"/>
                <w:sz w:val="18"/>
                <w:szCs w:val="18"/>
                <w:color w:val="auto"/>
              </w:rPr>
              <w:t>Net increase/(decrease) in net assets resulting from</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8,466,157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  (2,062,771)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$ 35,383,643</w:t>
            </w:r>
          </w:p>
        </w:tc>
      </w:tr>
      <w:tr>
        <w:trPr>
          <w:trHeight w:val="202"/>
        </w:trPr>
        <w:tc>
          <w:tcPr>
            <w:tcW w:w="4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Adjustments to reconcile net increase/(decrease) in net assets</w:t>
            </w:r>
          </w:p>
        </w:tc>
        <w:tc>
          <w:tcPr>
            <w:tcW w:w="10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resulting from operations to net cash provided by (used in)</w:t>
            </w:r>
          </w:p>
        </w:tc>
        <w:tc>
          <w:tcPr>
            <w:tcW w:w="10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Net realized (gains)/losses on investments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(54,144,229)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(23,926,124)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21,706,021</w:t>
            </w:r>
          </w:p>
        </w:tc>
      </w:tr>
      <w:tr>
        <w:trPr>
          <w:trHeight w:val="202"/>
        </w:trPr>
        <w:tc>
          <w:tcPr>
            <w:tcW w:w="4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change in unrealized depreciation/(appreciation) of</w:t>
            </w:r>
          </w:p>
        </w:tc>
        <w:tc>
          <w:tcPr>
            <w:tcW w:w="10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investments</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13,422,245</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5,811,797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(87,445,149)</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w w:val="91"/>
              </w:rPr>
              <w:t>(Gain)/Loss on fair value adjustment for embedded derivative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(798,000)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99,000</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liability</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5,568,489</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(1,412,895)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8,320,561</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Current taxes payable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(134,733)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134,733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discount on Convertible Senior Notes</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134,266</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718,135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207,808</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627,909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225,910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4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Amortization of fixed income security premiums and</w:t>
            </w:r>
          </w:p>
        </w:tc>
        <w:tc>
          <w:tcPr>
            <w:tcW w:w="10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discounts</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(78,212)</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(63,053)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Change in restricted cash</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(26,625)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(22,264)</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dividend income</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(46,781)</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Purchases of investments in: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Portfolio investments</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(30,927,038)</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(71,094,138)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(71,953,895)</w:t>
            </w: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United States treasury bills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(255,015,475)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(360,004,426)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treasuries strips</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(10,845,236)</w:t>
            </w: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(53,000,000)</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or maturity of investments in:</w:t>
            </w:r>
          </w:p>
        </w:tc>
        <w:tc>
          <w:tcPr>
            <w:tcW w:w="10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Portfolio investments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92,947,445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73,557,189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7,686,491</w:t>
            </w: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 treasury bills</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325,000,000</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260,002,734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United States treasuries strips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3,639,000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3,603,708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69,000,000</w:t>
            </w: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47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Due from GSV Asset Management</w:t>
            </w:r>
            <w:r>
              <w:rPr>
                <w:rFonts w:ascii="Arial" w:cs="Arial" w:eastAsia="Arial" w:hAnsi="Arial"/>
                <w:sz w:val="29"/>
                <w:szCs w:val="29"/>
                <w:color w:val="auto"/>
                <w:vertAlign w:val="superscript"/>
              </w:rPr>
              <w:t>(1)</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(15,945)</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(201,786)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2,684</w:t>
            </w:r>
          </w:p>
        </w:tc>
      </w:tr>
      <w:tr>
        <w:trPr>
          <w:trHeight w:val="257"/>
        </w:trPr>
        <w:tc>
          <w:tcPr>
            <w:tcW w:w="4700" w:type="dxa"/>
            <w:vAlign w:val="bottom"/>
          </w:tcPr>
          <w:p>
            <w:pPr>
              <w:ind w:left="200"/>
              <w:spacing w:after="0" w:line="256" w:lineRule="exact"/>
              <w:rPr>
                <w:sz w:val="20"/>
                <w:szCs w:val="20"/>
                <w:color w:val="auto"/>
              </w:rPr>
            </w:pPr>
            <w:r>
              <w:rPr>
                <w:rFonts w:ascii="Arial" w:cs="Arial" w:eastAsia="Arial" w:hAnsi="Arial"/>
                <w:sz w:val="18"/>
                <w:szCs w:val="18"/>
                <w:color w:val="auto"/>
              </w:rPr>
              <w:t>Due from portfolio companies</w:t>
            </w:r>
            <w:r>
              <w:rPr>
                <w:rFonts w:ascii="Arial" w:cs="Arial" w:eastAsia="Arial" w:hAnsi="Arial"/>
                <w:sz w:val="29"/>
                <w:szCs w:val="29"/>
                <w:color w:val="auto"/>
                <w:vertAlign w:val="superscript"/>
              </w:rPr>
              <w:t>(1)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28,985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67,822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163,199</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369,100</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(511,875)</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dividends receivable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(70,512)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(29,758)</w:t>
            </w:r>
          </w:p>
        </w:tc>
      </w:tr>
      <w:tr>
        <w:trPr>
          <w:trHeight w:val="257"/>
        </w:trPr>
        <w:tc>
          <w:tcPr>
            <w:tcW w:w="47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Due to GSV Asset Management</w:t>
            </w:r>
            <w:r>
              <w:rPr>
                <w:rFonts w:ascii="Arial" w:cs="Arial" w:eastAsia="Arial" w:hAnsi="Arial"/>
                <w:sz w:val="29"/>
                <w:szCs w:val="29"/>
                <w:color w:val="auto"/>
                <w:vertAlign w:val="superscript"/>
              </w:rPr>
              <w:t>(1)</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5,024,033</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512,784</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Payable for securities purchased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(63,502,335)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90,001,692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(187,363)</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(89,215)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(114,568)</w:t>
            </w:r>
          </w:p>
        </w:tc>
      </w:tr>
      <w:tr>
        <w:trPr>
          <w:trHeight w:val="257"/>
        </w:trPr>
        <w:tc>
          <w:tcPr>
            <w:tcW w:w="4700" w:type="dxa"/>
            <w:vAlign w:val="bottom"/>
          </w:tcPr>
          <w:p>
            <w:pPr>
              <w:ind w:left="20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3,176,666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3,614,347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10,523,552</w:t>
            </w:r>
          </w:p>
        </w:tc>
      </w:tr>
      <w:tr>
        <w:trPr>
          <w:trHeight w:val="257"/>
        </w:trPr>
        <w:tc>
          <w:tcPr>
            <w:tcW w:w="47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42,147</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108,726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(82,895)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82,895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1,056,563</w:t>
            </w:r>
          </w:p>
        </w:tc>
      </w:tr>
      <w:tr>
        <w:trPr>
          <w:trHeight w:val="20"/>
        </w:trPr>
        <w:tc>
          <w:tcPr>
            <w:tcW w:w="4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97"/>
              </w:rPr>
              <w:t>Net Cash Provided by (Used in) Operating Activities</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54,235,882</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(21,746,323)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(69,260,439)</w:t>
            </w:r>
          </w:p>
        </w:tc>
      </w:tr>
      <w:tr>
        <w:trPr>
          <w:trHeight w:val="20"/>
        </w:trPr>
        <w:tc>
          <w:tcPr>
            <w:tcW w:w="47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482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0" w:name="page81"/>
    <w:bookmarkEnd w:id="8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4"/>
                <w:szCs w:val="14"/>
                <w:color w:val="auto"/>
              </w:rPr>
            </w:pP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Borrowings under Credit Facility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Repayments under Credit Facility</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(24,000,000)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(26,358,885)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Credit Facility fees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(288,249)</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Deferred debt issuance costs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(3,585,929)</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Proceeds from Convertible Senior Notes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69,035,295</w:t>
            </w:r>
          </w:p>
        </w:tc>
      </w:tr>
      <w:tr>
        <w:trPr>
          <w:trHeight w:val="20"/>
        </w:trPr>
        <w:tc>
          <w:tcPr>
            <w:tcW w:w="2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7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(44,358,885)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65,161,117</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Increase/(Decrease) in Cash Balance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9,876,997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(3,746,323)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(4,099,322)</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Cash Balance at Beginning of Year</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3,472,880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7,219,203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11,318,525</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Balance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13,349,877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3,472,880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7,219,203</w:t>
            </w:r>
          </w:p>
        </w:tc>
      </w:tr>
      <w:tr>
        <w:trPr>
          <w:trHeight w:val="210"/>
        </w:trPr>
        <w:tc>
          <w:tcPr>
            <w:tcW w:w="474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5,044,064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5,420,948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222,434</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Taxes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6"/>
        </w:trPr>
        <w:tc>
          <w:tcPr>
            <w:tcW w:w="474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Transactions in Portfolio Company Investments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Structured notes converted to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609,683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Structured notes converted to preferred shares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3,568,635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Warrants exercised for preferred shares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Preferred shares converted to preferred shares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1,273,125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519,989</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Preferred shares converted to junior preferred shares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10,032,453</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Preferred shares converted to common shares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4,959,614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2,006,077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22,069,188</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Preferred shares converted to common warrants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67,021</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Common shares converted to preferred shares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12,655,877</w:t>
            </w:r>
          </w:p>
        </w:tc>
      </w:tr>
      <w:tr>
        <w:trPr>
          <w:trHeight w:val="216"/>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Convertible notes converted to preferred shares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295,801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Non-Cash Financing Items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7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Fair value of make-whole derivative issued in connection</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 the convertible debt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w:t>
            </w:r>
          </w:p>
        </w:tc>
      </w:tr>
      <w:tr>
        <w:trPr>
          <w:trHeight w:val="230"/>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Non-cash dividends paid</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26,964,591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-3061335</wp:posOffset>
            </wp:positionV>
            <wp:extent cx="5213985"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-2486660</wp:posOffset>
            </wp:positionV>
            <wp:extent cx="5213985"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040" w:right="1959" w:hanging="3012"/>
        <w:spacing w:after="0" w:line="884" w:lineRule="auto"/>
        <w:tabs>
          <w:tab w:leader="none" w:pos="3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This balance is a related-party transaction. Refer to “Note 2 — Related-Party Arrangements” for more detail. </w:t>
      </w:r>
      <w:r>
        <w:rPr>
          <w:rFonts w:ascii="Arial" w:cs="Arial" w:eastAsia="Arial" w:hAnsi="Arial"/>
          <w:sz w:val="18"/>
          <w:szCs w:val="18"/>
          <w:i w:val="1"/>
          <w:iCs w:val="1"/>
          <w:color w:val="auto"/>
        </w:rPr>
        <w:t>See notes to the consolidated financial statements</w:t>
      </w:r>
    </w:p>
    <w:p>
      <w:pPr>
        <w:spacing w:after="0" w:line="1"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5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Data Analysis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326,797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1,008,968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3,018,787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53,334,461</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56,353,248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21.03%</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Storage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552,486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9,359,241</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12,872,947</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22,232,188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Twitter,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Communication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800,600</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14,271,866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18,525,884</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Music Streaming Service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9,541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13,599,572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16,219,700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2,961,399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14,435,486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Solexel,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Milpitas,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Solar Power</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1,613,413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2,419,751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2,420,120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5,300,158</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11,598,648</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11,607,346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14,018,399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14,027,466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PayNearMe,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Cash Payment Network</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5,480,348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14,000,398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13,974,887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Lyft,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Peer to Peer Ridesharing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128,563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2,503,585</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2,976,876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493,490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5,003,631</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10,992,490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7,507,216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13,969,366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Declara, Inc.</w:t>
            </w:r>
            <w:r>
              <w:rPr>
                <w:rFonts w:ascii="Arial" w:cs="Arial" w:eastAsia="Arial" w:hAnsi="Arial"/>
                <w:sz w:val="19"/>
                <w:szCs w:val="19"/>
                <w:b w:val="1"/>
                <w:bCs w:val="1"/>
                <w:color w:val="auto"/>
                <w:vertAlign w:val="superscript"/>
              </w:rPr>
              <w:t>(1)(12)</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 6% Due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60" w:type="dxa"/>
            <w:vAlign w:val="bottom"/>
            <w:gridSpan w:val="3"/>
          </w:tcPr>
          <w:p>
            <w:pPr>
              <w:ind w:left="200"/>
              <w:spacing w:after="0"/>
              <w:rPr>
                <w:sz w:val="20"/>
                <w:szCs w:val="20"/>
                <w:color w:val="auto"/>
              </w:rPr>
            </w:pPr>
            <w:r>
              <w:rPr>
                <w:rFonts w:ascii="Arial" w:cs="Arial" w:eastAsia="Arial" w:hAnsi="Arial"/>
                <w:sz w:val="14"/>
                <w:szCs w:val="14"/>
                <w:color w:val="auto"/>
              </w:rPr>
              <w:t>12/30/16***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Palo Alto, CA</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2,000,000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Social Cognitive Learning</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126,552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5,765,799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5,755,573</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11,521,372</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Dataminr,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301,369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1,100,909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2,845,044</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Social Media Analytics</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904,977</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2,063,356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8,543,345</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11,388,389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9"/>
                <w:szCs w:val="19"/>
                <w:b w:val="1"/>
                <w:bCs w:val="1"/>
                <w:color w:val="auto"/>
                <w:vertAlign w:val="superscript"/>
              </w:rPr>
              <w:t>(3)</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10,014,270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10,151,857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11,015,633</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9"/>
              </w:rPr>
              <w:t>Minneapolis, MN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9"/>
          </w:tcPr>
          <w:p>
            <w:pPr>
              <w:ind w:left="20"/>
              <w:spacing w:after="0"/>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Mobile Device Management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73,440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9,999,928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10,722,799</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-3896995</wp:posOffset>
            </wp:positionV>
            <wp:extent cx="5213985" cy="1117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-3502660</wp:posOffset>
            </wp:positionV>
            <wp:extent cx="5213985" cy="1117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-2541905</wp:posOffset>
            </wp:positionV>
            <wp:extent cx="5213985" cy="1117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-1932940</wp:posOffset>
            </wp:positionV>
            <wp:extent cx="5213985" cy="1117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-1418590</wp:posOffset>
            </wp:positionV>
            <wp:extent cx="5213985" cy="1117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-1024255</wp:posOffset>
            </wp:positionV>
            <wp:extent cx="5213985" cy="1117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-629920</wp:posOffset>
            </wp:positionV>
            <wp:extent cx="5213985" cy="1117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69"/>
        </w:trPr>
        <w:tc>
          <w:tcPr>
            <w:tcW w:w="2580" w:type="dxa"/>
            <w:vAlign w:val="bottom"/>
            <w:gridSpan w:val="7"/>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7"/>
              </w:rPr>
              <w:t>Mountain View, CA</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Daily News and</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922,509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4,999,999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4,690,178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7"/>
              </w:rPr>
              <w:t>Information Site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1,090,909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3,000,200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3,907,004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1,531,812</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8,500,199</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10,128,994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Curious.com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60" w:type="dxa"/>
            <w:vAlign w:val="bottom"/>
            <w:tcBorders>
              <w:top w:val="single" w:sz="8" w:color="CCEEFF"/>
            </w:tcBorders>
            <w:gridSpan w:val="3"/>
          </w:tcPr>
          <w:p>
            <w:pPr>
              <w:jc w:val="center"/>
              <w:ind w:right="180"/>
              <w:spacing w:after="0"/>
              <w:rPr>
                <w:sz w:val="20"/>
                <w:szCs w:val="20"/>
                <w:color w:val="auto"/>
              </w:rPr>
            </w:pPr>
            <w:r>
              <w:rPr>
                <w:rFonts w:ascii="Arial" w:cs="Arial" w:eastAsia="Arial" w:hAnsi="Arial"/>
                <w:sz w:val="14"/>
                <w:szCs w:val="14"/>
                <w:color w:val="auto"/>
                <w:w w:val="97"/>
              </w:rPr>
              <w:t>Menlo Park, CA</w:t>
            </w: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80"/>
              <w:spacing w:after="0" w:line="142" w:lineRule="exact"/>
              <w:rPr>
                <w:sz w:val="20"/>
                <w:szCs w:val="20"/>
                <w:color w:val="auto"/>
              </w:rPr>
            </w:pPr>
            <w:r>
              <w:rPr>
                <w:rFonts w:ascii="Arial" w:cs="Arial" w:eastAsia="Arial" w:hAnsi="Arial"/>
                <w:sz w:val="14"/>
                <w:szCs w:val="14"/>
                <w:color w:val="auto"/>
                <w:w w:val="93"/>
              </w:rPr>
              <w:t>Online Education</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2,839,861</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10,000,003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9,996,311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35"/>
        </w:trPr>
        <w:tc>
          <w:tcPr>
            <w:tcW w:w="2580" w:type="dxa"/>
            <w:vAlign w:val="bottom"/>
            <w:gridSpan w:val="7"/>
          </w:tcPr>
          <w:p>
            <w:pPr>
              <w:ind w:left="20"/>
              <w:spacing w:after="0" w:line="135" w:lineRule="exact"/>
              <w:rPr>
                <w:sz w:val="20"/>
                <w:szCs w:val="20"/>
                <w:color w:val="auto"/>
              </w:rPr>
            </w:pPr>
            <w:r>
              <w:rPr>
                <w:rFonts w:ascii="Arial" w:cs="Arial" w:eastAsia="Arial" w:hAnsi="Arial"/>
                <w:sz w:val="14"/>
                <w:szCs w:val="14"/>
                <w:b w:val="1"/>
                <w:bCs w:val="1"/>
                <w:color w:val="auto"/>
              </w:rPr>
              <w:t>SugarCRM, Inc.</w:t>
            </w:r>
          </w:p>
        </w:tc>
        <w:tc>
          <w:tcPr>
            <w:tcW w:w="100" w:type="dxa"/>
            <w:vAlign w:val="bottom"/>
          </w:tcPr>
          <w:p>
            <w:pPr>
              <w:spacing w:after="0"/>
              <w:rPr>
                <w:sz w:val="11"/>
                <w:szCs w:val="11"/>
                <w:color w:val="auto"/>
              </w:rPr>
            </w:pPr>
          </w:p>
        </w:tc>
        <w:tc>
          <w:tcPr>
            <w:tcW w:w="2060" w:type="dxa"/>
            <w:vAlign w:val="bottom"/>
            <w:gridSpan w:val="3"/>
          </w:tcPr>
          <w:p>
            <w:pPr>
              <w:jc w:val="center"/>
              <w:ind w:right="180"/>
              <w:spacing w:after="0" w:line="135" w:lineRule="exact"/>
              <w:rPr>
                <w:sz w:val="20"/>
                <w:szCs w:val="20"/>
                <w:color w:val="auto"/>
              </w:rPr>
            </w:pPr>
            <w:r>
              <w:rPr>
                <w:rFonts w:ascii="Arial" w:cs="Arial" w:eastAsia="Arial" w:hAnsi="Arial"/>
                <w:sz w:val="14"/>
                <w:szCs w:val="14"/>
                <w:color w:val="auto"/>
                <w:w w:val="95"/>
              </w:rPr>
              <w:t>Cupertino, CA</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80"/>
              <w:spacing w:after="0" w:line="142" w:lineRule="exact"/>
              <w:rPr>
                <w:sz w:val="20"/>
                <w:szCs w:val="20"/>
                <w:color w:val="auto"/>
              </w:rPr>
            </w:pPr>
            <w:r>
              <w:rPr>
                <w:rFonts w:ascii="Arial" w:cs="Arial" w:eastAsia="Arial" w:hAnsi="Arial"/>
                <w:sz w:val="14"/>
                <w:szCs w:val="14"/>
                <w:color w:val="auto"/>
                <w:w w:val="93"/>
              </w:rPr>
              <w:t>Customer Relationship</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373,134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1,500,522</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2,152,983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4"/>
              </w:rPr>
              <w:t>Manager</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1,524,799</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7,830,323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9,983,306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b w:val="1"/>
                <w:bCs w:val="1"/>
                <w:color w:val="auto"/>
                <w:vertAlign w:val="superscript"/>
              </w:rPr>
              <w:t>(2)(5)</w:t>
            </w:r>
          </w:p>
        </w:tc>
        <w:tc>
          <w:tcPr>
            <w:tcW w:w="100" w:type="dxa"/>
            <w:vAlign w:val="bottom"/>
            <w:tcBorders>
              <w:top w:val="single" w:sz="8" w:color="CCEEFF"/>
            </w:tcBorders>
          </w:tcPr>
          <w:p>
            <w:pPr>
              <w:spacing w:after="0"/>
              <w:rPr>
                <w:sz w:val="14"/>
                <w:szCs w:val="14"/>
                <w:color w:val="auto"/>
              </w:rPr>
            </w:pPr>
          </w:p>
        </w:tc>
        <w:tc>
          <w:tcPr>
            <w:tcW w:w="2060" w:type="dxa"/>
            <w:vAlign w:val="bottom"/>
            <w:tcBorders>
              <w:top w:val="single" w:sz="8" w:color="CCEEFF"/>
            </w:tcBorders>
            <w:gridSpan w:val="3"/>
          </w:tcPr>
          <w:p>
            <w:pPr>
              <w:jc w:val="center"/>
              <w:ind w:right="180"/>
              <w:spacing w:after="0"/>
              <w:rPr>
                <w:sz w:val="20"/>
                <w:szCs w:val="20"/>
                <w:color w:val="auto"/>
              </w:rPr>
            </w:pPr>
            <w:r>
              <w:rPr>
                <w:rFonts w:ascii="Arial" w:cs="Arial" w:eastAsia="Arial" w:hAnsi="Arial"/>
                <w:sz w:val="14"/>
                <w:szCs w:val="14"/>
                <w:color w:val="auto"/>
                <w:w w:val="92"/>
              </w:rPr>
              <w:t>Scottsdale, AZ</w:t>
            </w: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80"/>
              <w:spacing w:after="0" w:line="142" w:lineRule="exact"/>
              <w:rPr>
                <w:sz w:val="20"/>
                <w:szCs w:val="20"/>
                <w:color w:val="auto"/>
              </w:rPr>
            </w:pPr>
            <w:r>
              <w:rPr>
                <w:rFonts w:ascii="Arial" w:cs="Arial" w:eastAsia="Arial" w:hAnsi="Arial"/>
                <w:sz w:val="14"/>
                <w:szCs w:val="14"/>
                <w:color w:val="auto"/>
                <w:w w:val="94"/>
              </w:rPr>
              <w:t>Interactive Learning</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2,779,134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4,000,787</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4,599,718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3,279,629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2,019,687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4,633,228</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6"/>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9,750,946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29"/>
        </w:trPr>
        <w:tc>
          <w:tcPr>
            <w:tcW w:w="2580" w:type="dxa"/>
            <w:vAlign w:val="bottom"/>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29" w:lineRule="exact"/>
              <w:rPr>
                <w:sz w:val="20"/>
                <w:szCs w:val="20"/>
                <w:color w:val="auto"/>
              </w:rPr>
            </w:pPr>
            <w:r>
              <w:rPr>
                <w:rFonts w:ascii="Arial" w:cs="Arial" w:eastAsia="Arial" w:hAnsi="Arial"/>
                <w:sz w:val="14"/>
                <w:szCs w:val="14"/>
                <w:color w:val="auto"/>
                <w:w w:val="90"/>
              </w:rPr>
              <w:t>Santa Clara,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Textbook Rental</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1,182,792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14,022,863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7,960,190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35"/>
        </w:trPr>
        <w:tc>
          <w:tcPr>
            <w:tcW w:w="2580" w:type="dxa"/>
            <w:vAlign w:val="bottom"/>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35" w:lineRule="exact"/>
              <w:rPr>
                <w:sz w:val="20"/>
                <w:szCs w:val="20"/>
                <w:color w:val="auto"/>
              </w:rPr>
            </w:pPr>
            <w:r>
              <w:rPr>
                <w:rFonts w:ascii="Arial" w:cs="Arial" w:eastAsia="Arial" w:hAnsi="Arial"/>
                <w:sz w:val="14"/>
                <w:szCs w:val="14"/>
                <w:color w:val="auto"/>
                <w:w w:val="97"/>
              </w:rPr>
              <w:t>Mountain View,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C-1</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6"/>
              </w:rPr>
              <w:t>Light Field Imaging Platform</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2,533,784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76"/>
        </w:trPr>
        <w:tc>
          <w:tcPr>
            <w:tcW w:w="258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NestGSV, Inc. (d/b/a GSV Labs, Inc.)</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4"/>
              </w:rPr>
              <w:t>Redwood City, CA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5"/>
              </w:rPr>
              <w:t>Incubator</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3,720,424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4,904,498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4,960,565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1,561,625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2,005,730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1,733,404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605,500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1,021,778</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w w:val="94"/>
              </w:rPr>
              <w:t>Preferred warrants, Series D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145,000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w w:val="94"/>
              </w:rPr>
              <w:t>Preferred warrants, Series C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Price, Expiration Date 4/9/2019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31,875</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8,538,506</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6,870,844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GSV Sustainability Partners</w:t>
            </w:r>
            <w:r>
              <w:rPr>
                <w:rFonts w:ascii="Arial" w:cs="Arial" w:eastAsia="Arial" w:hAnsi="Arial"/>
                <w:sz w:val="19"/>
                <w:szCs w:val="19"/>
                <w:b w:val="1"/>
                <w:bCs w:val="1"/>
                <w:color w:val="auto"/>
                <w:vertAlign w:val="superscript"/>
              </w:rPr>
              <w:t>(2)</w:t>
            </w:r>
          </w:p>
        </w:tc>
        <w:tc>
          <w:tcPr>
            <w:tcW w:w="100" w:type="dxa"/>
            <w:vAlign w:val="bottom"/>
            <w:tcBorders>
              <w:top w:val="single" w:sz="8" w:color="CCEEFF"/>
            </w:tcBorders>
          </w:tcPr>
          <w:p>
            <w:pPr>
              <w:spacing w:after="0"/>
              <w:rPr>
                <w:sz w:val="14"/>
                <w:szCs w:val="14"/>
                <w:color w:val="auto"/>
              </w:rPr>
            </w:pPr>
          </w:p>
        </w:tc>
        <w:tc>
          <w:tcPr>
            <w:tcW w:w="2060" w:type="dxa"/>
            <w:vAlign w:val="bottom"/>
            <w:tcBorders>
              <w:top w:val="single" w:sz="8" w:color="CCEEFF"/>
            </w:tcBorders>
            <w:gridSpan w:val="3"/>
          </w:tcPr>
          <w:p>
            <w:pPr>
              <w:jc w:val="center"/>
              <w:ind w:right="180"/>
              <w:spacing w:after="0"/>
              <w:rPr>
                <w:sz w:val="20"/>
                <w:szCs w:val="20"/>
                <w:color w:val="auto"/>
              </w:rPr>
            </w:pPr>
            <w:r>
              <w:rPr>
                <w:rFonts w:ascii="Arial" w:cs="Arial" w:eastAsia="Arial" w:hAnsi="Arial"/>
                <w:sz w:val="14"/>
                <w:szCs w:val="14"/>
                <w:color w:val="auto"/>
                <w:w w:val="93"/>
              </w:rPr>
              <w:t>Woodside, CA</w:t>
            </w: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80"/>
              <w:spacing w:after="0" w:line="142" w:lineRule="exact"/>
              <w:rPr>
                <w:sz w:val="20"/>
                <w:szCs w:val="20"/>
                <w:color w:val="auto"/>
              </w:rPr>
            </w:pPr>
            <w:r>
              <w:rPr>
                <w:rFonts w:ascii="Arial" w:cs="Arial" w:eastAsia="Arial" w:hAnsi="Arial"/>
                <w:sz w:val="14"/>
                <w:szCs w:val="14"/>
                <w:color w:val="auto"/>
                <w:w w:val="92"/>
              </w:rPr>
              <w:t>Clean Technology</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14,300,000</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7,151,412</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0.00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7,161,412</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60" w:type="dxa"/>
            <w:vAlign w:val="bottom"/>
            <w:tcBorders>
              <w:top w:val="single" w:sz="8" w:color="CCEEFF"/>
            </w:tcBorders>
            <w:gridSpan w:val="3"/>
          </w:tcPr>
          <w:p>
            <w:pPr>
              <w:jc w:val="center"/>
              <w:ind w:right="180"/>
              <w:spacing w:after="0"/>
              <w:rPr>
                <w:sz w:val="20"/>
                <w:szCs w:val="20"/>
                <w:color w:val="auto"/>
              </w:rPr>
            </w:pPr>
            <w:r>
              <w:rPr>
                <w:rFonts w:ascii="Arial" w:cs="Arial" w:eastAsia="Arial" w:hAnsi="Arial"/>
                <w:sz w:val="14"/>
                <w:szCs w:val="14"/>
                <w:color w:val="auto"/>
                <w:w w:val="98"/>
              </w:rPr>
              <w:t>Cambridge, MA</w:t>
            </w: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7"/>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 10% Due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03/02/16***</w:t>
            </w:r>
          </w:p>
        </w:tc>
        <w:tc>
          <w:tcPr>
            <w:tcW w:w="80" w:type="dxa"/>
            <w:vAlign w:val="bottom"/>
            <w:tcBorders>
              <w:left w:val="single" w:sz="8" w:color="CCEEFF"/>
            </w:tcBorders>
            <w:shd w:val="clear" w:color="auto" w:fill="CCEEFF"/>
          </w:tcPr>
          <w:p>
            <w:pPr>
              <w:spacing w:after="0"/>
              <w:rPr>
                <w:sz w:val="14"/>
                <w:szCs w:val="14"/>
                <w:color w:val="auto"/>
              </w:rPr>
            </w:pPr>
          </w:p>
        </w:tc>
        <w:tc>
          <w:tcPr>
            <w:tcW w:w="72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1,030,507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1,020,859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1,020,859</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Business Education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1,655,167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2,956,022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3,111,714</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1,728,724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3,193,444</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1,625,001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Expiration Date 3/02/2020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283,106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35,767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2,831</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23,521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Expiration Date 5/16/2019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192,308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24,296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1,923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Expiration Date 4/03/2019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52,063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-4261485</wp:posOffset>
            </wp:positionV>
            <wp:extent cx="521398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-3652520</wp:posOffset>
            </wp:positionV>
            <wp:extent cx="521398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-3241040</wp:posOffset>
            </wp:positionV>
            <wp:extent cx="5213985" cy="1117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-1680210</wp:posOffset>
            </wp:positionV>
            <wp:extent cx="521398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-1259840</wp:posOffset>
            </wp:positionV>
            <wp:extent cx="521398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3" w:name="page84"/>
    <w:bookmarkEnd w:id="8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33"/>
        </w:trPr>
        <w:tc>
          <w:tcPr>
            <w:tcW w:w="258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1"/>
                <w:szCs w:val="11"/>
                <w:color w:val="auto"/>
              </w:rPr>
            </w:pPr>
          </w:p>
        </w:tc>
        <w:tc>
          <w:tcPr>
            <w:tcW w:w="8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3"/>
        </w:trPr>
        <w:tc>
          <w:tcPr>
            <w:tcW w:w="2580" w:type="dxa"/>
            <w:vAlign w:val="bottom"/>
            <w:tcBorders>
              <w:left w:val="single" w:sz="8" w:color="CCEEFF"/>
            </w:tcBorders>
            <w:gridSpan w:val="7"/>
            <w:shd w:val="clear" w:color="auto" w:fill="CCEEFF"/>
          </w:tcPr>
          <w:p>
            <w:pPr>
              <w:ind w:left="20"/>
              <w:spacing w:after="0" w:line="123"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12/11/2018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82,418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w:t>
            </w:r>
          </w:p>
        </w:tc>
        <w:tc>
          <w:tcPr>
            <w:tcW w:w="2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gridSpan w:val="7"/>
          </w:tcPr>
          <w:p>
            <w:pPr>
              <w:ind w:left="200"/>
              <w:spacing w:after="0"/>
              <w:rPr>
                <w:sz w:val="20"/>
                <w:szCs w:val="20"/>
                <w:color w:val="auto"/>
              </w:rPr>
            </w:pPr>
            <w:r>
              <w:rPr>
                <w:rFonts w:ascii="Arial" w:cs="Arial" w:eastAsia="Arial" w:hAnsi="Arial"/>
                <w:sz w:val="14"/>
                <w:szCs w:val="14"/>
                <w:color w:val="auto"/>
              </w:rPr>
              <w:t>Expiration Date 10/10/2018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82,418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10,412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2/18/2019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714,286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90,242</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7,417,039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5,777,102</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Menlo Park,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Online Shopping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1,681,520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4,000,280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879,198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1,002,440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1,439,400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5,002,720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5,439,400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4"/>
              </w:rPr>
              <w:t>Redwood City,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2,145,509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5,000,001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5,000,001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Knewton,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375,985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4,954,086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(1)(4)</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1,577,097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4,577,097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4,500,000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Scottsdale, AZ</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E-Transcript Exchange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4,000,982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80" w:type="dxa"/>
            <w:vAlign w:val="bottom"/>
            <w:gridSpan w:val="7"/>
          </w:tcPr>
          <w:p>
            <w:pPr>
              <w:ind w:left="200"/>
              <w:spacing w:after="0" w:line="159" w:lineRule="exact"/>
              <w:rPr>
                <w:sz w:val="20"/>
                <w:szCs w:val="20"/>
                <w:color w:val="auto"/>
              </w:rPr>
            </w:pPr>
            <w:r>
              <w:rPr>
                <w:rFonts w:ascii="Arial" w:cs="Arial" w:eastAsia="Arial" w:hAnsi="Arial"/>
                <w:sz w:val="14"/>
                <w:szCs w:val="14"/>
                <w:color w:val="auto"/>
                <w:w w:val="95"/>
              </w:rPr>
              <w:t>Promissory Note 8% Due 11/26/2018***</w:t>
            </w: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0" w:type="dxa"/>
            <w:vAlign w:val="bottom"/>
          </w:tcPr>
          <w:p>
            <w:pPr>
              <w:ind w:left="2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Corporate Education</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1,080,000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1,080,000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778,607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775,861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2,006,077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1,959,127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02/25/2018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3,864,684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3,825,130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Bloom Energy Corporation</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6"/>
              </w:rPr>
              <w:t>Fuel Cell Energy</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201,589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3,855,601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3,014,861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DogVacay,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Santa Monica,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Dog Boarding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514,562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2,506,119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2,500,771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SharesPost, Inc.</w:t>
            </w:r>
            <w:r>
              <w:rPr>
                <w:rFonts w:ascii="Arial" w:cs="Arial" w:eastAsia="Arial" w:hAnsi="Arial"/>
                <w:sz w:val="20"/>
                <w:szCs w:val="20"/>
                <w:b w:val="1"/>
                <w:bCs w:val="1"/>
                <w:color w:val="auto"/>
                <w:vertAlign w:val="superscript"/>
              </w:rPr>
              <w:t>(6)</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San Bruno,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Marketplace Finance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2,259,716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2,249,999</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6/15/2018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23,128</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177,315</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2,282,844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2,427,314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7"/>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Knowledge Networks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2,000,447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1,999,998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217,206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2,249,689</w:t>
            </w:r>
          </w:p>
        </w:tc>
        <w:tc>
          <w:tcPr>
            <w:tcW w:w="840" w:type="dxa"/>
            <w:vAlign w:val="bottom"/>
            <w:gridSpan w:val="3"/>
          </w:tcPr>
          <w:p>
            <w:pPr>
              <w:jc w:val="right"/>
              <w:ind w:right="180"/>
              <w:spacing w:after="0" w:line="142"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-3798570</wp:posOffset>
            </wp:positionV>
            <wp:extent cx="5213985" cy="1117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-3404235</wp:posOffset>
            </wp:positionV>
            <wp:extent cx="5213985" cy="1117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-2512060</wp:posOffset>
            </wp:positionV>
            <wp:extent cx="5213985" cy="1117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-1423035</wp:posOffset>
            </wp:positionV>
            <wp:extent cx="5213985" cy="1117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1117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258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13"/>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Bellevue, WA</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7,159,221</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1,448,538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724,269</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2,172,807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Software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2,000,601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2,026,414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35"/>
        </w:trPr>
        <w:tc>
          <w:tcPr>
            <w:tcW w:w="25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10"/>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Promissory Note 12%, 11/18/2016***</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Sports Analytics</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26,104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25,000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1,864,495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1,156,175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Expiration Date 08/29/2021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3,088</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Expiration Date 09/30/2020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1,835,610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1,266,621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3"/>
          </w:tcPr>
          <w:p>
            <w:pPr>
              <w:ind w:left="20"/>
              <w:spacing w:after="0" w:line="169" w:lineRule="exact"/>
              <w:rPr>
                <w:sz w:val="20"/>
                <w:szCs w:val="20"/>
                <w:color w:val="auto"/>
              </w:rPr>
            </w:pPr>
            <w:r>
              <w:rPr>
                <w:rFonts w:ascii="Arial" w:cs="Arial" w:eastAsia="Arial" w:hAnsi="Arial"/>
                <w:sz w:val="12"/>
                <w:szCs w:val="12"/>
                <w:b w:val="1"/>
                <w:bCs w:val="1"/>
                <w:color w:val="auto"/>
              </w:rPr>
              <w:t>EdSurge,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7"/>
              </w:rPr>
              <w:t>Burlingame, CA</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Education Media Platform</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375,909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500,960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494,365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500,801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524,867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1,001,761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1,024,867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3"/>
          </w:tcPr>
          <w:p>
            <w:pPr>
              <w:ind w:left="20"/>
              <w:spacing w:after="0" w:line="169"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9"/>
                <w:szCs w:val="19"/>
                <w:b w:val="1"/>
                <w:bCs w:val="1"/>
                <w:color w:val="auto"/>
                <w:vertAlign w:val="superscript"/>
              </w:rPr>
              <w:t>(1)(7)(13)</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Software Development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989,277</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1,001,650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6"/>
              </w:rPr>
              <w:t>Marina Del Rey, CA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Financial Services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18,009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1,001,815</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918,720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auto"/>
            </w:tcBorders>
            <w:gridSpan w:val="11"/>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Data Platform</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512,365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1,436,404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850,210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88"/>
              </w:rPr>
              <w:t>San Jose, CA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Computer Software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309,310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674,108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Gilt Groupe Holdings, Inc.</w:t>
            </w:r>
            <w:r>
              <w:rPr>
                <w:rFonts w:ascii="Arial" w:cs="Arial" w:eastAsia="Arial" w:hAnsi="Arial"/>
                <w:sz w:val="20"/>
                <w:szCs w:val="20"/>
                <w:b w:val="1"/>
                <w:bCs w:val="1"/>
                <w:color w:val="auto"/>
                <w:vertAlign w:val="superscript"/>
              </w:rPr>
              <w:t>(15)</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e-Commerce Flash Sales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248,600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6,594,433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539,387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4,465,925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876,023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133,978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4"/>
              </w:rPr>
              <w:t>Social Media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1,066,626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1,027,391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191,993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 $1.00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price, expire 1/9/2017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1,903,414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325,971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Earlyshares.com,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Miami, FL</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80" w:type="dxa"/>
            <w:vAlign w:val="bottom"/>
            <w:gridSpan w:val="13"/>
          </w:tcPr>
          <w:p>
            <w:pPr>
              <w:ind w:left="20"/>
              <w:spacing w:after="0" w:line="133"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340" w:type="dxa"/>
            <w:vAlign w:val="bottom"/>
            <w:gridSpan w:val="7"/>
          </w:tcPr>
          <w:p>
            <w:pPr>
              <w:ind w:left="200"/>
              <w:spacing w:after="0" w:line="198" w:lineRule="exact"/>
              <w:rPr>
                <w:sz w:val="20"/>
                <w:szCs w:val="20"/>
                <w:color w:val="auto"/>
              </w:rPr>
            </w:pPr>
            <w:r>
              <w:rPr>
                <w:rFonts w:ascii="Arial" w:cs="Arial" w:eastAsia="Arial" w:hAnsi="Arial"/>
                <w:sz w:val="14"/>
                <w:szCs w:val="14"/>
                <w:color w:val="auto"/>
              </w:rPr>
              <w:t>8/02/2016</w:t>
            </w:r>
            <w:r>
              <w:rPr>
                <w:rFonts w:ascii="Arial" w:cs="Arial" w:eastAsia="Arial" w:hAnsi="Arial"/>
                <w:sz w:val="22"/>
                <w:szCs w:val="22"/>
                <w:color w:val="auto"/>
                <w:vertAlign w:val="superscript"/>
              </w:rPr>
              <w:t>(11)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Equity Crowdfunding</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50,840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261,598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125,115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312,438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175,115</w:t>
            </w:r>
          </w:p>
        </w:tc>
        <w:tc>
          <w:tcPr>
            <w:tcW w:w="840" w:type="dxa"/>
            <w:vAlign w:val="bottom"/>
            <w:gridSpan w:val="3"/>
          </w:tcPr>
          <w:p>
            <w:pPr>
              <w:jc w:val="right"/>
              <w:ind w:right="180"/>
              <w:spacing w:after="0" w:line="142"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-4390390</wp:posOffset>
            </wp:positionV>
            <wp:extent cx="5213985" cy="1117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-2640965</wp:posOffset>
            </wp:positionV>
            <wp:extent cx="521398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-2220595</wp:posOffset>
            </wp:positionV>
            <wp:extent cx="521398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5213985" cy="1117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5" w:name="page86"/>
    <w:bookmarkEnd w:id="8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258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vMerge w:val="restart"/>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6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10"/>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6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AliphCom, Inc. (d/b/a Jawbone)</w:t>
            </w:r>
          </w:p>
        </w:tc>
        <w:tc>
          <w:tcPr>
            <w:tcW w:w="2060" w:type="dxa"/>
            <w:vAlign w:val="bottom"/>
            <w:gridSpan w:val="3"/>
            <w:shd w:val="clear" w:color="auto" w:fill="CCEEFF"/>
          </w:tcPr>
          <w:p>
            <w:pPr>
              <w:jc w:val="center"/>
              <w:ind w:right="180"/>
              <w:spacing w:after="0" w:line="129" w:lineRule="exact"/>
              <w:rPr>
                <w:sz w:val="20"/>
                <w:szCs w:val="20"/>
                <w:color w:val="auto"/>
              </w:rPr>
            </w:pPr>
            <w:r>
              <w:rPr>
                <w:rFonts w:ascii="Arial" w:cs="Arial" w:eastAsia="Arial" w:hAnsi="Arial"/>
                <w:sz w:val="14"/>
                <w:szCs w:val="14"/>
                <w:color w:val="auto"/>
                <w:w w:val="92"/>
              </w:rPr>
              <w:t>San Francisco,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Smart Device Company</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150,000</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793,152</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130,910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Upwork Global Inc. (f/k/a Odesk</w:t>
            </w:r>
          </w:p>
        </w:tc>
        <w:tc>
          <w:tcPr>
            <w:tcW w:w="206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4"/>
                <w:szCs w:val="14"/>
                <w:color w:val="auto"/>
                <w:w w:val="94"/>
              </w:rPr>
              <w:t>Redwood City,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auto"/>
              <w:right w:val="single" w:sz="8" w:color="CCEEFF"/>
            </w:tcBorders>
            <w:gridSpan w:val="6"/>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Corporation)</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gridSpan w:val="2"/>
            <w:shd w:val="clear" w:color="auto" w:fill="CCEEFF"/>
          </w:tcPr>
          <w:p>
            <w:pPr>
              <w:spacing w:after="0"/>
              <w:rPr>
                <w:sz w:val="11"/>
                <w:szCs w:val="11"/>
                <w:color w:val="auto"/>
              </w:rPr>
            </w:pPr>
          </w:p>
        </w:tc>
        <w:tc>
          <w:tcPr>
            <w:tcW w:w="2060" w:type="dxa"/>
            <w:vAlign w:val="bottom"/>
            <w:tcBorders>
              <w:top w:val="single" w:sz="8" w:color="CCEEFF"/>
            </w:tcBorders>
            <w:gridSpan w:val="3"/>
            <w:vMerge w:val="continue"/>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6"/>
              </w:rPr>
              <w:t>Online Workplace Platform</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25,159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183,269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114,964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76"/>
        </w:trPr>
        <w:tc>
          <w:tcPr>
            <w:tcW w:w="26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Cricket Media (f/k/a ePals Inc.)**</w:t>
            </w:r>
            <w:r>
              <w:rPr>
                <w:rFonts w:ascii="Arial" w:cs="Arial" w:eastAsia="Arial" w:hAnsi="Arial"/>
                <w:sz w:val="20"/>
                <w:szCs w:val="20"/>
                <w:b w:val="1"/>
                <w:bCs w:val="1"/>
                <w:color w:val="auto"/>
                <w:vertAlign w:val="superscript"/>
              </w:rPr>
              <w:t>(8)</w:t>
            </w:r>
          </w:p>
        </w:tc>
        <w:tc>
          <w:tcPr>
            <w:tcW w:w="206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4"/>
              </w:rPr>
              <w:t>Herndon, VA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Online Education</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1,333,333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2,448,959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67,296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 Learnist Inc.)</w:t>
            </w:r>
          </w:p>
        </w:tc>
        <w:tc>
          <w:tcPr>
            <w:tcW w:w="206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4"/>
                <w:szCs w:val="14"/>
                <w:color w:val="auto"/>
                <w:w w:val="92"/>
              </w:rPr>
              <w:t>San Francisco,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2"/>
                <w:szCs w:val="12"/>
                <w:b w:val="1"/>
                <w:bCs w:val="1"/>
                <w:color w:val="auto"/>
              </w:rPr>
              <w:t>(1)(14)</w:t>
            </w:r>
          </w:p>
        </w:tc>
        <w:tc>
          <w:tcPr>
            <w:tcW w:w="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CCEEFF"/>
            </w:tcBorders>
            <w:gridSpan w:val="3"/>
            <w:vMerge w:val="continue"/>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shares</w:t>
            </w:r>
          </w:p>
        </w:tc>
        <w:tc>
          <w:tcPr>
            <w:tcW w:w="2060" w:type="dxa"/>
            <w:vAlign w:val="bottom"/>
            <w:gridSpan w:val="3"/>
          </w:tcPr>
          <w:p>
            <w:pPr>
              <w:jc w:val="center"/>
              <w:ind w:right="180"/>
              <w:spacing w:after="0" w:line="130" w:lineRule="exact"/>
              <w:rPr>
                <w:sz w:val="20"/>
                <w:szCs w:val="20"/>
                <w:color w:val="auto"/>
              </w:rPr>
            </w:pPr>
            <w:r>
              <w:rPr>
                <w:rFonts w:ascii="Arial" w:cs="Arial" w:eastAsia="Arial" w:hAnsi="Arial"/>
                <w:sz w:val="14"/>
                <w:szCs w:val="14"/>
                <w:color w:val="auto"/>
                <w:w w:val="91"/>
              </w:rPr>
              <w:t>Consumer Health</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Technology</w:t>
            </w:r>
          </w:p>
        </w:tc>
        <w:tc>
          <w:tcPr>
            <w:tcW w:w="760" w:type="dxa"/>
            <w:vAlign w:val="bottom"/>
          </w:tcPr>
          <w:p>
            <w:pPr>
              <w:jc w:val="right"/>
              <w:spacing w:after="0"/>
              <w:rPr>
                <w:sz w:val="20"/>
                <w:szCs w:val="20"/>
                <w:color w:val="auto"/>
              </w:rPr>
            </w:pPr>
            <w:r>
              <w:rPr>
                <w:rFonts w:ascii="Arial" w:cs="Arial" w:eastAsia="Arial" w:hAnsi="Arial"/>
                <w:sz w:val="14"/>
                <w:szCs w:val="14"/>
                <w:color w:val="auto"/>
              </w:rPr>
              <w:t>57,026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4,959,616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9"/>
                <w:szCs w:val="19"/>
                <w:b w:val="1"/>
                <w:bCs w:val="1"/>
                <w:color w:val="auto"/>
                <w:vertAlign w:val="subscript"/>
              </w:rPr>
              <w:t>Ltd.</w:t>
            </w:r>
            <w:r>
              <w:rPr>
                <w:rFonts w:ascii="Arial" w:cs="Arial" w:eastAsia="Arial" w:hAnsi="Arial"/>
                <w:sz w:val="10"/>
                <w:szCs w:val="10"/>
                <w:b w:val="1"/>
                <w:bCs w:val="1"/>
                <w:color w:val="auto"/>
              </w:rPr>
              <w:t>(1)**</w:t>
            </w:r>
          </w:p>
        </w:tc>
        <w:tc>
          <w:tcPr>
            <w:tcW w:w="300" w:type="dxa"/>
            <w:vAlign w:val="bottom"/>
            <w:tcBorders>
              <w:top w:val="single" w:sz="8" w:color="CCEEFF"/>
            </w:tcBorders>
            <w:gridSpan w:val="3"/>
            <w:shd w:val="clear" w:color="auto" w:fill="CCEEFF"/>
          </w:tcPr>
          <w:p>
            <w:pPr>
              <w:spacing w:after="0"/>
              <w:rPr>
                <w:sz w:val="14"/>
                <w:szCs w:val="14"/>
                <w:color w:val="auto"/>
              </w:rPr>
            </w:pPr>
          </w:p>
        </w:tc>
        <w:tc>
          <w:tcPr>
            <w:tcW w:w="2060" w:type="dxa"/>
            <w:vAlign w:val="bottom"/>
            <w:tcBorders>
              <w:top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7"/>
              </w:rPr>
              <w:t>Hong Kong</w:t>
            </w: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2"/>
              </w:rPr>
              <w:t>Education Technology</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675,375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293,349,843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349,808,767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130.52%</w:t>
            </w:r>
          </w:p>
        </w:tc>
        <w:tc>
          <w:tcPr>
            <w:tcW w:w="0" w:type="dxa"/>
            <w:vAlign w:val="bottom"/>
          </w:tcPr>
          <w:p>
            <w:pPr>
              <w:spacing w:after="0"/>
              <w:rPr>
                <w:sz w:val="1"/>
                <w:szCs w:val="1"/>
                <w:color w:val="auto"/>
              </w:rPr>
            </w:pPr>
          </w:p>
        </w:tc>
      </w:tr>
      <w:tr>
        <w:trPr>
          <w:trHeight w:val="129"/>
        </w:trPr>
        <w:tc>
          <w:tcPr>
            <w:tcW w:w="2680" w:type="dxa"/>
            <w:vAlign w:val="bottom"/>
            <w:tcBorders>
              <w:top w:val="single" w:sz="8" w:color="CCEEFF"/>
            </w:tcBorders>
            <w:gridSpan w:val="11"/>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U.S. Treasury Bill, 0%, due 1/7/2016</w:t>
            </w:r>
          </w:p>
        </w:tc>
        <w:tc>
          <w:tcPr>
            <w:tcW w:w="206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30,000,000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29,999,968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30,000,000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76"/>
        </w:trPr>
        <w:tc>
          <w:tcPr>
            <w:tcW w:w="268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U.S. Treasury Strips</w:t>
            </w:r>
            <w:r>
              <w:rPr>
                <w:rFonts w:ascii="Arial" w:cs="Arial" w:eastAsia="Arial" w:hAnsi="Arial"/>
                <w:sz w:val="20"/>
                <w:szCs w:val="20"/>
                <w:b w:val="1"/>
                <w:bCs w:val="1"/>
                <w:color w:val="auto"/>
                <w:vertAlign w:val="superscript"/>
              </w:rPr>
              <w:t>(9)</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1"/>
            <w:shd w:val="clear" w:color="auto" w:fill="CCEEFF"/>
          </w:tcPr>
          <w:p>
            <w:pPr>
              <w:ind w:left="20"/>
              <w:spacing w:after="0" w:line="123"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due 08/15/2016</w:t>
            </w:r>
          </w:p>
        </w:tc>
        <w:tc>
          <w:tcPr>
            <w:tcW w:w="20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1,842,412</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1,843,170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30"/>
        </w:trPr>
        <w:tc>
          <w:tcPr>
            <w:tcW w:w="2680" w:type="dxa"/>
            <w:vAlign w:val="bottom"/>
            <w:gridSpan w:val="11"/>
          </w:tcPr>
          <w:p>
            <w:pPr>
              <w:ind w:left="20"/>
              <w:spacing w:after="0" w:line="130"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10"/>
          </w:tcPr>
          <w:p>
            <w:pPr>
              <w:ind w:left="180"/>
              <w:spacing w:after="0"/>
              <w:rPr>
                <w:sz w:val="20"/>
                <w:szCs w:val="20"/>
                <w:color w:val="auto"/>
              </w:rPr>
            </w:pPr>
            <w:r>
              <w:rPr>
                <w:rFonts w:ascii="Arial" w:cs="Arial" w:eastAsia="Arial" w:hAnsi="Arial"/>
                <w:sz w:val="14"/>
                <w:szCs w:val="14"/>
                <w:color w:val="auto"/>
              </w:rPr>
              <w:t>due 02/15/2016</w:t>
            </w:r>
          </w:p>
        </w:tc>
        <w:tc>
          <w:tcPr>
            <w:tcW w:w="20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1,834,000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1,832,780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1,833,523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3,675,192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3,676,693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327,025,003</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u w:val="single" w:color="auto"/>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383,485,460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-1114425</wp:posOffset>
            </wp:positionV>
            <wp:extent cx="5213985" cy="1028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59"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 All investments are pledged as collateral, unless otherwise noted, to the Credit Facility. The Company’s officers and staff may serve on the board of directors of the Company’s portfolio investments.</w:t>
      </w:r>
    </w:p>
    <w:p>
      <w:pPr>
        <w:spacing w:after="0" w:line="79" w:lineRule="exact"/>
        <w:rPr>
          <w:sz w:val="20"/>
          <w:szCs w:val="20"/>
          <w:color w:val="auto"/>
        </w:rPr>
      </w:pPr>
    </w:p>
    <w:p>
      <w:pPr>
        <w:ind w:left="300" w:right="939" w:hanging="272"/>
        <w:spacing w:after="0" w:line="277"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25% or more of the voting securities of such company.</w:t>
      </w:r>
    </w:p>
    <w:p>
      <w:pPr>
        <w:spacing w:after="0" w:line="38" w:lineRule="exact"/>
        <w:rPr>
          <w:rFonts w:ascii="Arial" w:cs="Arial" w:eastAsia="Arial" w:hAnsi="Arial"/>
          <w:sz w:val="16"/>
          <w:szCs w:val="16"/>
          <w:color w:val="auto"/>
        </w:rPr>
      </w:pPr>
    </w:p>
    <w:p>
      <w:pPr>
        <w:ind w:left="300" w:right="939" w:hanging="272"/>
        <w:spacing w:after="0" w:line="277"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200" w:lineRule="exact"/>
        <w:rPr>
          <w:sz w:val="20"/>
          <w:szCs w:val="20"/>
          <w:color w:val="auto"/>
        </w:rPr>
      </w:pPr>
    </w:p>
    <w:p>
      <w:pPr>
        <w:spacing w:after="0" w:line="29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03" w:lineRule="exact"/>
        <w:rPr>
          <w:sz w:val="20"/>
          <w:szCs w:val="20"/>
          <w:color w:val="auto"/>
        </w:rPr>
      </w:pPr>
    </w:p>
    <w:p>
      <w:pPr>
        <w:ind w:left="280" w:right="539" w:hanging="272"/>
        <w:spacing w:after="0" w:line="264" w:lineRule="auto"/>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which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280" w:hanging="272"/>
        <w:spacing w:after="0"/>
        <w:tabs>
          <w:tab w:leader="none" w:pos="2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280" w:right="759" w:hanging="272"/>
        <w:spacing w:after="0" w:line="277" w:lineRule="auto"/>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ind w:left="280" w:right="659" w:hanging="272"/>
        <w:spacing w:after="0" w:line="257" w:lineRule="auto"/>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October 22, 2013, Cricket Media (f/k/a ePals Inc.), priced its initial public offering, selling 40,267,333 shares at a price of CAD $0.075 per share. At December 31, 2015, GSV Capital Corp. valued Cricket Media (f/k/a ePals Inc.), based on its December 31, 2015 closing price. GSV Capital Corp.’s Chief Executive Officer, Michael Moe, serves on the board of directors for Cricket Media (f/k/a ePals Inc.), which subjects GSV Capital Corp. to insider trading restrictions under Canadian securities law.</w:t>
      </w:r>
    </w:p>
    <w:p>
      <w:pPr>
        <w:spacing w:after="0" w:line="80" w:lineRule="exact"/>
        <w:rPr>
          <w:rFonts w:ascii="Arial" w:cs="Arial" w:eastAsia="Arial" w:hAnsi="Arial"/>
          <w:sz w:val="18"/>
          <w:szCs w:val="18"/>
          <w:color w:val="auto"/>
        </w:rPr>
      </w:pPr>
    </w:p>
    <w:p>
      <w:pPr>
        <w:ind w:left="280" w:right="619" w:hanging="272"/>
        <w:spacing w:after="0" w:line="291" w:lineRule="auto"/>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Refer to “Note 9 — Long Term Liabilities.” In accordance with the terms of the Company’s Convertible Senior Notes payable, the Company deposited $10,867,500 in an escrow account with U.S. Bank National Association, the trustee. These funds were used to purchase six U.S. Treasury Strips with an original cost of $10,845,236. As of December 31, 2015, four of the government securities purchased had matured and the proceeds were used by the trustee in accordance with the terms of the escrow agreement. At December 31, 2015, the remaining government securities are shown on the consolidated Schedule of Investments with an amortized cost of $3,675,192. These securities do not represent collateral under the Credit Facility as these securities are pledged exclusively for the repayment of interest under the Convertible Senior Notes.</w:t>
      </w:r>
    </w:p>
    <w:p>
      <w:pPr>
        <w:spacing w:after="0" w:line="59" w:lineRule="exact"/>
        <w:rPr>
          <w:rFonts w:ascii="Arial" w:cs="Arial" w:eastAsia="Arial" w:hAnsi="Arial"/>
          <w:sz w:val="16"/>
          <w:szCs w:val="16"/>
          <w:color w:val="auto"/>
        </w:rPr>
      </w:pPr>
    </w:p>
    <w:p>
      <w:pPr>
        <w:ind w:left="320" w:right="699" w:hanging="312"/>
        <w:spacing w:after="0" w:line="286"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57" w:lineRule="exact"/>
        <w:rPr>
          <w:sz w:val="20"/>
          <w:szCs w:val="20"/>
          <w:color w:val="auto"/>
        </w:rPr>
      </w:pPr>
    </w:p>
    <w:p>
      <w:pPr>
        <w:jc w:val="both"/>
        <w:ind w:left="300" w:right="699" w:hanging="296"/>
        <w:spacing w:after="0" w:line="264" w:lineRule="auto"/>
        <w:rPr>
          <w:sz w:val="20"/>
          <w:szCs w:val="20"/>
          <w:color w:val="auto"/>
        </w:rPr>
      </w:pPr>
      <w:r>
        <w:rPr>
          <w:rFonts w:ascii="Arial" w:cs="Arial" w:eastAsia="Arial" w:hAnsi="Arial"/>
          <w:sz w:val="18"/>
          <w:szCs w:val="18"/>
          <w:color w:val="auto"/>
        </w:rPr>
        <w:t>(11)Interest will accrue daily on the unpaid principal balance of the note. Accrued interest is not payable until the earlier of (a) the closing of a subsequent equity offering by Earlyshares.com, Inc., or (b) the maturity of the note (August 2, 2016). Interest will compound annually beginning on February 26,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(12)On December 30, 2015 Declara, Inc. effected a 2:1 forward stock split on all of its common and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(13)On December 22, 2015 Strategic Data Command, LLC effected a 3:1 stock split on its common shares.</w:t>
      </w:r>
    </w:p>
    <w:p>
      <w:pPr>
        <w:spacing w:after="0" w:line="117" w:lineRule="exact"/>
        <w:rPr>
          <w:sz w:val="20"/>
          <w:szCs w:val="20"/>
          <w:color w:val="auto"/>
        </w:rPr>
      </w:pPr>
    </w:p>
    <w:p>
      <w:pPr>
        <w:ind w:left="320" w:right="659" w:hanging="310"/>
        <w:spacing w:after="0" w:line="264" w:lineRule="auto"/>
        <w:rPr>
          <w:sz w:val="20"/>
          <w:szCs w:val="20"/>
          <w:color w:val="auto"/>
        </w:rPr>
      </w:pPr>
      <w:r>
        <w:rPr>
          <w:rFonts w:ascii="Arial" w:cs="Arial" w:eastAsia="Arial" w:hAnsi="Arial"/>
          <w:sz w:val="18"/>
          <w:szCs w:val="18"/>
          <w:color w:val="auto"/>
        </w:rPr>
        <w:t>(14)On October 28, 2015, Orchestra One, Inc. (f/k/a Learnist Inc.) completed a change in business, recapitalization and Series A-1 Preferred stock financing. The Company elected to convert its existing preferred shares into common shares effective November 9, 2015.</w:t>
      </w:r>
    </w:p>
    <w:p>
      <w:pPr>
        <w:spacing w:after="0" w:line="73" w:lineRule="exact"/>
        <w:rPr>
          <w:sz w:val="20"/>
          <w:szCs w:val="20"/>
          <w:color w:val="auto"/>
        </w:rPr>
      </w:pPr>
    </w:p>
    <w:p>
      <w:pPr>
        <w:ind w:left="320" w:right="539" w:hanging="310"/>
        <w:spacing w:after="0" w:line="259" w:lineRule="auto"/>
        <w:rPr>
          <w:sz w:val="20"/>
          <w:szCs w:val="20"/>
          <w:color w:val="auto"/>
        </w:rPr>
      </w:pPr>
      <w:r>
        <w:rPr>
          <w:rFonts w:ascii="Arial" w:cs="Arial" w:eastAsia="Arial" w:hAnsi="Arial"/>
          <w:sz w:val="18"/>
          <w:szCs w:val="18"/>
          <w:color w:val="auto"/>
        </w:rPr>
        <w:t>(15)On January 6, 2016, Gilt Groupe Holdings, Inc., entered into an agreement and plan of merger with Lord and Taylor Acquisition, Inc. to acquire the outstanding Gilt Groupe Holdings, Inc., common stock for approximately $2.1697 per share less applicable costs of the transaction. These are estimates and are subject to change in connection with the final aggregate merger consideration.</w:t>
      </w:r>
    </w:p>
    <w:p>
      <w:pPr>
        <w:spacing w:after="0" w:line="200" w:lineRule="exact"/>
        <w:rPr>
          <w:sz w:val="20"/>
          <w:szCs w:val="20"/>
          <w:color w:val="auto"/>
        </w:rPr>
      </w:pPr>
    </w:p>
    <w:p>
      <w:pPr>
        <w:spacing w:after="0" w:line="311"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7" w:name="page88"/>
    <w:bookmarkEnd w:id="8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69"/>
        </w:trPr>
        <w:tc>
          <w:tcPr>
            <w:tcW w:w="2580" w:type="dxa"/>
            <w:vAlign w:val="bottom"/>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Twitter, Inc.</w:t>
            </w:r>
            <w:r>
              <w:rPr>
                <w:rFonts w:ascii="Arial" w:cs="Arial" w:eastAsia="Arial" w:hAnsi="Arial"/>
                <w:sz w:val="19"/>
                <w:szCs w:val="19"/>
                <w:b w:val="1"/>
                <w:bCs w:val="1"/>
                <w:color w:val="auto"/>
                <w:vertAlign w:val="superscript"/>
              </w:rPr>
              <w:t>**</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Communication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1,600,600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$ 27,551,563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$ 57,413,522</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35"/>
        </w:trPr>
        <w:tc>
          <w:tcPr>
            <w:tcW w:w="2580" w:type="dxa"/>
            <w:vAlign w:val="bottom"/>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Data Analysis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326,797</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1,008,968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2,490,193</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0.87%</w:t>
            </w:r>
          </w:p>
        </w:tc>
        <w:tc>
          <w:tcPr>
            <w:tcW w:w="0" w:type="dxa"/>
            <w:vAlign w:val="bottom"/>
          </w:tcPr>
          <w:p>
            <w:pPr>
              <w:spacing w:after="0"/>
              <w:rPr>
                <w:sz w:val="1"/>
                <w:szCs w:val="1"/>
                <w:color w:val="auto"/>
              </w:rPr>
            </w:pP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42,985,122</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7"/>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45,475,315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29"/>
        </w:trPr>
        <w:tc>
          <w:tcPr>
            <w:tcW w:w="2580" w:type="dxa"/>
            <w:vAlign w:val="bottom"/>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Storage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552,486</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10,552,483</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14,516,000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7"/>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25,068,483</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69"/>
        </w:trPr>
        <w:tc>
          <w:tcPr>
            <w:tcW w:w="2580" w:type="dxa"/>
            <w:vAlign w:val="bottom"/>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2U, Inc. (f/k/a 2tor, Inc.)</w:t>
            </w:r>
            <w:r>
              <w:rPr>
                <w:rFonts w:ascii="Arial" w:cs="Arial" w:eastAsia="Arial" w:hAnsi="Arial"/>
                <w:sz w:val="19"/>
                <w:szCs w:val="19"/>
                <w:b w:val="1"/>
                <w:bCs w:val="1"/>
                <w:color w:val="auto"/>
                <w:vertAlign w:val="superscript"/>
              </w:rPr>
              <w:t>(9) **</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Landover, MD</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1,319,233</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10,032,117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23,342,509</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35"/>
        </w:trPr>
        <w:tc>
          <w:tcPr>
            <w:tcW w:w="2580" w:type="dxa"/>
            <w:vAlign w:val="bottom"/>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2,961,399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14,510,855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35"/>
        </w:trPr>
        <w:tc>
          <w:tcPr>
            <w:tcW w:w="2580" w:type="dxa"/>
            <w:vAlign w:val="bottom"/>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Solexel,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Milpitas,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Solar Power</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1,613,413</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2,419,751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2,420,120</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5,300,158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11,598,648</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11,607,346</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7"/>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14,018,399</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14,027,466</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69"/>
        </w:trPr>
        <w:tc>
          <w:tcPr>
            <w:tcW w:w="2580" w:type="dxa"/>
            <w:vAlign w:val="bottom"/>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9"/>
                <w:szCs w:val="19"/>
                <w:b w:val="1"/>
                <w:bCs w:val="1"/>
                <w:color w:val="auto"/>
                <w:vertAlign w:val="superscript"/>
              </w:rPr>
              <w:t>(3)</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10,014,270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10,151,854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11,303,410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35"/>
        </w:trPr>
        <w:tc>
          <w:tcPr>
            <w:tcW w:w="2580" w:type="dxa"/>
            <w:vAlign w:val="bottom"/>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SugarCRM,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5"/>
              </w:rPr>
              <w:t>Cupertino,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Customer Relationship</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1,899,799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6,799,392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9,214,025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Manager</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373,134</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1,500,522</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2,046,909</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7"/>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8,299,914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11,260,934</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69"/>
        </w:trPr>
        <w:tc>
          <w:tcPr>
            <w:tcW w:w="2580" w:type="dxa"/>
            <w:vAlign w:val="bottom"/>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Daily News and</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922,509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4,999,999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4,999,999</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Information Site</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1,090,909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3,000,200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4,165,091</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1,573,000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8,500,199</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10,738,090</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8"/>
          </w:tcPr>
          <w:p>
            <w:pPr>
              <w:ind w:left="20"/>
              <w:spacing w:after="0" w:line="169" w:lineRule="exact"/>
              <w:rPr>
                <w:sz w:val="20"/>
                <w:szCs w:val="20"/>
                <w:color w:val="auto"/>
              </w:rPr>
            </w:pPr>
            <w:r>
              <w:rPr>
                <w:rFonts w:ascii="Arial" w:cs="Arial" w:eastAsia="Arial" w:hAnsi="Arial"/>
                <w:sz w:val="12"/>
                <w:szCs w:val="12"/>
                <w:b w:val="1"/>
                <w:bCs w:val="1"/>
                <w:color w:val="auto"/>
              </w:rPr>
              <w:t>Declara,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6"/>
              </w:rPr>
              <w:t>Palo Alto, CA</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Social Cognitive Learning</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5,358,195</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9,999,999</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10,019,825</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35"/>
        </w:trPr>
        <w:tc>
          <w:tcPr>
            <w:tcW w:w="2580" w:type="dxa"/>
            <w:vAlign w:val="bottom"/>
            <w:gridSpan w:val="8"/>
          </w:tcPr>
          <w:p>
            <w:pPr>
              <w:ind w:left="20"/>
              <w:spacing w:after="0" w:line="135"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9"/>
              </w:rPr>
              <w:t>Minneapolis, MN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Mobile Device Management</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73,440</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9,999,928</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9,999,590</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76"/>
        </w:trPr>
        <w:tc>
          <w:tcPr>
            <w:tcW w:w="2580" w:type="dxa"/>
            <w:vAlign w:val="bottom"/>
            <w:gridSpan w:val="8"/>
          </w:tcPr>
          <w:p>
            <w:pPr>
              <w:ind w:left="20"/>
              <w:spacing w:after="0" w:line="176" w:lineRule="exact"/>
              <w:rPr>
                <w:sz w:val="20"/>
                <w:szCs w:val="20"/>
                <w:color w:val="auto"/>
              </w:rPr>
            </w:pPr>
            <w:r>
              <w:rPr>
                <w:rFonts w:ascii="Arial" w:cs="Arial" w:eastAsia="Arial" w:hAnsi="Arial"/>
                <w:sz w:val="13"/>
                <w:szCs w:val="13"/>
                <w:b w:val="1"/>
                <w:bCs w:val="1"/>
                <w:color w:val="auto"/>
              </w:rPr>
              <w:t>Curious.com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Menlo Park, CA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2,839,861</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10,000,003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9,996,311</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76"/>
        </w:trPr>
        <w:tc>
          <w:tcPr>
            <w:tcW w:w="2580" w:type="dxa"/>
            <w:vAlign w:val="bottom"/>
            <w:gridSpan w:val="8"/>
          </w:tcPr>
          <w:p>
            <w:pPr>
              <w:ind w:left="20"/>
              <w:spacing w:after="0" w:line="176" w:lineRule="exact"/>
              <w:rPr>
                <w:sz w:val="20"/>
                <w:szCs w:val="20"/>
                <w:color w:val="auto"/>
              </w:rPr>
            </w:pPr>
            <w:r>
              <w:rPr>
                <w:rFonts w:ascii="Arial" w:cs="Arial" w:eastAsia="Arial" w:hAnsi="Arial"/>
                <w:sz w:val="13"/>
                <w:szCs w:val="13"/>
                <w:b w:val="1"/>
                <w:bCs w:val="1"/>
                <w:color w:val="auto"/>
              </w:rPr>
              <w:t>PayNearMe,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Cash Payment Network</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3,914,535</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10,000,401</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9,982,064</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-3352800</wp:posOffset>
            </wp:positionV>
            <wp:extent cx="5213985" cy="1117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-2957830</wp:posOffset>
            </wp:positionV>
            <wp:extent cx="5213985" cy="1117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-2160270</wp:posOffset>
            </wp:positionV>
            <wp:extent cx="5213985" cy="1117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-1457325</wp:posOffset>
            </wp:positionV>
            <wp:extent cx="5213985" cy="1117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-840105</wp:posOffset>
            </wp:positionV>
            <wp:extent cx="521398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8" w:name="page89"/>
    <w:bookmarkEnd w:id="8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Headquarters/Industry</w:t>
            </w:r>
          </w:p>
        </w:tc>
        <w:tc>
          <w:tcPr>
            <w:tcW w:w="10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11"/>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69"/>
        </w:trPr>
        <w:tc>
          <w:tcPr>
            <w:tcW w:w="2580" w:type="dxa"/>
            <w:vAlign w:val="bottom"/>
            <w:gridSpan w:val="11"/>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b w:val="1"/>
                <w:bCs w:val="1"/>
                <w:color w:val="auto"/>
                <w:vertAlign w:val="superscript"/>
              </w:rPr>
              <w:t>(2)(5)</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Scottsdale, AZ</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Interactive Learning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2,779,134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4,000,787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4,338,830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3,279,629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2,019,687</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4,347,608</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366,666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391,592</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30"/>
        </w:trPr>
        <w:tc>
          <w:tcPr>
            <w:tcW w:w="25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Preferred Unit Warrants $1.76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1/6/15</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568,753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0"/>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9,078,030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29"/>
        </w:trPr>
        <w:tc>
          <w:tcPr>
            <w:tcW w:w="25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Santa Clara,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Textbook Rental</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1,182,792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14,022,863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8,173,093</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Stock</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Light Field Imaging Platform</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2,533,784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126,552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3,125,467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2,999,957</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0"/>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6,125,424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29"/>
        </w:trPr>
        <w:tc>
          <w:tcPr>
            <w:tcW w:w="25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Music Streaming Service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3,658</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3,598,472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5,676,873</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8"/>
              </w:rPr>
              <w:t>Orchestra One, Inc. (f/k/a Learnist Inc.)</w:t>
            </w:r>
          </w:p>
        </w:tc>
        <w:tc>
          <w:tcPr>
            <w:tcW w:w="100" w:type="dxa"/>
            <w:vAlign w:val="bottom"/>
            <w:shd w:val="clear" w:color="auto" w:fill="CCEEFF"/>
          </w:tcPr>
          <w:p>
            <w:pPr>
              <w:spacing w:after="0"/>
              <w:rPr>
                <w:sz w:val="11"/>
                <w:szCs w:val="11"/>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(1)</w:t>
            </w:r>
          </w:p>
        </w:tc>
        <w:tc>
          <w:tcPr>
            <w:tcW w:w="14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CCEEFF"/>
            </w:tcBorders>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left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5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shares, Series F</w:t>
            </w:r>
          </w:p>
        </w:tc>
        <w:tc>
          <w:tcPr>
            <w:tcW w:w="100" w:type="dxa"/>
            <w:vAlign w:val="bottom"/>
          </w:tcPr>
          <w:p>
            <w:pPr>
              <w:spacing w:after="0"/>
              <w:rPr>
                <w:sz w:val="11"/>
                <w:szCs w:val="11"/>
                <w:color w:val="auto"/>
              </w:rPr>
            </w:pPr>
          </w:p>
        </w:tc>
        <w:tc>
          <w:tcPr>
            <w:tcW w:w="1840" w:type="dxa"/>
            <w:vAlign w:val="bottom"/>
          </w:tcPr>
          <w:p>
            <w:pPr>
              <w:jc w:val="center"/>
              <w:spacing w:after="0" w:line="130" w:lineRule="exact"/>
              <w:rPr>
                <w:sz w:val="20"/>
                <w:szCs w:val="20"/>
                <w:color w:val="auto"/>
              </w:rPr>
            </w:pPr>
            <w:r>
              <w:rPr>
                <w:rFonts w:ascii="Arial" w:cs="Arial" w:eastAsia="Arial" w:hAnsi="Arial"/>
                <w:sz w:val="14"/>
                <w:szCs w:val="14"/>
                <w:color w:val="auto"/>
                <w:w w:val="93"/>
              </w:rPr>
              <w:t>Consumer Health</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Technology</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1,242,928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1,450,000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1,450,000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1,731,501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1,503,670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1,610,296</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2,728,252</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2,005,945</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2,319,014</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4,959,615</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5,379,310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1"/>
          </w:tcPr>
          <w:p>
            <w:pPr>
              <w:ind w:left="20"/>
              <w:spacing w:after="0" w:line="129" w:lineRule="exact"/>
              <w:rPr>
                <w:sz w:val="20"/>
                <w:szCs w:val="20"/>
                <w:color w:val="auto"/>
              </w:rPr>
            </w:pPr>
            <w:r>
              <w:rPr>
                <w:rFonts w:ascii="Arial" w:cs="Arial" w:eastAsia="Arial" w:hAnsi="Arial"/>
                <w:sz w:val="14"/>
                <w:szCs w:val="14"/>
                <w:b w:val="1"/>
                <w:bCs w:val="1"/>
                <w:color w:val="auto"/>
              </w:rPr>
              <w:t>Knewton,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7"/>
              </w:rPr>
              <w:t>New York, NY</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375,985</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4,999,999</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5,000,601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35"/>
        </w:trPr>
        <w:tc>
          <w:tcPr>
            <w:tcW w:w="25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6"/>
              </w:rPr>
              <w:t>Redwood City, CA</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2,145,509</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5,000,001</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35"/>
        </w:trPr>
        <w:tc>
          <w:tcPr>
            <w:tcW w:w="25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Lyft,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Peer to Peer Ridesharing</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493,490</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5,003,634</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4,999,054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76"/>
        </w:trPr>
        <w:tc>
          <w:tcPr>
            <w:tcW w:w="258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GSV Sustainability Partners</w:t>
            </w:r>
            <w:r>
              <w:rPr>
                <w:rFonts w:ascii="Arial" w:cs="Arial" w:eastAsia="Arial" w:hAnsi="Arial"/>
                <w:sz w:val="20"/>
                <w:szCs w:val="20"/>
                <w:b w:val="1"/>
                <w:bCs w:val="1"/>
                <w:color w:val="auto"/>
                <w:vertAlign w:val="superscript"/>
              </w:rPr>
              <w:t>(2)</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Clean Technology</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9,700,000</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4,851,256</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4,850,000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4,861,256</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4,860,000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1"/>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6"/>
              </w:rPr>
              <w:t>Cambridge, MA</w:t>
            </w: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Business Education</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1,655,167</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2,956,022</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3,111,714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1,728,724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3,193,444</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1,625,001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30"/>
        </w:trPr>
        <w:tc>
          <w:tcPr>
            <w:tcW w:w="25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186,170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67,021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Arial" w:cs="Arial" w:eastAsia="Arial" w:hAnsi="Arial"/>
                <w:sz w:val="14"/>
                <w:szCs w:val="14"/>
                <w:color w:val="auto"/>
              </w:rPr>
              <w:t>Expiration Date 5/16/2019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192,308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23,244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1,923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4/3/2019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412,088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50,970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Arial" w:cs="Arial" w:eastAsia="Arial" w:hAnsi="Arial"/>
                <w:sz w:val="14"/>
                <w:szCs w:val="14"/>
                <w:color w:val="auto"/>
              </w:rPr>
              <w:t>Expiration Date 2/18/2019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714,286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85,779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7,143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12/11/2018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82,418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Arial" w:cs="Arial" w:eastAsia="Arial" w:hAnsi="Arial"/>
                <w:sz w:val="14"/>
                <w:szCs w:val="14"/>
                <w:color w:val="auto"/>
              </w:rPr>
              <w:t>Expiration Date 10/09/2018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82,418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9,901</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6,396,180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4,753,412</w:t>
            </w:r>
          </w:p>
        </w:tc>
        <w:tc>
          <w:tcPr>
            <w:tcW w:w="840" w:type="dxa"/>
            <w:vAlign w:val="bottom"/>
            <w:tcBorders>
              <w:lef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-4295775</wp:posOffset>
            </wp:positionV>
            <wp:extent cx="5213985" cy="1117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-3524250</wp:posOffset>
            </wp:positionV>
            <wp:extent cx="5213985" cy="1117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-2546350</wp:posOffset>
            </wp:positionV>
            <wp:extent cx="5213985" cy="1028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-1560195</wp:posOffset>
            </wp:positionV>
            <wp:extent cx="521398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9" w:name="page90"/>
    <w:bookmarkEnd w:id="8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25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1"/>
                <w:szCs w:val="11"/>
                <w:color w:val="auto"/>
              </w:rPr>
            </w:pPr>
          </w:p>
        </w:tc>
        <w:tc>
          <w:tcPr>
            <w:tcW w:w="8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Whittle Schools, LLC</w:t>
            </w:r>
            <w:r>
              <w:rPr>
                <w:rFonts w:ascii="Arial" w:cs="Arial" w:eastAsia="Arial" w:hAnsi="Arial"/>
                <w:sz w:val="19"/>
                <w:szCs w:val="19"/>
                <w:b w:val="1"/>
                <w:bCs w:val="1"/>
                <w:color w:val="auto"/>
                <w:vertAlign w:val="superscript"/>
              </w:rPr>
              <w:t>(1)(4)</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Globally-focused</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3,000,000</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3,000,000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Private School</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1,577,097</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4,577,097</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4,500,000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CUX, Inc. (d/b/a CorpU)</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60" w:type="dxa"/>
            <w:vAlign w:val="bottom"/>
            <w:gridSpan w:val="8"/>
          </w:tcPr>
          <w:p>
            <w:pPr>
              <w:ind w:left="180"/>
              <w:spacing w:after="0" w:line="159" w:lineRule="exact"/>
              <w:rPr>
                <w:sz w:val="20"/>
                <w:szCs w:val="20"/>
                <w:color w:val="auto"/>
              </w:rPr>
            </w:pPr>
            <w:r>
              <w:rPr>
                <w:rFonts w:ascii="Arial" w:cs="Arial" w:eastAsia="Arial" w:hAnsi="Arial"/>
                <w:sz w:val="14"/>
                <w:szCs w:val="14"/>
                <w:color w:val="auto"/>
              </w:rPr>
              <w:t>Promissory Note 8% Due</w:t>
            </w: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40" w:type="dxa"/>
            <w:vAlign w:val="bottom"/>
            <w:gridSpan w:val="5"/>
          </w:tcPr>
          <w:p>
            <w:pPr>
              <w:ind w:left="200"/>
              <w:spacing w:after="0" w:line="198" w:lineRule="exact"/>
              <w:rPr>
                <w:sz w:val="20"/>
                <w:szCs w:val="20"/>
                <w:color w:val="auto"/>
              </w:rPr>
            </w:pPr>
            <w:r>
              <w:rPr>
                <w:rFonts w:ascii="Arial" w:cs="Arial" w:eastAsia="Arial" w:hAnsi="Arial"/>
                <w:sz w:val="14"/>
                <w:szCs w:val="14"/>
                <w:color w:val="auto"/>
                <w:w w:val="98"/>
              </w:rPr>
              <w:t>11/26/2018</w:t>
            </w:r>
            <w:r>
              <w:rPr>
                <w:rFonts w:ascii="Arial" w:cs="Arial" w:eastAsia="Arial" w:hAnsi="Arial"/>
                <w:sz w:val="22"/>
                <w:szCs w:val="22"/>
                <w:color w:val="auto"/>
                <w:w w:val="98"/>
                <w:vertAlign w:val="superscript"/>
              </w:rPr>
              <w:t>(12)***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Corporate Education</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1,000,000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1,007,671</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778,607</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716,066</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2,006,077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2,292,582</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Expiration Date 02/25/2018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12,508</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3,784,684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4,028,827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29"/>
        </w:trPr>
        <w:tc>
          <w:tcPr>
            <w:tcW w:w="2580" w:type="dxa"/>
            <w:vAlign w:val="bottom"/>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Scottsdale, AZ</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E-Transcript Exchange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4,000,982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4,000,640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right w:val="single" w:sz="8" w:color="CCEEFF"/>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Hong Kong</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4,335,769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3,995,221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Dataminr,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Social Media Analytics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301,369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1,100,909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1,075,425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904,977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2,063,356</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2,869,320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3,944,745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NestGSV, Inc. (d/b/a GSV Labs, Inc.),</w:t>
            </w:r>
            <w:r>
              <w:rPr>
                <w:rFonts w:ascii="Arial" w:cs="Arial" w:eastAsia="Arial" w:hAnsi="Arial"/>
                <w:sz w:val="19"/>
                <w:szCs w:val="19"/>
                <w:b w:val="1"/>
                <w:bCs w:val="1"/>
                <w:color w:val="auto"/>
                <w:vertAlign w:val="superscript"/>
              </w:rPr>
              <w:t>(2)</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Redwood City,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Incubator</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1,095,418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1,404,499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1,460,557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1,561,625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2,005,730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1,503,832</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605,500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265,980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1,021,778</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Preferred Warrant Series D – $1.33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4"/>
              </w:rPr>
              <w:t>Preferred warrants, Series C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Price, Expiration Date 4/9/2019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24,375</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5,038,507</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3,760,744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Bloom Energy Corporation</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4"/>
              </w:rPr>
              <w:t>Sunnyvale, CA</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Fuel Cell Energy</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201,589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3,855,601</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3,357,969</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Gilt Groupe Holdings,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e-Commerce Flash Sales</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248,600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6,594,433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3,168,108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6"/>
        </w:trPr>
        <w:tc>
          <w:tcPr>
            <w:tcW w:w="2580" w:type="dxa"/>
            <w:vAlign w:val="bottom"/>
            <w:gridSpan w:val="9"/>
          </w:tcPr>
          <w:p>
            <w:pPr>
              <w:ind w:left="20"/>
              <w:spacing w:after="0" w:line="176" w:lineRule="exact"/>
              <w:rPr>
                <w:sz w:val="20"/>
                <w:szCs w:val="20"/>
                <w:color w:val="auto"/>
              </w:rPr>
            </w:pPr>
            <w:r>
              <w:rPr>
                <w:rFonts w:ascii="Arial" w:cs="Arial" w:eastAsia="Arial" w:hAnsi="Arial"/>
                <w:sz w:val="13"/>
                <w:szCs w:val="13"/>
                <w:b w:val="1"/>
                <w:bCs w:val="1"/>
                <w:color w:val="auto"/>
              </w:rPr>
              <w:t>SharesPost, Inc.</w:t>
            </w:r>
            <w:r>
              <w:rPr>
                <w:rFonts w:ascii="Arial" w:cs="Arial" w:eastAsia="Arial" w:hAnsi="Arial"/>
                <w:sz w:val="20"/>
                <w:szCs w:val="20"/>
                <w:b w:val="1"/>
                <w:bCs w:val="1"/>
                <w:color w:val="auto"/>
                <w:vertAlign w:val="superscript"/>
              </w:rPr>
              <w:t>(1)(6)</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San Bruno, CA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Online Marketplace Finance</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2,259,716</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2,249,999</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6/15/2018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770,934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23,128</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485,688</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2,282,844</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2,735,687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DogVacay,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5"/>
              </w:rPr>
              <w:t>Santa Monica, CA</w:t>
            </w:r>
          </w:p>
        </w:tc>
        <w:tc>
          <w:tcPr>
            <w:tcW w:w="1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Dog Boarding</w:t>
            </w: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514,562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2,506,119</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2,505,917</w:t>
            </w:r>
          </w:p>
        </w:tc>
        <w:tc>
          <w:tcPr>
            <w:tcW w:w="840" w:type="dxa"/>
            <w:vAlign w:val="bottom"/>
            <w:tcBorders>
              <w:lef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-4081145</wp:posOffset>
            </wp:positionV>
            <wp:extent cx="5213985" cy="1117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-3163570</wp:posOffset>
            </wp:positionV>
            <wp:extent cx="5213985" cy="1117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-2272030</wp:posOffset>
            </wp:positionV>
            <wp:extent cx="5213985" cy="1117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-1088390</wp:posOffset>
            </wp:positionV>
            <wp:extent cx="5213985" cy="1028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5213985" cy="102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0" w:name="page91"/>
    <w:bookmarkEnd w:id="9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33"/>
        </w:trPr>
        <w:tc>
          <w:tcPr>
            <w:tcW w:w="258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6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12"/>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29" w:lineRule="exact"/>
              <w:rPr>
                <w:sz w:val="20"/>
                <w:szCs w:val="20"/>
                <w:color w:val="auto"/>
              </w:rPr>
            </w:pPr>
            <w:r>
              <w:rPr>
                <w:rFonts w:ascii="Arial" w:cs="Arial" w:eastAsia="Arial" w:hAnsi="Arial"/>
                <w:sz w:val="14"/>
                <w:szCs w:val="14"/>
                <w:color w:val="auto"/>
                <w:w w:val="95"/>
              </w:rPr>
              <w:t>Bellevue, WA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2"/>
              </w:rPr>
              <w:t>Education Technology</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7,159,221</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1,606,388</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803,194</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2,409,582</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00" w:type="dxa"/>
            <w:vAlign w:val="bottom"/>
            <w:tcBorders>
              <w:top w:val="single" w:sz="8" w:color="auto"/>
              <w:left w:val="single" w:sz="8" w:color="CCEEFF"/>
            </w:tcBorders>
            <w:gridSpan w:val="11"/>
            <w:shd w:val="clear" w:color="auto" w:fill="CCEEFF"/>
          </w:tcPr>
          <w:p>
            <w:pPr>
              <w:ind w:left="20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4"/>
                <w:szCs w:val="14"/>
                <w:color w:val="auto"/>
              </w:rPr>
              <w:t>New York, NY</w:t>
            </w:r>
          </w:p>
        </w:tc>
        <w:tc>
          <w:tcPr>
            <w:tcW w:w="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gridSpan w:val="12"/>
          </w:tcPr>
          <w:p>
            <w:pPr>
              <w:ind w:left="20"/>
              <w:spacing w:after="0" w:line="183" w:lineRule="exact"/>
              <w:rPr>
                <w:sz w:val="20"/>
                <w:szCs w:val="20"/>
                <w:color w:val="auto"/>
              </w:rPr>
            </w:pPr>
            <w:r>
              <w:rPr>
                <w:rFonts w:ascii="Arial" w:cs="Arial" w:eastAsia="Arial" w:hAnsi="Arial"/>
                <w:sz w:val="13"/>
                <w:szCs w:val="13"/>
                <w:color w:val="auto"/>
              </w:rPr>
              <w:t>Term Loan, 12%, 09/30/15</w:t>
            </w:r>
            <w:r>
              <w:rPr>
                <w:rFonts w:ascii="Arial" w:cs="Arial" w:eastAsia="Arial" w:hAnsi="Arial"/>
                <w:sz w:val="21"/>
                <w:szCs w:val="21"/>
                <w:color w:val="auto"/>
                <w:vertAlign w:val="superscript"/>
              </w:rPr>
              <w:t>***</w:t>
            </w:r>
          </w:p>
        </w:tc>
        <w:tc>
          <w:tcPr>
            <w:tcW w:w="216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272,500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283,901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288,114</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206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Sports Analytics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1,462,269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1,496,059</w:t>
            </w:r>
          </w:p>
        </w:tc>
        <w:tc>
          <w:tcPr>
            <w:tcW w:w="9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1,705,006</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gridSpan w:val="12"/>
          </w:tcPr>
          <w:p>
            <w:pPr>
              <w:ind w:left="200"/>
              <w:spacing w:after="0"/>
              <w:rPr>
                <w:sz w:val="20"/>
                <w:szCs w:val="20"/>
                <w:color w:val="auto"/>
              </w:rPr>
            </w:pPr>
            <w:r>
              <w:rPr>
                <w:rFonts w:ascii="Arial" w:cs="Arial" w:eastAsia="Arial" w:hAnsi="Arial"/>
                <w:sz w:val="14"/>
                <w:szCs w:val="14"/>
                <w:color w:val="auto"/>
              </w:rPr>
              <w:t>Expiration Date 08/29/2021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175,815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58,019</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0"/>
        </w:trPr>
        <w:tc>
          <w:tcPr>
            <w:tcW w:w="2580" w:type="dxa"/>
            <w:vAlign w:val="bottom"/>
            <w:tcBorders>
              <w:left w:val="single" w:sz="8" w:color="CCEEFF"/>
            </w:tcBorders>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12"/>
            <w:shd w:val="clear" w:color="auto" w:fill="CCEEFF"/>
          </w:tcPr>
          <w:p>
            <w:pPr>
              <w:ind w:left="200"/>
              <w:spacing w:after="0"/>
              <w:rPr>
                <w:sz w:val="20"/>
                <w:szCs w:val="20"/>
                <w:color w:val="auto"/>
              </w:rPr>
            </w:pPr>
            <w:r>
              <w:rPr>
                <w:rFonts w:ascii="Arial" w:cs="Arial" w:eastAsia="Arial" w:hAnsi="Arial"/>
                <w:sz w:val="14"/>
                <w:szCs w:val="14"/>
                <w:color w:val="auto"/>
              </w:rPr>
              <w:t>Expiration Date 09/30/2020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64,322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Preferred warrants, $1.16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gridSpan w:val="12"/>
          </w:tcPr>
          <w:p>
            <w:pPr>
              <w:ind w:left="20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12,736</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tcBorders>
              <w:left w:val="single" w:sz="8" w:color="CCEEFF"/>
            </w:tcBorders>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12"/>
            <w:shd w:val="clear" w:color="auto" w:fill="CCEEFF"/>
          </w:tcPr>
          <w:p>
            <w:pPr>
              <w:ind w:left="200"/>
              <w:spacing w:after="0"/>
              <w:rPr>
                <w:sz w:val="20"/>
                <w:szCs w:val="20"/>
                <w:color w:val="auto"/>
              </w:rPr>
            </w:pPr>
            <w:r>
              <w:rPr>
                <w:rFonts w:ascii="Arial" w:cs="Arial" w:eastAsia="Arial" w:hAnsi="Arial"/>
                <w:sz w:val="14"/>
                <w:szCs w:val="14"/>
                <w:color w:val="auto"/>
              </w:rPr>
              <w:t>Expiration Date 11/21/2017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31,354</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165,000</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1,811,314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2,293,197</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12"/>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2"/>
              </w:rPr>
              <w:t>San Francisco, CA</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Knowledge Networks</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2,000,447</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1,999,998</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217,206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2,249,689</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29" w:lineRule="exact"/>
              <w:rPr>
                <w:sz w:val="20"/>
                <w:szCs w:val="20"/>
                <w:color w:val="auto"/>
              </w:rPr>
            </w:pPr>
            <w:r>
              <w:rPr>
                <w:rFonts w:ascii="Arial" w:cs="Arial" w:eastAsia="Arial" w:hAnsi="Arial"/>
                <w:sz w:val="14"/>
                <w:szCs w:val="14"/>
                <w:color w:val="auto"/>
                <w:w w:val="92"/>
              </w:rPr>
              <w:t>San Francisco,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Series B Preferred Stock</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2"/>
              </w:rPr>
              <w:t>Education Software</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2,000,001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2,000,001</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12"/>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3"/>
              </w:rPr>
              <w:t>Woodside, CA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Social Media</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4,465,925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876,023</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491,252</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1,066,626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1,027,391</w:t>
            </w:r>
          </w:p>
        </w:tc>
        <w:tc>
          <w:tcPr>
            <w:tcW w:w="9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629,309</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Preferred warrants Series A, $1.00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gridSpan w:val="12"/>
          </w:tcPr>
          <w:p>
            <w:pPr>
              <w:ind w:left="200"/>
              <w:spacing w:after="0"/>
              <w:rPr>
                <w:sz w:val="20"/>
                <w:szCs w:val="20"/>
                <w:color w:val="auto"/>
              </w:rPr>
            </w:pPr>
            <w:r>
              <w:rPr>
                <w:rFonts w:ascii="Arial" w:cs="Arial" w:eastAsia="Arial" w:hAnsi="Arial"/>
                <w:sz w:val="14"/>
                <w:szCs w:val="14"/>
                <w:color w:val="auto"/>
              </w:rPr>
              <w:t>price, expire 1/9/2017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109,375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tcBorders>
              <w:left w:val="single" w:sz="8" w:color="CCEEFF"/>
            </w:tcBorders>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Preferred warrants Series A-1, $0.19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Borders>
              <w:left w:val="single" w:sz="8" w:color="CCEEFF"/>
            </w:tcBorders>
            <w:gridSpan w:val="12"/>
            <w:shd w:val="clear" w:color="auto" w:fill="CCEEFF"/>
          </w:tcPr>
          <w:p>
            <w:pPr>
              <w:ind w:left="200"/>
              <w:spacing w:after="0"/>
              <w:rPr>
                <w:sz w:val="20"/>
                <w:szCs w:val="20"/>
                <w:color w:val="auto"/>
              </w:rPr>
            </w:pPr>
            <w:r>
              <w:rPr>
                <w:rFonts w:ascii="Arial" w:cs="Arial" w:eastAsia="Arial" w:hAnsi="Arial"/>
                <w:sz w:val="14"/>
                <w:szCs w:val="14"/>
                <w:color w:val="auto"/>
              </w:rPr>
              <w:t>price, expire 12/31/2014</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1,313,508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1,903,414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1,120,561</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AliphCom, Inc. (d/b/a Jawbone)</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29" w:lineRule="exact"/>
              <w:rPr>
                <w:sz w:val="20"/>
                <w:szCs w:val="20"/>
                <w:color w:val="auto"/>
              </w:rPr>
            </w:pPr>
            <w:r>
              <w:rPr>
                <w:rFonts w:ascii="Arial" w:cs="Arial" w:eastAsia="Arial" w:hAnsi="Arial"/>
                <w:sz w:val="14"/>
                <w:szCs w:val="14"/>
                <w:color w:val="auto"/>
                <w:w w:val="92"/>
              </w:rPr>
              <w:t>San Francisco,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Smart Device Company</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793,152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1,013,217</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35" w:lineRule="exact"/>
              <w:rPr>
                <w:sz w:val="20"/>
                <w:szCs w:val="20"/>
                <w:color w:val="auto"/>
              </w:rPr>
            </w:pPr>
            <w:r>
              <w:rPr>
                <w:rFonts w:ascii="Arial" w:cs="Arial" w:eastAsia="Arial" w:hAnsi="Arial"/>
                <w:sz w:val="14"/>
                <w:szCs w:val="14"/>
                <w:color w:val="auto"/>
                <w:w w:val="97"/>
              </w:rPr>
              <w:t>Menlo Park,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2"/>
              </w:rPr>
              <w:t>Online Shopping</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879,198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1,002,440</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1,002,440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12"/>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Strategic Data Command, LLC</w:t>
            </w:r>
            <w:r>
              <w:rPr>
                <w:rFonts w:ascii="Arial" w:cs="Arial" w:eastAsia="Arial" w:hAnsi="Arial"/>
                <w:sz w:val="20"/>
                <w:szCs w:val="20"/>
                <w:b w:val="1"/>
                <w:bCs w:val="1"/>
                <w:color w:val="auto"/>
                <w:vertAlign w:val="superscript"/>
              </w:rPr>
              <w:t>(1)(7)</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4"/>
              </w:rPr>
              <w:t>Sunnyvale, CA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Software Development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1,001,650</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1,000,000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76"/>
        </w:trPr>
        <w:tc>
          <w:tcPr>
            <w:tcW w:w="2580" w:type="dxa"/>
            <w:vAlign w:val="bottom"/>
            <w:tcBorders>
              <w:left w:val="single" w:sz="8" w:color="CCEEFF"/>
            </w:tcBorders>
            <w:gridSpan w:val="12"/>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EdSurge,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7"/>
              </w:rPr>
              <w:t>Burlingame, CA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Education Media Platform</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494,365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500,801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505,328</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22"/>
        </w:trPr>
        <w:tc>
          <w:tcPr>
            <w:tcW w:w="1980" w:type="dxa"/>
            <w:vAlign w:val="bottom"/>
            <w:tcBorders>
              <w:left w:val="single" w:sz="8" w:color="CCEEFF"/>
              <w:bottom w:val="single" w:sz="8" w:color="CCEEFF"/>
              <w:right w:val="single" w:sz="8" w:color="CCEEFF"/>
            </w:tcBorders>
            <w:gridSpan w:val="9"/>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95"/>
              </w:rPr>
              <w:t>Cricket Media (f/k/a ePals Inc.)</w:t>
            </w:r>
          </w:p>
        </w:tc>
        <w:tc>
          <w:tcPr>
            <w:tcW w:w="8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w w:val="76"/>
              </w:rPr>
              <w:t>**</w:t>
            </w:r>
          </w:p>
        </w:tc>
        <w:tc>
          <w:tcPr>
            <w:tcW w:w="520" w:type="dxa"/>
            <w:vAlign w:val="bottom"/>
            <w:tcBorders>
              <w:bottom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2"/>
                <w:szCs w:val="12"/>
                <w:b w:val="1"/>
                <w:bCs w:val="1"/>
                <w:color w:val="auto"/>
                <w:w w:val="88"/>
              </w:rPr>
              <w:t>(1)(8)</w:t>
            </w:r>
          </w:p>
        </w:tc>
        <w:tc>
          <w:tcPr>
            <w:tcW w:w="100" w:type="dxa"/>
            <w:vAlign w:val="bottom"/>
            <w:tcBorders>
              <w:bottom w:val="single" w:sz="8" w:color="CCEEFF"/>
            </w:tcBorders>
            <w:shd w:val="clear" w:color="auto" w:fill="CCEEFF"/>
          </w:tcPr>
          <w:p>
            <w:pPr>
              <w:spacing w:after="0"/>
              <w:rPr>
                <w:sz w:val="10"/>
                <w:szCs w:val="10"/>
                <w:color w:val="auto"/>
              </w:rPr>
            </w:pPr>
          </w:p>
        </w:tc>
        <w:tc>
          <w:tcPr>
            <w:tcW w:w="2060" w:type="dxa"/>
            <w:vAlign w:val="bottom"/>
            <w:tcBorders>
              <w:bottom w:val="single" w:sz="8" w:color="CCEEFF"/>
            </w:tcBorders>
            <w:gridSpan w:val="3"/>
            <w:vMerge w:val="restart"/>
            <w:shd w:val="clear" w:color="auto" w:fill="CCEEFF"/>
          </w:tcPr>
          <w:p>
            <w:pPr>
              <w:jc w:val="center"/>
              <w:ind w:right="180"/>
              <w:spacing w:after="0"/>
              <w:rPr>
                <w:sz w:val="20"/>
                <w:szCs w:val="20"/>
                <w:color w:val="auto"/>
              </w:rPr>
            </w:pPr>
            <w:r>
              <w:rPr>
                <w:rFonts w:ascii="Arial" w:cs="Arial" w:eastAsia="Arial" w:hAnsi="Arial"/>
                <w:sz w:val="14"/>
                <w:szCs w:val="14"/>
                <w:color w:val="auto"/>
                <w:w w:val="94"/>
              </w:rPr>
              <w:t>Herndon, VA</w:t>
            </w:r>
          </w:p>
        </w:tc>
        <w:tc>
          <w:tcPr>
            <w:tcW w:w="7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right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right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980" w:type="dxa"/>
            <w:vAlign w:val="bottom"/>
            <w:tcBorders>
              <w:left w:val="single" w:sz="8" w:color="CCEEFF"/>
              <w:right w:val="single" w:sz="8" w:color="CCEEFF"/>
            </w:tcBorders>
            <w:gridSpan w:val="9"/>
            <w:vMerge w:val="continue"/>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gridSpan w:val="2"/>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gridSpan w:val="3"/>
            <w:vMerge w:val="continue"/>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Online Education</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1,333,333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2,448,959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331,126</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Neuron Fuel,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35" w:lineRule="exact"/>
              <w:rPr>
                <w:sz w:val="20"/>
                <w:szCs w:val="20"/>
                <w:color w:val="auto"/>
              </w:rPr>
            </w:pPr>
            <w:r>
              <w:rPr>
                <w:rFonts w:ascii="Arial" w:cs="Arial" w:eastAsia="Arial" w:hAnsi="Arial"/>
                <w:sz w:val="14"/>
                <w:szCs w:val="14"/>
                <w:color w:val="auto"/>
                <w:w w:val="88"/>
              </w:rPr>
              <w:t>San Jose,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AAI</w:t>
            </w:r>
          </w:p>
        </w:tc>
        <w:tc>
          <w:tcPr>
            <w:tcW w:w="100" w:type="dxa"/>
            <w:vAlign w:val="bottom"/>
          </w:tcPr>
          <w:p>
            <w:pPr>
              <w:spacing w:after="0"/>
              <w:rPr>
                <w:sz w:val="12"/>
                <w:szCs w:val="12"/>
                <w:color w:val="auto"/>
              </w:rPr>
            </w:pPr>
          </w:p>
        </w:tc>
        <w:tc>
          <w:tcPr>
            <w:tcW w:w="206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2"/>
              </w:rPr>
              <w:t>Computer Software</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262,530</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246,160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New Zoom, Inc.</w:t>
            </w:r>
          </w:p>
        </w:tc>
        <w:tc>
          <w:tcPr>
            <w:tcW w:w="10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jc w:val="center"/>
              <w:ind w:right="180"/>
              <w:spacing w:after="0" w:line="135" w:lineRule="exact"/>
              <w:rPr>
                <w:sz w:val="20"/>
                <w:szCs w:val="20"/>
                <w:color w:val="auto"/>
              </w:rPr>
            </w:pPr>
            <w:r>
              <w:rPr>
                <w:rFonts w:ascii="Arial" w:cs="Arial" w:eastAsia="Arial" w:hAnsi="Arial"/>
                <w:sz w:val="14"/>
                <w:szCs w:val="14"/>
                <w:color w:val="auto"/>
                <w:w w:val="92"/>
              </w:rPr>
              <w:t>San Francisco, CA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12"/>
          </w:tcPr>
          <w:p>
            <w:pPr>
              <w:ind w:left="20"/>
              <w:spacing w:after="0"/>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5"/>
                <w:szCs w:val="15"/>
                <w:color w:val="auto"/>
              </w:rPr>
            </w:pPr>
          </w:p>
        </w:tc>
        <w:tc>
          <w:tcPr>
            <w:tcW w:w="2060" w:type="dxa"/>
            <w:vAlign w:val="bottom"/>
            <w:gridSpan w:val="3"/>
          </w:tcPr>
          <w:p>
            <w:pPr>
              <w:jc w:val="center"/>
              <w:ind w:right="180"/>
              <w:spacing w:after="0"/>
              <w:rPr>
                <w:sz w:val="20"/>
                <w:szCs w:val="20"/>
                <w:color w:val="auto"/>
              </w:rPr>
            </w:pPr>
            <w:r>
              <w:rPr>
                <w:rFonts w:ascii="Arial" w:cs="Arial" w:eastAsia="Arial" w:hAnsi="Arial"/>
                <w:sz w:val="14"/>
                <w:szCs w:val="14"/>
                <w:color w:val="auto"/>
                <w:w w:val="92"/>
              </w:rPr>
              <w:t>Retail Machines</w:t>
            </w:r>
          </w:p>
        </w:tc>
        <w:tc>
          <w:tcPr>
            <w:tcW w:w="760" w:type="dxa"/>
            <w:vAlign w:val="bottom"/>
          </w:tcPr>
          <w:p>
            <w:pPr>
              <w:jc w:val="right"/>
              <w:spacing w:after="0"/>
              <w:rPr>
                <w:sz w:val="20"/>
                <w:szCs w:val="20"/>
                <w:color w:val="auto"/>
              </w:rPr>
            </w:pPr>
            <w:r>
              <w:rPr>
                <w:rFonts w:ascii="Arial" w:cs="Arial" w:eastAsia="Arial" w:hAnsi="Arial"/>
                <w:sz w:val="14"/>
                <w:szCs w:val="14"/>
                <w:color w:val="auto"/>
              </w:rPr>
              <w:t>1,250,000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260,476</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230,469</w:t>
            </w: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-4231640</wp:posOffset>
            </wp:positionV>
            <wp:extent cx="5213985" cy="1117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-2936240</wp:posOffset>
            </wp:positionV>
            <wp:extent cx="5213985" cy="1117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-2516505</wp:posOffset>
            </wp:positionV>
            <wp:extent cx="5213985" cy="1117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-1530350</wp:posOffset>
            </wp:positionV>
            <wp:extent cx="5213985" cy="1117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1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52139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25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vMerge w:val="restart"/>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1"/>
                <w:szCs w:val="11"/>
                <w:color w:val="auto"/>
              </w:rPr>
            </w:pPr>
          </w:p>
        </w:tc>
        <w:tc>
          <w:tcPr>
            <w:tcW w:w="66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gridSpan w:val="9"/>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29"/>
        </w:trPr>
        <w:tc>
          <w:tcPr>
            <w:tcW w:w="26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4C Insights (f/k/a The Echo Systems</w:t>
            </w: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220" w:type="dxa"/>
            <w:vAlign w:val="bottom"/>
            <w:tcBorders>
              <w:top w:val="single" w:sz="8" w:color="auto"/>
            </w:tcBorders>
            <w:gridSpan w:val="7"/>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440" w:type="dxa"/>
            <w:vAlign w:val="bottom"/>
            <w:tcBorders>
              <w:top w:val="single" w:sz="8" w:color="CCEEFF"/>
            </w:tcBorders>
            <w:gridSpan w:val="2"/>
            <w:shd w:val="clear" w:color="auto" w:fill="CCEEFF"/>
          </w:tcPr>
          <w:p>
            <w:pPr>
              <w:spacing w:after="0"/>
              <w:rPr>
                <w:sz w:val="11"/>
                <w:szCs w:val="11"/>
                <w:color w:val="auto"/>
              </w:rPr>
            </w:pPr>
          </w:p>
        </w:tc>
        <w:tc>
          <w:tcPr>
            <w:tcW w:w="1840" w:type="dxa"/>
            <w:vAlign w:val="bottom"/>
            <w:tcBorders>
              <w:top w:val="single" w:sz="8" w:color="CCEEFF"/>
            </w:tcBorders>
            <w:vMerge w:val="continue"/>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Data Platform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512,365</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1,436,404</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219,292</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76"/>
        </w:trPr>
        <w:tc>
          <w:tcPr>
            <w:tcW w:w="2680" w:type="dxa"/>
            <w:vAlign w:val="bottom"/>
            <w:gridSpan w:val="10"/>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Totus Solutions, Inc.</w:t>
            </w:r>
            <w:r>
              <w:rPr>
                <w:rFonts w:ascii="Arial" w:cs="Arial" w:eastAsia="Arial" w:hAnsi="Arial"/>
                <w:sz w:val="20"/>
                <w:szCs w:val="20"/>
                <w:b w:val="1"/>
                <w:bCs w:val="1"/>
                <w:color w:val="auto"/>
                <w:vertAlign w:val="superscript"/>
              </w:rPr>
              <w:t>(1)(10)</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Carrollton, TX</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Convertible Promissory Note 6%,</w:t>
            </w: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9"/>
          </w:tcPr>
          <w:p>
            <w:pPr>
              <w:ind w:left="180"/>
              <w:spacing w:after="0"/>
              <w:rPr>
                <w:sz w:val="20"/>
                <w:szCs w:val="20"/>
                <w:color w:val="auto"/>
              </w:rPr>
            </w:pPr>
            <w:r>
              <w:rPr>
                <w:rFonts w:ascii="Arial" w:cs="Arial" w:eastAsia="Arial" w:hAnsi="Arial"/>
                <w:sz w:val="14"/>
                <w:szCs w:val="14"/>
                <w:color w:val="auto"/>
              </w:rPr>
              <w:t>Expiration Date, 4/01/2016***</w:t>
            </w:r>
          </w:p>
        </w:tc>
        <w:tc>
          <w:tcPr>
            <w:tcW w:w="1840" w:type="dxa"/>
            <w:vAlign w:val="bottom"/>
          </w:tcPr>
          <w:p>
            <w:pPr>
              <w:jc w:val="center"/>
              <w:spacing w:after="0"/>
              <w:rPr>
                <w:sz w:val="20"/>
                <w:szCs w:val="20"/>
                <w:color w:val="auto"/>
              </w:rPr>
            </w:pPr>
            <w:r>
              <w:rPr>
                <w:rFonts w:ascii="Arial" w:cs="Arial" w:eastAsia="Arial" w:hAnsi="Arial"/>
                <w:sz w:val="14"/>
                <w:szCs w:val="14"/>
                <w:color w:val="auto"/>
                <w:w w:val="99"/>
              </w:rPr>
              <w:t>LED Lighting</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76,110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76,430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78,425</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9"/>
        </w:trPr>
        <w:tc>
          <w:tcPr>
            <w:tcW w:w="26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1,111,111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128,902</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68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869,265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2,184,422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6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1,130,735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2,840,591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gridSpan w:val="9"/>
          </w:tcPr>
          <w:p>
            <w:pPr>
              <w:ind w:left="180"/>
              <w:spacing w:after="0" w:line="142" w:lineRule="exact"/>
              <w:rPr>
                <w:sz w:val="20"/>
                <w:szCs w:val="20"/>
                <w:color w:val="auto"/>
              </w:rPr>
            </w:pPr>
            <w:r>
              <w:rPr>
                <w:rFonts w:ascii="Arial" w:cs="Arial" w:eastAsia="Arial" w:hAnsi="Arial"/>
                <w:sz w:val="14"/>
                <w:szCs w:val="14"/>
                <w:color w:val="auto"/>
              </w:rPr>
              <w:t>Total</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6,101,443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207,327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69"/>
        </w:trPr>
        <w:tc>
          <w:tcPr>
            <w:tcW w:w="2680" w:type="dxa"/>
            <w:vAlign w:val="bottom"/>
            <w:gridSpan w:val="10"/>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The rSmart Group, Inc.</w:t>
            </w:r>
            <w:r>
              <w:rPr>
                <w:rFonts w:ascii="Arial" w:cs="Arial" w:eastAsia="Arial" w:hAnsi="Arial"/>
                <w:sz w:val="19"/>
                <w:szCs w:val="19"/>
                <w:b w:val="1"/>
                <w:bCs w:val="1"/>
                <w:color w:val="auto"/>
                <w:vertAlign w:val="superscript"/>
              </w:rPr>
              <w:t>(1)</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Scottsdale, AZ</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Higher Education Learning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9"/>
              </w:rPr>
              <w:t>Platform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1,201,923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1,267,240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192,586</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35"/>
        </w:trPr>
        <w:tc>
          <w:tcPr>
            <w:tcW w:w="26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Odesk Corporation</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Redwood City, CA</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Common Shares</w:t>
            </w: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6"/>
              </w:rPr>
              <w:t>Online Workplace Platform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183,269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156,196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5"/>
        </w:trPr>
        <w:tc>
          <w:tcPr>
            <w:tcW w:w="26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Earlyshares.com</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Miami, FL</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Equity Crowdfunding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165,715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260,878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125,115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76"/>
        </w:trPr>
        <w:tc>
          <w:tcPr>
            <w:tcW w:w="2680" w:type="dxa"/>
            <w:vAlign w:val="bottom"/>
            <w:gridSpan w:val="10"/>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Dailybreak, Inc.</w:t>
            </w:r>
            <w:r>
              <w:rPr>
                <w:rFonts w:ascii="Arial" w:cs="Arial" w:eastAsia="Arial" w:hAnsi="Arial"/>
                <w:sz w:val="20"/>
                <w:szCs w:val="20"/>
                <w:b w:val="1"/>
                <w:bCs w:val="1"/>
                <w:color w:val="auto"/>
                <w:vertAlign w:val="superscript"/>
              </w:rPr>
              <w:t>(1)</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Boston, MA</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A-2</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347,666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426,254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6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Social Advertising</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1,878,129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2,430,950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gridSpan w:val="9"/>
          </w:tcPr>
          <w:p>
            <w:pPr>
              <w:ind w:left="180"/>
              <w:spacing w:after="0" w:line="142" w:lineRule="exact"/>
              <w:rPr>
                <w:sz w:val="20"/>
                <w:szCs w:val="20"/>
                <w:color w:val="auto"/>
              </w:rPr>
            </w:pPr>
            <w:r>
              <w:rPr>
                <w:rFonts w:ascii="Arial" w:cs="Arial" w:eastAsia="Arial" w:hAnsi="Arial"/>
                <w:sz w:val="14"/>
                <w:szCs w:val="14"/>
                <w:color w:val="auto"/>
              </w:rPr>
              <w:t>Total</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2,857,204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301,111,689</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370,984,317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129.76%</w:t>
            </w:r>
          </w:p>
        </w:tc>
        <w:tc>
          <w:tcPr>
            <w:tcW w:w="0" w:type="dxa"/>
            <w:vAlign w:val="bottom"/>
          </w:tcPr>
          <w:p>
            <w:pPr>
              <w:spacing w:after="0"/>
              <w:rPr>
                <w:sz w:val="1"/>
                <w:szCs w:val="1"/>
                <w:color w:val="auto"/>
              </w:rPr>
            </w:pPr>
          </w:p>
        </w:tc>
      </w:tr>
      <w:tr>
        <w:trPr>
          <w:trHeight w:val="129"/>
        </w:trPr>
        <w:tc>
          <w:tcPr>
            <w:tcW w:w="2680" w:type="dxa"/>
            <w:vAlign w:val="bottom"/>
            <w:tcBorders>
              <w:top w:val="single" w:sz="8" w:color="CCEEFF"/>
            </w:tcBorders>
            <w:gridSpan w:val="10"/>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U.S. Treasury Bill, 0%, due 1/2/2015</w:t>
            </w:r>
          </w:p>
        </w:tc>
        <w:tc>
          <w:tcPr>
            <w:tcW w:w="18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100,000,000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100,001,692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100,000,056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34.98%</w:t>
            </w:r>
          </w:p>
        </w:tc>
        <w:tc>
          <w:tcPr>
            <w:tcW w:w="0" w:type="dxa"/>
            <w:vAlign w:val="bottom"/>
          </w:tcPr>
          <w:p>
            <w:pPr>
              <w:spacing w:after="0"/>
              <w:rPr>
                <w:sz w:val="1"/>
                <w:szCs w:val="1"/>
                <w:color w:val="auto"/>
              </w:rPr>
            </w:pPr>
          </w:p>
        </w:tc>
      </w:tr>
      <w:tr>
        <w:trPr>
          <w:trHeight w:val="176"/>
        </w:trPr>
        <w:tc>
          <w:tcPr>
            <w:tcW w:w="2680" w:type="dxa"/>
            <w:vAlign w:val="bottom"/>
            <w:gridSpan w:val="10"/>
          </w:tcPr>
          <w:p>
            <w:pPr>
              <w:ind w:left="20"/>
              <w:spacing w:after="0" w:line="176" w:lineRule="exact"/>
              <w:rPr>
                <w:sz w:val="20"/>
                <w:szCs w:val="20"/>
                <w:color w:val="auto"/>
              </w:rPr>
            </w:pPr>
            <w:r>
              <w:rPr>
                <w:rFonts w:ascii="Arial" w:cs="Arial" w:eastAsia="Arial" w:hAnsi="Arial"/>
                <w:sz w:val="13"/>
                <w:szCs w:val="13"/>
                <w:b w:val="1"/>
                <w:bCs w:val="1"/>
                <w:color w:val="auto"/>
              </w:rPr>
              <w:t>U.S. Treasury Strips</w:t>
            </w:r>
            <w:r>
              <w:rPr>
                <w:rFonts w:ascii="Arial" w:cs="Arial" w:eastAsia="Arial" w:hAnsi="Arial"/>
                <w:sz w:val="20"/>
                <w:szCs w:val="20"/>
                <w:b w:val="1"/>
                <w:bCs w:val="1"/>
                <w:color w:val="auto"/>
                <w:vertAlign w:val="superscript"/>
              </w:rPr>
              <w:t>(11)</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0"/>
            <w:shd w:val="clear" w:color="auto" w:fill="CCEEFF"/>
          </w:tcPr>
          <w:p>
            <w:pPr>
              <w:ind w:left="20"/>
              <w:spacing w:after="0" w:line="123"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due 08/15/2016</w:t>
            </w:r>
          </w:p>
        </w:tc>
        <w:tc>
          <w:tcPr>
            <w:tcW w:w="18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1,828,695</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1,834,674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30"/>
        </w:trPr>
        <w:tc>
          <w:tcPr>
            <w:tcW w:w="2680" w:type="dxa"/>
            <w:vAlign w:val="bottom"/>
            <w:gridSpan w:val="10"/>
          </w:tcPr>
          <w:p>
            <w:pPr>
              <w:ind w:left="20"/>
              <w:spacing w:after="0" w:line="130"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9"/>
          </w:tcPr>
          <w:p>
            <w:pPr>
              <w:ind w:left="180"/>
              <w:spacing w:after="0"/>
              <w:rPr>
                <w:sz w:val="20"/>
                <w:szCs w:val="20"/>
                <w:color w:val="auto"/>
              </w:rPr>
            </w:pPr>
            <w:r>
              <w:rPr>
                <w:rFonts w:ascii="Arial" w:cs="Arial" w:eastAsia="Arial" w:hAnsi="Arial"/>
                <w:sz w:val="14"/>
                <w:szCs w:val="14"/>
                <w:color w:val="auto"/>
              </w:rPr>
              <w:t>due 02/15/2016</w:t>
            </w:r>
          </w:p>
        </w:tc>
        <w:tc>
          <w:tcPr>
            <w:tcW w:w="184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1,834,000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1,822,943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1,826,664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30"/>
        </w:trPr>
        <w:tc>
          <w:tcPr>
            <w:tcW w:w="268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due 08/15/2015</w:t>
            </w:r>
          </w:p>
        </w:tc>
        <w:tc>
          <w:tcPr>
            <w:tcW w:w="18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1,819,165</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1,820,904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30"/>
        </w:trPr>
        <w:tc>
          <w:tcPr>
            <w:tcW w:w="2680" w:type="dxa"/>
            <w:vAlign w:val="bottom"/>
            <w:gridSpan w:val="10"/>
          </w:tcPr>
          <w:p>
            <w:pPr>
              <w:ind w:left="20"/>
              <w:spacing w:after="0" w:line="130"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9"/>
          </w:tcPr>
          <w:p>
            <w:pPr>
              <w:ind w:left="180"/>
              <w:spacing w:after="0"/>
              <w:rPr>
                <w:sz w:val="20"/>
                <w:szCs w:val="20"/>
                <w:color w:val="auto"/>
              </w:rPr>
            </w:pPr>
            <w:r>
              <w:rPr>
                <w:rFonts w:ascii="Arial" w:cs="Arial" w:eastAsia="Arial" w:hAnsi="Arial"/>
                <w:sz w:val="14"/>
                <w:szCs w:val="14"/>
                <w:color w:val="auto"/>
              </w:rPr>
              <w:t>due 02/15/2015</w:t>
            </w:r>
          </w:p>
        </w:tc>
        <w:tc>
          <w:tcPr>
            <w:tcW w:w="184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1,816,000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1,815,529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1,815,800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9"/>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7,286,332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7,298,042</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0"/>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408,399,713</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u w:val="single" w:color="auto"/>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478,282,415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167.29%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-2803525</wp:posOffset>
            </wp:positionV>
            <wp:extent cx="5213985" cy="1117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-1697355</wp:posOffset>
            </wp:positionV>
            <wp:extent cx="5213985" cy="1117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-1491615</wp:posOffset>
            </wp:positionV>
            <wp:extent cx="5213985"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64"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 All investments are pledged as collateral, unless otherwise noted, to the Credit Facility.</w:t>
      </w:r>
    </w:p>
    <w:p>
      <w:pPr>
        <w:spacing w:after="0" w:line="73" w:lineRule="exact"/>
        <w:rPr>
          <w:sz w:val="20"/>
          <w:szCs w:val="20"/>
          <w:color w:val="auto"/>
        </w:rPr>
      </w:pPr>
    </w:p>
    <w:p>
      <w:pPr>
        <w:ind w:left="300" w:right="939" w:hanging="272"/>
        <w:spacing w:after="0" w:line="277"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right="599" w:hanging="272"/>
        <w:spacing w:after="0" w:line="264"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200" w:lineRule="exact"/>
        <w:rPr>
          <w:sz w:val="20"/>
          <w:szCs w:val="20"/>
          <w:color w:val="auto"/>
        </w:rPr>
      </w:pPr>
    </w:p>
    <w:p>
      <w:pPr>
        <w:spacing w:after="0" w:line="30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03" w:lineRule="exact"/>
        <w:rPr>
          <w:sz w:val="20"/>
          <w:szCs w:val="20"/>
          <w:color w:val="auto"/>
        </w:rPr>
      </w:pPr>
    </w:p>
    <w:p>
      <w:pPr>
        <w:ind w:left="280" w:right="519" w:hanging="272"/>
        <w:spacing w:after="0" w:line="286" w:lineRule="auto"/>
        <w:tabs>
          <w:tab w:leader="none" w:pos="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Denotes a Control Investment. “Control Investments” are investments in those companies that are “Controlled Companies” of GSV Capital Corp., as defined in the Investment Company Act of 1940. A company is deemed to be a “Controlled Company” of GSV Capital Corp. if GSV Capital Corp. owns 25% or more of the voting securities of such company.</w:t>
      </w:r>
    </w:p>
    <w:p>
      <w:pPr>
        <w:spacing w:after="0" w:line="57" w:lineRule="exact"/>
        <w:rPr>
          <w:rFonts w:ascii="Arial" w:cs="Arial" w:eastAsia="Arial" w:hAnsi="Arial"/>
          <w:sz w:val="17"/>
          <w:szCs w:val="17"/>
          <w:color w:val="auto"/>
        </w:rPr>
      </w:pPr>
    </w:p>
    <w:p>
      <w:pPr>
        <w:ind w:left="280" w:right="939" w:hanging="272"/>
        <w:spacing w:after="0" w:line="277" w:lineRule="auto"/>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62" w:lineRule="exact"/>
        <w:rPr>
          <w:rFonts w:ascii="Arial" w:cs="Arial" w:eastAsia="Arial" w:hAnsi="Arial"/>
          <w:sz w:val="18"/>
          <w:szCs w:val="18"/>
          <w:color w:val="auto"/>
        </w:rPr>
      </w:pPr>
    </w:p>
    <w:p>
      <w:pPr>
        <w:ind w:left="280" w:right="539" w:hanging="272"/>
        <w:spacing w:after="0" w:line="264" w:lineRule="auto"/>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which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280" w:hanging="272"/>
        <w:spacing w:after="0"/>
        <w:tabs>
          <w:tab w:leader="none" w:pos="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280" w:right="759" w:hanging="272"/>
        <w:spacing w:after="0" w:line="277" w:lineRule="auto"/>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ind w:left="280" w:right="539" w:hanging="272"/>
        <w:spacing w:after="0" w:line="293" w:lineRule="auto"/>
        <w:tabs>
          <w:tab w:leader="none" w:pos="2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December 31, 2014, GSV Capital Corp. valued Cricket Media (f/k/a ePals Inc.), based on its December 31,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56" w:lineRule="exact"/>
        <w:rPr>
          <w:rFonts w:ascii="Arial" w:cs="Arial" w:eastAsia="Arial" w:hAnsi="Arial"/>
          <w:sz w:val="16"/>
          <w:szCs w:val="16"/>
          <w:color w:val="auto"/>
        </w:rPr>
      </w:pPr>
    </w:p>
    <w:p>
      <w:pPr>
        <w:ind w:left="280" w:right="619" w:hanging="272"/>
        <w:spacing w:after="0" w:line="255" w:lineRule="auto"/>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March 28, 2014, 2U, Inc. (f/k/a 2tor, Inc.) priced its initial public offering, selling 9,175,000 shares at a price of $13 per share. GSV Capital Corp.’s shares in 2U, Inc. (f/k/a 2tor, Inc.) are subject to a lock-up agreement which expired on September 24, 2014. At December 31, 2014, GSV Capital Corp. valued 2U, Inc. (f/k/a 2tor, Inc.), based on its December 31, 2014 closing price less 10.0%. Michael Moe is a Board member of 2U, Inc. (f/k/a 2tor, Inc.), which subjects GSV Capital Corp. to insider trading restrictions under U.S. securities law. As such, the Company has applied a 10.0% discount to reflect the aforementioned trading restrictions.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(10)On November 20, 2014, Totus Solutions, Inc., conducted a 10:1 stock split.</w:t>
      </w:r>
    </w:p>
    <w:p>
      <w:pPr>
        <w:spacing w:after="0" w:line="117" w:lineRule="exact"/>
        <w:rPr>
          <w:sz w:val="20"/>
          <w:szCs w:val="20"/>
          <w:color w:val="auto"/>
        </w:rPr>
      </w:pPr>
    </w:p>
    <w:p>
      <w:pPr>
        <w:ind w:left="300" w:right="699" w:hanging="296"/>
        <w:spacing w:after="0" w:line="255" w:lineRule="auto"/>
        <w:rPr>
          <w:sz w:val="20"/>
          <w:szCs w:val="20"/>
          <w:color w:val="auto"/>
        </w:rPr>
      </w:pPr>
      <w:r>
        <w:rPr>
          <w:rFonts w:ascii="Arial" w:cs="Arial" w:eastAsia="Arial" w:hAnsi="Arial"/>
          <w:sz w:val="18"/>
          <w:szCs w:val="18"/>
          <w:color w:val="auto"/>
        </w:rPr>
        <w:t>(11)Refer to “Note 9 – Long Term Liabilities.” In accordance with the terms of the Company’s Convertible Senior Notes payable, the Company deposited $10,867,500 in an escrow account with the Trustee. These funds were used to purchase U.S. Treasury Strips with an original cost of $10,845,236. At December 31, 2014, the remaining government securities are shown on the consolidated Schedule of Investments and have an amortized cost of $7,286,332. These securities do not represent collateral under the Credit Facility as these securities are pledged exclusively for the repayment of interest under the Convertible Senior Notes.</w:t>
      </w:r>
    </w:p>
    <w:p>
      <w:pPr>
        <w:spacing w:after="0" w:line="85" w:lineRule="exact"/>
        <w:rPr>
          <w:sz w:val="20"/>
          <w:szCs w:val="20"/>
          <w:color w:val="auto"/>
        </w:rPr>
      </w:pPr>
    </w:p>
    <w:p>
      <w:pPr>
        <w:ind w:left="320" w:right="699" w:hanging="312"/>
        <w:spacing w:after="0" w:line="286" w:lineRule="auto"/>
        <w:tabs>
          <w:tab w:leader="none" w:pos="3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290"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3" w:name="page94"/>
    <w:bookmarkEnd w:id="9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ind w:left="60" w:right="579" w:firstLine="270"/>
        <w:spacing w:after="0" w:line="297" w:lineRule="auto"/>
        <w:rPr>
          <w:sz w:val="20"/>
          <w:szCs w:val="20"/>
          <w:color w:val="auto"/>
        </w:rPr>
      </w:pPr>
      <w:r>
        <w:rPr>
          <w:rFonts w:ascii="Arial" w:cs="Arial" w:eastAsia="Arial" w:hAnsi="Arial"/>
          <w:sz w:val="16"/>
          <w:szCs w:val="16"/>
          <w:color w:val="auto"/>
        </w:rPr>
        <w:t>GSV Capital Corp. (the “Company” or “GSV Capital”) was formed in September 2010 as a Maryland corporation structured as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50" w:lineRule="exact"/>
        <w:rPr>
          <w:sz w:val="20"/>
          <w:szCs w:val="20"/>
          <w:color w:val="auto"/>
        </w:rPr>
      </w:pPr>
    </w:p>
    <w:p>
      <w:pPr>
        <w:ind w:left="60" w:right="979" w:firstLine="270"/>
        <w:spacing w:after="0" w:line="264" w:lineRule="auto"/>
        <w:rPr>
          <w:sz w:val="20"/>
          <w:szCs w:val="20"/>
          <w:color w:val="auto"/>
        </w:rPr>
      </w:pPr>
      <w:r>
        <w:rPr>
          <w:rFonts w:ascii="Arial" w:cs="Arial" w:eastAsia="Arial" w:hAnsi="Arial"/>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 of 2011.</w:t>
      </w:r>
    </w:p>
    <w:p>
      <w:pPr>
        <w:spacing w:after="0" w:line="73"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table below displays all the Company’s subsidiaries as of December 31, 2015. The “GSVC Holdings,” were formed to hold portfolio investments. The GSVC Holdings, including their associated portfolio investments are consolidated with the Company for accounting purposes, but have elected to be treated as separate entities for U.S. federal income tax purposes. GSV Capital Lending, LLC (“GCL”), was formed to originate portfolio loan investments within the state of California and is consolidated with the Company for accounting purposes. Refer to “— Summary of Significant Accounting Policies — Basis of Consolidation” below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521398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Formation Date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 Capital Lending, LLC (“GCL”)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Subsidiaries below are referred to Collectively, the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200"/>
              <w:spacing w:after="0"/>
              <w:rPr>
                <w:sz w:val="20"/>
                <w:szCs w:val="20"/>
                <w:color w:val="auto"/>
              </w:rPr>
            </w:pPr>
            <w:r>
              <w:rPr>
                <w:rFonts w:ascii="Arial" w:cs="Arial" w:eastAsia="Arial" w:hAnsi="Arial"/>
                <w:sz w:val="18"/>
                <w:szCs w:val="18"/>
                <w:b w:val="1"/>
                <w:bCs w:val="1"/>
                <w:color w:val="auto"/>
              </w:rPr>
              <w:t>“GSVC Holdings”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AV Holdings, Inc. (“GAV”)</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NG Holdings, Inc. (“GNG”)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SW Holdings, Inc. (“GSW”)</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WS Holdings, Inc. (“GWS”)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SPNPM Holdings LLC (“SPNPM”)</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July 12, 2013</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SVDS Holdings, Inc. (“SVDS”)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13, 2013</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519" w:firstLine="270"/>
        <w:spacing w:after="0" w:line="255" w:lineRule="auto"/>
        <w:rPr>
          <w:sz w:val="20"/>
          <w:szCs w:val="20"/>
          <w:color w:val="auto"/>
        </w:rPr>
      </w:pPr>
      <w:r>
        <w:rPr>
          <w:rFonts w:ascii="Arial" w:cs="Arial" w:eastAsia="Arial" w:hAnsi="Arial"/>
          <w:sz w:val="18"/>
          <w:szCs w:val="18"/>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acquires its investments through direct investments in prospective portfolio companies, secondary marketplaces for private companies and negotiations with selling stockholders. The Company may also invest on an opportunistic basis in select publicly traded equity securities or certain non-U.S. companies that otherwise meet its investment criteria.</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60" w:right="659" w:firstLine="270"/>
        <w:spacing w:after="0" w:line="259" w:lineRule="auto"/>
        <w:rPr>
          <w:sz w:val="20"/>
          <w:szCs w:val="20"/>
          <w:color w:val="auto"/>
        </w:rPr>
      </w:pPr>
      <w:r>
        <w:rPr>
          <w:rFonts w:ascii="Arial" w:cs="Arial" w:eastAsia="Arial" w:hAnsi="Arial"/>
          <w:sz w:val="18"/>
          <w:szCs w:val="18"/>
          <w:color w:val="auto"/>
        </w:rPr>
        <w:t>The consolidated financial statements of the Company are prepared on the accrual basis of accounting in conformity with U.S. generally accepted accounting principles (“GAAP”) and pursuant to the requirements for reporting on Form 10-K and Regulation S-X. The Company is an investment company following the specialized accounting and reporting guidance in ASC Topic 946, Financial Services — Investment Companies.</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4" w:name="page95"/>
    <w:bookmarkEnd w:id="9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Basis of Consolidation</w:t>
      </w:r>
    </w:p>
    <w:p>
      <w:pPr>
        <w:spacing w:after="0" w:line="1" w:lineRule="exact"/>
        <w:rPr>
          <w:sz w:val="20"/>
          <w:szCs w:val="20"/>
          <w:color w:val="auto"/>
        </w:rPr>
      </w:pPr>
    </w:p>
    <w:p>
      <w:pPr>
        <w:ind w:left="60" w:right="699" w:firstLine="270"/>
        <w:spacing w:after="0" w:line="273"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which provides substantially all of its services and benefits to the Company and certain entities established for tax purposes where the Company holds a 100% interest. Accordingly, the Company’s consolidated financial statements include its accounts and the accounts of the GSVC Holdings and GCL, its wholly-owned subsidiaries. All intercompany balances and transactions have been eliminated in consolidation.</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60" w:right="659" w:firstLine="270"/>
        <w:spacing w:after="0" w:line="259" w:lineRule="auto"/>
        <w:rPr>
          <w:sz w:val="20"/>
          <w:szCs w:val="20"/>
          <w:color w:val="auto"/>
        </w:rPr>
      </w:pPr>
      <w:r>
        <w:rPr>
          <w:rFonts w:ascii="Arial" w:cs="Arial" w:eastAsia="Arial" w:hAnsi="Arial"/>
          <w:sz w:val="18"/>
          <w:szCs w:val="18"/>
          <w:color w:val="auto"/>
        </w:rPr>
        <w:t>Certain prior period amounts in the consolidated financial statements have been reclassified to conform to the current period presentation. The Company has reclassified certain prior period accounts on the Consolidated Statements of Assets and Liabilities and consolidated statements of Operations to simplify the presentation. Refer to the table below for the reclassifications to the December 31, 2014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057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5"/>
              </w:rPr>
              <w:t>Reclassified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Prior Period</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596,926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179,556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417,370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net effect on the total assets, liabilities, or net assets as of December 31, 2014 as a result of these reclassifications.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the table below for the reclassifications to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057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2014</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Reclassified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Prior Period</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668,635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216,640</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243,285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Investor relations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208,710</w:t>
            </w:r>
          </w:p>
        </w:tc>
        <w:tc>
          <w:tcPr>
            <w:tcW w:w="0" w:type="dxa"/>
            <w:vAlign w:val="bottom"/>
          </w:tcPr>
          <w:p>
            <w:pPr>
              <w:spacing w:after="0"/>
              <w:rPr>
                <w:sz w:val="1"/>
                <w:szCs w:val="1"/>
                <w:color w:val="auto"/>
              </w:rPr>
            </w:pPr>
          </w:p>
        </w:tc>
      </w:tr>
      <w:tr>
        <w:trPr>
          <w:trHeight w:val="288"/>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2013</w:t>
            </w:r>
          </w:p>
        </w:tc>
        <w:tc>
          <w:tcPr>
            <w:tcW w:w="1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Reclassified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Prior Period</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529,051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89,517</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240,725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Investor relations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198,809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-685165</wp:posOffset>
            </wp:positionV>
            <wp:extent cx="52057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60" w:right="779" w:firstLine="270"/>
        <w:spacing w:after="0" w:line="297" w:lineRule="auto"/>
        <w:rPr>
          <w:sz w:val="20"/>
          <w:szCs w:val="20"/>
          <w:color w:val="auto"/>
        </w:rPr>
      </w:pPr>
      <w:r>
        <w:rPr>
          <w:rFonts w:ascii="Arial" w:cs="Arial" w:eastAsia="Arial" w:hAnsi="Arial"/>
          <w:sz w:val="16"/>
          <w:szCs w:val="16"/>
          <w:color w:val="auto"/>
        </w:rPr>
        <w:t>The preparation of consolidated financial statements requires the Company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The Company’s estimates are inherently subjective in nature and actual results could differ materially from such estimates.</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60" w:right="919" w:firstLine="270"/>
        <w:spacing w:after="0" w:line="342" w:lineRule="auto"/>
        <w:rPr>
          <w:sz w:val="20"/>
          <w:szCs w:val="20"/>
          <w:color w:val="auto"/>
        </w:rPr>
      </w:pPr>
      <w:r>
        <w:rPr>
          <w:rFonts w:ascii="Arial" w:cs="Arial" w:eastAsia="Arial" w:hAnsi="Arial"/>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40" w:right="61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at the measurement date.</w:t>
      </w:r>
    </w:p>
    <w:p>
      <w:pPr>
        <w:spacing w:after="0" w:line="54" w:lineRule="exact"/>
        <w:rPr>
          <w:sz w:val="20"/>
          <w:szCs w:val="20"/>
          <w:color w:val="auto"/>
        </w:rPr>
      </w:pPr>
    </w:p>
    <w:p>
      <w:pPr>
        <w:ind w:left="40" w:right="89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ind w:left="40" w:right="6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unobservable inputs that reflect management’s best estimate of what market participants would</w:t>
      </w:r>
      <w:r>
        <w:rPr>
          <w:rFonts w:ascii="Arial" w:cs="Arial" w:eastAsia="Arial" w:hAnsi="Arial"/>
          <w:sz w:val="18"/>
          <w:szCs w:val="18"/>
          <w:b w:val="1"/>
          <w:bCs w:val="1"/>
          <w:color w:val="auto"/>
        </w:rPr>
        <w:t xml:space="preserve"> </w:t>
      </w:r>
      <w:r>
        <w:rPr>
          <w:rFonts w:ascii="Arial" w:cs="Arial" w:eastAsia="Arial" w:hAnsi="Arial"/>
          <w:sz w:val="18"/>
          <w:szCs w:val="18"/>
          <w:color w:val="auto"/>
        </w:rPr>
        <w:t>use in pricing the asset or liability at the measurement date. Consideration is given to the risk inherent in the valuation technique and the risk inherent in the inputs to the model.</w:t>
      </w:r>
    </w:p>
    <w:p>
      <w:pPr>
        <w:spacing w:after="0" w:line="72"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ind w:left="40" w:right="579"/>
        <w:spacing w:after="0" w:line="255" w:lineRule="auto"/>
        <w:rPr>
          <w:sz w:val="20"/>
          <w:szCs w:val="20"/>
          <w:color w:val="auto"/>
        </w:rPr>
      </w:pPr>
      <w:r>
        <w:rPr>
          <w:rFonts w:ascii="Arial" w:cs="Arial" w:eastAsia="Arial" w:hAnsi="Arial"/>
          <w:sz w:val="18"/>
          <w:szCs w:val="18"/>
          <w:color w:val="auto"/>
        </w:rPr>
        <w:t>Therefore, gains and losses for such assets and liabilities categorized within the Level 3 table set forth in “Note 3 — Investments at Fair Value” may include changes in fair value that are attributable to both observable inputs (Levels 1 and 2) and unobservable inputs (Level 3).</w:t>
      </w:r>
    </w:p>
    <w:p>
      <w:pPr>
        <w:spacing w:after="0" w:line="82"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end of the quarter in which the reclassifications occur. Refer to “Levelling Policy” for a detailed discussion of the levelling of the Company’s financial assets or liabilities and events that may cause a reclassification within the fair value hierarchy.</w:t>
      </w:r>
    </w:p>
    <w:p>
      <w:pPr>
        <w:spacing w:after="0" w:line="80"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50"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of directors or the valuation committee of the board of directors (the “Valuation Committee”), does not represent fair value, shall each be valued as follows:</w:t>
      </w:r>
    </w:p>
    <w:p>
      <w:pPr>
        <w:spacing w:after="0" w:line="79" w:lineRule="exact"/>
        <w:rPr>
          <w:sz w:val="20"/>
          <w:szCs w:val="20"/>
          <w:color w:val="auto"/>
        </w:rPr>
      </w:pPr>
    </w:p>
    <w:p>
      <w:pPr>
        <w:ind w:left="540" w:right="699" w:hanging="262"/>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200" w:lineRule="exact"/>
        <w:rPr>
          <w:sz w:val="20"/>
          <w:szCs w:val="20"/>
          <w:color w:val="auto"/>
        </w:rPr>
      </w:pPr>
    </w:p>
    <w:p>
      <w:pPr>
        <w:spacing w:after="0" w:line="39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6" w:name="page97"/>
    <w:bookmarkEnd w:id="9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560" w:right="539" w:hanging="262"/>
        <w:spacing w:after="0" w:line="264"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ind w:left="560" w:right="579" w:hanging="262"/>
        <w:spacing w:after="0" w:line="264"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in good faith based on the input of GSV Asset Management and the independent third-party valuation firm; and,</w:t>
      </w:r>
    </w:p>
    <w:p>
      <w:pPr>
        <w:spacing w:after="0" w:line="73" w:lineRule="exact"/>
        <w:rPr>
          <w:rFonts w:ascii="Arial" w:cs="Arial" w:eastAsia="Arial" w:hAnsi="Arial"/>
          <w:sz w:val="18"/>
          <w:szCs w:val="18"/>
          <w:color w:val="auto"/>
        </w:rPr>
      </w:pPr>
    </w:p>
    <w:p>
      <w:pPr>
        <w:ind w:left="560" w:right="659" w:hanging="262"/>
        <w:spacing w:after="0" w:line="277"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60" w:right="599" w:firstLine="270"/>
        <w:spacing w:after="0" w:line="272" w:lineRule="auto"/>
        <w:rPr>
          <w:sz w:val="20"/>
          <w:szCs w:val="20"/>
          <w:color w:val="auto"/>
        </w:rPr>
      </w:pPr>
      <w:r>
        <w:rPr>
          <w:rFonts w:ascii="Arial" w:cs="Arial" w:eastAsia="Arial" w:hAnsi="Arial"/>
          <w:sz w:val="17"/>
          <w:szCs w:val="17"/>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70" w:lineRule="exact"/>
        <w:rPr>
          <w:sz w:val="20"/>
          <w:szCs w:val="20"/>
          <w:color w:val="auto"/>
        </w:rPr>
      </w:pPr>
    </w:p>
    <w:p>
      <w:pPr>
        <w:ind w:left="60" w:right="559" w:firstLine="270"/>
        <w:spacing w:after="0" w:line="276" w:lineRule="auto"/>
        <w:rPr>
          <w:sz w:val="20"/>
          <w:szCs w:val="20"/>
          <w:color w:val="auto"/>
        </w:rPr>
      </w:pPr>
      <w:r>
        <w:rPr>
          <w:rFonts w:ascii="Arial" w:cs="Arial" w:eastAsia="Arial" w:hAnsi="Arial"/>
          <w:sz w:val="17"/>
          <w:szCs w:val="17"/>
          <w:color w:val="auto"/>
        </w:rPr>
        <w:t>The Company engages at least one independent valuation firm to perform valuations of its investments that are not publicly traded or for which there are no readily available market quotations. The Company considers the independent valuations provided by the valuation firm(s), among other factors, in making its fair value determinations. The table below shows the percentages of the Company’s investments for which there are no readily available market quotations, for which an independent valuation firm was engaged to perform valuations, during the current and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2139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For the quarter ended March 31, 2014</w:t>
            </w: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2014</w:t>
            </w:r>
          </w:p>
        </w:tc>
        <w:tc>
          <w:tcPr>
            <w:tcW w:w="2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For the quarter ended September 30, 2014</w:t>
            </w: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December 31, 2014</w:t>
            </w:r>
          </w:p>
        </w:tc>
        <w:tc>
          <w:tcPr>
            <w:tcW w:w="2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For the quarter ended March 31, 2015</w:t>
            </w: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2015</w:t>
            </w:r>
          </w:p>
        </w:tc>
        <w:tc>
          <w:tcPr>
            <w:tcW w:w="2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For the quarter ended September 30, 2015</w:t>
            </w: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December 31, 2015</w:t>
            </w:r>
          </w:p>
        </w:tc>
        <w:tc>
          <w:tcPr>
            <w:tcW w:w="2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60" w:right="519" w:firstLine="270"/>
        <w:spacing w:after="0" w:line="272" w:lineRule="auto"/>
        <w:rPr>
          <w:sz w:val="20"/>
          <w:szCs w:val="20"/>
          <w:color w:val="auto"/>
        </w:rPr>
      </w:pPr>
      <w:r>
        <w:rPr>
          <w:rFonts w:ascii="Arial" w:cs="Arial" w:eastAsia="Arial" w:hAnsi="Arial"/>
          <w:sz w:val="17"/>
          <w:szCs w:val="17"/>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70" w:lineRule="exact"/>
        <w:rPr>
          <w:sz w:val="20"/>
          <w:szCs w:val="20"/>
          <w:color w:val="auto"/>
        </w:rPr>
      </w:pPr>
    </w:p>
    <w:p>
      <w:pPr>
        <w:ind w:left="60" w:right="519" w:firstLine="270"/>
        <w:spacing w:after="0" w:line="259" w:lineRule="auto"/>
        <w:rPr>
          <w:sz w:val="20"/>
          <w:szCs w:val="20"/>
          <w:color w:val="auto"/>
        </w:rPr>
      </w:pPr>
      <w:r>
        <w:rPr>
          <w:rFonts w:ascii="Arial" w:cs="Arial" w:eastAsia="Arial" w:hAnsi="Arial"/>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39"/>
        <w:spacing w:after="0" w:line="276" w:lineRule="auto"/>
        <w:rPr>
          <w:sz w:val="20"/>
          <w:szCs w:val="20"/>
          <w:color w:val="auto"/>
        </w:rPr>
      </w:pPr>
      <w:r>
        <w:rPr>
          <w:rFonts w:ascii="Arial" w:cs="Arial" w:eastAsia="Arial" w:hAnsi="Arial"/>
          <w:sz w:val="17"/>
          <w:szCs w:val="17"/>
          <w:color w:val="auto"/>
        </w:rPr>
        <w:t>market comparables, and other factors. The Company may also consider other events, including the transaction in which the Company acquired its securities, subsequent equity sales by the Portfolio Company,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64"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Consolidated Statements of Cash Flows.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719" w:firstLine="270"/>
        <w:spacing w:after="0" w:line="279" w:lineRule="auto"/>
        <w:rPr>
          <w:sz w:val="20"/>
          <w:szCs w:val="20"/>
          <w:color w:val="auto"/>
        </w:rPr>
      </w:pPr>
      <w:r>
        <w:rPr>
          <w:rFonts w:ascii="Arial" w:cs="Arial" w:eastAsia="Arial" w:hAnsi="Arial"/>
          <w:sz w:val="17"/>
          <w:szCs w:val="17"/>
          <w:color w:val="auto"/>
        </w:rPr>
        <w:t>Given the nature of the Company’s current debt investments (excluding U.S. Treasuries), principally convertible and promissory notes issued by venture-capital-backed portfolio companies, these investments are Level 3 assets because there is no known or accessible market or market indexes for these investment securities to be traded or exchanged. The Company values its debt investments at estimated fair value as determined by the Company’s board of directors.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40" w:right="1179" w:firstLine="270"/>
        <w:spacing w:after="0" w:line="308" w:lineRule="auto"/>
        <w:rPr>
          <w:sz w:val="20"/>
          <w:szCs w:val="20"/>
          <w:color w:val="auto"/>
        </w:rPr>
      </w:pPr>
      <w:r>
        <w:rPr>
          <w:rFonts w:ascii="Arial" w:cs="Arial" w:eastAsia="Arial" w:hAnsi="Arial"/>
          <w:sz w:val="17"/>
          <w:szCs w:val="17"/>
          <w:color w:val="auto"/>
        </w:rPr>
        <w:t>The board of directors will ascribe value to warrants based on fair value analyses that can include discounted cash flow analyses, option pricing models, comparable analyses and other techniques as deemed appropriate.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Levelling Policy</w:t>
      </w:r>
    </w:p>
    <w:p>
      <w:pPr>
        <w:spacing w:after="0" w:line="117"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The portfolio companies in which the Company invests periodically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 lock-up restrictions have expired, but other factors restrict the sale of the investment, the Company will consider the nature of any restrictions on the sale of the investment. The Company will classify the investment as either Level 2 subject to an appropriate DLOM to reflect the restrictions upon sale or as Level 1. The Company transfers investments between levels based on the fair value at the end of measurement period in accordance with ASC 820.</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7"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 The embedded derivative liability is carried at fair value.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8" w:name="page99"/>
    <w:bookmarkEnd w:id="9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ind w:left="180" w:right="53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w:t>
      </w:r>
      <w:r>
        <w:rPr>
          <w:rFonts w:ascii="Arial" w:cs="Arial" w:eastAsia="Arial" w:hAnsi="Arial"/>
          <w:sz w:val="17"/>
          <w:szCs w:val="17"/>
          <w:i w:val="1"/>
          <w:iCs w:val="1"/>
          <w:color w:val="auto"/>
        </w:rPr>
        <w:t>i.e.</w:t>
      </w:r>
      <w:r>
        <w:rPr>
          <w:rFonts w:ascii="Arial" w:cs="Arial" w:eastAsia="Arial" w:hAnsi="Arial"/>
          <w:sz w:val="17"/>
          <w:szCs w:val="17"/>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ind w:left="180" w:right="639" w:firstLine="270"/>
        <w:spacing w:after="0" w:line="271" w:lineRule="auto"/>
        <w:rPr>
          <w:sz w:val="20"/>
          <w:szCs w:val="20"/>
          <w:color w:val="auto"/>
        </w:rPr>
      </w:pPr>
      <w:r>
        <w:rPr>
          <w:rFonts w:ascii="Arial" w:cs="Arial" w:eastAsia="Arial" w:hAnsi="Arial"/>
          <w:sz w:val="17"/>
          <w:szCs w:val="17"/>
          <w:color w:val="auto"/>
        </w:rPr>
        <w:t>GSV Capital is a non-diversified company within the meaning of the 1940 Act. GSV Capital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Refer to the consolidated Schedules of Investments as of December 31, 2015 and December 31, 2014, respectively, for details regarding the nature and composition of the Company’s investment portfolio.</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ind w:left="180" w:right="879" w:firstLine="270"/>
        <w:spacing w:after="0" w:line="277" w:lineRule="auto"/>
        <w:rPr>
          <w:sz w:val="20"/>
          <w:szCs w:val="20"/>
          <w:color w:val="auto"/>
        </w:rPr>
      </w:pPr>
      <w:r>
        <w:rPr>
          <w:rFonts w:ascii="Arial" w:cs="Arial" w:eastAsia="Arial" w:hAnsi="Arial"/>
          <w:sz w:val="18"/>
          <w:szCs w:val="18"/>
          <w:color w:val="auto"/>
        </w:rPr>
        <w:t>The Company places its cash with U.S. Bank, N.A., and Silicon Valley Bank, and at times, cash held in these accounts may exceed the Federal Deposit Insurance Corporation insured limit.</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left="180" w:right="559" w:firstLine="270"/>
        <w:spacing w:after="0" w:line="287" w:lineRule="auto"/>
        <w:rPr>
          <w:sz w:val="20"/>
          <w:szCs w:val="20"/>
          <w:color w:val="auto"/>
        </w:rPr>
      </w:pPr>
      <w:r>
        <w:rPr>
          <w:rFonts w:ascii="Arial" w:cs="Arial" w:eastAsia="Arial" w:hAnsi="Arial"/>
          <w:sz w:val="16"/>
          <w:szCs w:val="16"/>
          <w:color w:val="auto"/>
        </w:rPr>
        <w:t>On December 31, 2013, the Company entered into a Loan and Security Agreement (the “Loan Agreement”) with Silicon Valley Bank, pursuant to which Silicon Valley Bank agreed to provide the Company with an $18 million credit facility (the “Credit Facility”). The Company recorded origination expenses related to the Credit Facility as deferred financing costs. These expenses are deferred and amortized as part of interest expense using the effective interest method over the respective expected life of the Credit Facility. In the event that the Company modifies or extinguishes the Credit Facility, it follows the guidance in ASC 470-50, Modification and Extinguishments (“ASC 470-50”). For modifications to or exchanges of the Credit Facility, any unamortized deferred costs are expensed. Included within deferred financing costs are offering costs incurred relating to the Company’s shelf registration statement on Form N-2. The Company defers these offering costs until capital is raised against the shelf registration statement or the shelf registration statement has expired. For equity capital raised, the offering costs reduce paid in capital resulting from the offering. For debt capital raised, the associated offering costs are amortized over the life of the debt instrument using the effective interest method. As of December 31, 2015 and 2014, the Company had deferred financing costs of $2,300,225 and $2,928,134, respectively, on the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5080</wp:posOffset>
            </wp:positionV>
            <wp:extent cx="52057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costs</w:t>
            </w:r>
          </w:p>
        </w:tc>
        <w:tc>
          <w:tcPr>
            <w:tcW w:w="3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$ 2,158,570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2,928,134</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2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141,655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Financing Costs</w:t>
            </w:r>
          </w:p>
        </w:tc>
        <w:tc>
          <w:tcPr>
            <w:tcW w:w="27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$ 2,300,225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2,928,134</w:t>
            </w:r>
          </w:p>
        </w:tc>
        <w:tc>
          <w:tcPr>
            <w:tcW w:w="1260" w:type="dxa"/>
            <w:vAlign w:val="bottom"/>
          </w:tcPr>
          <w:p>
            <w:pPr>
              <w:spacing w:after="0"/>
              <w:rPr>
                <w:sz w:val="21"/>
                <w:szCs w:val="21"/>
                <w:color w:val="auto"/>
              </w:rPr>
            </w:pPr>
          </w:p>
        </w:tc>
      </w:tr>
      <w:tr>
        <w:trPr>
          <w:trHeight w:val="763"/>
        </w:trPr>
        <w:tc>
          <w:tcPr>
            <w:tcW w:w="1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2780" w:type="dxa"/>
            <w:vAlign w:val="bottom"/>
            <w:tcBorders>
              <w:top w:val="single" w:sz="8" w:color="CCEEFF"/>
            </w:tcBorders>
          </w:tcPr>
          <w:p>
            <w:pPr>
              <w:jc w:val="right"/>
              <w:ind w:right="1230"/>
              <w:spacing w:after="0"/>
              <w:rPr>
                <w:sz w:val="20"/>
                <w:szCs w:val="20"/>
                <w:color w:val="auto"/>
              </w:rPr>
            </w:pPr>
            <w:r>
              <w:rPr>
                <w:rFonts w:ascii="Arial" w:cs="Arial" w:eastAsia="Arial" w:hAnsi="Arial"/>
                <w:sz w:val="18"/>
                <w:szCs w:val="18"/>
                <w:color w:val="auto"/>
              </w:rPr>
              <w:t>96</w:t>
            </w: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27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27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99" w:name="page100"/>
    <w:bookmarkEnd w:id="9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Restricted Cash</w:t>
      </w:r>
    </w:p>
    <w:p>
      <w:pPr>
        <w:spacing w:after="0" w:line="1" w:lineRule="exact"/>
        <w:rPr>
          <w:sz w:val="20"/>
          <w:szCs w:val="20"/>
          <w:color w:val="auto"/>
        </w:rPr>
      </w:pPr>
    </w:p>
    <w:p>
      <w:pPr>
        <w:ind w:left="60" w:right="599" w:firstLine="270"/>
        <w:spacing w:after="0" w:line="293" w:lineRule="auto"/>
        <w:rPr>
          <w:sz w:val="20"/>
          <w:szCs w:val="20"/>
          <w:color w:val="auto"/>
        </w:rPr>
      </w:pPr>
      <w:r>
        <w:rPr>
          <w:rFonts w:ascii="Arial" w:cs="Arial" w:eastAsia="Arial" w:hAnsi="Arial"/>
          <w:sz w:val="16"/>
          <w:szCs w:val="16"/>
          <w:color w:val="auto"/>
        </w:rPr>
        <w:t>As of December 31, 2015 and December 31, 2014, the Company had Restricted Cash of $52,931 and $48,889, respectively, which is included on the consolidated statements of Assets and Liabilities. As of both December 31, 2015 and December 31, 2014, Restricted Cash consisted of a deposit for the Company’s fidelity bond as well as excess funds remaining in escrow after the purchase of the government securities that will be used to make the scheduled interest payments on the $69 million aggregate principal amount of the Convertible Senior Notes, which bear interest at a fixed rate of 5.25% per year and mature on September 15, 2018 (the “Convertible Senior Notes”). See the table below and “Note 9 — Long Term Liabilities”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52139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 for the Company’s Fidelity Bond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Excess funds</w:t>
            </w:r>
          </w:p>
        </w:tc>
        <w:tc>
          <w:tcPr>
            <w:tcW w:w="20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27,931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23,889</w:t>
            </w:r>
          </w:p>
        </w:tc>
      </w:tr>
      <w:tr>
        <w:trPr>
          <w:trHeight w:val="20"/>
        </w:trPr>
        <w:tc>
          <w:tcPr>
            <w:tcW w:w="6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Cash</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52,931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48,889</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income, adjusted for amortization of premium and accretion of discount, is recorded on an accrual basis.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ind w:left="60" w:right="51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Statement of Assets and Liabilities as Escrow deposits. At December 31, 2015 and December 31, 2014, the Company had no Escrow deposits.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Unrealized Appreciation or Depreciation of Investments</w:t>
      </w:r>
    </w:p>
    <w:p>
      <w:pPr>
        <w:spacing w:after="0" w:line="117" w:lineRule="exact"/>
        <w:rPr>
          <w:sz w:val="20"/>
          <w:szCs w:val="20"/>
          <w:color w:val="auto"/>
        </w:rPr>
      </w:pPr>
    </w:p>
    <w:p>
      <w:pPr>
        <w:ind w:left="60" w:right="89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The Company has elected to be treated as a regulated investment company (a “RIC”) under subchapter M of the Internal Revenue Code of 1986, as amended (the “Code”), for the 2014 taxable year, qualified to be treated as a RIC for the 2015 taxable year and expects to continue to operate in a manner so as to qualify for the tax treatment applicable to RICs. In order to qualify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60" w:right="659"/>
        <w:spacing w:after="0" w:line="302" w:lineRule="auto"/>
        <w:rPr>
          <w:sz w:val="20"/>
          <w:szCs w:val="20"/>
          <w:color w:val="auto"/>
        </w:rPr>
      </w:pPr>
      <w:r>
        <w:rPr>
          <w:rFonts w:ascii="Arial" w:cs="Arial" w:eastAsia="Arial" w:hAnsi="Arial"/>
          <w:sz w:val="16"/>
          <w:szCs w:val="16"/>
          <w:color w:val="auto"/>
        </w:rPr>
        <w:t>gross tax-exempt interest income over certain disallowed deductions) for each taxable year and meet certain source of income and asset diversification requirements on a quarterly basis. Depending on the level of ICTI earned in a tax year, the Company may choose to carry forward into the next tax year ICTI in excess of current year dividend distributions. Any such carryforward ICTI must be distributed on or before December 31 of the subsequent tax year to which they were carried forward.</w:t>
      </w:r>
    </w:p>
    <w:p>
      <w:pPr>
        <w:spacing w:after="0" w:line="46" w:lineRule="exact"/>
        <w:rPr>
          <w:sz w:val="20"/>
          <w:szCs w:val="20"/>
          <w:color w:val="auto"/>
        </w:rPr>
      </w:pPr>
    </w:p>
    <w:p>
      <w:pPr>
        <w:ind w:left="60" w:right="599" w:firstLine="270"/>
        <w:spacing w:after="0" w:line="279" w:lineRule="auto"/>
        <w:rPr>
          <w:sz w:val="20"/>
          <w:szCs w:val="20"/>
          <w:color w:val="auto"/>
        </w:rPr>
      </w:pPr>
      <w:r>
        <w:rPr>
          <w:rFonts w:ascii="Arial" w:cs="Arial" w:eastAsia="Arial" w:hAnsi="Arial"/>
          <w:sz w:val="17"/>
          <w:szCs w:val="17"/>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 ended December 31, 2015, the Company reclassified for book purposes amounts arising from permanent book/tax differences related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47167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64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4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$(65,015,969)</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Accumulated undistributed net investment income</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63,994,964</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net realized gain (loss) from investments</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1,021,005</w:t>
            </w:r>
          </w:p>
        </w:tc>
      </w:tr>
    </w:tbl>
    <w:p>
      <w:pPr>
        <w:spacing w:after="0" w:line="94" w:lineRule="exact"/>
        <w:rPr>
          <w:sz w:val="20"/>
          <w:szCs w:val="20"/>
          <w:color w:val="auto"/>
        </w:rPr>
      </w:pPr>
    </w:p>
    <w:p>
      <w:pPr>
        <w:ind w:left="60" w:right="619" w:firstLine="270"/>
        <w:spacing w:after="0" w:line="342" w:lineRule="auto"/>
        <w:rPr>
          <w:sz w:val="20"/>
          <w:szCs w:val="20"/>
          <w:color w:val="auto"/>
        </w:rPr>
      </w:pPr>
      <w:r>
        <w:rPr>
          <w:rFonts w:ascii="Arial" w:cs="Arial" w:eastAsia="Arial" w:hAnsi="Arial"/>
          <w:sz w:val="16"/>
          <w:szCs w:val="16"/>
          <w:color w:val="auto"/>
        </w:rPr>
        <w:t>For income tax purposes, distributions paid to stockholders are reported as ordinary income, return of capital, long term capital gains or a combination thereof. The tax character of distributions paid for the years ended December 31,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47421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2015</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Distributions of long-term capital gains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53,323,476</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Distributions on a tax basis</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ind w:left="60" w:right="859" w:firstLine="270"/>
        <w:spacing w:after="0" w:line="264" w:lineRule="auto"/>
        <w:rPr>
          <w:sz w:val="20"/>
          <w:szCs w:val="20"/>
          <w:color w:val="auto"/>
        </w:rPr>
      </w:pPr>
      <w:r>
        <w:rPr>
          <w:rFonts w:ascii="Arial" w:cs="Arial" w:eastAsia="Arial" w:hAnsi="Arial"/>
          <w:sz w:val="18"/>
          <w:szCs w:val="18"/>
          <w:color w:val="auto"/>
        </w:rPr>
        <w:t>For federal income tax purposes, the tax cost of investments owned at December 31, 2015 and 2014, was $325,164,414 and $301,111,689, respectively. The net unrealized appreciation on investments owned at December 31, 2015 and 2014, was $58,649,841 and $69,882,702 respectively.</w:t>
      </w:r>
    </w:p>
    <w:p>
      <w:pPr>
        <w:spacing w:after="0" w:line="73" w:lineRule="exact"/>
        <w:rPr>
          <w:sz w:val="20"/>
          <w:szCs w:val="20"/>
          <w:color w:val="auto"/>
        </w:rPr>
      </w:pPr>
    </w:p>
    <w:p>
      <w:pPr>
        <w:jc w:val="both"/>
        <w:ind w:left="60" w:right="599" w:firstLine="270"/>
        <w:spacing w:after="0" w:line="259" w:lineRule="auto"/>
        <w:rPr>
          <w:sz w:val="20"/>
          <w:szCs w:val="20"/>
          <w:color w:val="auto"/>
        </w:rPr>
      </w:pPr>
      <w:r>
        <w:rPr>
          <w:rFonts w:ascii="Arial" w:cs="Arial" w:eastAsia="Arial" w:hAnsi="Arial"/>
          <w:sz w:val="18"/>
          <w:szCs w:val="18"/>
          <w:color w:val="auto"/>
        </w:rPr>
        <w:t>At December 31 2015,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wholly-owned subsidiary corporations, and organizational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421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05" w:lineRule="exact"/>
        <w:rPr>
          <w:sz w:val="20"/>
          <w:szCs w:val="20"/>
          <w:color w:val="auto"/>
        </w:rPr>
      </w:pPr>
    </w:p>
    <w:p>
      <w:pPr>
        <w:jc w:val="center"/>
        <w:ind w:left="2760"/>
        <w:spacing w:after="0"/>
        <w:rPr>
          <w:sz w:val="20"/>
          <w:szCs w:val="20"/>
          <w:color w:val="auto"/>
        </w:rPr>
      </w:pPr>
      <w:r>
        <w:rPr>
          <w:rFonts w:ascii="Arial" w:cs="Arial" w:eastAsia="Arial" w:hAnsi="Arial"/>
          <w:sz w:val="14"/>
          <w:szCs w:val="14"/>
          <w:b w:val="1"/>
          <w:bCs w:val="1"/>
          <w:color w:val="auto"/>
        </w:rPr>
        <w:t>Year Ended</w:t>
      </w:r>
    </w:p>
    <w:p>
      <w:pPr>
        <w:jc w:val="center"/>
        <w:ind w:left="2760"/>
        <w:spacing w:after="0" w:line="226" w:lineRule="auto"/>
        <w:rPr>
          <w:sz w:val="20"/>
          <w:szCs w:val="20"/>
          <w:color w:val="auto"/>
        </w:rPr>
      </w:pPr>
      <w:r>
        <w:rPr>
          <w:rFonts w:ascii="Arial" w:cs="Arial" w:eastAsia="Arial" w:hAnsi="Arial"/>
          <w:sz w:val="14"/>
          <w:szCs w:val="14"/>
          <w:b w:val="1"/>
          <w:bCs w:val="1"/>
          <w:color w:val="auto"/>
        </w:rPr>
        <w:t>December 31,</w:t>
      </w:r>
    </w:p>
    <w:p>
      <w:pPr>
        <w:jc w:val="center"/>
        <w:ind w:left="2760"/>
        <w:spacing w:after="0" w:line="232" w:lineRule="auto"/>
        <w:rPr>
          <w:sz w:val="20"/>
          <w:szCs w:val="20"/>
          <w:color w:val="auto"/>
        </w:rPr>
      </w:pPr>
      <w:r>
        <w:rPr>
          <w:rFonts w:ascii="Arial" w:cs="Arial" w:eastAsia="Arial" w:hAnsi="Arial"/>
          <w:sz w:val="14"/>
          <w:szCs w:val="14"/>
          <w:b w:val="1"/>
          <w:bCs w:val="1"/>
          <w:color w:val="auto"/>
        </w:rPr>
        <w:t>2015</w:t>
      </w:r>
    </w:p>
    <w:tbl>
      <w:tblPr>
        <w:tblLayout w:type="fixed"/>
        <w:tblInd w:w="0" w:type="dxa"/>
        <w:tblCellMar>
          <w:top w:w="0" w:type="dxa"/>
          <w:left w:w="0" w:type="dxa"/>
          <w:bottom w:w="0" w:type="dxa"/>
          <w:right w:w="0" w:type="dxa"/>
        </w:tblCellMar>
      </w:tblP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capital gains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820,753</w:t>
            </w: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Unrealized appreciation</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45,844,891</w:t>
            </w:r>
          </w:p>
        </w:tc>
        <w:tc>
          <w:tcPr>
            <w:tcW w:w="80" w:type="dxa"/>
            <w:vAlign w:val="bottom"/>
          </w:tcPr>
          <w:p>
            <w:pPr>
              <w:spacing w:after="0"/>
              <w:rPr>
                <w:sz w:val="18"/>
                <w:szCs w:val="18"/>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Components of distributable earnings at year end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46,665,644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2015 and 2014, no net capital loss carryforwards were created.</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If the Company does not distribute (or is not deemed to have distributed) each calendar year sum of (1) 98% of its net ordinary income for each calendar year, (2) 98.2% of its capital gain net income for the one-year period ending October 31 in that calendar year and (3) any income recognized, but not distributed, in preceding years (the “Minimum Distribution Amount”), it will generally be required to pay an excise tax equal to 4% of the amount by the which Minimum Distribution Amount exceeds the distributions for the year. To the extent that the Company determines that its estimated current year annual taxable income will be in excess of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58"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The Company was taxed as a regular corporation (a “C corporation”) under subchapter C of the Code, for its 2012 taxable year. In September 2014, the Company filed its 2013 tax return as a RIC and sought to be granted RIC status for its 2013 taxable year; however, the Company determined it would not be eligible to elect to be treated as a RIC for the 2013 taxable year unless it was certified by the Securities and Exchange Commission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The Company has not received such SEC Certification for its 2013 taxable year; however, in September 2015, the Company determined it was in the best interests of its stockholders to file the 2013 tax return as a C corporation.</w:t>
      </w:r>
    </w:p>
    <w:p>
      <w:pPr>
        <w:spacing w:after="0" w:line="7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The Company has, however, determined that it satisfied the requirements to qualify as a RIC for the 2014 taxable year and elected to be treated as a RIC in its 2014 tax return filed in September 2015.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74"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The Company has also qualified to be treated as a RIC for the 2015 taxable year and intends to be treated as a RIC in future periods. If it is not treated as a RIC, the Company will be taxed as a C corporation under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79"/>
        <w:spacing w:after="0" w:line="257" w:lineRule="auto"/>
        <w:rPr>
          <w:sz w:val="20"/>
          <w:szCs w:val="20"/>
          <w:color w:val="auto"/>
        </w:rPr>
      </w:pPr>
      <w:r>
        <w:rPr>
          <w:rFonts w:ascii="Arial" w:cs="Arial" w:eastAsia="Arial" w:hAnsi="Arial"/>
          <w:sz w:val="18"/>
          <w:szCs w:val="18"/>
          <w:color w:val="auto"/>
        </w:rPr>
        <w:t>a RIC. If the Company fails to requalify as a RIC for a period greater than two taxable years, it may be subject to regular corporate tax on any net built-in gains with respect to certain of its assets (</w:t>
      </w:r>
      <w:r>
        <w:rPr>
          <w:rFonts w:ascii="Arial" w:cs="Arial" w:eastAsia="Arial" w:hAnsi="Arial"/>
          <w:sz w:val="18"/>
          <w:szCs w:val="18"/>
          <w:i w:val="1"/>
          <w:iCs w:val="1"/>
          <w:color w:val="auto"/>
        </w:rPr>
        <w:t>i.e.</w:t>
      </w:r>
      <w:r>
        <w:rPr>
          <w:rFonts w:ascii="Arial" w:cs="Arial" w:eastAsia="Arial" w:hAnsi="Arial"/>
          <w:sz w:val="18"/>
          <w:szCs w:val="18"/>
          <w:color w:val="auto"/>
        </w:rPr>
        <w:t>,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8 — Income Taxes” for further details regarding the Company’s tax status.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Basic net increase in net assets resulting from operations per common share is computed using the weighted-average number of shares outstanding for the period presented. Diluted net increase in net assets resulting from operations per common share is computed by dividing net increase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ASC 260 to determine the number of potentially dilutive shares outstanding. Refer to “Note 5 — Net Increase in Net Assets Resulting from Operations per Common Share — Basic and Diluted” for further detail.</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color w:val="auto"/>
        </w:rPr>
        <w:t>In April 2015, the Financial Accounting Standards Board (“FASB”) issued Accounting Standards Update (“ASU”) 2015-03, Interest — Imputation of Interest (Topic 835): Simplifying the Presentation of Debt Issuance Costs (“ASU 2015-03”). ASU 2015-03 requires companies to present debt issuance costs related to a recognized debt liability in the balance sheet as a direct deduction from the carrying amount of that debt liability, consistent with debt discounts. Debt Issuance costs related to lines of credit are not required to be deducted from the carrying amount of that debt liability. Public companies are required to apply ASU 2015-03 retrospectively for interim and annual reporting periods beginning after December 15, 2015.</w:t>
      </w:r>
    </w:p>
    <w:p>
      <w:pPr>
        <w:spacing w:after="0" w:line="70"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The Company does not believe that the adoption of any recently issued accounting standards will have a material impact on its financial position and results of operations.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jc w:val="both"/>
        <w:ind w:left="40" w:right="659" w:firstLine="270"/>
        <w:spacing w:after="0" w:line="286" w:lineRule="auto"/>
        <w:rPr>
          <w:sz w:val="20"/>
          <w:szCs w:val="20"/>
          <w:color w:val="auto"/>
        </w:rPr>
      </w:pPr>
      <w:r>
        <w:rPr>
          <w:rFonts w:ascii="Arial" w:cs="Arial" w:eastAsia="Arial" w:hAnsi="Arial"/>
          <w:sz w:val="16"/>
          <w:szCs w:val="16"/>
          <w:color w:val="auto"/>
        </w:rPr>
        <w:t>The Company has entered into an investment advisory agreement with GSV Asset Management (the “Advisory Agreement”).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w:t>
      </w:r>
    </w:p>
    <w:p>
      <w:pPr>
        <w:spacing w:after="0" w:line="2" w:lineRule="exact"/>
        <w:rPr>
          <w:sz w:val="20"/>
          <w:szCs w:val="20"/>
          <w:color w:val="auto"/>
        </w:rPr>
      </w:pPr>
    </w:p>
    <w:p>
      <w:pPr>
        <w:jc w:val="both"/>
        <w:ind w:left="40" w:right="719"/>
        <w:spacing w:after="0" w:line="255" w:lineRule="auto"/>
        <w:rPr>
          <w:sz w:val="20"/>
          <w:szCs w:val="20"/>
          <w:color w:val="auto"/>
        </w:rPr>
      </w:pPr>
      <w:r>
        <w:rPr>
          <w:rFonts w:ascii="Arial" w:cs="Arial" w:eastAsia="Arial" w:hAnsi="Arial"/>
          <w:sz w:val="18"/>
          <w:szCs w:val="18"/>
          <w:color w:val="auto"/>
        </w:rPr>
        <w:t>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Incentive Fees</w:t>
      </w:r>
    </w:p>
    <w:p>
      <w:pPr>
        <w:spacing w:after="0" w:line="117"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The Company has not paid GSV Asset Management any incentive fees since inception under the terms of the Advisory Agreement. For GAAP purposes, in accordance with the AICPA’s TPA (TIS 6910.2), for periods in which the Company does not pay an incentive fee, it is required to accrue incentive fees as if the Company had fully liquidated the entire investment portfolio at the fair value stated on the consolidated statements of Assets and Liabilities as of December 31, 2015 and December 31, 2014. This accrual considers both the hypothetical liquidation of the Company’s portfolio described previously, as well as the Company’s actual cumulative realized gains and losses since inception.</w:t>
      </w:r>
    </w:p>
    <w:p>
      <w:pPr>
        <w:spacing w:after="0" w:line="200" w:lineRule="exact"/>
        <w:rPr>
          <w:sz w:val="20"/>
          <w:szCs w:val="20"/>
          <w:color w:val="auto"/>
        </w:rPr>
      </w:pPr>
    </w:p>
    <w:p>
      <w:pPr>
        <w:spacing w:after="0" w:line="3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For the years ended December 31, 2015, 2014 and 2013, the Company accrued incentive fees of $8,170,326, $3,614,347, and $10,523,552, respectively, for financial statement purposes, of which $5.0 million is payable for the year ended December 31, 2015. No incentive fee was payable for the years ended December 31, 2014 and 2013.</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17"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GSV Asset Management earned $8,044,801, $7,562,488 and $5,426,485 in management fees for the years ended December 31, 2015, 2014 and 2013, respectively.</w:t>
      </w:r>
    </w:p>
    <w:p>
      <w:pPr>
        <w:spacing w:after="0" w:line="62" w:lineRule="exact"/>
        <w:rPr>
          <w:sz w:val="20"/>
          <w:szCs w:val="20"/>
          <w:color w:val="auto"/>
        </w:rPr>
      </w:pPr>
    </w:p>
    <w:p>
      <w:pPr>
        <w:ind w:left="40" w:right="879" w:firstLine="270"/>
        <w:spacing w:after="0" w:line="259" w:lineRule="auto"/>
        <w:rPr>
          <w:sz w:val="20"/>
          <w:szCs w:val="20"/>
          <w:color w:val="auto"/>
        </w:rPr>
      </w:pPr>
      <w:r>
        <w:rPr>
          <w:rFonts w:ascii="Arial" w:cs="Arial" w:eastAsia="Arial" w:hAnsi="Arial"/>
          <w:sz w:val="18"/>
          <w:szCs w:val="18"/>
          <w:color w:val="auto"/>
        </w:rPr>
        <w:t>As of December 31, 2015, the Company was owed $220,770 from GSV Asset Management for reimbursement of expenses paid for by the Company that were the responsibility of GSV Asset Management. In addition, as of December 31, 2015, the Company owed GSV Asset Management $5,047,429 for earned incentive fees and, to a lesser extent, for the reimbursement of other expenses.</w:t>
      </w:r>
    </w:p>
    <w:p>
      <w:pPr>
        <w:spacing w:after="0" w:line="79" w:lineRule="exact"/>
        <w:rPr>
          <w:sz w:val="20"/>
          <w:szCs w:val="20"/>
          <w:color w:val="auto"/>
        </w:rPr>
      </w:pPr>
    </w:p>
    <w:p>
      <w:pPr>
        <w:ind w:left="40" w:right="879" w:firstLine="270"/>
        <w:spacing w:after="0" w:line="264" w:lineRule="auto"/>
        <w:rPr>
          <w:sz w:val="20"/>
          <w:szCs w:val="20"/>
          <w:color w:val="auto"/>
        </w:rPr>
      </w:pPr>
      <w:r>
        <w:rPr>
          <w:rFonts w:ascii="Arial" w:cs="Arial" w:eastAsia="Arial" w:hAnsi="Arial"/>
          <w:sz w:val="18"/>
          <w:szCs w:val="18"/>
          <w:color w:val="auto"/>
        </w:rPr>
        <w:t>As of December 31, 2014, the Company was owed $204,825 from GSV Asset Management for reimbursement of expenses paid for by the Company that were the responsibility of GSV Asset Management. In addition, as of December 31, 2014, the Company owed GSV Asset Management $23,396 for reimbursement of other expenses.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The Company reimburses GSV Capital Service Company an allocable portion of overhead and other expenses in performing its obligations under the Administration Agreement. There were $2,681,079, $3,199,904 and $3,089,771 in such costs incurred under the Administration Agreement for the years ended December 31, 2015, 2014 and 2013, respectively.</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Investments in Controlled and Affiliated Portfolio Companies</w:t>
      </w:r>
    </w:p>
    <w:p>
      <w:pPr>
        <w:spacing w:after="0" w:line="121"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Under the 1940 Act, the Company’s investments in Controlled and Affiliated portfolio companies are deemed to be related-party transactions.</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4" w:name="page105"/>
    <w:bookmarkEnd w:id="104"/>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w:t>
      </w:r>
    </w:p>
    <w:p>
      <w:pPr>
        <w:spacing w:after="0" w:line="121" w:lineRule="exact"/>
        <w:rPr>
          <w:sz w:val="20"/>
          <w:szCs w:val="20"/>
          <w:color w:val="auto"/>
        </w:rPr>
      </w:pPr>
    </w:p>
    <w:p>
      <w:pPr>
        <w:ind w:left="180" w:right="539" w:firstLine="270"/>
        <w:spacing w:after="0" w:line="293"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December 31, 2015, the Company had 96 positions in 48 portfolio companies. At December 31, 2014, the Company had 99 positions in 52 portfolio companies. The following table summarizes the composition of the Company’s investment portfolio by security type at cost and fair value as of December 31, 2015 and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2139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7"/>
                <w:szCs w:val="17"/>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65,870,590</w:t>
            </w:r>
          </w:p>
        </w:tc>
        <w:tc>
          <w:tcPr>
            <w:tcW w:w="1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$102,319,140</w:t>
            </w:r>
          </w:p>
        </w:tc>
        <w:tc>
          <w:tcPr>
            <w:tcW w:w="2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55,085,728</w:t>
            </w:r>
          </w:p>
        </w:tc>
        <w:tc>
          <w:tcPr>
            <w:tcW w:w="2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85,598,467</w:t>
            </w: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192,255,990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216,291,092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190,308,932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193,847,045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4,177,803</w:t>
            </w:r>
          </w:p>
        </w:tc>
        <w:tc>
          <w:tcPr>
            <w:tcW w:w="1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4,175,859</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1,360,331</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1,374,210</w:t>
            </w: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301,772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469,306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904,345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262,606,155</w:t>
            </w:r>
          </w:p>
        </w:tc>
        <w:tc>
          <w:tcPr>
            <w:tcW w:w="14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323,255,397</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247,056,187</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281,724,067</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30,743,688</w:t>
            </w:r>
          </w:p>
        </w:tc>
        <w:tc>
          <w:tcPr>
            <w:tcW w:w="1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26,553,370</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54,055,502</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89,260,250</w:t>
            </w:r>
          </w:p>
        </w:tc>
        <w:tc>
          <w:tcPr>
            <w:tcW w:w="0" w:type="dxa"/>
            <w:vAlign w:val="bottom"/>
          </w:tcPr>
          <w:p>
            <w:pPr>
              <w:spacing w:after="0"/>
              <w:rPr>
                <w:sz w:val="1"/>
                <w:szCs w:val="1"/>
                <w:color w:val="auto"/>
              </w:rPr>
            </w:pPr>
          </w:p>
        </w:tc>
      </w:tr>
      <w:tr>
        <w:trPr>
          <w:trHeight w:val="191"/>
        </w:trPr>
        <w:tc>
          <w:tcPr>
            <w:tcW w:w="36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w w:val="99"/>
              </w:rPr>
              <w:t>Total Private and Publicly Traded Portfolio</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293,349,843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349,808,767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301,111,689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370,984,317</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U.S. Treasury Bill</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29,999,968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100,001,692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100,000,056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Strips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3,675,192</w:t>
            </w:r>
          </w:p>
        </w:tc>
        <w:tc>
          <w:tcPr>
            <w:tcW w:w="14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3,676,693</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7,286,332</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7,298,042</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33,675,160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33,676,693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107,288,024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107,298,098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327,025,003</w:t>
            </w:r>
          </w:p>
        </w:tc>
        <w:tc>
          <w:tcPr>
            <w:tcW w:w="140" w:type="dxa"/>
            <w:vAlign w:val="bottom"/>
            <w:tcBorders>
              <w:left w:val="single" w:sz="8" w:color="CCEEFF"/>
            </w:tcBorders>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383,485,460</w:t>
            </w:r>
          </w:p>
        </w:tc>
        <w:tc>
          <w:tcPr>
            <w:tcW w:w="2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408,399,713</w:t>
            </w:r>
          </w:p>
        </w:tc>
        <w:tc>
          <w:tcPr>
            <w:tcW w:w="2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478,282,415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-1311275</wp:posOffset>
            </wp:positionV>
            <wp:extent cx="5213985" cy="146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-1028700</wp:posOffset>
            </wp:positionV>
            <wp:extent cx="5213985" cy="291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-325120</wp:posOffset>
            </wp:positionV>
            <wp:extent cx="5213985"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180" w:right="899" w:firstLine="270"/>
        <w:spacing w:after="0" w:line="342" w:lineRule="auto"/>
        <w:rPr>
          <w:sz w:val="20"/>
          <w:szCs w:val="20"/>
          <w:color w:val="auto"/>
        </w:rPr>
      </w:pPr>
      <w:r>
        <w:rPr>
          <w:rFonts w:ascii="Arial" w:cs="Arial" w:eastAsia="Arial" w:hAnsi="Arial"/>
          <w:sz w:val="16"/>
          <w:szCs w:val="16"/>
          <w:color w:val="auto"/>
        </w:rPr>
        <w:t>The fair values of the Company’s investments disaggregated into the three levels of the fair value hierarchy based upon the lowest level of significant input used in the valuation as of December 31, 2015 and December 31,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52139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As of December 31, 2015</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14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8"/>
              </w:rPr>
              <w:t>$102,319,140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$ 102,319,140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216,291,092</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216,291,092</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4,175,859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4,175,859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469,306</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469,306</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323,255,397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323,255,397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26,486,074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67,296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26,553,370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6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9"/>
              </w:rPr>
              <w:t>Total Private and Publicly Traded Portfolio</w:t>
            </w: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26,486,074</w:t>
            </w:r>
          </w:p>
        </w:tc>
        <w:tc>
          <w:tcPr>
            <w:tcW w:w="1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323,255,397</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349,808,767</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30,000,000</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3,676,693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3,676,693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33,676,693</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33,676,693</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60,162,767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67,296</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323,255,397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$ 383,485,460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-2091690</wp:posOffset>
            </wp:positionV>
            <wp:extent cx="5213985"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-1379855</wp:posOffset>
            </wp:positionV>
            <wp:extent cx="5213985" cy="146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5213985" cy="1803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05" w:name="page106"/>
    <w:bookmarkEnd w:id="10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of December 31, 2014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85,598,467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85,598,467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193,847,045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193,847,045</w:t>
            </w: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1,374,210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1,374,210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904,345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904,345</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281,724,067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281,724,067</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65,586,615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23,673,635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89,260,250</w:t>
            </w:r>
          </w:p>
        </w:tc>
        <w:tc>
          <w:tcPr>
            <w:tcW w:w="0" w:type="dxa"/>
            <w:vAlign w:val="bottom"/>
          </w:tcPr>
          <w:p>
            <w:pPr>
              <w:spacing w:after="0"/>
              <w:rPr>
                <w:sz w:val="1"/>
                <w:szCs w:val="1"/>
                <w:color w:val="auto"/>
              </w:rPr>
            </w:pPr>
          </w:p>
        </w:tc>
      </w:tr>
      <w:tr>
        <w:trPr>
          <w:trHeight w:val="191"/>
        </w:trPr>
        <w:tc>
          <w:tcPr>
            <w:tcW w:w="36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9"/>
              </w:rPr>
              <w:t>Total Private and Publicly Traded Portfolio</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65,586,615</w:t>
            </w:r>
          </w:p>
        </w:tc>
        <w:tc>
          <w:tcPr>
            <w:tcW w:w="14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23,673,635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281,724,067</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370,984,317</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100,000,056</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100,000,056</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7,298,042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7,298,042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107,298,098</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107,298,098</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172,884,713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23,673,635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281,724,067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478,282,415</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at fair value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Embedded Derivative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-1911985</wp:posOffset>
            </wp:positionV>
            <wp:extent cx="5213985"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-1200150</wp:posOffset>
            </wp:positionV>
            <wp:extent cx="5213985"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-633730</wp:posOffset>
            </wp:positionV>
            <wp:extent cx="5213985" cy="1803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Unobservable Inputs for Level 3 Assets and Liabilities</w:t>
      </w:r>
    </w:p>
    <w:p>
      <w:pPr>
        <w:spacing w:after="0" w:line="121" w:lineRule="exact"/>
        <w:rPr>
          <w:sz w:val="20"/>
          <w:szCs w:val="20"/>
          <w:color w:val="auto"/>
        </w:rPr>
      </w:pPr>
    </w:p>
    <w:p>
      <w:pPr>
        <w:ind w:left="60" w:right="539" w:firstLine="270"/>
        <w:spacing w:after="0" w:line="290" w:lineRule="auto"/>
        <w:rPr>
          <w:sz w:val="20"/>
          <w:szCs w:val="20"/>
          <w:color w:val="auto"/>
        </w:rPr>
      </w:pPr>
      <w:r>
        <w:rPr>
          <w:rFonts w:ascii="Arial" w:cs="Arial" w:eastAsia="Arial" w:hAnsi="Arial"/>
          <w:sz w:val="16"/>
          <w:szCs w:val="16"/>
          <w:color w:val="auto"/>
        </w:rPr>
        <w:t>The tables below provide quantitative information about the Company’s fair value measurements of its Level 3 assets and liabilities as of December 31, 2015 and December 31, 2014. In addition to the techniques and inputs noted in the table below, according to the Company’s valuation policy, the Company may also use other valuation techniques and methodologies when determining the Company’s fair value measurements. The below table is not intended to be all-inclusive, but rather provides information on the significant Level 3 inputs as they relate to the Company’s fair value measurements. To the extent an unobservable input is not reflected in the table below, such input is deemed insignificant with respect to the Company’s Level 3 fair value measurements as of December 31, 2015 and December 31, 2014. Significant changes in the inputs in isolation would result in a significant change in the fair value measurement, depending on the input and the materiality of the investment.</w:t>
      </w:r>
    </w:p>
    <w:p>
      <w:pPr>
        <w:spacing w:after="0" w:line="200" w:lineRule="exact"/>
        <w:rPr>
          <w:sz w:val="20"/>
          <w:szCs w:val="20"/>
          <w:color w:val="auto"/>
        </w:rPr>
      </w:pPr>
    </w:p>
    <w:p>
      <w:pPr>
        <w:spacing w:after="0" w:line="30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6" w:name="page107"/>
    <w:bookmarkEnd w:id="10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December 31, 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Asset (Liability)</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6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Unobservable inputs</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Range (Weighted</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1640" w:type="dxa"/>
            <w:vAlign w:val="bottom"/>
          </w:tcPr>
          <w:p>
            <w:pPr>
              <w:ind w:left="20"/>
              <w:spacing w:after="0"/>
              <w:rPr>
                <w:sz w:val="20"/>
                <w:szCs w:val="20"/>
                <w:color w:val="auto"/>
              </w:rPr>
            </w:pPr>
            <w:r>
              <w:rPr>
                <w:rFonts w:ascii="Arial" w:cs="Arial" w:eastAsia="Arial" w:hAnsi="Arial"/>
                <w:sz w:val="16"/>
                <w:szCs w:val="16"/>
                <w:color w:val="auto"/>
              </w:rPr>
              <w:t>Common stock in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w w:val="81"/>
              </w:rPr>
              <w:t>(1)</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40" w:type="dxa"/>
            <w:vAlign w:val="bottom"/>
          </w:tcPr>
          <w:p>
            <w:pPr>
              <w:ind w:left="200"/>
              <w:spacing w:after="0"/>
              <w:rPr>
                <w:sz w:val="20"/>
                <w:szCs w:val="20"/>
                <w:color w:val="auto"/>
              </w:rPr>
            </w:pPr>
            <w:r>
              <w:rPr>
                <w:rFonts w:ascii="Arial" w:cs="Arial" w:eastAsia="Arial" w:hAnsi="Arial"/>
                <w:sz w:val="16"/>
                <w:szCs w:val="16"/>
                <w:color w:val="auto"/>
              </w:rPr>
              <w:t>private companies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87"/>
              </w:rPr>
              <w:t>102,319,140</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8"/>
                <w:szCs w:val="18"/>
                <w:color w:val="auto"/>
              </w:rPr>
            </w:pPr>
          </w:p>
        </w:tc>
        <w:tc>
          <w:tcPr>
            <w:tcW w:w="1800" w:type="dxa"/>
            <w:vAlign w:val="bottom"/>
          </w:tcPr>
          <w:p>
            <w:pPr>
              <w:jc w:val="center"/>
              <w:ind w:left="20"/>
              <w:spacing w:after="0"/>
              <w:rPr>
                <w:sz w:val="20"/>
                <w:szCs w:val="20"/>
                <w:color w:val="auto"/>
              </w:rPr>
            </w:pPr>
            <w:r>
              <w:rPr>
                <w:rFonts w:ascii="Arial" w:cs="Arial" w:eastAsia="Arial" w:hAnsi="Arial"/>
                <w:sz w:val="16"/>
                <w:szCs w:val="16"/>
                <w:color w:val="auto"/>
                <w:w w:val="89"/>
              </w:rPr>
              <w:t>Precedent transactions</w:t>
            </w: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6"/>
        </w:trPr>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Revenue multiples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4.5x – 5.4x (5.0x)</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jc w:val="center"/>
              <w:ind w:left="40"/>
              <w:spacing w:after="0"/>
              <w:rPr>
                <w:sz w:val="20"/>
                <w:szCs w:val="20"/>
                <w:color w:val="auto"/>
              </w:rPr>
            </w:pPr>
            <w:r>
              <w:rPr>
                <w:rFonts w:ascii="Arial" w:cs="Arial" w:eastAsia="Arial" w:hAnsi="Arial"/>
                <w:sz w:val="16"/>
                <w:szCs w:val="16"/>
                <w:color w:val="auto"/>
                <w:w w:val="96"/>
              </w:rPr>
              <w:t>EBIT multiples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34.2x (34.2x)</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1"/>
              </w:rPr>
              <w:t>Discount rate</w:t>
            </w:r>
          </w:p>
        </w:tc>
        <w:tc>
          <w:tcPr>
            <w:tcW w:w="2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35% (35%)</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Liquidation Value</w:t>
            </w:r>
          </w:p>
        </w:tc>
        <w:tc>
          <w:tcPr>
            <w:tcW w:w="160" w:type="dxa"/>
            <w:vAlign w:val="bottom"/>
          </w:tcPr>
          <w:p>
            <w:pPr>
              <w:spacing w:after="0"/>
              <w:rPr>
                <w:sz w:val="17"/>
                <w:szCs w:val="17"/>
                <w:color w:val="auto"/>
              </w:rPr>
            </w:pPr>
          </w:p>
        </w:tc>
        <w:tc>
          <w:tcPr>
            <w:tcW w:w="1800" w:type="dxa"/>
            <w:vAlign w:val="bottom"/>
          </w:tcPr>
          <w:p>
            <w:pPr>
              <w:jc w:val="center"/>
              <w:ind w:left="40"/>
              <w:spacing w:after="0"/>
              <w:rPr>
                <w:sz w:val="20"/>
                <w:szCs w:val="20"/>
                <w:color w:val="auto"/>
              </w:rPr>
            </w:pPr>
            <w:r>
              <w:rPr>
                <w:rFonts w:ascii="Arial" w:cs="Arial" w:eastAsia="Arial" w:hAnsi="Arial"/>
                <w:sz w:val="16"/>
                <w:szCs w:val="16"/>
                <w:color w:val="auto"/>
                <w:w w:val="94"/>
              </w:rPr>
              <w:t>Liquidation Value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93"/>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in</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1"/>
              </w:rPr>
              <w:t>(1)</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private companies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216,291,092</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89"/>
              </w:rPr>
              <w:t>Precedent transactions</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17"/>
                <w:szCs w:val="17"/>
                <w:color w:val="auto"/>
              </w:rPr>
            </w:pPr>
          </w:p>
        </w:tc>
        <w:tc>
          <w:tcPr>
            <w:tcW w:w="1800" w:type="dxa"/>
            <w:vAlign w:val="bottom"/>
          </w:tcPr>
          <w:p>
            <w:pPr>
              <w:jc w:val="center"/>
              <w:ind w:left="20"/>
              <w:spacing w:after="0"/>
              <w:rPr>
                <w:sz w:val="20"/>
                <w:szCs w:val="20"/>
                <w:color w:val="auto"/>
              </w:rPr>
            </w:pPr>
            <w:r>
              <w:rPr>
                <w:rFonts w:ascii="Arial" w:cs="Arial" w:eastAsia="Arial" w:hAnsi="Arial"/>
                <w:sz w:val="16"/>
                <w:szCs w:val="16"/>
                <w:color w:val="auto"/>
                <w:w w:val="92"/>
              </w:rPr>
              <w:t>Revenue multiples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1.3x – 6.0x (3.4x)</w:t>
            </w:r>
          </w:p>
        </w:tc>
        <w:tc>
          <w:tcPr>
            <w:tcW w:w="0" w:type="dxa"/>
            <w:vAlign w:val="bottom"/>
          </w:tcPr>
          <w:p>
            <w:pPr>
              <w:spacing w:after="0"/>
              <w:rPr>
                <w:sz w:val="1"/>
                <w:szCs w:val="1"/>
                <w:color w:val="auto"/>
              </w:rPr>
            </w:pPr>
          </w:p>
        </w:tc>
      </w:tr>
      <w:tr>
        <w:trPr>
          <w:trHeight w:val="193"/>
        </w:trPr>
        <w:tc>
          <w:tcPr>
            <w:tcW w:w="1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12.0x – 32.0x</w:t>
            </w:r>
          </w:p>
        </w:tc>
        <w:tc>
          <w:tcPr>
            <w:tcW w:w="0" w:type="dxa"/>
            <w:vAlign w:val="bottom"/>
          </w:tcPr>
          <w:p>
            <w:pPr>
              <w:spacing w:after="0"/>
              <w:rPr>
                <w:sz w:val="1"/>
                <w:szCs w:val="1"/>
                <w:color w:val="auto"/>
              </w:rPr>
            </w:pPr>
          </w:p>
        </w:tc>
      </w:tr>
      <w:tr>
        <w:trPr>
          <w:trHeight w:val="212"/>
        </w:trPr>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6"/>
              </w:rPr>
              <w:t>EBIT multiples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(19.5x)</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jc w:val="center"/>
              <w:ind w:left="20"/>
              <w:spacing w:after="0"/>
              <w:rPr>
                <w:sz w:val="20"/>
                <w:szCs w:val="20"/>
                <w:color w:val="auto"/>
              </w:rPr>
            </w:pPr>
            <w:r>
              <w:rPr>
                <w:rFonts w:ascii="Arial" w:cs="Arial" w:eastAsia="Arial" w:hAnsi="Arial"/>
                <w:sz w:val="16"/>
                <w:szCs w:val="16"/>
                <w:color w:val="auto"/>
                <w:w w:val="91"/>
              </w:rPr>
              <w:t>Discount rate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30% – 50% (40%)</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Investments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4,175,859</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3"/>
              </w:rPr>
              <w:t>Amortized Cost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color w:val="auto"/>
              </w:rPr>
              <w:t>Warrants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469,306</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5"/>
              </w:rPr>
              <w:t>Option pricing model</w:t>
            </w:r>
          </w:p>
        </w:tc>
        <w:tc>
          <w:tcPr>
            <w:tcW w:w="160" w:type="dxa"/>
            <w:vAlign w:val="bottom"/>
          </w:tcPr>
          <w:p>
            <w:pPr>
              <w:spacing w:after="0"/>
              <w:rPr>
                <w:sz w:val="17"/>
                <w:szCs w:val="17"/>
                <w:color w:val="auto"/>
              </w:rPr>
            </w:pPr>
          </w:p>
        </w:tc>
        <w:tc>
          <w:tcPr>
            <w:tcW w:w="1800" w:type="dxa"/>
            <w:vAlign w:val="bottom"/>
          </w:tcPr>
          <w:p>
            <w:pPr>
              <w:jc w:val="center"/>
              <w:ind w:left="20"/>
              <w:spacing w:after="0"/>
              <w:rPr>
                <w:sz w:val="20"/>
                <w:szCs w:val="20"/>
                <w:color w:val="auto"/>
              </w:rPr>
            </w:pPr>
            <w:r>
              <w:rPr>
                <w:rFonts w:ascii="Arial" w:cs="Arial" w:eastAsia="Arial" w:hAnsi="Arial"/>
                <w:sz w:val="16"/>
                <w:szCs w:val="16"/>
                <w:color w:val="auto"/>
                <w:w w:val="91"/>
              </w:rPr>
              <w:t>Term to expiration (Years)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1.03 – 3.00 (2.46)</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Strike price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0.13 – 4.59 (1.20)</w:t>
            </w:r>
          </w:p>
        </w:tc>
        <w:tc>
          <w:tcPr>
            <w:tcW w:w="0" w:type="dxa"/>
            <w:vAlign w:val="bottom"/>
          </w:tcPr>
          <w:p>
            <w:pPr>
              <w:spacing w:after="0"/>
              <w:rPr>
                <w:sz w:val="1"/>
                <w:szCs w:val="1"/>
                <w:color w:val="auto"/>
              </w:rPr>
            </w:pPr>
          </w:p>
        </w:tc>
      </w:tr>
      <w:tr>
        <w:trPr>
          <w:trHeight w:val="193"/>
        </w:trPr>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0"/>
              </w:rPr>
              <w:t>30% – 50%</w:t>
            </w:r>
          </w:p>
        </w:tc>
        <w:tc>
          <w:tcPr>
            <w:tcW w:w="0" w:type="dxa"/>
            <w:vAlign w:val="bottom"/>
          </w:tcPr>
          <w:p>
            <w:pPr>
              <w:spacing w:after="0"/>
              <w:rPr>
                <w:sz w:val="1"/>
                <w:szCs w:val="1"/>
                <w:color w:val="auto"/>
              </w:rPr>
            </w:pPr>
          </w:p>
        </w:tc>
      </w:tr>
      <w:tr>
        <w:trPr>
          <w:trHeight w:val="206"/>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jc w:val="center"/>
              <w:ind w:left="40"/>
              <w:spacing w:after="0"/>
              <w:rPr>
                <w:sz w:val="20"/>
                <w:szCs w:val="20"/>
                <w:color w:val="auto"/>
              </w:rPr>
            </w:pPr>
            <w:r>
              <w:rPr>
                <w:rFonts w:ascii="Arial" w:cs="Arial" w:eastAsia="Arial" w:hAnsi="Arial"/>
                <w:sz w:val="16"/>
                <w:szCs w:val="16"/>
                <w:color w:val="auto"/>
              </w:rPr>
              <w:t>Volatility</w:t>
            </w:r>
          </w:p>
        </w:tc>
        <w:tc>
          <w:tcPr>
            <w:tcW w:w="200" w:type="dxa"/>
            <w:vAlign w:val="bottom"/>
          </w:tcPr>
          <w:p>
            <w:pPr>
              <w:spacing w:after="0"/>
              <w:rPr>
                <w:sz w:val="17"/>
                <w:szCs w:val="17"/>
                <w:color w:val="auto"/>
              </w:rPr>
            </w:pPr>
          </w:p>
        </w:tc>
        <w:tc>
          <w:tcPr>
            <w:tcW w:w="1600" w:type="dxa"/>
            <w:vAlign w:val="bottom"/>
            <w:gridSpan w:val="2"/>
          </w:tcPr>
          <w:p>
            <w:pPr>
              <w:jc w:val="center"/>
              <w:ind w:left="139"/>
              <w:spacing w:after="0"/>
              <w:rPr>
                <w:sz w:val="20"/>
                <w:szCs w:val="20"/>
                <w:color w:val="auto"/>
              </w:rPr>
            </w:pPr>
            <w:r>
              <w:rPr>
                <w:rFonts w:ascii="Arial" w:cs="Arial" w:eastAsia="Arial" w:hAnsi="Arial"/>
                <w:sz w:val="16"/>
                <w:szCs w:val="16"/>
                <w:color w:val="auto"/>
                <w:w w:val="96"/>
              </w:rPr>
              <w:t>(40.9%)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521398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Asset (Liability)</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8"/>
              </w:rPr>
              <w:t>Valuation Techniques</w:t>
            </w:r>
          </w:p>
        </w:tc>
        <w:tc>
          <w:tcPr>
            <w:tcW w:w="140" w:type="dxa"/>
            <w:vAlign w:val="bottom"/>
          </w:tcPr>
          <w:p>
            <w:pPr>
              <w:spacing w:after="0"/>
              <w:rPr>
                <w:sz w:val="14"/>
                <w:szCs w:val="14"/>
                <w:color w:val="auto"/>
              </w:rPr>
            </w:pPr>
          </w:p>
        </w:tc>
        <w:tc>
          <w:tcPr>
            <w:tcW w:w="18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Unobservable inputs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Range (Average)</w:t>
            </w:r>
          </w:p>
        </w:tc>
        <w:tc>
          <w:tcPr>
            <w:tcW w:w="0" w:type="dxa"/>
            <w:vAlign w:val="bottom"/>
          </w:tcPr>
          <w:p>
            <w:pPr>
              <w:spacing w:after="0"/>
              <w:rPr>
                <w:sz w:val="1"/>
                <w:szCs w:val="1"/>
                <w:color w:val="auto"/>
              </w:rPr>
            </w:pPr>
          </w:p>
        </w:tc>
      </w:tr>
      <w:tr>
        <w:trPr>
          <w:trHeight w:val="186"/>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Common stock 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w w:val="81"/>
              </w:rPr>
              <w:t>(1)</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color w:val="auto"/>
              </w:rPr>
              <w:t>private companies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97"/>
              </w:rPr>
              <w:t>85,598,467</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40" w:type="dxa"/>
            <w:vAlign w:val="bottom"/>
          </w:tcPr>
          <w:p>
            <w:pPr>
              <w:spacing w:after="0"/>
              <w:rPr>
                <w:sz w:val="18"/>
                <w:szCs w:val="18"/>
                <w:color w:val="auto"/>
              </w:rPr>
            </w:pPr>
          </w:p>
        </w:tc>
        <w:tc>
          <w:tcPr>
            <w:tcW w:w="1800" w:type="dxa"/>
            <w:vAlign w:val="bottom"/>
          </w:tcPr>
          <w:p>
            <w:pPr>
              <w:jc w:val="center"/>
              <w:ind w:left="20"/>
              <w:spacing w:after="0"/>
              <w:rPr>
                <w:sz w:val="20"/>
                <w:szCs w:val="20"/>
                <w:color w:val="auto"/>
              </w:rPr>
            </w:pPr>
            <w:r>
              <w:rPr>
                <w:rFonts w:ascii="Arial" w:cs="Arial" w:eastAsia="Arial" w:hAnsi="Arial"/>
                <w:sz w:val="16"/>
                <w:szCs w:val="16"/>
                <w:color w:val="auto"/>
                <w:w w:val="89"/>
              </w:rPr>
              <w:t>Precedent transactions</w:t>
            </w: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ind w:left="6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Income approach</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Revenue multiples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1.1x – 5.9x (3.0x)</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10.20x – 18.90x</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left="40"/>
              <w:spacing w:after="0"/>
              <w:rPr>
                <w:sz w:val="20"/>
                <w:szCs w:val="20"/>
                <w:color w:val="auto"/>
              </w:rPr>
            </w:pPr>
            <w:r>
              <w:rPr>
                <w:rFonts w:ascii="Arial" w:cs="Arial" w:eastAsia="Arial" w:hAnsi="Arial"/>
                <w:sz w:val="16"/>
                <w:szCs w:val="16"/>
                <w:color w:val="auto"/>
                <w:w w:val="96"/>
              </w:rPr>
              <w:t>EBIT multiples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1"/>
              </w:rPr>
              <w:t>(16.70x)</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1"/>
              </w:rPr>
              <w:t>Discount rate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30% – 40% (37%)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Liquidation Value</w:t>
            </w:r>
          </w:p>
        </w:tc>
        <w:tc>
          <w:tcPr>
            <w:tcW w:w="140" w:type="dxa"/>
            <w:vAlign w:val="bottom"/>
          </w:tcPr>
          <w:p>
            <w:pPr>
              <w:spacing w:after="0"/>
              <w:rPr>
                <w:sz w:val="17"/>
                <w:szCs w:val="17"/>
                <w:color w:val="auto"/>
              </w:rPr>
            </w:pPr>
          </w:p>
        </w:tc>
        <w:tc>
          <w:tcPr>
            <w:tcW w:w="1800" w:type="dxa"/>
            <w:vAlign w:val="bottom"/>
          </w:tcPr>
          <w:p>
            <w:pPr>
              <w:jc w:val="center"/>
              <w:ind w:left="40"/>
              <w:spacing w:after="0"/>
              <w:rPr>
                <w:sz w:val="20"/>
                <w:szCs w:val="20"/>
                <w:color w:val="auto"/>
              </w:rPr>
            </w:pPr>
            <w:r>
              <w:rPr>
                <w:rFonts w:ascii="Arial" w:cs="Arial" w:eastAsia="Arial" w:hAnsi="Arial"/>
                <w:sz w:val="16"/>
                <w:szCs w:val="16"/>
                <w:color w:val="auto"/>
                <w:w w:val="94"/>
              </w:rPr>
              <w:t>Liquidation Value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ind w:left="6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Preferred stock in</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1"/>
              </w:rPr>
              <w:t>(1)</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private companies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7"/>
              </w:rPr>
              <w:t>193,847,045</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Market approach</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89"/>
              </w:rPr>
              <w:t>Precedent transactions</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40" w:type="dxa"/>
            <w:vAlign w:val="bottom"/>
          </w:tcPr>
          <w:p>
            <w:pPr>
              <w:spacing w:after="0"/>
              <w:rPr>
                <w:sz w:val="17"/>
                <w:szCs w:val="17"/>
                <w:color w:val="auto"/>
              </w:rPr>
            </w:pPr>
          </w:p>
        </w:tc>
        <w:tc>
          <w:tcPr>
            <w:tcW w:w="1800" w:type="dxa"/>
            <w:vAlign w:val="bottom"/>
          </w:tcPr>
          <w:p>
            <w:pPr>
              <w:jc w:val="center"/>
              <w:ind w:left="20"/>
              <w:spacing w:after="0"/>
              <w:rPr>
                <w:sz w:val="20"/>
                <w:szCs w:val="20"/>
                <w:color w:val="auto"/>
              </w:rPr>
            </w:pPr>
            <w:r>
              <w:rPr>
                <w:rFonts w:ascii="Arial" w:cs="Arial" w:eastAsia="Arial" w:hAnsi="Arial"/>
                <w:sz w:val="16"/>
                <w:szCs w:val="16"/>
                <w:color w:val="auto"/>
                <w:w w:val="92"/>
              </w:rPr>
              <w:t>Revenue multiples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1.5x – 5.3x (3.5x)</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10.0x – 25.0x</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6"/>
              </w:rPr>
              <w:t>EBIT multiples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(18.1x)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center"/>
              <w:ind w:left="20"/>
              <w:spacing w:after="0"/>
              <w:rPr>
                <w:sz w:val="20"/>
                <w:szCs w:val="20"/>
                <w:color w:val="auto"/>
              </w:rPr>
            </w:pPr>
            <w:r>
              <w:rPr>
                <w:rFonts w:ascii="Arial" w:cs="Arial" w:eastAsia="Arial" w:hAnsi="Arial"/>
                <w:sz w:val="16"/>
                <w:szCs w:val="16"/>
                <w:color w:val="auto"/>
                <w:w w:val="91"/>
              </w:rPr>
              <w:t>Discount rate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35% – 45% (40%)</w:t>
            </w:r>
          </w:p>
        </w:tc>
        <w:tc>
          <w:tcPr>
            <w:tcW w:w="0" w:type="dxa"/>
            <w:vAlign w:val="bottom"/>
          </w:tcPr>
          <w:p>
            <w:pPr>
              <w:spacing w:after="0"/>
              <w:rPr>
                <w:sz w:val="1"/>
                <w:szCs w:val="1"/>
                <w:color w:val="auto"/>
              </w:rPr>
            </w:pPr>
          </w:p>
        </w:tc>
      </w:tr>
      <w:tr>
        <w:trPr>
          <w:trHeight w:val="20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Debt Investments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1,374,210</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Market approach</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89"/>
              </w:rPr>
              <w:t>Precedent transactions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640" w:type="dxa"/>
            <w:vAlign w:val="bottom"/>
            <w:gridSpan w:val="3"/>
          </w:tcPr>
          <w:p>
            <w:pPr>
              <w:ind w:left="20"/>
              <w:spacing w:after="0"/>
              <w:rPr>
                <w:sz w:val="20"/>
                <w:szCs w:val="20"/>
                <w:color w:val="auto"/>
              </w:rPr>
            </w:pPr>
            <w:r>
              <w:rPr>
                <w:rFonts w:ascii="Arial" w:cs="Arial" w:eastAsia="Arial" w:hAnsi="Arial"/>
                <w:sz w:val="16"/>
                <w:szCs w:val="16"/>
                <w:color w:val="auto"/>
              </w:rPr>
              <w:t>Warrants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904,345</w:t>
            </w:r>
          </w:p>
        </w:tc>
        <w:tc>
          <w:tcPr>
            <w:tcW w:w="1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5"/>
              </w:rPr>
              <w:t>Option pricing model</w:t>
            </w:r>
          </w:p>
        </w:tc>
        <w:tc>
          <w:tcPr>
            <w:tcW w:w="140" w:type="dxa"/>
            <w:vAlign w:val="bottom"/>
          </w:tcPr>
          <w:p>
            <w:pPr>
              <w:spacing w:after="0"/>
              <w:rPr>
                <w:sz w:val="17"/>
                <w:szCs w:val="17"/>
                <w:color w:val="auto"/>
              </w:rPr>
            </w:pPr>
          </w:p>
        </w:tc>
        <w:tc>
          <w:tcPr>
            <w:tcW w:w="1800" w:type="dxa"/>
            <w:vAlign w:val="bottom"/>
          </w:tcPr>
          <w:p>
            <w:pPr>
              <w:jc w:val="center"/>
              <w:ind w:left="20"/>
              <w:spacing w:after="0"/>
              <w:rPr>
                <w:sz w:val="20"/>
                <w:szCs w:val="20"/>
                <w:color w:val="auto"/>
              </w:rPr>
            </w:pPr>
            <w:r>
              <w:rPr>
                <w:rFonts w:ascii="Arial" w:cs="Arial" w:eastAsia="Arial" w:hAnsi="Arial"/>
                <w:sz w:val="16"/>
                <w:szCs w:val="16"/>
                <w:color w:val="auto"/>
                <w:w w:val="91"/>
              </w:rPr>
              <w:t>Term to expiration (Years)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2.00 – 3.00 (2.55)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2"/>
              </w:rPr>
              <w:t>Strike price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0.13 – 4.59 (1.24)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center"/>
              <w:ind w:left="40"/>
              <w:spacing w:after="0"/>
              <w:rPr>
                <w:sz w:val="20"/>
                <w:szCs w:val="20"/>
                <w:color w:val="auto"/>
              </w:rPr>
            </w:pPr>
            <w:r>
              <w:rPr>
                <w:rFonts w:ascii="Arial" w:cs="Arial" w:eastAsia="Arial" w:hAnsi="Arial"/>
                <w:sz w:val="16"/>
                <w:szCs w:val="16"/>
                <w:color w:val="auto"/>
              </w:rPr>
              <w:t>Volatility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30% – 50% (38%)</w:t>
            </w:r>
          </w:p>
        </w:tc>
        <w:tc>
          <w:tcPr>
            <w:tcW w:w="0" w:type="dxa"/>
            <w:vAlign w:val="bottom"/>
          </w:tcPr>
          <w:p>
            <w:pPr>
              <w:spacing w:after="0"/>
              <w:rPr>
                <w:sz w:val="1"/>
                <w:szCs w:val="1"/>
                <w:color w:val="auto"/>
              </w:rPr>
            </w:pPr>
          </w:p>
        </w:tc>
      </w:tr>
      <w:tr>
        <w:trPr>
          <w:trHeight w:val="193"/>
        </w:trPr>
        <w:tc>
          <w:tcPr>
            <w:tcW w:w="1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Embedded Derivative</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Binomial Lattice</w:t>
            </w:r>
          </w:p>
        </w:tc>
        <w:tc>
          <w:tcPr>
            <w:tcW w:w="1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Model</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2"/>
              </w:rPr>
              <w:t>Strike Price</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4"/>
              </w:rPr>
              <w:t>16.26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center"/>
              <w:ind w:left="40"/>
              <w:spacing w:after="0"/>
              <w:rPr>
                <w:sz w:val="20"/>
                <w:szCs w:val="20"/>
                <w:color w:val="auto"/>
              </w:rPr>
            </w:pPr>
            <w:r>
              <w:rPr>
                <w:rFonts w:ascii="Arial" w:cs="Arial" w:eastAsia="Arial" w:hAnsi="Arial"/>
                <w:sz w:val="16"/>
                <w:szCs w:val="16"/>
                <w:color w:val="auto"/>
              </w:rPr>
              <w:t>Volatility</w:t>
            </w:r>
          </w:p>
        </w:tc>
        <w:tc>
          <w:tcPr>
            <w:tcW w:w="200" w:type="dxa"/>
            <w:vAlign w:val="bottom"/>
          </w:tcPr>
          <w:p>
            <w:pPr>
              <w:spacing w:after="0"/>
              <w:rPr>
                <w:sz w:val="17"/>
                <w:szCs w:val="17"/>
                <w:color w:val="auto"/>
              </w:rPr>
            </w:pPr>
          </w:p>
        </w:tc>
        <w:tc>
          <w:tcPr>
            <w:tcW w:w="160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50%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5"/>
              </w:rPr>
              <w:t>Annual risk rate</w:t>
            </w:r>
          </w:p>
        </w:tc>
        <w:tc>
          <w:tcPr>
            <w:tcW w:w="2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2"/>
              </w:rPr>
              <w:t>12.5%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129" w:lineRule="exact"/>
        <w:rPr>
          <w:sz w:val="20"/>
          <w:szCs w:val="20"/>
          <w:color w:val="auto"/>
        </w:rPr>
      </w:pPr>
    </w:p>
    <w:p>
      <w:pPr>
        <w:ind w:left="60" w:right="75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and liabilities are shown above.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w:t>
      </w:r>
    </w:p>
    <w:p>
      <w:pPr>
        <w:spacing w:after="0" w:line="200" w:lineRule="exact"/>
        <w:rPr>
          <w:sz w:val="20"/>
          <w:szCs w:val="20"/>
          <w:color w:val="auto"/>
        </w:rPr>
      </w:pPr>
    </w:p>
    <w:p>
      <w:pPr>
        <w:spacing w:after="0" w:line="3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7" w:name="page108"/>
    <w:bookmarkEnd w:id="10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60" w:right="579" w:firstLine="270"/>
        <w:spacing w:after="0" w:line="273" w:lineRule="auto"/>
        <w:rPr>
          <w:sz w:val="20"/>
          <w:szCs w:val="20"/>
          <w:color w:val="auto"/>
        </w:rPr>
      </w:pPr>
      <w:r>
        <w:rPr>
          <w:rFonts w:ascii="Arial" w:cs="Arial" w:eastAsia="Arial" w:hAnsi="Arial"/>
          <w:sz w:val="17"/>
          <w:szCs w:val="17"/>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strike price; (ii) estimated stock volatility; and (iii) annual risk rate.</w:t>
      </w:r>
    </w:p>
    <w:p>
      <w:pPr>
        <w:spacing w:after="0" w:line="70" w:lineRule="exact"/>
        <w:rPr>
          <w:sz w:val="20"/>
          <w:szCs w:val="20"/>
          <w:color w:val="auto"/>
        </w:rPr>
      </w:pPr>
    </w:p>
    <w:p>
      <w:pPr>
        <w:ind w:left="60" w:right="639" w:firstLine="270"/>
        <w:spacing w:after="0" w:line="277" w:lineRule="auto"/>
        <w:rPr>
          <w:sz w:val="20"/>
          <w:szCs w:val="20"/>
          <w:color w:val="auto"/>
        </w:rPr>
      </w:pPr>
      <w:r>
        <w:rPr>
          <w:rFonts w:ascii="Arial" w:cs="Arial" w:eastAsia="Arial" w:hAnsi="Arial"/>
          <w:sz w:val="18"/>
          <w:szCs w:val="18"/>
          <w:color w:val="auto"/>
        </w:rPr>
        <w:t>The aggregate values of Level 3 portfolio investments and embedded derivative changed during the years ended December 31, 2015, 2014, and 2013, respectively,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968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4"/>
                <w:szCs w:val="14"/>
                <w:b w:val="1"/>
                <w:bCs w:val="1"/>
                <w:color w:val="auto"/>
              </w:rPr>
              <w:t>Year ended December 31, 2015</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9"/>
              </w:rPr>
              <w:t>Common Stock</w:t>
            </w:r>
          </w:p>
        </w:tc>
        <w:tc>
          <w:tcPr>
            <w:tcW w:w="11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9"/>
              </w:rPr>
              <w:t>Preferred Stock</w:t>
            </w:r>
          </w:p>
        </w:tc>
        <w:tc>
          <w:tcPr>
            <w:tcW w:w="120" w:type="dxa"/>
            <w:vAlign w:val="bottom"/>
          </w:tcPr>
          <w:p>
            <w:pPr>
              <w:spacing w:after="0"/>
              <w:rPr>
                <w:sz w:val="10"/>
                <w:szCs w:val="10"/>
                <w:color w:val="auto"/>
              </w:rPr>
            </w:pPr>
          </w:p>
        </w:tc>
        <w:tc>
          <w:tcPr>
            <w:tcW w:w="9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Debt</w:t>
            </w:r>
          </w:p>
        </w:tc>
        <w:tc>
          <w:tcPr>
            <w:tcW w:w="16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bottom w:val="single" w:sz="8" w:color="auto"/>
            </w:tcBorders>
            <w:gridSpan w:val="3"/>
            <w:vMerge w:val="continue"/>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Fair value as of December 31,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85,598,467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193,847,045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1,374,210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904,345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281,724,067</w:t>
            </w: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10,002,500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17,842,532</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3,128,211</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30,973,819</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 of investments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(1,886,373)</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(3,668,393)</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(5,604,766)</w:t>
            </w: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(2,290,880)</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(7,563,262)</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(27,190)</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(9,881,332)</w:t>
            </w:r>
          </w:p>
        </w:tc>
        <w:tc>
          <w:tcPr>
            <w:tcW w:w="0" w:type="dxa"/>
            <w:vAlign w:val="bottom"/>
          </w:tcPr>
          <w:p>
            <w:pPr>
              <w:spacing w:after="0"/>
              <w:rPr>
                <w:sz w:val="1"/>
                <w:szCs w:val="1"/>
                <w:color w:val="auto"/>
              </w:rPr>
            </w:pPr>
          </w:p>
        </w:tc>
      </w:tr>
      <w:tr>
        <w:trPr>
          <w:trHeight w:val="205"/>
        </w:trPr>
        <w:tc>
          <w:tcPr>
            <w:tcW w:w="272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Exercises, conversions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70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assignments</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4,959,614</w:t>
            </w:r>
          </w:p>
        </w:tc>
        <w:tc>
          <w:tcPr>
            <w:tcW w:w="100" w:type="dxa"/>
            <w:vAlign w:val="bottom"/>
            <w:shd w:val="clear" w:color="auto" w:fill="CCEEFF"/>
          </w:tcPr>
          <w:p>
            <w:pPr>
              <w:spacing w:after="0"/>
              <w:rPr>
                <w:sz w:val="23"/>
                <w:szCs w:val="23"/>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(4,663,813)</w:t>
            </w:r>
          </w:p>
        </w:tc>
        <w:tc>
          <w:tcPr>
            <w:tcW w:w="12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(295,801)</w:t>
            </w:r>
          </w:p>
        </w:tc>
        <w:tc>
          <w:tcPr>
            <w:tcW w:w="160" w:type="dxa"/>
            <w:vAlign w:val="bottom"/>
            <w:shd w:val="clear" w:color="auto" w:fill="CCEEFF"/>
          </w:tcPr>
          <w:p>
            <w:pPr>
              <w:spacing w:after="0"/>
              <w:rPr>
                <w:sz w:val="23"/>
                <w:szCs w:val="23"/>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Amortization of fixed income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security premiums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discounts</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50,352</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50,352</w:t>
            </w:r>
          </w:p>
        </w:tc>
        <w:tc>
          <w:tcPr>
            <w:tcW w:w="0" w:type="dxa"/>
            <w:vAlign w:val="bottom"/>
          </w:tcPr>
          <w:p>
            <w:pPr>
              <w:spacing w:after="0"/>
              <w:rPr>
                <w:sz w:val="1"/>
                <w:szCs w:val="1"/>
                <w:color w:val="auto"/>
              </w:rPr>
            </w:pPr>
          </w:p>
        </w:tc>
      </w:tr>
      <w:tr>
        <w:trPr>
          <w:trHeight w:val="202"/>
        </w:trPr>
        <w:tc>
          <w:tcPr>
            <w:tcW w:w="27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Net change in unrealized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appreciation (depreciation)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5,935,812</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20,496,983</w:t>
            </w: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(3,923)</w:t>
            </w:r>
          </w:p>
        </w:tc>
        <w:tc>
          <w:tcPr>
            <w:tcW w:w="16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(435,615)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25,993,257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3"/>
          </w:tcPr>
          <w:p>
            <w:pPr>
              <w:ind w:left="20"/>
              <w:spacing w:after="0"/>
              <w:rPr>
                <w:sz w:val="20"/>
                <w:szCs w:val="20"/>
                <w:color w:val="auto"/>
              </w:rPr>
            </w:pPr>
            <w:r>
              <w:rPr>
                <w:rFonts w:ascii="Arial" w:cs="Arial" w:eastAsia="Arial" w:hAnsi="Arial"/>
                <w:sz w:val="18"/>
                <w:szCs w:val="18"/>
                <w:color w:val="auto"/>
                <w:highlight w:val="white"/>
                <w:w w:val="92"/>
              </w:rPr>
              <w:t>Fair Value as of December 31, 2015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102,319,140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216,291,092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4,175,859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469,306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323,255,397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72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Net change in unrealized</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appreciation (depreciation) of</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Level 3 investments still held as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3,095,222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13,882,926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(435,615)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16,532,918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-916940</wp:posOffset>
            </wp:positionV>
            <wp:extent cx="342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-916940</wp:posOffset>
            </wp:positionV>
            <wp:extent cx="1028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3101975</wp:posOffset>
            </wp:positionH>
            <wp:positionV relativeFrom="paragraph">
              <wp:posOffset>-916940</wp:posOffset>
            </wp:positionV>
            <wp:extent cx="1028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-916940</wp:posOffset>
            </wp:positionV>
            <wp:extent cx="1200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-916940</wp:posOffset>
            </wp:positionV>
            <wp:extent cx="12001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-916940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ind w:left="300" w:right="899" w:hanging="272"/>
        <w:spacing w:after="0" w:line="277"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year ended December 31, 2015,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885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Transfer from</w:t>
            </w:r>
          </w:p>
        </w:tc>
        <w:tc>
          <w:tcPr>
            <w:tcW w:w="18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Transfer to</w:t>
            </w:r>
          </w:p>
        </w:tc>
      </w:tr>
      <w:tr>
        <w:trPr>
          <w:trHeight w:val="186"/>
        </w:trPr>
        <w:tc>
          <w:tcPr>
            <w:tcW w:w="3400" w:type="dxa"/>
            <w:vAlign w:val="bottom"/>
          </w:tcPr>
          <w:p>
            <w:pPr>
              <w:ind w:left="20"/>
              <w:spacing w:after="0"/>
              <w:rPr>
                <w:sz w:val="20"/>
                <w:szCs w:val="20"/>
                <w:color w:val="auto"/>
              </w:rPr>
            </w:pPr>
            <w:r>
              <w:rPr>
                <w:rFonts w:ascii="Arial" w:cs="Arial" w:eastAsia="Arial" w:hAnsi="Arial"/>
                <w:sz w:val="16"/>
                <w:szCs w:val="16"/>
                <w:color w:val="auto"/>
              </w:rPr>
              <w:t>Circle Media (f/k/a S3 Digital Corp. (d/b/a S3i))</w:t>
            </w:r>
          </w:p>
        </w:tc>
        <w:tc>
          <w:tcPr>
            <w:tcW w:w="1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Term Loan, 12%, 09/30/15</w:t>
            </w:r>
          </w:p>
        </w:tc>
        <w:tc>
          <w:tcPr>
            <w:tcW w:w="18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0"/>
              </w:rPr>
              <w:t>Preferred shares, Series A</w:t>
            </w: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Orchestra One, Inc. (f/k/a Learnist Inc.)</w:t>
            </w:r>
          </w:p>
        </w:tc>
        <w:tc>
          <w:tcPr>
            <w:tcW w:w="16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88"/>
              </w:rPr>
              <w:t>Preferred shares, Series D</w:t>
            </w:r>
          </w:p>
        </w:tc>
        <w:tc>
          <w:tcPr>
            <w:tcW w:w="1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8"/>
              </w:rPr>
              <w:t>Common Shares</w:t>
            </w: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Orchestra One, Inc. (f/k/a Learnist Inc.)</w:t>
            </w:r>
          </w:p>
        </w:tc>
        <w:tc>
          <w:tcPr>
            <w:tcW w:w="16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89"/>
              </w:rPr>
              <w:t>Preferred shares, Series E</w:t>
            </w:r>
          </w:p>
        </w:tc>
        <w:tc>
          <w:tcPr>
            <w:tcW w:w="1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8"/>
              </w:rPr>
              <w:t>Common Shares</w:t>
            </w:r>
          </w:p>
        </w:tc>
      </w:tr>
      <w:tr>
        <w:trPr>
          <w:trHeight w:val="206"/>
        </w:trPr>
        <w:tc>
          <w:tcPr>
            <w:tcW w:w="3400" w:type="dxa"/>
            <w:vAlign w:val="bottom"/>
          </w:tcPr>
          <w:p>
            <w:pPr>
              <w:ind w:left="20"/>
              <w:spacing w:after="0"/>
              <w:rPr>
                <w:sz w:val="20"/>
                <w:szCs w:val="20"/>
                <w:color w:val="auto"/>
              </w:rPr>
            </w:pPr>
            <w:r>
              <w:rPr>
                <w:rFonts w:ascii="Arial" w:cs="Arial" w:eastAsia="Arial" w:hAnsi="Arial"/>
                <w:sz w:val="16"/>
                <w:szCs w:val="16"/>
                <w:color w:val="auto"/>
              </w:rPr>
              <w:t>Orchestra One, Inc. (f/k/a Learnist Inc.)</w:t>
            </w:r>
          </w:p>
        </w:tc>
        <w:tc>
          <w:tcPr>
            <w:tcW w:w="16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87"/>
              </w:rPr>
              <w:t>Preferred shares, Series F</w:t>
            </w:r>
          </w:p>
        </w:tc>
        <w:tc>
          <w:tcPr>
            <w:tcW w:w="1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8"/>
              </w:rPr>
              <w:t>Common Shares</w:t>
            </w:r>
          </w:p>
        </w:tc>
      </w:tr>
    </w:tbl>
    <w:p>
      <w:pPr>
        <w:spacing w:after="0" w:line="200" w:lineRule="exact"/>
        <w:rPr>
          <w:sz w:val="20"/>
          <w:szCs w:val="20"/>
          <w:color w:val="auto"/>
        </w:rPr>
      </w:pPr>
    </w:p>
    <w:p>
      <w:pPr>
        <w:spacing w:after="0" w:line="3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8" w:name="page109"/>
    <w:bookmarkEnd w:id="10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w w:val="94"/>
              </w:rPr>
              <w:t>Year ended December 31, 2014</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2"/>
              </w:rPr>
              <w:t>Embedded</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Membership</w:t>
            </w: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Term Loan</w:t>
            </w: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Warrants</w:t>
            </w: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86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8"/>
              </w:rPr>
              <w:t>Derivative</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Fair value as of December 31, 2013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81,410,161</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129,925,500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557,084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489,657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213,132,402</w:t>
            </w:r>
          </w:p>
        </w:tc>
        <w:tc>
          <w:tcPr>
            <w:tcW w:w="0" w:type="dxa"/>
            <w:vAlign w:val="bottom"/>
          </w:tcPr>
          <w:p>
            <w:pPr>
              <w:spacing w:after="0"/>
              <w:rPr>
                <w:sz w:val="1"/>
                <w:szCs w:val="1"/>
                <w:color w:val="auto"/>
              </w:rPr>
            </w:pPr>
          </w:p>
        </w:tc>
      </w:tr>
      <w:tr>
        <w:trPr>
          <w:trHeight w:val="149"/>
        </w:trPr>
        <w:tc>
          <w:tcPr>
            <w:tcW w:w="2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1,793,470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64,529,582</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4,677,602</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159,993</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71,160,647</w:t>
            </w:r>
          </w:p>
        </w:tc>
        <w:tc>
          <w:tcPr>
            <w:tcW w:w="0" w:type="dxa"/>
            <w:vAlign w:val="bottom"/>
          </w:tcPr>
          <w:p>
            <w:pPr>
              <w:spacing w:after="0"/>
              <w:rPr>
                <w:sz w:val="1"/>
                <w:szCs w:val="1"/>
                <w:color w:val="auto"/>
              </w:rPr>
            </w:pPr>
          </w:p>
        </w:tc>
      </w:tr>
      <w:tr>
        <w:trPr>
          <w:trHeight w:val="149"/>
        </w:trPr>
        <w:tc>
          <w:tcPr>
            <w:tcW w:w="22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(10,616,170)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(9,286,230)</w:t>
            </w: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(75,988)</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(19,978,388)</w:t>
            </w:r>
          </w:p>
        </w:tc>
        <w:tc>
          <w:tcPr>
            <w:tcW w:w="0" w:type="dxa"/>
            <w:vAlign w:val="bottom"/>
          </w:tcPr>
          <w:p>
            <w:pPr>
              <w:spacing w:after="0"/>
              <w:rPr>
                <w:sz w:val="1"/>
                <w:szCs w:val="1"/>
                <w:color w:val="auto"/>
              </w:rPr>
            </w:pPr>
          </w:p>
        </w:tc>
      </w:tr>
      <w:tr>
        <w:trPr>
          <w:trHeight w:val="130"/>
        </w:trPr>
        <w:tc>
          <w:tcPr>
            <w:tcW w:w="22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Realized Gain (Loss) included in</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gridSpan w:val="2"/>
          </w:tcPr>
          <w:p>
            <w:pPr>
              <w:ind w:left="180"/>
              <w:spacing w:after="0"/>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5,009,818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4,969,326</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9,979,144</w:t>
            </w:r>
          </w:p>
        </w:tc>
        <w:tc>
          <w:tcPr>
            <w:tcW w:w="0" w:type="dxa"/>
            <w:vAlign w:val="bottom"/>
          </w:tcPr>
          <w:p>
            <w:pPr>
              <w:spacing w:after="0"/>
              <w:rPr>
                <w:sz w:val="1"/>
                <w:szCs w:val="1"/>
                <w:color w:val="auto"/>
              </w:rPr>
            </w:pPr>
          </w:p>
        </w:tc>
      </w:tr>
      <w:tr>
        <w:trPr>
          <w:trHeight w:val="140"/>
        </w:trPr>
        <w:tc>
          <w:tcPr>
            <w:tcW w:w="226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18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1,273,125</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6,578,563</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7,851,688</w:t>
            </w:r>
          </w:p>
        </w:tc>
        <w:tc>
          <w:tcPr>
            <w:tcW w:w="0" w:type="dxa"/>
            <w:vAlign w:val="bottom"/>
          </w:tcPr>
          <w:p>
            <w:pPr>
              <w:spacing w:after="0"/>
              <w:rPr>
                <w:sz w:val="1"/>
                <w:szCs w:val="1"/>
                <w:color w:val="auto"/>
              </w:rPr>
            </w:pPr>
          </w:p>
        </w:tc>
      </w:tr>
      <w:tr>
        <w:trPr>
          <w:trHeight w:val="140"/>
        </w:trPr>
        <w:tc>
          <w:tcPr>
            <w:tcW w:w="226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(1,273,125)</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w w:val="92"/>
              </w:rPr>
              <w:t>(4,072,486)</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(7,851,688)</w:t>
            </w:r>
          </w:p>
        </w:tc>
        <w:tc>
          <w:tcPr>
            <w:tcW w:w="0" w:type="dxa"/>
            <w:vAlign w:val="bottom"/>
          </w:tcPr>
          <w:p>
            <w:pPr>
              <w:spacing w:after="0"/>
              <w:rPr>
                <w:sz w:val="1"/>
                <w:szCs w:val="1"/>
                <w:color w:val="auto"/>
              </w:rPr>
            </w:pPr>
          </w:p>
        </w:tc>
      </w:tr>
      <w:tr>
        <w:trPr>
          <w:trHeight w:val="130"/>
        </w:trPr>
        <w:tc>
          <w:tcPr>
            <w:tcW w:w="226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Change in unrealized appreciation</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5"/>
              </w:rPr>
              <w:t>(depreciation) included in earnings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26,657,896</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(1,596,571)</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(57,084)</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19,094</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330,683</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25,354,018</w:t>
            </w:r>
          </w:p>
        </w:tc>
        <w:tc>
          <w:tcPr>
            <w:tcW w:w="0" w:type="dxa"/>
            <w:vAlign w:val="bottom"/>
          </w:tcPr>
          <w:p>
            <w:pPr>
              <w:spacing w:after="0"/>
              <w:rPr>
                <w:sz w:val="1"/>
                <w:szCs w:val="1"/>
                <w:color w:val="auto"/>
              </w:rPr>
            </w:pPr>
          </w:p>
        </w:tc>
      </w:tr>
      <w:tr>
        <w:trPr>
          <w:trHeight w:val="149"/>
        </w:trPr>
        <w:tc>
          <w:tcPr>
            <w:tcW w:w="2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(17,923,756)</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(17,923,756)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w w:val="98"/>
              </w:rPr>
              <w:t>Fair Value as of December 31, 2014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85,598,467</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86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9"/>
              </w:rPr>
              <w:t>193,847,045</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6"/>
              </w:rPr>
              <w:t>1,374,210</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4"/>
              </w:rPr>
              <w:t>904,345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2"/>
              </w:rPr>
              <w:t>281,724,067</w:t>
            </w:r>
          </w:p>
        </w:tc>
        <w:tc>
          <w:tcPr>
            <w:tcW w:w="0" w:type="dxa"/>
            <w:vAlign w:val="bottom"/>
          </w:tcPr>
          <w:p>
            <w:pPr>
              <w:spacing w:after="0"/>
              <w:rPr>
                <w:sz w:val="1"/>
                <w:szCs w:val="1"/>
                <w:color w:val="auto"/>
              </w:rPr>
            </w:pPr>
          </w:p>
        </w:tc>
      </w:tr>
      <w:tr>
        <w:trPr>
          <w:trHeight w:val="123"/>
        </w:trPr>
        <w:tc>
          <w:tcPr>
            <w:tcW w:w="2260" w:type="dxa"/>
            <w:vAlign w:val="bottom"/>
            <w:tcBorders>
              <w:top w:val="single" w:sz="8" w:color="CCEEFF"/>
            </w:tcBorders>
            <w:gridSpan w:val="3"/>
          </w:tcPr>
          <w:p>
            <w:pPr>
              <w:ind w:left="20"/>
              <w:spacing w:after="0" w:line="123" w:lineRule="exact"/>
              <w:rPr>
                <w:sz w:val="20"/>
                <w:szCs w:val="20"/>
                <w:color w:val="auto"/>
              </w:rPr>
            </w:pPr>
            <w:r>
              <w:rPr>
                <w:rFonts w:ascii="Arial" w:cs="Arial" w:eastAsia="Arial" w:hAnsi="Arial"/>
                <w:sz w:val="14"/>
                <w:szCs w:val="14"/>
                <w:color w:val="auto"/>
              </w:rPr>
              <w:t>Change in unrealized appreciation</w:t>
            </w: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(depreciation) on Level 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investments still held as of</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gridSpan w:val="2"/>
          </w:tcPr>
          <w:p>
            <w:pPr>
              <w:ind w:left="180"/>
              <w:spacing w:after="0"/>
              <w:rPr>
                <w:sz w:val="20"/>
                <w:szCs w:val="20"/>
                <w:color w:val="auto"/>
              </w:rPr>
            </w:pPr>
            <w:r>
              <w:rPr>
                <w:rFonts w:ascii="Arial" w:cs="Arial" w:eastAsia="Arial" w:hAnsi="Arial"/>
                <w:sz w:val="14"/>
                <w:szCs w:val="14"/>
                <w:color w:val="auto"/>
              </w:rPr>
              <w:t>December 31, 2014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21,594,387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361,143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24,909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373,338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22,353,777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2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Fair Value of December 31,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2013</w:t>
            </w:r>
          </w:p>
        </w:tc>
        <w:tc>
          <w:tcPr>
            <w:tcW w:w="1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799,000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799,000</w:t>
            </w:r>
          </w:p>
        </w:tc>
        <w:tc>
          <w:tcPr>
            <w:tcW w:w="0" w:type="dxa"/>
            <w:vAlign w:val="bottom"/>
          </w:tcPr>
          <w:p>
            <w:pPr>
              <w:spacing w:after="0"/>
              <w:rPr>
                <w:sz w:val="1"/>
                <w:szCs w:val="1"/>
                <w:color w:val="auto"/>
              </w:rPr>
            </w:pPr>
          </w:p>
        </w:tc>
      </w:tr>
      <w:tr>
        <w:trPr>
          <w:trHeight w:val="130"/>
        </w:trPr>
        <w:tc>
          <w:tcPr>
            <w:tcW w:w="226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Gain on fair value adjustment for</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embedded derivative</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(798,000)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(798,000)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gridSpan w:val="3"/>
          </w:tcPr>
          <w:p>
            <w:pPr>
              <w:ind w:left="20"/>
              <w:spacing w:after="0" w:line="142" w:lineRule="exact"/>
              <w:rPr>
                <w:sz w:val="20"/>
                <w:szCs w:val="20"/>
                <w:color w:val="auto"/>
              </w:rPr>
            </w:pPr>
            <w:r>
              <w:rPr>
                <w:rFonts w:ascii="Arial" w:cs="Arial" w:eastAsia="Arial" w:hAnsi="Arial"/>
                <w:sz w:val="14"/>
                <w:szCs w:val="14"/>
                <w:color w:val="auto"/>
                <w:w w:val="98"/>
              </w:rPr>
              <w:t>Fair Value as of December 31, 2014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1,000</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-1242695</wp:posOffset>
            </wp:positionV>
            <wp:extent cx="5213985" cy="4457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13985" cy="4457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639" w:hanging="272"/>
        <w:spacing w:after="0" w:line="277"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During the year ended December 31, 2014,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385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4"/>
                <w:szCs w:val="1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0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Transfer to</w:t>
            </w:r>
          </w:p>
        </w:tc>
      </w:tr>
      <w:tr>
        <w:trPr>
          <w:trHeight w:val="186"/>
        </w:trPr>
        <w:tc>
          <w:tcPr>
            <w:tcW w:w="2600" w:type="dxa"/>
            <w:vAlign w:val="bottom"/>
          </w:tcPr>
          <w:p>
            <w:pPr>
              <w:ind w:left="20"/>
              <w:spacing w:after="0"/>
              <w:rPr>
                <w:sz w:val="20"/>
                <w:szCs w:val="20"/>
                <w:color w:val="auto"/>
              </w:rPr>
            </w:pPr>
            <w:r>
              <w:rPr>
                <w:rFonts w:ascii="Arial" w:cs="Arial" w:eastAsia="Arial" w:hAnsi="Arial"/>
                <w:sz w:val="16"/>
                <w:szCs w:val="16"/>
                <w:color w:val="auto"/>
                <w:w w:val="96"/>
              </w:rPr>
              <w:t>NestGSV, Inc. (d/b/a GSV Labs, Inc.)</w:t>
            </w:r>
          </w:p>
        </w:tc>
        <w:tc>
          <w:tcPr>
            <w:tcW w:w="1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Convertible Promissory Note</w:t>
            </w:r>
          </w:p>
        </w:tc>
        <w:tc>
          <w:tcPr>
            <w:tcW w:w="1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88"/>
              </w:rPr>
              <w:t>Preferred shares, Series D</w:t>
            </w:r>
          </w:p>
        </w:tc>
      </w:tr>
      <w:tr>
        <w:trPr>
          <w:trHeight w:val="203"/>
        </w:trPr>
        <w:tc>
          <w:tcPr>
            <w:tcW w:w="2600" w:type="dxa"/>
            <w:vAlign w:val="bottom"/>
          </w:tcPr>
          <w:p>
            <w:pPr>
              <w:ind w:left="20"/>
              <w:spacing w:after="0"/>
              <w:rPr>
                <w:sz w:val="20"/>
                <w:szCs w:val="20"/>
                <w:color w:val="auto"/>
              </w:rPr>
            </w:pPr>
            <w:r>
              <w:rPr>
                <w:rFonts w:ascii="Arial" w:cs="Arial" w:eastAsia="Arial" w:hAnsi="Arial"/>
                <w:sz w:val="16"/>
                <w:szCs w:val="16"/>
                <w:color w:val="auto"/>
              </w:rPr>
              <w:t>2U, Inc. (f/k/a 2tor, Inc.)</w:t>
            </w:r>
          </w:p>
        </w:tc>
        <w:tc>
          <w:tcPr>
            <w:tcW w:w="1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89"/>
              </w:rPr>
              <w:t>Preferred shares, Series A</w:t>
            </w:r>
          </w:p>
        </w:tc>
        <w:tc>
          <w:tcPr>
            <w:tcW w:w="10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3"/>
              </w:rPr>
              <w:t>Common Stock</w:t>
            </w:r>
          </w:p>
        </w:tc>
      </w:tr>
      <w:tr>
        <w:trPr>
          <w:trHeight w:val="203"/>
        </w:trPr>
        <w:tc>
          <w:tcPr>
            <w:tcW w:w="260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2"/>
              </w:rPr>
              <w:t>Term loan, 10%, 3/31/15</w:t>
            </w:r>
          </w:p>
        </w:tc>
        <w:tc>
          <w:tcPr>
            <w:tcW w:w="10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88"/>
              </w:rPr>
              <w:t>Preferred shares, Series D</w:t>
            </w:r>
          </w:p>
        </w:tc>
      </w:tr>
      <w:tr>
        <w:trPr>
          <w:trHeight w:val="203"/>
        </w:trPr>
        <w:tc>
          <w:tcPr>
            <w:tcW w:w="2600" w:type="dxa"/>
            <w:vAlign w:val="bottom"/>
          </w:tcPr>
          <w:p>
            <w:pPr>
              <w:ind w:left="20"/>
              <w:spacing w:after="0"/>
              <w:rPr>
                <w:sz w:val="20"/>
                <w:szCs w:val="20"/>
                <w:color w:val="auto"/>
              </w:rPr>
            </w:pPr>
            <w:r>
              <w:rPr>
                <w:rFonts w:ascii="Arial" w:cs="Arial" w:eastAsia="Arial" w:hAnsi="Arial"/>
                <w:sz w:val="16"/>
                <w:szCs w:val="16"/>
                <w:color w:val="auto"/>
              </w:rPr>
              <w:t>CUX, Inc. (d/b/a CorpU)</w:t>
            </w:r>
          </w:p>
        </w:tc>
        <w:tc>
          <w:tcPr>
            <w:tcW w:w="1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Common Stock</w:t>
            </w:r>
          </w:p>
        </w:tc>
        <w:tc>
          <w:tcPr>
            <w:tcW w:w="10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0"/>
              </w:rPr>
              <w:t>Convertible preferred shares, Series C</w:t>
            </w:r>
          </w:p>
        </w:tc>
      </w:tr>
      <w:tr>
        <w:trPr>
          <w:trHeight w:val="203"/>
        </w:trPr>
        <w:tc>
          <w:tcPr>
            <w:tcW w:w="2600" w:type="dxa"/>
            <w:vAlign w:val="bottom"/>
          </w:tcPr>
          <w:p>
            <w:pPr>
              <w:ind w:left="20"/>
              <w:spacing w:after="0"/>
              <w:rPr>
                <w:sz w:val="20"/>
                <w:szCs w:val="20"/>
                <w:color w:val="auto"/>
              </w:rPr>
            </w:pPr>
            <w:r>
              <w:rPr>
                <w:rFonts w:ascii="Arial" w:cs="Arial" w:eastAsia="Arial" w:hAnsi="Arial"/>
                <w:sz w:val="16"/>
                <w:szCs w:val="16"/>
                <w:color w:val="auto"/>
              </w:rPr>
              <w:t>NestGSV Silicon Valley, LLC</w:t>
            </w:r>
          </w:p>
        </w:tc>
        <w:tc>
          <w:tcPr>
            <w:tcW w:w="1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1"/>
              </w:rPr>
              <w:t>Common Membership Interest</w:t>
            </w:r>
          </w:p>
        </w:tc>
        <w:tc>
          <w:tcPr>
            <w:tcW w:w="10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87"/>
              </w:rPr>
              <w:t>Preferred shares, Series C</w:t>
            </w:r>
          </w:p>
        </w:tc>
      </w:tr>
      <w:tr>
        <w:trPr>
          <w:trHeight w:val="203"/>
        </w:trPr>
        <w:tc>
          <w:tcPr>
            <w:tcW w:w="2600" w:type="dxa"/>
            <w:vAlign w:val="bottom"/>
          </w:tcPr>
          <w:p>
            <w:pPr>
              <w:ind w:left="20"/>
              <w:spacing w:after="0"/>
              <w:rPr>
                <w:sz w:val="20"/>
                <w:szCs w:val="20"/>
                <w:color w:val="auto"/>
              </w:rPr>
            </w:pPr>
            <w:r>
              <w:rPr>
                <w:rFonts w:ascii="Arial" w:cs="Arial" w:eastAsia="Arial" w:hAnsi="Arial"/>
                <w:sz w:val="16"/>
                <w:szCs w:val="16"/>
                <w:color w:val="auto"/>
                <w:w w:val="96"/>
              </w:rPr>
              <w:t>NestGSV, Inc. (d/b/a GSV Labs, Inc.)</w:t>
            </w:r>
          </w:p>
        </w:tc>
        <w:tc>
          <w:tcPr>
            <w:tcW w:w="1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Convertible Promissory Note, 12%, 6/30/14</w:t>
            </w:r>
          </w:p>
        </w:tc>
        <w:tc>
          <w:tcPr>
            <w:tcW w:w="10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87"/>
              </w:rPr>
              <w:t>Preferred shares, Series C</w:t>
            </w:r>
          </w:p>
        </w:tc>
      </w:tr>
      <w:tr>
        <w:trPr>
          <w:trHeight w:val="203"/>
        </w:trPr>
        <w:tc>
          <w:tcPr>
            <w:tcW w:w="2600" w:type="dxa"/>
            <w:vAlign w:val="bottom"/>
          </w:tcPr>
          <w:p>
            <w:pPr>
              <w:ind w:left="20"/>
              <w:spacing w:after="0"/>
              <w:rPr>
                <w:sz w:val="20"/>
                <w:szCs w:val="20"/>
                <w:color w:val="auto"/>
              </w:rPr>
            </w:pPr>
            <w:r>
              <w:rPr>
                <w:rFonts w:ascii="Arial" w:cs="Arial" w:eastAsia="Arial" w:hAnsi="Arial"/>
                <w:sz w:val="16"/>
                <w:szCs w:val="16"/>
                <w:color w:val="auto"/>
                <w:w w:val="96"/>
              </w:rPr>
              <w:t>NestGSV, Inc. (d/b/a GSV Labs, Inc.)</w:t>
            </w:r>
          </w:p>
        </w:tc>
        <w:tc>
          <w:tcPr>
            <w:tcW w:w="1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Convertible Promissory Note, 12%, 6/30/14</w:t>
            </w:r>
          </w:p>
        </w:tc>
        <w:tc>
          <w:tcPr>
            <w:tcW w:w="10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87"/>
              </w:rPr>
              <w:t>Preferred shares, Series C</w:t>
            </w: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2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Convertible Promissory Note, 10%, 2/16/15</w:t>
            </w:r>
          </w:p>
        </w:tc>
        <w:tc>
          <w:tcPr>
            <w:tcW w:w="10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88"/>
              </w:rPr>
              <w:t>Preferred shares, Series D</w:t>
            </w:r>
          </w:p>
        </w:tc>
      </w:tr>
    </w:tbl>
    <w:p>
      <w:pPr>
        <w:spacing w:after="0" w:line="200" w:lineRule="exact"/>
        <w:rPr>
          <w:sz w:val="20"/>
          <w:szCs w:val="20"/>
          <w:color w:val="auto"/>
        </w:rPr>
      </w:pPr>
    </w:p>
    <w:p>
      <w:pPr>
        <w:spacing w:after="0" w:line="3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9" w:name="page110"/>
    <w:bookmarkEnd w:id="10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During the year ended December 31, 2015, the Company had one transfer between levels as a result of the expiration of a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IPO/</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Lock-up</w:t>
            </w: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49"/>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Corporate Action</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8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c>
          <w:tcPr>
            <w:tcW w:w="0" w:type="dxa"/>
            <w:vAlign w:val="bottom"/>
          </w:tcPr>
          <w:p>
            <w:pPr>
              <w:spacing w:after="0"/>
              <w:rPr>
                <w:sz w:val="1"/>
                <w:szCs w:val="1"/>
                <w:color w:val="auto"/>
              </w:rPr>
            </w:pPr>
          </w:p>
        </w:tc>
      </w:tr>
      <w:tr>
        <w:trPr>
          <w:trHeight w:val="186"/>
        </w:trPr>
        <w:tc>
          <w:tcPr>
            <w:tcW w:w="1500" w:type="dxa"/>
            <w:vAlign w:val="bottom"/>
          </w:tcPr>
          <w:p>
            <w:pPr>
              <w:ind w:left="20"/>
              <w:spacing w:after="0"/>
              <w:rPr>
                <w:sz w:val="20"/>
                <w:szCs w:val="20"/>
                <w:color w:val="auto"/>
              </w:rPr>
            </w:pPr>
            <w:r>
              <w:rPr>
                <w:rFonts w:ascii="Arial" w:cs="Arial" w:eastAsia="Arial" w:hAnsi="Arial"/>
                <w:sz w:val="16"/>
                <w:szCs w:val="16"/>
                <w:color w:val="auto"/>
              </w:rPr>
              <w:t>2U, Inc. (f/k/a 2tor,</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Expiration of</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8/11/2015</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Level 2 to Level 1</w:t>
            </w:r>
          </w:p>
        </w:tc>
        <w:tc>
          <w:tcPr>
            <w:tcW w:w="80" w:type="dxa"/>
            <w:vAlign w:val="bottom"/>
          </w:tcPr>
          <w:p>
            <w:pPr>
              <w:spacing w:after="0"/>
              <w:rPr>
                <w:sz w:val="16"/>
                <w:szCs w:val="16"/>
                <w:color w:val="auto"/>
              </w:rPr>
            </w:pPr>
          </w:p>
        </w:tc>
        <w:tc>
          <w:tcPr>
            <w:tcW w:w="2660" w:type="dxa"/>
            <w:vAlign w:val="bottom"/>
          </w:tcPr>
          <w:p>
            <w:pPr>
              <w:jc w:val="center"/>
              <w:spacing w:after="0" w:line="187" w:lineRule="exact"/>
              <w:rPr>
                <w:sz w:val="20"/>
                <w:szCs w:val="20"/>
                <w:color w:val="auto"/>
              </w:rPr>
            </w:pPr>
            <w:r>
              <w:rPr>
                <w:rFonts w:ascii="Arial" w:cs="Arial" w:eastAsia="Arial" w:hAnsi="Arial"/>
                <w:sz w:val="13"/>
                <w:szCs w:val="13"/>
                <w:color w:val="auto"/>
              </w:rPr>
              <w:t>Not applicable</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06"/>
        </w:trPr>
        <w:tc>
          <w:tcPr>
            <w:tcW w:w="1500" w:type="dxa"/>
            <w:vAlign w:val="bottom"/>
          </w:tcPr>
          <w:p>
            <w:pPr>
              <w:ind w:left="200"/>
              <w:spacing w:after="0"/>
              <w:rPr>
                <w:sz w:val="20"/>
                <w:szCs w:val="20"/>
                <w:color w:val="auto"/>
              </w:rPr>
            </w:pPr>
            <w:r>
              <w:rPr>
                <w:rFonts w:ascii="Arial" w:cs="Arial" w:eastAsia="Arial" w:hAnsi="Arial"/>
                <w:sz w:val="16"/>
                <w:szCs w:val="16"/>
                <w:color w:val="auto"/>
              </w:rPr>
              <w:t>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Rule 144 restriction</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Company fully liquidated its position in 2U, Inc. prior to December 31, 2015.</w:t>
      </w:r>
    </w:p>
    <w:p>
      <w:pPr>
        <w:spacing w:after="0" w:line="117" w:lineRule="exact"/>
        <w:rPr>
          <w:sz w:val="20"/>
          <w:szCs w:val="20"/>
          <w:color w:val="auto"/>
        </w:rPr>
      </w:pPr>
    </w:p>
    <w:p>
      <w:pPr>
        <w:ind w:left="60" w:right="759" w:firstLine="270"/>
        <w:spacing w:after="0" w:line="277" w:lineRule="auto"/>
        <w:rPr>
          <w:sz w:val="20"/>
          <w:szCs w:val="20"/>
          <w:color w:val="auto"/>
        </w:rPr>
      </w:pPr>
      <w:r>
        <w:rPr>
          <w:rFonts w:ascii="Arial" w:cs="Arial" w:eastAsia="Arial" w:hAnsi="Arial"/>
          <w:sz w:val="18"/>
          <w:szCs w:val="18"/>
          <w:color w:val="auto"/>
        </w:rPr>
        <w:t>During the year ended December 31, 2014,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IPO/</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Lock-up</w:t>
            </w: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49"/>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Corporate Action</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8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c>
          <w:tcPr>
            <w:tcW w:w="0" w:type="dxa"/>
            <w:vAlign w:val="bottom"/>
          </w:tcPr>
          <w:p>
            <w:pPr>
              <w:spacing w:after="0"/>
              <w:rPr>
                <w:sz w:val="1"/>
                <w:szCs w:val="1"/>
                <w:color w:val="auto"/>
              </w:rPr>
            </w:pPr>
          </w:p>
        </w:tc>
      </w:tr>
      <w:tr>
        <w:trPr>
          <w:trHeight w:val="227"/>
        </w:trPr>
        <w:tc>
          <w:tcPr>
            <w:tcW w:w="1500" w:type="dxa"/>
            <w:vAlign w:val="bottom"/>
          </w:tcPr>
          <w:p>
            <w:pPr>
              <w:ind w:left="20"/>
              <w:spacing w:after="0"/>
              <w:rPr>
                <w:sz w:val="20"/>
                <w:szCs w:val="20"/>
                <w:color w:val="auto"/>
              </w:rPr>
            </w:pPr>
            <w:r>
              <w:rPr>
                <w:rFonts w:ascii="Arial" w:cs="Arial" w:eastAsia="Arial" w:hAnsi="Arial"/>
                <w:sz w:val="16"/>
                <w:szCs w:val="16"/>
                <w:color w:val="auto"/>
              </w:rPr>
              <w:t>TrueCar, Inc.</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Lock-up Expiration</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11/11/2014</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Level 2 to Level 1</w:t>
            </w:r>
          </w:p>
        </w:tc>
        <w:tc>
          <w:tcPr>
            <w:tcW w:w="80" w:type="dxa"/>
            <w:vAlign w:val="bottom"/>
          </w:tcPr>
          <w:p>
            <w:pPr>
              <w:spacing w:after="0"/>
              <w:rPr>
                <w:sz w:val="19"/>
                <w:szCs w:val="19"/>
                <w:color w:val="auto"/>
              </w:rPr>
            </w:pPr>
          </w:p>
        </w:tc>
        <w:tc>
          <w:tcPr>
            <w:tcW w:w="2660" w:type="dxa"/>
            <w:vAlign w:val="bottom"/>
          </w:tcPr>
          <w:p>
            <w:pPr>
              <w:jc w:val="center"/>
              <w:spacing w:after="0" w:line="227" w:lineRule="exact"/>
              <w:rPr>
                <w:sz w:val="20"/>
                <w:szCs w:val="20"/>
                <w:color w:val="auto"/>
              </w:rPr>
            </w:pPr>
            <w:r>
              <w:rPr>
                <w:rFonts w:ascii="Arial" w:cs="Arial" w:eastAsia="Arial" w:hAnsi="Arial"/>
                <w:sz w:val="16"/>
                <w:szCs w:val="16"/>
                <w:color w:val="auto"/>
                <w:w w:val="89"/>
              </w:rPr>
              <w:t>Not applicable</w:t>
            </w:r>
            <w:r>
              <w:rPr>
                <w:rFonts w:ascii="Arial" w:cs="Arial" w:eastAsia="Arial" w:hAnsi="Arial"/>
                <w:sz w:val="26"/>
                <w:szCs w:val="26"/>
                <w:color w:val="auto"/>
                <w:w w:val="89"/>
                <w:vertAlign w:val="superscript"/>
              </w:rPr>
              <w:t>(1)</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color w:val="auto"/>
              </w:rPr>
              <w:t>Twitter, 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Lock-up Expiration</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5/5/2014</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Level 2 to Level 1</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2"/>
              </w:rPr>
              <w:t>Exchange Traded Price, 0% DLOM</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color w:val="auto"/>
              </w:rPr>
              <w:t>Chegg, 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Lock-up Expiration</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5/11/2014</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Level 2 to Level 1</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2"/>
              </w:rPr>
              <w:t>Exchange Traded Price, 0% DLOM</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color w:val="auto"/>
              </w:rPr>
              <w:t>TrueCar, 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IPO</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5/15/2014</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Level 3 to Level 2</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2"/>
              </w:rPr>
              <w:t>Exchange Traded Price, 10.0% DLOM</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color w:val="auto"/>
                <w:w w:val="98"/>
              </w:rPr>
              <w:t>Control4 Corporation</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Lock-up Expiration</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1/29/2014</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Level 2 to Level 1</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2"/>
              </w:rPr>
              <w:t>Exchange Traded Price, 0% DLOM</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color w:val="auto"/>
              </w:rPr>
              <w:t>Violin Memory, Inc.</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Lock-up Expiration</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3/26/2014</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Level 2 to Level 1</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2"/>
              </w:rPr>
              <w:t>Exchange Traded Price, 0% DLOM</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color w:val="auto"/>
              </w:rPr>
              <w:t>2U, Inc. (f/k/a 2tor,</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IPO</w:t>
            </w:r>
          </w:p>
        </w:tc>
        <w:tc>
          <w:tcPr>
            <w:tcW w:w="92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3/28/2014</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Level 3 to Level 2</w:t>
            </w:r>
          </w:p>
        </w:tc>
        <w:tc>
          <w:tcPr>
            <w:tcW w:w="8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2"/>
              </w:rPr>
              <w:t>Exchange Traded Price, 17.5% DLOM</w:t>
            </w:r>
          </w:p>
        </w:tc>
        <w:tc>
          <w:tcPr>
            <w:tcW w:w="0" w:type="dxa"/>
            <w:vAlign w:val="bottom"/>
          </w:tcPr>
          <w:p>
            <w:pPr>
              <w:spacing w:after="0"/>
              <w:rPr>
                <w:sz w:val="1"/>
                <w:szCs w:val="1"/>
                <w:color w:val="auto"/>
              </w:rPr>
            </w:pPr>
          </w:p>
        </w:tc>
      </w:tr>
      <w:tr>
        <w:trPr>
          <w:trHeight w:val="206"/>
        </w:trPr>
        <w:tc>
          <w:tcPr>
            <w:tcW w:w="1500" w:type="dxa"/>
            <w:vAlign w:val="bottom"/>
          </w:tcPr>
          <w:p>
            <w:pPr>
              <w:ind w:left="200"/>
              <w:spacing w:after="0"/>
              <w:rPr>
                <w:sz w:val="20"/>
                <w:szCs w:val="20"/>
                <w:color w:val="auto"/>
              </w:rPr>
            </w:pPr>
            <w:r>
              <w:rPr>
                <w:rFonts w:ascii="Arial" w:cs="Arial" w:eastAsia="Arial" w:hAnsi="Arial"/>
                <w:sz w:val="16"/>
                <w:szCs w:val="16"/>
                <w:color w:val="auto"/>
              </w:rPr>
              <w:t>Inc.)</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Company fully liquidated its position in TrueCar, Inc. prior to December 31, 2014.</w:t>
      </w:r>
    </w:p>
    <w:p>
      <w:pPr>
        <w:spacing w:after="0" w:line="117"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The portfolio companies in which the Company invests periodically offer their shares in IPOs, which are typically subject to lock-up agreements for 180 days following the IPO. Refer to “Note 1 — Nature of Operations and Significant Accounting Policies — Summary of Significant Accounting Policies — Levelling Policy” for further detail.</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ind w:left="60" w:right="659" w:firstLine="270"/>
        <w:spacing w:after="0" w:line="270" w:lineRule="auto"/>
        <w:rPr>
          <w:sz w:val="20"/>
          <w:szCs w:val="20"/>
          <w:color w:val="auto"/>
        </w:rPr>
      </w:pPr>
      <w:r>
        <w:rPr>
          <w:rFonts w:ascii="Arial" w:cs="Arial" w:eastAsia="Arial" w:hAnsi="Arial"/>
          <w:sz w:val="17"/>
          <w:szCs w:val="17"/>
          <w:color w:val="auto"/>
        </w:rPr>
        <w:t>As a result of the Company’s dividend, which was paid on December 31, 2015 to stockholders of record on November 16, 2015, the Company issued an additional 2,860,903 shares in lieu of cash during the year ended December 31, 2015. The dividend was paid in cash or shares of the Company’s common stock at the election of stockholders, although the total amount of cash distributed to all stockholders was limited to approximately 50% of the total dividend to be paid to all stockholders. As a result of stockholder elections, the dividend consisted of approximately 2,860,903 shares of common stock issued in lieu of cash, or approximately 14.8% of our outstanding shares prior to the dividend,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dividend represented a return of capital.</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new shares of the Company’s common stock were issued during the years ended December 31, 2014 and 2013.</w:t>
      </w:r>
    </w:p>
    <w:p>
      <w:pPr>
        <w:spacing w:after="0" w:line="200" w:lineRule="exact"/>
        <w:rPr>
          <w:sz w:val="20"/>
          <w:szCs w:val="20"/>
          <w:color w:val="auto"/>
        </w:rPr>
      </w:pPr>
    </w:p>
    <w:p>
      <w:pPr>
        <w:spacing w:after="0" w:line="37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0" w:name="page111"/>
    <w:bookmarkEnd w:id="11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right="1019"/>
        <w:spacing w:after="0" w:line="282" w:lineRule="auto"/>
        <w:rPr>
          <w:sz w:val="20"/>
          <w:szCs w:val="20"/>
          <w:color w:val="auto"/>
        </w:rPr>
      </w:pPr>
      <w:r>
        <w:rPr>
          <w:rFonts w:ascii="Arial" w:cs="Arial" w:eastAsia="Arial" w:hAnsi="Arial"/>
          <w:sz w:val="18"/>
          <w:szCs w:val="18"/>
          <w:b w:val="1"/>
          <w:bCs w:val="1"/>
          <w:color w:val="auto"/>
        </w:rPr>
        <w:t>NOTE 5 — NET INCREASE (DECREASE) IN NET ASSETS RESULTING FROM OPERATIONS PER COMMON SHARE — BASIC AND DILUTED</w:t>
      </w:r>
    </w:p>
    <w:p>
      <w:pPr>
        <w:spacing w:after="0" w:line="58"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The following information sets forth the computation of basic and diluted net increase (decrease) in net assets resulting from operations per common share for the years ended December 31, 2015, 2014 and 2013, respectively. The use of the if-converted method as promulgated under ASC 260 considers all potentially dilutive securities in a company’s capital structure when calculating diluted earnings per share, regardless of whether it would be economically beneficial for a holder of such potentially dilutive security to exercise their conversion option (such as out of the money warrants.) In scenarios where diluted net increase in net assets resulting from operations per share is higher than basic net increase in net assets resulting from operations per share, ASC 260 prohibits the separate presentation of the diluted net increase in net assets resulting from operations per share figure. In scenarios where diluted net decrease in net assets resulting from operations per share is lower than basic net decrease in net assets resulting from operations per share, ASC 260 prohibits the separate presentation of the net decrease in net assets resulting from operations per share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139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4"/>
                <w:szCs w:val="14"/>
                <w:color w:val="auto"/>
              </w:rPr>
            </w:pPr>
          </w:p>
        </w:tc>
      </w:tr>
      <w:tr>
        <w:trPr>
          <w:trHeight w:val="191"/>
        </w:trPr>
        <w:tc>
          <w:tcPr>
            <w:tcW w:w="500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1"/>
              </w:rPr>
              <w:t>Net increase/(decrease) in net assets resulting from operations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per share – basic:</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5000" w:type="dxa"/>
            <w:vAlign w:val="bottom"/>
            <w:gridSpan w:val="3"/>
          </w:tcPr>
          <w:p>
            <w:pPr>
              <w:ind w:left="20"/>
              <w:spacing w:after="0"/>
              <w:rPr>
                <w:sz w:val="20"/>
                <w:szCs w:val="20"/>
                <w:color w:val="auto"/>
              </w:rPr>
            </w:pPr>
            <w:r>
              <w:rPr>
                <w:rFonts w:ascii="Arial" w:cs="Arial" w:eastAsia="Arial" w:hAnsi="Arial"/>
                <w:sz w:val="18"/>
                <w:szCs w:val="18"/>
                <w:color w:val="auto"/>
                <w:w w:val="98"/>
              </w:rPr>
              <w:t>Net increase (decrease)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8,466,157</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(2,062,771)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35,383,643</w:t>
            </w:r>
          </w:p>
        </w:tc>
      </w:tr>
      <w:tr>
        <w:trPr>
          <w:trHeight w:val="216"/>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common shares – basic</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19,327,938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19,320,100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19,320,100</w:t>
            </w:r>
          </w:p>
        </w:tc>
      </w:tr>
      <w:tr>
        <w:trPr>
          <w:trHeight w:val="191"/>
        </w:trPr>
        <w:tc>
          <w:tcPr>
            <w:tcW w:w="5000" w:type="dxa"/>
            <w:vAlign w:val="bottom"/>
            <w:tcBorders>
              <w:top w:val="single" w:sz="8" w:color="CCEEFF"/>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1"/>
              </w:rPr>
              <w:t>Net increase/(decrease) in net assets resulting from operations</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r>
      <w:tr>
        <w:trPr>
          <w:trHeight w:val="191"/>
        </w:trPr>
        <w:tc>
          <w:tcPr>
            <w:tcW w:w="500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1"/>
              </w:rPr>
              <w:t>Net increase/(decrease) in net assets resulting from operations</w:t>
            </w: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per share – diluted:</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500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7"/>
              </w:rPr>
              <w:t>Net increase/(decrease) in net assets resulting from operations,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before adjustments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8,466,157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(2,062,771)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35,383,643</w:t>
            </w:r>
          </w:p>
        </w:tc>
      </w:tr>
      <w:tr>
        <w:trPr>
          <w:trHeight w:val="202"/>
        </w:trPr>
        <w:tc>
          <w:tcPr>
            <w:tcW w:w="500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Adjustments for interest on Convertible Senior Notes and deferred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costs</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1,269,217</w:t>
            </w:r>
          </w:p>
        </w:tc>
      </w:tr>
      <w:tr>
        <w:trPr>
          <w:trHeight w:val="202"/>
        </w:trPr>
        <w:tc>
          <w:tcPr>
            <w:tcW w:w="500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3"/>
              </w:rPr>
              <w:t>Net increase/(decrease) in net assets resulting from operations, as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adjusted</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8,466,157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(2,062,771)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36,652,860</w:t>
            </w:r>
          </w:p>
        </w:tc>
      </w:tr>
      <w:tr>
        <w:trPr>
          <w:trHeight w:val="216"/>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19,327,938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19,320,100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19,320,100</w:t>
            </w:r>
          </w:p>
        </w:tc>
      </w:tr>
      <w:tr>
        <w:trPr>
          <w:trHeight w:val="257"/>
        </w:trPr>
        <w:tc>
          <w:tcPr>
            <w:tcW w:w="50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Adjustments for dilutive effect of Convertible Senior Notes</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1,220,914</w:t>
            </w:r>
          </w:p>
        </w:tc>
      </w:tr>
      <w:tr>
        <w:trPr>
          <w:trHeight w:val="216"/>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19,327,938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19,320,100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20,541,014</w:t>
            </w:r>
          </w:p>
        </w:tc>
      </w:tr>
      <w:tr>
        <w:trPr>
          <w:trHeight w:val="191"/>
        </w:trPr>
        <w:tc>
          <w:tcPr>
            <w:tcW w:w="5000" w:type="dxa"/>
            <w:vAlign w:val="bottom"/>
            <w:tcBorders>
              <w:top w:val="single" w:sz="8" w:color="CCEEFF"/>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1"/>
              </w:rPr>
              <w:t>Net increase/(decrease) in net assets resulting from operations</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-2331720</wp:posOffset>
            </wp:positionV>
            <wp:extent cx="5213985" cy="291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-505460</wp:posOffset>
            </wp:positionV>
            <wp:extent cx="5213985" cy="3175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236" w:lineRule="exact"/>
        <w:rPr>
          <w:sz w:val="20"/>
          <w:szCs w:val="20"/>
          <w:color w:val="auto"/>
        </w:rPr>
      </w:pPr>
    </w:p>
    <w:p>
      <w:pPr>
        <w:ind w:left="300" w:right="639" w:hanging="272"/>
        <w:spacing w:after="0" w:line="286" w:lineRule="auto"/>
        <w:tabs>
          <w:tab w:leader="none" w:pos="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For the years ended December 31, 2015, and 2014, respectively, 5,710,212 and 4,244,128 potentially dilutive common shares were excluded from the weighted-average common shares outstanding for diluted net increase/(decrease) in net assets resulting from operations per common share because the effect of these shares would have been anti-dilutive.</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December 31, 2015 and December 31, 2014, the Company had not entered into any investment agreements that required it to make a future investment in a portfolio company.</w:t>
      </w:r>
    </w:p>
    <w:p>
      <w:pPr>
        <w:spacing w:after="0" w:line="79" w:lineRule="exact"/>
        <w:rPr>
          <w:sz w:val="20"/>
          <w:szCs w:val="20"/>
          <w:color w:val="auto"/>
        </w:rPr>
      </w:pPr>
    </w:p>
    <w:p>
      <w:pPr>
        <w:ind w:left="60" w:right="619" w:firstLine="270"/>
        <w:spacing w:after="0" w:line="259" w:lineRule="auto"/>
        <w:rPr>
          <w:sz w:val="20"/>
          <w:szCs w:val="20"/>
          <w:color w:val="auto"/>
        </w:rPr>
      </w:pPr>
      <w:r>
        <w:rPr>
          <w:rFonts w:ascii="Arial" w:cs="Arial" w:eastAsia="Arial" w:hAnsi="Arial"/>
          <w:sz w:val="18"/>
          <w:szCs w:val="18"/>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w:t>
      </w:r>
    </w:p>
    <w:p>
      <w:pPr>
        <w:spacing w:after="0" w:line="200" w:lineRule="exact"/>
        <w:rPr>
          <w:sz w:val="20"/>
          <w:szCs w:val="20"/>
          <w:color w:val="auto"/>
        </w:rPr>
      </w:pPr>
    </w:p>
    <w:p>
      <w:pPr>
        <w:spacing w:after="0" w:line="33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COMMITMENTS AND CONTINGENCIES – (continued)</w:t>
      </w:r>
    </w:p>
    <w:p>
      <w:pPr>
        <w:spacing w:after="0" w:line="121"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color w:val="auto"/>
        </w:rPr>
        <w:t>predicted with certainty, the Company does not expect that these proceedings will have a material effect upon its business, financial condition or results of operations.</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2" w:name="page113"/>
    <w:bookmarkEnd w:id="11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January 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2011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96"/>
              </w:rPr>
              <w:t>2015</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w w:val="96"/>
              </w:rPr>
              <w:t>Net asset value at beginning of year</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14.80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CCEEFF"/>
            </w:tcBorders>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14.91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13.07</w:t>
            </w:r>
          </w:p>
        </w:tc>
        <w:tc>
          <w:tcPr>
            <w:tcW w:w="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CCEEFF"/>
            </w:tcBorders>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12.95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00" w:type="dxa"/>
            <w:vAlign w:val="bottom"/>
            <w:gridSpan w:val="4"/>
          </w:tcPr>
          <w:p>
            <w:pPr>
              <w:ind w:left="20"/>
              <w:spacing w:after="0"/>
              <w:rPr>
                <w:sz w:val="20"/>
                <w:szCs w:val="20"/>
                <w:color w:val="auto"/>
              </w:rPr>
            </w:pPr>
            <w:r>
              <w:rPr>
                <w:rFonts w:ascii="Arial" w:cs="Arial" w:eastAsia="Arial" w:hAnsi="Arial"/>
                <w:sz w:val="14"/>
                <w:szCs w:val="14"/>
                <w:color w:val="auto"/>
              </w:rPr>
              <w:t>Issuance of common shares</w:t>
            </w:r>
          </w:p>
        </w:tc>
        <w:tc>
          <w:tcPr>
            <w:tcW w:w="10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line="189" w:lineRule="exact"/>
              <w:rPr>
                <w:sz w:val="20"/>
                <w:szCs w:val="20"/>
                <w:color w:val="auto"/>
              </w:rPr>
            </w:pPr>
            <w:r>
              <w:rPr>
                <w:rFonts w:ascii="Arial" w:cs="Arial" w:eastAsia="Arial" w:hAnsi="Arial"/>
                <w:sz w:val="13"/>
                <w:szCs w:val="13"/>
                <w:color w:val="auto"/>
              </w:rPr>
              <w:t>1.91</w:t>
            </w:r>
            <w:r>
              <w:rPr>
                <w:rFonts w:ascii="Arial" w:cs="Arial" w:eastAsia="Arial" w:hAnsi="Arial"/>
                <w:sz w:val="21"/>
                <w:szCs w:val="21"/>
                <w:color w:val="auto"/>
                <w:vertAlign w:val="superscript"/>
              </w:rPr>
              <w:t>(5)</w:t>
            </w:r>
          </w:p>
        </w:tc>
        <w:tc>
          <w:tcPr>
            <w:tcW w:w="8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3"/>
                <w:szCs w:val="13"/>
                <w:color w:val="auto"/>
              </w:rPr>
              <w:t>14.67</w:t>
            </w:r>
            <w:r>
              <w:rPr>
                <w:rFonts w:ascii="Arial" w:cs="Arial" w:eastAsia="Arial" w:hAnsi="Arial"/>
                <w:sz w:val="21"/>
                <w:szCs w:val="21"/>
                <w:color w:val="auto"/>
                <w:vertAlign w:val="superscript"/>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Underwriters’ discount</w:t>
            </w: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3"/>
                <w:szCs w:val="13"/>
                <w:color w:val="auto"/>
              </w:rPr>
              <w:t>(0.72)</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3"/>
                <w:szCs w:val="13"/>
                <w:color w:val="auto"/>
              </w:rPr>
              <w:t>(0.86)</w:t>
            </w:r>
            <w:r>
              <w:rPr>
                <w:rFonts w:ascii="Arial" w:cs="Arial" w:eastAsia="Arial" w:hAnsi="Arial"/>
                <w:sz w:val="21"/>
                <w:szCs w:val="21"/>
                <w:color w:val="auto"/>
                <w:vertAlign w:val="superscript"/>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gridSpan w:val="4"/>
          </w:tcPr>
          <w:p>
            <w:pPr>
              <w:ind w:left="20"/>
              <w:spacing w:after="0"/>
              <w:rPr>
                <w:sz w:val="20"/>
                <w:szCs w:val="20"/>
                <w:color w:val="auto"/>
              </w:rPr>
            </w:pPr>
            <w:r>
              <w:rPr>
                <w:rFonts w:ascii="Arial" w:cs="Arial" w:eastAsia="Arial" w:hAnsi="Arial"/>
                <w:sz w:val="14"/>
                <w:szCs w:val="14"/>
                <w:color w:val="auto"/>
              </w:rPr>
              <w:t>Offering costs</w:t>
            </w:r>
          </w:p>
        </w:tc>
        <w:tc>
          <w:tcPr>
            <w:tcW w:w="10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3"/>
                <w:szCs w:val="13"/>
                <w:color w:val="auto"/>
              </w:rPr>
              <w:t>(0.04)</w:t>
            </w:r>
            <w:r>
              <w:rPr>
                <w:rFonts w:ascii="Arial" w:cs="Arial" w:eastAsia="Arial" w:hAnsi="Arial"/>
                <w:sz w:val="21"/>
                <w:szCs w:val="21"/>
                <w:color w:val="auto"/>
                <w:vertAlign w:val="superscript"/>
              </w:rPr>
              <w:t>(2)</w:t>
            </w:r>
          </w:p>
        </w:tc>
        <w:tc>
          <w:tcPr>
            <w:tcW w:w="8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3"/>
                <w:szCs w:val="13"/>
                <w:color w:val="auto"/>
              </w:rPr>
              <w:t>(0.19)</w:t>
            </w:r>
            <w:r>
              <w:rPr>
                <w:rFonts w:ascii="Arial" w:cs="Arial" w:eastAsia="Arial" w:hAnsi="Arial"/>
                <w:sz w:val="21"/>
                <w:szCs w:val="21"/>
                <w:color w:val="auto"/>
                <w:vertAlign w:val="superscript"/>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investment loss</w:t>
            </w: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2"/>
            <w:shd w:val="clear" w:color="auto" w:fill="CCEEFF"/>
          </w:tcPr>
          <w:p>
            <w:pPr>
              <w:jc w:val="right"/>
              <w:ind w:right="180"/>
              <w:spacing w:after="0" w:line="189" w:lineRule="exact"/>
              <w:rPr>
                <w:sz w:val="20"/>
                <w:szCs w:val="20"/>
                <w:color w:val="auto"/>
              </w:rPr>
            </w:pPr>
            <w:r>
              <w:rPr>
                <w:rFonts w:ascii="Arial" w:cs="Arial" w:eastAsia="Arial" w:hAnsi="Arial"/>
                <w:sz w:val="13"/>
                <w:szCs w:val="13"/>
                <w:color w:val="auto"/>
              </w:rPr>
              <w:t>(2.52)</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114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3"/>
                <w:szCs w:val="13"/>
                <w:color w:val="auto"/>
              </w:rPr>
              <w:t>(0.66)</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3"/>
                <w:szCs w:val="13"/>
                <w:color w:val="auto"/>
              </w:rPr>
              <w:t>(0.46)</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3"/>
                <w:szCs w:val="13"/>
                <w:color w:val="auto"/>
              </w:rPr>
              <w:t>(0.51)</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3"/>
                <w:szCs w:val="13"/>
                <w:color w:val="auto"/>
              </w:rPr>
              <w:t>(0.37)</w:t>
            </w:r>
            <w:r>
              <w:rPr>
                <w:rFonts w:ascii="Arial" w:cs="Arial" w:eastAsia="Arial" w:hAnsi="Arial"/>
                <w:sz w:val="21"/>
                <w:szCs w:val="21"/>
                <w:color w:val="auto"/>
                <w:vertAlign w:val="superscript"/>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gridSpan w:val="4"/>
          </w:tcPr>
          <w:p>
            <w:pPr>
              <w:ind w:left="20"/>
              <w:spacing w:after="0"/>
              <w:rPr>
                <w:sz w:val="20"/>
                <w:szCs w:val="20"/>
                <w:color w:val="auto"/>
              </w:rPr>
            </w:pPr>
            <w:r>
              <w:rPr>
                <w:rFonts w:ascii="Arial" w:cs="Arial" w:eastAsia="Arial" w:hAnsi="Arial"/>
                <w:sz w:val="14"/>
                <w:szCs w:val="14"/>
                <w:color w:val="auto"/>
              </w:rPr>
              <w:t>Realized gain (loss)</w:t>
            </w:r>
          </w:p>
        </w:tc>
        <w:tc>
          <w:tcPr>
            <w:tcW w:w="100" w:type="dxa"/>
            <w:vAlign w:val="bottom"/>
          </w:tcPr>
          <w:p>
            <w:pPr>
              <w:spacing w:after="0"/>
              <w:rPr>
                <w:sz w:val="16"/>
                <w:szCs w:val="16"/>
                <w:color w:val="auto"/>
              </w:rPr>
            </w:pPr>
          </w:p>
        </w:tc>
        <w:tc>
          <w:tcPr>
            <w:tcW w:w="1100" w:type="dxa"/>
            <w:vAlign w:val="bottom"/>
            <w:gridSpan w:val="2"/>
          </w:tcPr>
          <w:p>
            <w:pPr>
              <w:jc w:val="right"/>
              <w:ind w:right="240"/>
              <w:spacing w:after="0" w:line="189" w:lineRule="exact"/>
              <w:rPr>
                <w:sz w:val="20"/>
                <w:szCs w:val="20"/>
                <w:color w:val="auto"/>
              </w:rPr>
            </w:pPr>
            <w:r>
              <w:rPr>
                <w:rFonts w:ascii="Arial" w:cs="Arial" w:eastAsia="Arial" w:hAnsi="Arial"/>
                <w:sz w:val="13"/>
                <w:szCs w:val="13"/>
                <w:color w:val="auto"/>
              </w:rPr>
              <w:t>2.80</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1140" w:type="dxa"/>
            <w:vAlign w:val="bottom"/>
            <w:gridSpan w:val="2"/>
          </w:tcPr>
          <w:p>
            <w:pPr>
              <w:jc w:val="right"/>
              <w:ind w:right="260"/>
              <w:spacing w:after="0" w:line="189" w:lineRule="exact"/>
              <w:rPr>
                <w:sz w:val="20"/>
                <w:szCs w:val="20"/>
                <w:color w:val="auto"/>
              </w:rPr>
            </w:pPr>
            <w:r>
              <w:rPr>
                <w:rFonts w:ascii="Arial" w:cs="Arial" w:eastAsia="Arial" w:hAnsi="Arial"/>
                <w:sz w:val="13"/>
                <w:szCs w:val="13"/>
                <w:color w:val="auto"/>
              </w:rPr>
              <w:t>1.24</w:t>
            </w:r>
            <w:r>
              <w:rPr>
                <w:rFonts w:ascii="Arial" w:cs="Arial" w:eastAsia="Arial" w:hAnsi="Arial"/>
                <w:sz w:val="21"/>
                <w:szCs w:val="21"/>
                <w:color w:val="auto"/>
                <w:vertAlign w:val="superscript"/>
              </w:rPr>
              <w:t>(1)</w:t>
            </w:r>
          </w:p>
        </w:tc>
        <w:tc>
          <w:tcPr>
            <w:tcW w:w="10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3"/>
                <w:szCs w:val="13"/>
                <w:color w:val="auto"/>
              </w:rPr>
              <w:t>(1.12)</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3"/>
                <w:szCs w:val="13"/>
                <w:color w:val="auto"/>
              </w:rPr>
              <w:t>(0.09)</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1080" w:type="dxa"/>
            <w:vAlign w:val="bottom"/>
            <w:gridSpan w:val="2"/>
          </w:tcPr>
          <w:p>
            <w:pPr>
              <w:ind w:left="54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2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(Provision)/Benefit for taxes on net</w:t>
            </w:r>
          </w:p>
        </w:tc>
        <w:tc>
          <w:tcPr>
            <w:tcW w:w="100" w:type="dxa"/>
            <w:vAlign w:val="bottom"/>
            <w:shd w:val="clear" w:color="auto" w:fill="CCEEFF"/>
          </w:tcPr>
          <w:p>
            <w:pPr>
              <w:spacing w:after="0"/>
              <w:rPr>
                <w:sz w:val="11"/>
                <w:szCs w:val="11"/>
                <w:color w:val="auto"/>
              </w:rPr>
            </w:pPr>
          </w:p>
        </w:tc>
        <w:tc>
          <w:tcPr>
            <w:tcW w:w="110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0.02</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1"/>
                <w:szCs w:val="11"/>
                <w:color w:val="auto"/>
              </w:rPr>
            </w:pPr>
          </w:p>
        </w:tc>
        <w:tc>
          <w:tcPr>
            <w:tcW w:w="11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(0.51)</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0.49</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18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realized capital gains/losses</w:t>
            </w:r>
          </w:p>
        </w:tc>
        <w:tc>
          <w:tcPr>
            <w:tcW w:w="10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0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Change in unrealized appreciation</w:t>
            </w:r>
          </w:p>
        </w:tc>
        <w:tc>
          <w:tcPr>
            <w:tcW w:w="10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(0.69)</w:t>
            </w:r>
            <w:r>
              <w:rPr>
                <w:rFonts w:ascii="Arial" w:cs="Arial" w:eastAsia="Arial" w:hAnsi="Arial"/>
                <w:sz w:val="23"/>
                <w:szCs w:val="23"/>
                <w:color w:val="auto"/>
                <w:vertAlign w:val="superscript"/>
              </w:rPr>
              <w:t>(1)</w:t>
            </w:r>
          </w:p>
        </w:tc>
        <w:tc>
          <w:tcPr>
            <w:tcW w:w="80" w:type="dxa"/>
            <w:vAlign w:val="bottom"/>
          </w:tcPr>
          <w:p>
            <w:pPr>
              <w:spacing w:after="0"/>
              <w:rPr>
                <w:sz w:val="11"/>
                <w:szCs w:val="11"/>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(0.30)</w:t>
            </w:r>
            <w:r>
              <w:rPr>
                <w:rFonts w:ascii="Arial" w:cs="Arial" w:eastAsia="Arial" w:hAnsi="Arial"/>
                <w:sz w:val="23"/>
                <w:szCs w:val="23"/>
                <w:color w:val="auto"/>
                <w:vertAlign w:val="superscript"/>
              </w:rPr>
              <w:t>(1)</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4.53</w:t>
            </w:r>
            <w:r>
              <w:rPr>
                <w:rFonts w:ascii="Arial" w:cs="Arial" w:eastAsia="Arial" w:hAnsi="Arial"/>
                <w:sz w:val="23"/>
                <w:szCs w:val="23"/>
                <w:color w:val="auto"/>
                <w:vertAlign w:val="superscript"/>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(0.43)</w:t>
            </w:r>
            <w:r>
              <w:rPr>
                <w:rFonts w:ascii="Arial" w:cs="Arial" w:eastAsia="Arial" w:hAnsi="Arial"/>
                <w:sz w:val="23"/>
                <w:szCs w:val="23"/>
                <w:color w:val="auto"/>
                <w:vertAlign w:val="superscript"/>
              </w:rPr>
              <w:t>(7)</w:t>
            </w:r>
          </w:p>
        </w:tc>
        <w:tc>
          <w:tcPr>
            <w:tcW w:w="80" w:type="dxa"/>
            <w:vAlign w:val="bottom"/>
          </w:tcPr>
          <w:p>
            <w:pPr>
              <w:spacing w:after="0"/>
              <w:rPr>
                <w:sz w:val="11"/>
                <w:szCs w:val="11"/>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(0.30)</w:t>
            </w:r>
            <w:r>
              <w:rPr>
                <w:rFonts w:ascii="Arial" w:cs="Arial" w:eastAsia="Arial" w:hAnsi="Arial"/>
                <w:sz w:val="23"/>
                <w:szCs w:val="23"/>
                <w:color w:val="auto"/>
                <w:vertAlign w:val="superscript"/>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3"/>
          </w:tcPr>
          <w:p>
            <w:pPr>
              <w:ind w:left="180"/>
              <w:spacing w:after="0"/>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(Provision)/Benefit for taxes on</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unrealized appreciation/</w:t>
            </w: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0.83</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0.12</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(1.60)</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18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deprecation of investments</w:t>
            </w:r>
          </w:p>
        </w:tc>
        <w:tc>
          <w:tcPr>
            <w:tcW w:w="10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Dividends from realized gain</w:t>
            </w:r>
          </w:p>
        </w:tc>
        <w:tc>
          <w:tcPr>
            <w:tcW w:w="1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(2.76)</w:t>
            </w:r>
          </w:p>
        </w:tc>
        <w:tc>
          <w:tcPr>
            <w:tcW w:w="8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2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Dilution from shares issued</w:t>
            </w:r>
          </w:p>
        </w:tc>
        <w:tc>
          <w:tcPr>
            <w:tcW w:w="10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(0.40)</w:t>
            </w:r>
          </w:p>
        </w:tc>
        <w:tc>
          <w:tcPr>
            <w:tcW w:w="80" w:type="dxa"/>
            <w:vAlign w:val="bottom"/>
            <w:shd w:val="clear" w:color="auto" w:fill="CCEEFF"/>
          </w:tcPr>
          <w:p>
            <w:pPr>
              <w:spacing w:after="0"/>
              <w:rPr>
                <w:sz w:val="14"/>
                <w:szCs w:val="14"/>
                <w:color w:val="auto"/>
              </w:rPr>
            </w:pPr>
          </w:p>
        </w:tc>
        <w:tc>
          <w:tcPr>
            <w:tcW w:w="1140" w:type="dxa"/>
            <w:vAlign w:val="bottom"/>
            <w:tcBorders>
              <w:right w:val="single" w:sz="8" w:color="CCEEFF"/>
            </w:tcBorders>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tcBorders>
              <w:right w:val="single" w:sz="8" w:color="CCEEFF"/>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Net asset value at end of year</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rPr>
              <w:t>12.08</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14.80</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14.91</w:t>
            </w:r>
          </w:p>
        </w:tc>
        <w:tc>
          <w:tcPr>
            <w:tcW w:w="1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rPr>
              <w:t>13.07</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80"/>
              <w:spacing w:after="0" w:line="142" w:lineRule="exact"/>
              <w:rPr>
                <w:sz w:val="20"/>
                <w:szCs w:val="20"/>
                <w:color w:val="auto"/>
              </w:rPr>
            </w:pPr>
            <w:r>
              <w:rPr>
                <w:rFonts w:ascii="Arial" w:cs="Arial" w:eastAsia="Arial" w:hAnsi="Arial"/>
                <w:sz w:val="14"/>
                <w:szCs w:val="14"/>
                <w:color w:val="auto"/>
              </w:rPr>
              <w:t>12.95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200" w:type="dxa"/>
            <w:vAlign w:val="bottom"/>
            <w:gridSpan w:val="4"/>
            <w:shd w:val="clear" w:color="auto" w:fill="CCEEFF"/>
          </w:tcPr>
          <w:p>
            <w:pPr>
              <w:ind w:left="20"/>
              <w:spacing w:after="0" w:line="123" w:lineRule="exact"/>
              <w:rPr>
                <w:sz w:val="20"/>
                <w:szCs w:val="20"/>
                <w:color w:val="auto"/>
              </w:rPr>
            </w:pPr>
            <w:r>
              <w:rPr>
                <w:rFonts w:ascii="Arial" w:cs="Arial" w:eastAsia="Arial" w:hAnsi="Arial"/>
                <w:sz w:val="14"/>
                <w:szCs w:val="14"/>
                <w:color w:val="auto"/>
              </w:rPr>
              <w:t>Per share market value at end of</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18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year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9.37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8.43</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13.95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gridSpan w:val="4"/>
          </w:tcPr>
          <w:p>
            <w:pPr>
              <w:ind w:left="20"/>
              <w:spacing w:after="0"/>
              <w:rPr>
                <w:sz w:val="20"/>
                <w:szCs w:val="20"/>
                <w:color w:val="auto"/>
              </w:rPr>
            </w:pPr>
            <w:r>
              <w:rPr>
                <w:rFonts w:ascii="Arial" w:cs="Arial" w:eastAsia="Arial" w:hAnsi="Arial"/>
                <w:sz w:val="14"/>
                <w:szCs w:val="14"/>
                <w:color w:val="auto"/>
                <w:w w:val="99"/>
              </w:rPr>
              <w:t>Total return based on market value</w:t>
            </w:r>
          </w:p>
        </w:tc>
        <w:tc>
          <w:tcPr>
            <w:tcW w:w="100" w:type="dxa"/>
            <w:vAlign w:val="bottom"/>
          </w:tcPr>
          <w:p>
            <w:pPr>
              <w:spacing w:after="0"/>
              <w:rPr>
                <w:sz w:val="16"/>
                <w:szCs w:val="16"/>
                <w:color w:val="auto"/>
              </w:rPr>
            </w:pPr>
          </w:p>
        </w:tc>
        <w:tc>
          <w:tcPr>
            <w:tcW w:w="1100" w:type="dxa"/>
            <w:vAlign w:val="bottom"/>
            <w:gridSpan w:val="2"/>
          </w:tcPr>
          <w:p>
            <w:pPr>
              <w:jc w:val="right"/>
              <w:ind w:right="120"/>
              <w:spacing w:after="0" w:line="189" w:lineRule="exact"/>
              <w:rPr>
                <w:sz w:val="20"/>
                <w:szCs w:val="20"/>
                <w:color w:val="auto"/>
              </w:rPr>
            </w:pPr>
            <w:r>
              <w:rPr>
                <w:rFonts w:ascii="Arial" w:cs="Arial" w:eastAsia="Arial" w:hAnsi="Arial"/>
                <w:sz w:val="13"/>
                <w:szCs w:val="13"/>
                <w:color w:val="auto"/>
              </w:rPr>
              <w:t>8.57%</w:t>
            </w:r>
            <w:r>
              <w:rPr>
                <w:rFonts w:ascii="Arial" w:cs="Arial" w:eastAsia="Arial" w:hAnsi="Arial"/>
                <w:sz w:val="21"/>
                <w:szCs w:val="21"/>
                <w:color w:val="auto"/>
                <w:vertAlign w:val="superscript"/>
              </w:rPr>
              <w:t>(3)</w:t>
            </w:r>
          </w:p>
        </w:tc>
        <w:tc>
          <w:tcPr>
            <w:tcW w:w="80" w:type="dxa"/>
            <w:vAlign w:val="bottom"/>
          </w:tcPr>
          <w:p>
            <w:pPr>
              <w:spacing w:after="0"/>
              <w:rPr>
                <w:sz w:val="16"/>
                <w:szCs w:val="16"/>
                <w:color w:val="auto"/>
              </w:rPr>
            </w:pP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3"/>
                <w:szCs w:val="13"/>
                <w:color w:val="auto"/>
              </w:rPr>
              <w:t>(28.62)%</w:t>
            </w:r>
            <w:r>
              <w:rPr>
                <w:rFonts w:ascii="Arial" w:cs="Arial" w:eastAsia="Arial" w:hAnsi="Arial"/>
                <w:sz w:val="21"/>
                <w:szCs w:val="21"/>
                <w:color w:val="auto"/>
                <w:vertAlign w:val="superscript"/>
              </w:rPr>
              <w:t>(3)</w:t>
            </w:r>
          </w:p>
        </w:tc>
        <w:tc>
          <w:tcPr>
            <w:tcW w:w="10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3"/>
                <w:szCs w:val="13"/>
                <w:color w:val="auto"/>
              </w:rPr>
              <w:t>43.42%</w:t>
            </w:r>
            <w:r>
              <w:rPr>
                <w:rFonts w:ascii="Arial" w:cs="Arial" w:eastAsia="Arial" w:hAnsi="Arial"/>
                <w:sz w:val="21"/>
                <w:szCs w:val="21"/>
                <w:color w:val="auto"/>
                <w:vertAlign w:val="superscript"/>
              </w:rPr>
              <w:t>(3)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3"/>
                <w:szCs w:val="13"/>
                <w:color w:val="auto"/>
              </w:rPr>
              <w:t>(39.57)%</w:t>
            </w:r>
            <w:r>
              <w:rPr>
                <w:rFonts w:ascii="Arial" w:cs="Arial" w:eastAsia="Arial" w:hAnsi="Arial"/>
                <w:sz w:val="21"/>
                <w:szCs w:val="21"/>
                <w:color w:val="auto"/>
                <w:vertAlign w:val="superscript"/>
              </w:rPr>
              <w:t>(8)</w:t>
            </w:r>
          </w:p>
        </w:tc>
        <w:tc>
          <w:tcPr>
            <w:tcW w:w="80" w:type="dxa"/>
            <w:vAlign w:val="bottom"/>
          </w:tcPr>
          <w:p>
            <w:pPr>
              <w:spacing w:after="0"/>
              <w:rPr>
                <w:sz w:val="16"/>
                <w:szCs w:val="16"/>
                <w:color w:val="auto"/>
              </w:rPr>
            </w:pPr>
          </w:p>
        </w:tc>
        <w:tc>
          <w:tcPr>
            <w:tcW w:w="1080" w:type="dxa"/>
            <w:vAlign w:val="bottom"/>
            <w:gridSpan w:val="2"/>
          </w:tcPr>
          <w:p>
            <w:pPr>
              <w:jc w:val="right"/>
              <w:ind w:right="80"/>
              <w:spacing w:after="0" w:line="189" w:lineRule="exact"/>
              <w:rPr>
                <w:sz w:val="20"/>
                <w:szCs w:val="20"/>
                <w:color w:val="auto"/>
              </w:rPr>
            </w:pPr>
            <w:r>
              <w:rPr>
                <w:rFonts w:ascii="Arial" w:cs="Arial" w:eastAsia="Arial" w:hAnsi="Arial"/>
                <w:sz w:val="13"/>
                <w:szCs w:val="13"/>
                <w:color w:val="auto"/>
              </w:rPr>
              <w:t>(7.00)%</w:t>
            </w:r>
            <w:r>
              <w:rPr>
                <w:rFonts w:ascii="Arial" w:cs="Arial" w:eastAsia="Arial" w:hAnsi="Arial"/>
                <w:sz w:val="21"/>
                <w:szCs w:val="21"/>
                <w:color w:val="auto"/>
                <w:vertAlign w:val="superscript"/>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3"/>
              </w:rPr>
              <w:t>Total return based on net asset value</w:t>
            </w: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3"/>
                <w:szCs w:val="13"/>
                <w:color w:val="auto"/>
              </w:rPr>
              <w:t>0.27%</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6"/>
                <w:szCs w:val="16"/>
                <w:color w:val="auto"/>
              </w:rPr>
            </w:pPr>
          </w:p>
        </w:tc>
        <w:tc>
          <w:tcPr>
            <w:tcW w:w="1140" w:type="dxa"/>
            <w:vAlign w:val="bottom"/>
            <w:tcBorders>
              <w:right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3"/>
                <w:szCs w:val="13"/>
                <w:color w:val="auto"/>
              </w:rPr>
              <w:t>(0.74)%</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3"/>
                <w:szCs w:val="13"/>
                <w:color w:val="auto"/>
              </w:rPr>
              <w:t>14.08%</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Borders>
              <w:right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3"/>
                <w:szCs w:val="13"/>
                <w:color w:val="auto"/>
              </w:rPr>
              <w:t>0.93%</w:t>
            </w:r>
            <w:r>
              <w:rPr>
                <w:rFonts w:ascii="Arial" w:cs="Arial" w:eastAsia="Arial" w:hAnsi="Arial"/>
                <w:sz w:val="21"/>
                <w:szCs w:val="21"/>
                <w:color w:val="auto"/>
                <w:vertAlign w:val="superscript"/>
              </w:rPr>
              <w:t>(8)</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3"/>
                <w:szCs w:val="13"/>
                <w:color w:val="auto"/>
              </w:rPr>
              <w:t>(13.67)%</w:t>
            </w:r>
            <w:r>
              <w:rPr>
                <w:rFonts w:ascii="Arial" w:cs="Arial" w:eastAsia="Arial" w:hAnsi="Arial"/>
                <w:sz w:val="21"/>
                <w:szCs w:val="21"/>
                <w:color w:val="auto"/>
                <w:vertAlign w:val="superscript"/>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Shares outstanding at end of year</w:t>
            </w:r>
          </w:p>
        </w:tc>
        <w:tc>
          <w:tcPr>
            <w:tcW w:w="10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22,181,003</w:t>
            </w:r>
          </w:p>
        </w:tc>
        <w:tc>
          <w:tcPr>
            <w:tcW w:w="8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19,320,100</w:t>
            </w:r>
          </w:p>
        </w:tc>
        <w:tc>
          <w:tcPr>
            <w:tcW w:w="10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19,320,100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9"/>
              </w:rPr>
              <w:t>19,320,100</w:t>
            </w:r>
          </w:p>
        </w:tc>
        <w:tc>
          <w:tcPr>
            <w:tcW w:w="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5,520,100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Ratio/Supplemental Data:</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Net assets at end of year</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9"/>
              </w:rPr>
              <w:t>268,010,945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2"/>
              </w:rPr>
              <w:t>285,903,673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2"/>
              </w:rPr>
              <w:t>287,966,444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9"/>
              </w:rPr>
              <w:t>252,582,801</w:t>
            </w:r>
          </w:p>
        </w:tc>
        <w:tc>
          <w:tcPr>
            <w:tcW w:w="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6"/>
              </w:rPr>
              <w:t>71,503,248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net assets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9"/>
              </w:rPr>
              <w:t>296,560,393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CCEEFF"/>
            </w:tcBorders>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2"/>
              </w:rPr>
              <w:t>284,953,811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2"/>
              </w:rPr>
              <w:t>250,121,052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9"/>
              </w:rPr>
              <w:t>208,050,344</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6"/>
              </w:rPr>
              <w:t>44,532,523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Annualized Ratios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0" w:type="dxa"/>
            <w:vAlign w:val="bottom"/>
            <w:gridSpan w:val="4"/>
            <w:shd w:val="clear" w:color="auto" w:fill="CCEEFF"/>
          </w:tcPr>
          <w:p>
            <w:pPr>
              <w:ind w:left="20"/>
              <w:spacing w:after="0" w:line="133" w:lineRule="exact"/>
              <w:rPr>
                <w:sz w:val="20"/>
                <w:szCs w:val="20"/>
                <w:color w:val="auto"/>
              </w:rPr>
            </w:pPr>
            <w:r>
              <w:rPr>
                <w:rFonts w:ascii="Arial" w:cs="Arial" w:eastAsia="Arial" w:hAnsi="Arial"/>
                <w:sz w:val="14"/>
                <w:szCs w:val="14"/>
                <w:color w:val="auto"/>
                <w:w w:val="94"/>
              </w:rPr>
              <w:t>Ratio of gross operating expenses to</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ind w:left="180"/>
              <w:spacing w:after="0" w:line="198" w:lineRule="exact"/>
              <w:rPr>
                <w:sz w:val="20"/>
                <w:szCs w:val="20"/>
                <w:color w:val="auto"/>
              </w:rPr>
            </w:pPr>
            <w:r>
              <w:rPr>
                <w:rFonts w:ascii="Arial" w:cs="Arial" w:eastAsia="Arial" w:hAnsi="Arial"/>
                <w:sz w:val="14"/>
                <w:szCs w:val="14"/>
                <w:color w:val="auto"/>
              </w:rPr>
              <w:t>average net assets</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9.10%</w:t>
            </w:r>
          </w:p>
        </w:tc>
        <w:tc>
          <w:tcPr>
            <w:tcW w:w="8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200" w:type="dxa"/>
            <w:vAlign w:val="bottom"/>
            <w:gridSpan w:val="4"/>
          </w:tcPr>
          <w:p>
            <w:pPr>
              <w:ind w:left="20"/>
              <w:spacing w:after="0" w:line="140" w:lineRule="exact"/>
              <w:rPr>
                <w:sz w:val="20"/>
                <w:szCs w:val="20"/>
                <w:color w:val="auto"/>
              </w:rPr>
            </w:pPr>
            <w:r>
              <w:rPr>
                <w:rFonts w:ascii="Arial" w:cs="Arial" w:eastAsia="Arial" w:hAnsi="Arial"/>
                <w:sz w:val="14"/>
                <w:szCs w:val="14"/>
                <w:color w:val="auto"/>
              </w:rPr>
              <w:t>Ratio of net income tax provisions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gridSpan w:val="3"/>
          </w:tcPr>
          <w:p>
            <w:pPr>
              <w:ind w:left="180"/>
              <w:spacing w:after="0" w:line="198" w:lineRule="exact"/>
              <w:rPr>
                <w:sz w:val="20"/>
                <w:szCs w:val="20"/>
                <w:color w:val="auto"/>
              </w:rPr>
            </w:pPr>
            <w:r>
              <w:rPr>
                <w:rFonts w:ascii="Arial" w:cs="Arial" w:eastAsia="Arial" w:hAnsi="Arial"/>
                <w:sz w:val="14"/>
                <w:szCs w:val="14"/>
                <w:color w:val="auto"/>
              </w:rPr>
              <w:t>to average net assets</w:t>
            </w:r>
            <w:r>
              <w:rPr>
                <w:rFonts w:ascii="Arial" w:cs="Arial" w:eastAsia="Arial" w:hAnsi="Arial"/>
                <w:sz w:val="22"/>
                <w:szCs w:val="22"/>
                <w:color w:val="auto"/>
                <w:vertAlign w:val="superscript"/>
              </w:rPr>
              <w:t>(4)</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200" w:type="dxa"/>
            <w:vAlign w:val="bottom"/>
            <w:gridSpan w:val="4"/>
            <w:shd w:val="clear" w:color="auto" w:fill="CCEEFF"/>
          </w:tcPr>
          <w:p>
            <w:pPr>
              <w:ind w:left="20"/>
              <w:spacing w:after="0" w:line="133" w:lineRule="exact"/>
              <w:rPr>
                <w:sz w:val="20"/>
                <w:szCs w:val="20"/>
                <w:color w:val="auto"/>
              </w:rPr>
            </w:pPr>
            <w:r>
              <w:rPr>
                <w:rFonts w:ascii="Arial" w:cs="Arial" w:eastAsia="Arial" w:hAnsi="Arial"/>
                <w:sz w:val="14"/>
                <w:szCs w:val="14"/>
                <w:color w:val="auto"/>
              </w:rPr>
              <w:t>Ratio of net operating expenses to</w:t>
            </w: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ind w:left="180"/>
              <w:spacing w:after="0" w:line="198" w:lineRule="exact"/>
              <w:rPr>
                <w:sz w:val="20"/>
                <w:szCs w:val="20"/>
                <w:color w:val="auto"/>
              </w:rPr>
            </w:pPr>
            <w:r>
              <w:rPr>
                <w:rFonts w:ascii="Arial" w:cs="Arial" w:eastAsia="Arial" w:hAnsi="Arial"/>
                <w:sz w:val="14"/>
                <w:szCs w:val="14"/>
                <w:color w:val="auto"/>
              </w:rPr>
              <w:t>average net assets</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7.22%</w:t>
            </w:r>
          </w:p>
        </w:tc>
        <w:tc>
          <w:tcPr>
            <w:tcW w:w="8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200" w:type="dxa"/>
            <w:vAlign w:val="bottom"/>
            <w:gridSpan w:val="4"/>
          </w:tcPr>
          <w:p>
            <w:pPr>
              <w:ind w:left="20"/>
              <w:spacing w:after="0" w:line="140" w:lineRule="exact"/>
              <w:rPr>
                <w:sz w:val="20"/>
                <w:szCs w:val="20"/>
                <w:color w:val="auto"/>
              </w:rPr>
            </w:pPr>
            <w:r>
              <w:rPr>
                <w:rFonts w:ascii="Arial" w:cs="Arial" w:eastAsia="Arial" w:hAnsi="Arial"/>
                <w:sz w:val="14"/>
                <w:szCs w:val="14"/>
                <w:color w:val="auto"/>
              </w:rPr>
              <w:t>Ratio of net investment loss to</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gridSpan w:val="3"/>
          </w:tcPr>
          <w:p>
            <w:pPr>
              <w:ind w:left="180"/>
              <w:spacing w:after="0" w:line="198" w:lineRule="exact"/>
              <w:rPr>
                <w:sz w:val="20"/>
                <w:szCs w:val="20"/>
                <w:color w:val="auto"/>
              </w:rPr>
            </w:pPr>
            <w:r>
              <w:rPr>
                <w:rFonts w:ascii="Arial" w:cs="Arial" w:eastAsia="Arial" w:hAnsi="Arial"/>
                <w:sz w:val="14"/>
                <w:szCs w:val="14"/>
                <w:color w:val="auto"/>
              </w:rPr>
              <w:t>average net assets</w:t>
            </w:r>
            <w:r>
              <w:rPr>
                <w:rFonts w:ascii="Arial" w:cs="Arial" w:eastAsia="Arial" w:hAnsi="Arial"/>
                <w:sz w:val="22"/>
                <w:szCs w:val="22"/>
                <w:color w:val="auto"/>
                <w:vertAlign w:val="superscript"/>
              </w:rPr>
              <w:t>(4)</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(16.41)%</w:t>
            </w:r>
          </w:p>
        </w:tc>
        <w:tc>
          <w:tcPr>
            <w:tcW w:w="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(3.98)%</w:t>
            </w:r>
          </w:p>
        </w:tc>
        <w:tc>
          <w:tcPr>
            <w:tcW w:w="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(4.64)%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Portfolio Turnover Ratio</w:t>
            </w: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8.30%</w:t>
            </w:r>
          </w:p>
        </w:tc>
        <w:tc>
          <w:tcPr>
            <w:tcW w:w="8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13.26%</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-2211705</wp:posOffset>
            </wp:positionV>
            <wp:extent cx="5213985" cy="1631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year.</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117" w:lineRule="exact"/>
        <w:rPr>
          <w:rFonts w:ascii="Arial" w:cs="Arial" w:eastAsia="Arial" w:hAnsi="Arial"/>
          <w:sz w:val="18"/>
          <w:szCs w:val="18"/>
          <w:color w:val="auto"/>
        </w:rPr>
      </w:pPr>
    </w:p>
    <w:p>
      <w:pPr>
        <w:ind w:left="300" w:right="739" w:hanging="272"/>
        <w:spacing w:after="0" w:line="259" w:lineRule="auto"/>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year. The closing market price per share adjusted for dividends on December 31, 2015 is $6.61. Total return based on net asset value is based upon the change in net asset value per share between the opening and ending net asset values per share.</w:t>
      </w:r>
    </w:p>
    <w:p>
      <w:pPr>
        <w:spacing w:after="0" w:line="200" w:lineRule="exact"/>
        <w:rPr>
          <w:sz w:val="20"/>
          <w:szCs w:val="20"/>
          <w:color w:val="auto"/>
        </w:rPr>
      </w:pPr>
    </w:p>
    <w:p>
      <w:pPr>
        <w:spacing w:after="0" w:line="3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121" w:lineRule="exact"/>
        <w:rPr>
          <w:sz w:val="20"/>
          <w:szCs w:val="20"/>
          <w:color w:val="auto"/>
        </w:rPr>
      </w:pPr>
    </w:p>
    <w:p>
      <w:pPr>
        <w:ind w:left="280" w:right="679" w:hanging="272"/>
        <w:spacing w:after="0" w:line="290" w:lineRule="auto"/>
        <w:tabs>
          <w:tab w:leader="none" w:pos="2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Financial Highlights for periods of less than one year are annualized and the ratios of operating expenses to average net assets and net investment loss to average net assets are adjusted accordingly. Non-recurring expenses are not annualized. For each of the years ended December 31, 2015, 2014, and 2013, respectively the Company did not incur any non-recurring expenses. For the year-end December 31, 2012, and for the period from January 6, 2011 (date of inception) to December 31, 2011, the Company incurred $0, and $198,831 of organizational expenses, respectively, which were deemed to be non-recurring. For the period from January 6, 2011 (date of inception) to December 31, 2011, average net assets were calculated starting from the issuance of 100 shares on February 28, 2011. Because the ratios are calculated for the Company’s common stock taken as a whole, an individual investor’s ratios may vary from these ratios.</w:t>
      </w:r>
    </w:p>
    <w:p>
      <w:pPr>
        <w:spacing w:after="0" w:line="58" w:lineRule="exact"/>
        <w:rPr>
          <w:rFonts w:ascii="Arial" w:cs="Arial" w:eastAsia="Arial" w:hAnsi="Arial"/>
          <w:sz w:val="16"/>
          <w:szCs w:val="16"/>
          <w:color w:val="auto"/>
        </w:rPr>
      </w:pPr>
    </w:p>
    <w:p>
      <w:pPr>
        <w:ind w:left="280" w:right="639" w:hanging="272"/>
        <w:spacing w:after="0" w:line="277"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Issuance of common shares for the year ended December 31, 2012 is based on the change in net asset value from the secondary offerings on February 10, 2012 and May 11, 2012.</w:t>
      </w:r>
    </w:p>
    <w:p>
      <w:pPr>
        <w:spacing w:after="0" w:line="62" w:lineRule="exact"/>
        <w:rPr>
          <w:rFonts w:ascii="Arial" w:cs="Arial" w:eastAsia="Arial" w:hAnsi="Arial"/>
          <w:sz w:val="18"/>
          <w:szCs w:val="18"/>
          <w:color w:val="auto"/>
        </w:rPr>
      </w:pPr>
    </w:p>
    <w:p>
      <w:pPr>
        <w:ind w:left="280" w:right="1099" w:hanging="272"/>
        <w:spacing w:after="0" w:line="277"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Issuance of common shares for the period from January 6, 2011 (date of inception) to December 31, 2011 is based on the weighted average offering price for the shares issued during the period.</w:t>
      </w:r>
    </w:p>
    <w:p>
      <w:pPr>
        <w:spacing w:after="0" w:line="62" w:lineRule="exact"/>
        <w:rPr>
          <w:rFonts w:ascii="Arial" w:cs="Arial" w:eastAsia="Arial" w:hAnsi="Arial"/>
          <w:sz w:val="18"/>
          <w:szCs w:val="18"/>
          <w:color w:val="auto"/>
        </w:rPr>
      </w:pPr>
    </w:p>
    <w:p>
      <w:pPr>
        <w:ind w:left="280" w:right="559" w:hanging="272"/>
        <w:spacing w:after="0" w:line="264"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73" w:lineRule="exact"/>
        <w:rPr>
          <w:rFonts w:ascii="Arial" w:cs="Arial" w:eastAsia="Arial" w:hAnsi="Arial"/>
          <w:sz w:val="18"/>
          <w:szCs w:val="18"/>
          <w:color w:val="auto"/>
        </w:rPr>
      </w:pPr>
    </w:p>
    <w:p>
      <w:pPr>
        <w:ind w:left="280" w:right="619" w:hanging="272"/>
        <w:spacing w:after="0" w:line="293" w:lineRule="auto"/>
        <w:tabs>
          <w:tab w:leader="none" w:pos="2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56" w:lineRule="exact"/>
        <w:rPr>
          <w:rFonts w:ascii="Arial" w:cs="Arial" w:eastAsia="Arial" w:hAnsi="Arial"/>
          <w:sz w:val="16"/>
          <w:szCs w:val="16"/>
          <w:color w:val="auto"/>
        </w:rPr>
      </w:pPr>
    </w:p>
    <w:p>
      <w:pPr>
        <w:ind w:left="280" w:right="619" w:hanging="272"/>
        <w:spacing w:after="0" w:line="259"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ind w:left="40" w:right="579" w:firstLine="270"/>
        <w:spacing w:after="0" w:line="293" w:lineRule="auto"/>
        <w:rPr>
          <w:sz w:val="20"/>
          <w:szCs w:val="20"/>
          <w:color w:val="auto"/>
        </w:rPr>
      </w:pPr>
      <w:r>
        <w:rPr>
          <w:rFonts w:ascii="Arial" w:cs="Arial" w:eastAsia="Arial" w:hAnsi="Arial"/>
          <w:sz w:val="16"/>
          <w:szCs w:val="16"/>
          <w:color w:val="auto"/>
        </w:rPr>
        <w:t>The Company has elected to be treated as a RIC for U.S. federal income tax purposes for the 2014 taxable year and qualified to be treated as a RIC for the 2015 taxable year. Accordingly, the Company must generally distribute at least 90% of its ICTI to qualify for the treatment accorded to a RIC and to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w:t>
      </w:r>
    </w:p>
    <w:p>
      <w:pPr>
        <w:spacing w:after="0" w:line="57"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As a result of the Company electing to be treated as a RIC in September 2015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w:t>
      </w:r>
      <w:r>
        <w:rPr>
          <w:rFonts w:ascii="Arial" w:cs="Arial" w:eastAsia="Arial" w:hAnsi="Arial"/>
          <w:sz w:val="18"/>
          <w:szCs w:val="18"/>
          <w:i w:val="1"/>
          <w:iCs w:val="1"/>
          <w:color w:val="auto"/>
        </w:rPr>
        <w:t>i.e.</w:t>
      </w:r>
      <w:r>
        <w:rPr>
          <w:rFonts w:ascii="Arial" w:cs="Arial" w:eastAsia="Arial" w:hAnsi="Arial"/>
          <w:sz w:val="18"/>
          <w:szCs w:val="18"/>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85"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5-year period, the actual amount of net built-in gain or loss present in those assets as of the date of conversion, and</w:t>
      </w: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 – (continued)</w:t>
      </w:r>
    </w:p>
    <w:p>
      <w:pPr>
        <w:spacing w:after="0" w:line="121" w:lineRule="exact"/>
        <w:rPr>
          <w:sz w:val="20"/>
          <w:szCs w:val="20"/>
          <w:color w:val="auto"/>
        </w:rPr>
      </w:pPr>
    </w:p>
    <w:p>
      <w:pPr>
        <w:ind w:left="40" w:right="659"/>
        <w:spacing w:after="0" w:line="279" w:lineRule="auto"/>
        <w:rPr>
          <w:sz w:val="20"/>
          <w:szCs w:val="20"/>
          <w:color w:val="auto"/>
        </w:rPr>
      </w:pPr>
      <w:r>
        <w:rPr>
          <w:rFonts w:ascii="Arial" w:cs="Arial" w:eastAsia="Arial" w:hAnsi="Arial"/>
          <w:sz w:val="17"/>
          <w:szCs w:val="17"/>
          <w:color w:val="auto"/>
        </w:rPr>
        <w:t>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w:t>
      </w:r>
    </w:p>
    <w:p>
      <w:pPr>
        <w:spacing w:after="0" w:line="63"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As of January 1, 2014, the Company had net unrealized built-in gains. It did not incur a built-in-gains tax for the 2014 tax year due to the fact that there are sufficient net capital loss carryforwards to completely offset recognized built-in gains as well as available net operating losses. The Company has recorded a $12.5 million deferred tax liability as of December 31, 2015, of which approximately $10.2 million has been recorded in the event such gains are recognized by December 31, 2019.</w:t>
      </w:r>
    </w:p>
    <w:p>
      <w:pPr>
        <w:spacing w:after="0" w:line="46"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 The Company has recorded a $2.3 million deferred tax liability as of December 31, 2015 which relates to the difference in the book and tax basis of certain equity investments and tax net operating losses held by the GSVC Holdings.</w:t>
      </w:r>
    </w:p>
    <w:p>
      <w:pPr>
        <w:spacing w:after="0" w:line="58" w:lineRule="exact"/>
        <w:rPr>
          <w:sz w:val="20"/>
          <w:szCs w:val="20"/>
          <w:color w:val="auto"/>
        </w:rPr>
      </w:pPr>
    </w:p>
    <w:p>
      <w:pPr>
        <w:jc w:val="both"/>
        <w:ind w:left="40" w:right="719" w:firstLine="270"/>
        <w:spacing w:after="0" w:line="264" w:lineRule="auto"/>
        <w:rPr>
          <w:sz w:val="20"/>
          <w:szCs w:val="20"/>
          <w:color w:val="auto"/>
        </w:rPr>
      </w:pPr>
      <w:r>
        <w:rPr>
          <w:rFonts w:ascii="Arial" w:cs="Arial" w:eastAsia="Arial" w:hAnsi="Arial"/>
          <w:sz w:val="18"/>
          <w:szCs w:val="18"/>
          <w:color w:val="auto"/>
        </w:rPr>
        <w:t>For the year ended December 31, 2015, the Company and the GSVC Holdings recorded a current income tax expense of $0.9 million. Of this amount, $0.9 million was income tax paid by the Company on undistributed long-term capital gains for the 2014 tax year as a result of the decision to elect to be a RIC in 2015.</w:t>
      </w:r>
    </w:p>
    <w:p>
      <w:pPr>
        <w:spacing w:after="0" w:line="73"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63"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The Company and the GSVC Holdings identified their major tax jurisdictions as U.S. federal and California and may be subject to the taxing authorities’ examination for the tax years 2012 – 2015 and 2011 – 2015, respectively.</w:t>
      </w:r>
    </w:p>
    <w:p>
      <w:pPr>
        <w:spacing w:after="0" w:line="62"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The Company and the GSVC Holdings accrue all interest and penalties related to uncertain tax positions as incurred. As of December 31, 2015, there were no interest or penalties incurred related to uncertain tax positions.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On September 17, 2013, the Company issued $69 million aggregate principal amount of the Convertible Senior Notes (including $9 million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mature on September 15, 2018, unless previously repurchased or converted in accordance with their terms. The Company does not have the right to redeem the Convertible Senior Notes prior to maturity. The Convertible Senior Notes were convertible</w:t>
      </w: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5" w:name="page116"/>
    <w:bookmarkEnd w:id="11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ind w:left="60" w:right="579"/>
        <w:spacing w:after="0" w:line="255" w:lineRule="auto"/>
        <w:rPr>
          <w:sz w:val="20"/>
          <w:szCs w:val="20"/>
          <w:color w:val="auto"/>
        </w:rPr>
      </w:pPr>
      <w:r>
        <w:rPr>
          <w:rFonts w:ascii="Arial" w:cs="Arial" w:eastAsia="Arial" w:hAnsi="Arial"/>
          <w:sz w:val="18"/>
          <w:szCs w:val="18"/>
          <w:color w:val="auto"/>
        </w:rPr>
        <w:t>into shares of the Company’s common stock based on an initial conversion rate of 61.5091 shares of the Company’s common stock per $1,000 of principal amount of the Convertible Senior Notes, which was equivalent to an initial conversion price of approximately $16.26 per share of common stock. As a result of the Company’s dividend paid on December 31, 2015 to stockholders of record on November 16, 2015, the conversion rate was increased to 82.7567 shares of common stock per $1,000 principal amount of the Convertible Senior Notes, which is equivalent to a conversion price of approximately $12.08 per share of common stock.</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terms of the offering required the Company to place a portion of the proceeds of the offering ($10,867,500) in an escrow</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 (the “Interest Escrow”) with U.S. Bank National Association (the “Trustee”) under the indenture pursuant to which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notes were issued. Funds in the Interest Escrow were used to purchase six U.S. Treasury Strips (“Government Securities”) with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original cost of $10,845,236. The Government Securities have been, and will continue to be used to make the first six scheduled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payments on the notes, unless the Company elects to make the interest payments from the Company’s available funds.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payments on the Convertible Senior Notes are secured by a pledge of the Company’s interest in the Interest Escrow. At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2015, the remaining Government Securities are shown on the consolidated Schedule of Investments and have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amortized cost of $3,675,192. In addition to the Government Securities, at December 31, 2015, the Interest Escrow contained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$27,931 of excess funds from the offering that will be used to secure the payment of the notes and is included as “Restricted Cash”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the consolidated statements of Assets and Liabilities. “Restricted Cash” also includes a $25,000 deposit for the Company’s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fidelity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000" w:type="dxa"/>
            <w:vAlign w:val="bottom"/>
          </w:tcPr>
          <w:p>
            <w:pPr>
              <w:spacing w:after="0"/>
              <w:rPr>
                <w:sz w:val="14"/>
                <w:szCs w:val="14"/>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Principal Amount of Convertible Senior Notes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$69,000,000</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$69,000,000</w:t>
            </w: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Less Amortization of Embedded Derivative Discount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(403,381)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(537,647)</w:t>
            </w:r>
          </w:p>
        </w:tc>
      </w:tr>
      <w:tr>
        <w:trPr>
          <w:trHeight w:val="20"/>
        </w:trPr>
        <w:tc>
          <w:tcPr>
            <w:tcW w:w="6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Senior Notes payable 5.25% due September 15,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68,596,619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68,462,353</w:t>
            </w:r>
          </w:p>
        </w:tc>
      </w:tr>
      <w:tr>
        <w:trPr>
          <w:trHeight w:val="20"/>
        </w:trPr>
        <w:tc>
          <w:tcPr>
            <w:tcW w:w="6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799" w:firstLine="270"/>
        <w:spacing w:after="0" w:line="277" w:lineRule="auto"/>
        <w:rPr>
          <w:sz w:val="20"/>
          <w:szCs w:val="20"/>
          <w:color w:val="auto"/>
        </w:rPr>
      </w:pPr>
      <w:r>
        <w:rPr>
          <w:rFonts w:ascii="Arial" w:cs="Arial" w:eastAsia="Arial" w:hAnsi="Arial"/>
          <w:sz w:val="18"/>
          <w:szCs w:val="18"/>
          <w:color w:val="auto"/>
        </w:rPr>
        <w:t>As of December 31, 2015,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ind w:left="60" w:right="539" w:firstLine="270"/>
        <w:spacing w:after="0" w:line="297" w:lineRule="auto"/>
        <w:rPr>
          <w:sz w:val="20"/>
          <w:szCs w:val="20"/>
          <w:color w:val="auto"/>
        </w:rPr>
      </w:pPr>
      <w:r>
        <w:rPr>
          <w:rFonts w:ascii="Arial" w:cs="Arial" w:eastAsia="Arial" w:hAnsi="Arial"/>
          <w:sz w:val="16"/>
          <w:szCs w:val="16"/>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the Company’s subsidiaries.</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ind w:left="60" w:right="61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the Company’s common stock calculated at the applicable conversion rate for the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 The estimated fair value of the embedded derivative as of December 31, 2015 is $0 as shown on the consolidated Statement of Assets and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an $18 million Credit Facility. Under the Credit Facility, the Company is permitted to borrow an amount equal to the lesser of $18 million or 20% of the Company’s then-current net asset value.</w:t>
      </w:r>
    </w:p>
    <w:p>
      <w:pPr>
        <w:spacing w:after="0" w:line="73"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The Credit Facility, matures on December 31, 2016, and bears interest at a per annum rate equal to the greater of (i) the prime rate plus 4.75% and (ii) 8.0% on amounts drawn under the facility based on a 360-day year. In addition, a fee of $180,000 per annum (1.0% of the $18 million revolving line of credit) is charged under the Loan Agreement. Under the terms of the Credit Facility, the Company must repay all outstanding borrowings so that there is at least one 30-day period every twelve months during which the Company has no balance outstanding. Under the Loan Agreement, the Company has made certain customary representations and warranties and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70" w:lineRule="exact"/>
        <w:rPr>
          <w:sz w:val="20"/>
          <w:szCs w:val="20"/>
          <w:color w:val="auto"/>
        </w:rPr>
      </w:pPr>
    </w:p>
    <w:p>
      <w:pPr>
        <w:ind w:left="40" w:right="719" w:firstLine="270"/>
        <w:spacing w:after="0" w:line="297" w:lineRule="auto"/>
        <w:rPr>
          <w:sz w:val="20"/>
          <w:szCs w:val="20"/>
          <w:color w:val="auto"/>
        </w:rPr>
      </w:pPr>
      <w:r>
        <w:rPr>
          <w:rFonts w:ascii="Arial" w:cs="Arial" w:eastAsia="Arial" w:hAnsi="Arial"/>
          <w:sz w:val="16"/>
          <w:szCs w:val="16"/>
          <w:color w:val="auto"/>
        </w:rPr>
        <w:t>The Credit Facility is secured by all of the Company’s property and assets, except for the Company’s assets pledged to secure certain obligations in connection with the Company’s issuance of the Convertible Senior Notes and, as provided for in the Loan Agreement, as may be pledged in connection with any future issuance by the Company of Convertible Senior Notes on substantially similar terms. As of December 31, 2015, the Company had no borrowings under the Credit Facility. For the year ended December 31, 2015, the Company had average borrowings outstanding of $3,712,329 under the Credit Facility.</w:t>
      </w:r>
    </w:p>
    <w:p>
      <w:pPr>
        <w:spacing w:after="0" w:line="50"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Borrowing under the Credit Facility is subject to the leverage restrictions contained in the 1940 Act. In addition, under the Loan Agreement, and as provided for therein, the Company has agreed not to incur certain additional permitted indebtedness in an aggregate amount exceeding 50% of the Company’s then-applicable net asset value.</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7" w:name="page118"/>
    <w:bookmarkEnd w:id="11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ind w:left="60" w:right="1139" w:firstLine="270"/>
        <w:spacing w:after="0" w:line="279" w:lineRule="auto"/>
        <w:rPr>
          <w:sz w:val="20"/>
          <w:szCs w:val="20"/>
          <w:color w:val="auto"/>
        </w:rPr>
      </w:pPr>
      <w:r>
        <w:rPr>
          <w:rFonts w:ascii="Arial" w:cs="Arial" w:eastAsia="Arial" w:hAnsi="Arial"/>
          <w:sz w:val="17"/>
          <w:szCs w:val="17"/>
          <w:color w:val="auto"/>
        </w:rPr>
        <w:t>From December 31, 2015 through March 15, 2016, the Company closed on investment purchases of $6,000,004 plus transaction costs as shown in following table. “Total Gross Payments” include the cost of entering into a portfolio company investment. Refer to “Note 1 — Nature of Operations and Significant Accounting Policies” to the Company’s consolidated financial statements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Transaction Date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Curious.com Inc.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1/14/16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2,000,003</w:t>
            </w: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Arial" w:cs="Arial" w:eastAsia="Arial" w:hAnsi="Arial"/>
                <w:sz w:val="18"/>
                <w:szCs w:val="18"/>
                <w:color w:val="auto"/>
              </w:rPr>
              <w:t>Preferred Shares</w:t>
            </w: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NestGSV, Inc. (d/b/a GSV Labs, Inc.)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Incubator</w:t>
            </w:r>
          </w:p>
        </w:tc>
        <w:tc>
          <w:tcPr>
            <w:tcW w:w="1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2/17/16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Arial" w:cs="Arial" w:eastAsia="Arial" w:hAnsi="Arial"/>
                <w:sz w:val="18"/>
                <w:szCs w:val="18"/>
                <w:color w:val="auto"/>
              </w:rPr>
              <w:t>Debt Investment</w:t>
            </w: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Lytro, Inc.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Light Field Imaging Platform</w:t>
            </w:r>
          </w:p>
        </w:tc>
        <w:tc>
          <w:tcPr>
            <w:tcW w:w="1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2,500,001</w:t>
            </w: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Preferred Shares</w:t>
            </w:r>
          </w:p>
        </w:tc>
        <w:tc>
          <w:tcPr>
            <w:tcW w:w="1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Business Education</w:t>
            </w:r>
          </w:p>
        </w:tc>
        <w:tc>
          <w:tcPr>
            <w:tcW w:w="1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3/14/16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1,000,000</w:t>
            </w:r>
          </w:p>
        </w:tc>
        <w:tc>
          <w:tcPr>
            <w:tcW w:w="0" w:type="dxa"/>
            <w:vAlign w:val="bottom"/>
          </w:tcPr>
          <w:p>
            <w:pPr>
              <w:spacing w:after="0"/>
              <w:rPr>
                <w:sz w:val="1"/>
                <w:szCs w:val="1"/>
                <w:color w:val="auto"/>
              </w:rPr>
            </w:pPr>
          </w:p>
        </w:tc>
      </w:tr>
      <w:tr>
        <w:trPr>
          <w:trHeight w:val="216"/>
        </w:trPr>
        <w:tc>
          <w:tcPr>
            <w:tcW w:w="3260" w:type="dxa"/>
            <w:vAlign w:val="bottom"/>
          </w:tcPr>
          <w:p>
            <w:pPr>
              <w:ind w:left="200"/>
              <w:spacing w:after="0"/>
              <w:rPr>
                <w:sz w:val="20"/>
                <w:szCs w:val="20"/>
                <w:color w:val="auto"/>
              </w:rPr>
            </w:pPr>
            <w:r>
              <w:rPr>
                <w:rFonts w:ascii="Arial" w:cs="Arial" w:eastAsia="Arial" w:hAnsi="Arial"/>
                <w:sz w:val="18"/>
                <w:szCs w:val="18"/>
                <w:color w:val="auto"/>
              </w:rPr>
              <w:t>Convertible Promissory Note</w:t>
            </w: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6,000,004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From December 31, 2015 through March 15, 2016, the Company sold investments of $4,612,363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60" w:type="dxa"/>
            <w:vAlign w:val="bottom"/>
          </w:tcPr>
          <w:p>
            <w:pPr>
              <w:spacing w:after="0"/>
              <w:rPr>
                <w:sz w:val="16"/>
                <w:szCs w:val="16"/>
                <w:color w:val="auto"/>
              </w:rPr>
            </w:pPr>
          </w:p>
        </w:tc>
        <w:tc>
          <w:tcPr>
            <w:tcW w:w="11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5"/>
              </w:rPr>
              <w:t>Transaction Date</w:t>
            </w:r>
          </w:p>
        </w:tc>
        <w:tc>
          <w:tcPr>
            <w:tcW w:w="18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Shares Sold</w:t>
            </w:r>
          </w:p>
        </w:tc>
        <w:tc>
          <w:tcPr>
            <w:tcW w:w="1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Average Net Share</w:t>
            </w:r>
          </w:p>
        </w:tc>
        <w:tc>
          <w:tcPr>
            <w:tcW w:w="160" w:type="dxa"/>
            <w:vAlign w:val="bottom"/>
          </w:tcPr>
          <w:p>
            <w:pPr>
              <w:spacing w:after="0"/>
              <w:rPr>
                <w:sz w:val="16"/>
                <w:szCs w:val="16"/>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Net Proceeds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34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9"/>
              <w:spacing w:after="0" w:line="176" w:lineRule="exact"/>
              <w:rPr>
                <w:sz w:val="20"/>
                <w:szCs w:val="20"/>
                <w:color w:val="auto"/>
              </w:rPr>
            </w:pPr>
            <w:r>
              <w:rPr>
                <w:rFonts w:ascii="Arial" w:cs="Arial" w:eastAsia="Arial" w:hAnsi="Arial"/>
                <w:sz w:val="13"/>
                <w:szCs w:val="13"/>
                <w:b w:val="1"/>
                <w:bCs w:val="1"/>
                <w:color w:val="auto"/>
              </w:rPr>
              <w:t>Price</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210"/>
        </w:trPr>
        <w:tc>
          <w:tcPr>
            <w:tcW w:w="2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1/27/16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65,557</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25.00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$ 1,638,925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974,224</w:t>
            </w: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Arial" w:cs="Arial" w:eastAsia="Arial" w:hAnsi="Arial"/>
                <w:sz w:val="18"/>
                <w:szCs w:val="18"/>
                <w:color w:val="auto"/>
              </w:rPr>
              <w:t>Bloom Energy Corporation</w:t>
            </w:r>
          </w:p>
        </w:tc>
        <w:tc>
          <w:tcPr>
            <w:tcW w:w="1320" w:type="dxa"/>
            <w:vAlign w:val="bottom"/>
            <w:gridSpan w:val="2"/>
          </w:tcPr>
          <w:p>
            <w:pPr>
              <w:jc w:val="right"/>
              <w:ind w:right="288"/>
              <w:spacing w:after="0"/>
              <w:rPr>
                <w:sz w:val="20"/>
                <w:szCs w:val="20"/>
                <w:color w:val="auto"/>
              </w:rPr>
            </w:pPr>
            <w:r>
              <w:rPr>
                <w:rFonts w:ascii="Arial" w:cs="Arial" w:eastAsia="Arial" w:hAnsi="Arial"/>
                <w:sz w:val="18"/>
                <w:szCs w:val="18"/>
                <w:color w:val="auto"/>
              </w:rPr>
              <w:t>3/4/16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201,589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14.75</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2,973,438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(882,163)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$ 4,612,363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92,061</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ind w:left="60" w:right="57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several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December 31, 2015 through March 15, 2016, the Company made no such escrow deposits.</w:t>
      </w:r>
    </w:p>
    <w:p>
      <w:pPr>
        <w:spacing w:after="0" w:line="200" w:lineRule="exact"/>
        <w:rPr>
          <w:sz w:val="20"/>
          <w:szCs w:val="20"/>
          <w:color w:val="auto"/>
        </w:rPr>
      </w:pPr>
    </w:p>
    <w:p>
      <w:pPr>
        <w:spacing w:after="0" w:line="3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8" w:name="page119"/>
    <w:bookmarkEnd w:id="11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11 — 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482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6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Quarter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8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59,024</w:t>
            </w:r>
          </w:p>
        </w:tc>
        <w:tc>
          <w:tcPr>
            <w:tcW w:w="4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123,891</w:t>
            </w:r>
          </w:p>
        </w:tc>
        <w:tc>
          <w:tcPr>
            <w:tcW w:w="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39,363</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68,618</w:t>
            </w:r>
          </w:p>
        </w:tc>
        <w:tc>
          <w:tcPr>
            <w:tcW w:w="10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12,852,430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6,233,424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6,239,277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1,653,104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(Provision)/Benefit for Taxes on Net Investment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5,223,611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2,494,459</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(26,583,935)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(3,103,505)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(7,569,795)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(3,615,074)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(32,783,849)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(4,687,991)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Gain/(Loss) on Investments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13,218,403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13,636,614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27,289,816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(Provision)/Benefit for Taxes on Net Realized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Capital Gain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(5,397,074)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(5,567,830)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11,307,706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Change in Unrealized Appreciation/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on Investments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27,784,081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(5,744,399)</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(21,981,668)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(13,480,259)</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(Provision)/Benefit for Taxes on Unrealized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Appreciation/Depreciation of Investments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(11,370,993)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2,372,190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25,020,686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36,197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Net Increase/(Decrease) in Net Assets Resulting</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Operations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16,664,622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1,081,501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8,852,691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(18,132,657)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Operations per common share – basic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common share – diluted</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(0.94)</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19,320,100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6"/>
              </w:rPr>
              <w:t>19,320,100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19,320,100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19,351,197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23,564,228</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19,320,100</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23,564,228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19,351,197</w:t>
            </w:r>
          </w:p>
        </w:tc>
        <w:tc>
          <w:tcPr>
            <w:tcW w:w="10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Quarter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Quarter Ended</w:t>
            </w:r>
          </w:p>
        </w:tc>
        <w:tc>
          <w:tcPr>
            <w:tcW w:w="60" w:type="dxa"/>
            <w:vAlign w:val="bottom"/>
          </w:tcPr>
          <w:p>
            <w:pPr>
              <w:spacing w:after="0"/>
              <w:rPr>
                <w:sz w:val="24"/>
                <w:szCs w:val="2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Quarter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8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40,815</w:t>
            </w:r>
          </w:p>
        </w:tc>
        <w:tc>
          <w:tcPr>
            <w:tcW w:w="4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97,033</w:t>
            </w:r>
          </w:p>
        </w:tc>
        <w:tc>
          <w:tcPr>
            <w:tcW w:w="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21,971</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26,127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(2,794,814)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9"/>
              </w:rPr>
              <w:t>(3,419,149)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(4,881,287)</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(1,684,641)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Gains/(Losses)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4,858,066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4"/>
              </w:rPr>
              <w:t>4,223,159</w:t>
            </w:r>
          </w:p>
        </w:tc>
        <w:tc>
          <w:tcPr>
            <w:tcW w:w="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18,421,499</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(9,388,397)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79,704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(920,306)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6,018,713</w:t>
            </w:r>
          </w:p>
        </w:tc>
        <w:tc>
          <w:tcPr>
            <w:tcW w:w="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(7,240,882)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Loss per common share – basic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w w:val="97"/>
              </w:rPr>
              <w:t>Net Investment Loss per common share – diluted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Net Realized and Unrealized Gains/(Losses) per</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 – basic</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w w:val="98"/>
              </w:rPr>
              <w:t>Net Realized and Unrealized Gains/(Losses) per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common share – diluted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common share – basic</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Operations per common share – diluted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19,320,100</w:t>
            </w:r>
          </w:p>
        </w:tc>
        <w:tc>
          <w:tcPr>
            <w:tcW w:w="4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3"/>
              <w:spacing w:after="0"/>
              <w:rPr>
                <w:sz w:val="20"/>
                <w:szCs w:val="20"/>
                <w:color w:val="auto"/>
              </w:rPr>
            </w:pPr>
            <w:r>
              <w:rPr>
                <w:rFonts w:ascii="Arial" w:cs="Arial" w:eastAsia="Arial" w:hAnsi="Arial"/>
                <w:sz w:val="18"/>
                <w:szCs w:val="18"/>
                <w:color w:val="auto"/>
              </w:rPr>
              <w:t>19,320,100</w:t>
            </w:r>
          </w:p>
        </w:tc>
        <w:tc>
          <w:tcPr>
            <w:tcW w:w="2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19,320,100</w:t>
            </w: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9"/>
              </w:rPr>
              <w:t>19,320,100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860" w:type="dxa"/>
            <w:vAlign w:val="bottom"/>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60" w:type="dxa"/>
            <w:vAlign w:val="bottom"/>
          </w:tcPr>
          <w:p>
            <w:pPr>
              <w:ind w:left="24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19,320,100</w:t>
            </w:r>
          </w:p>
        </w:tc>
        <w:tc>
          <w:tcPr>
            <w:tcW w:w="40" w:type="dxa"/>
            <w:vAlign w:val="bottom"/>
          </w:tcPr>
          <w:p>
            <w:pPr>
              <w:spacing w:after="0"/>
              <w:rPr>
                <w:sz w:val="20"/>
                <w:szCs w:val="20"/>
                <w:color w:val="auto"/>
              </w:rPr>
            </w:pPr>
          </w:p>
        </w:tc>
        <w:tc>
          <w:tcPr>
            <w:tcW w:w="1040" w:type="dxa"/>
            <w:vAlign w:val="bottom"/>
            <w:gridSpan w:val="4"/>
          </w:tcPr>
          <w:p>
            <w:pPr>
              <w:jc w:val="right"/>
              <w:ind w:right="13"/>
              <w:spacing w:after="0"/>
              <w:rPr>
                <w:sz w:val="20"/>
                <w:szCs w:val="20"/>
                <w:color w:val="auto"/>
              </w:rPr>
            </w:pPr>
            <w:r>
              <w:rPr>
                <w:rFonts w:ascii="Arial" w:cs="Arial" w:eastAsia="Arial" w:hAnsi="Arial"/>
                <w:sz w:val="18"/>
                <w:szCs w:val="18"/>
                <w:color w:val="auto"/>
              </w:rPr>
              <w:t>19,320,100</w:t>
            </w:r>
          </w:p>
        </w:tc>
        <w:tc>
          <w:tcPr>
            <w:tcW w:w="20" w:type="dxa"/>
            <w:vAlign w:val="bottom"/>
          </w:tcPr>
          <w:p>
            <w:pPr>
              <w:spacing w:after="0"/>
              <w:rPr>
                <w:sz w:val="20"/>
                <w:szCs w:val="20"/>
                <w:color w:val="auto"/>
              </w:rPr>
            </w:pPr>
          </w:p>
        </w:tc>
        <w:tc>
          <w:tcPr>
            <w:tcW w:w="1060" w:type="dxa"/>
            <w:vAlign w:val="bottom"/>
            <w:gridSpan w:val="4"/>
          </w:tcPr>
          <w:p>
            <w:pPr>
              <w:jc w:val="right"/>
              <w:ind w:right="12"/>
              <w:spacing w:after="0"/>
              <w:rPr>
                <w:sz w:val="20"/>
                <w:szCs w:val="20"/>
                <w:color w:val="auto"/>
              </w:rPr>
            </w:pPr>
            <w:r>
              <w:rPr>
                <w:rFonts w:ascii="Arial" w:cs="Arial" w:eastAsia="Arial" w:hAnsi="Arial"/>
                <w:sz w:val="18"/>
                <w:szCs w:val="18"/>
                <w:color w:val="auto"/>
              </w:rPr>
              <w:t>23,564,228</w:t>
            </w:r>
          </w:p>
        </w:tc>
        <w:tc>
          <w:tcPr>
            <w:tcW w:w="80" w:type="dxa"/>
            <w:vAlign w:val="bottom"/>
          </w:tcPr>
          <w:p>
            <w:pPr>
              <w:spacing w:after="0"/>
              <w:rPr>
                <w:sz w:val="20"/>
                <w:szCs w:val="20"/>
                <w:color w:val="auto"/>
              </w:rPr>
            </w:pPr>
          </w:p>
        </w:tc>
        <w:tc>
          <w:tcPr>
            <w:tcW w:w="1040" w:type="dxa"/>
            <w:vAlign w:val="bottom"/>
            <w:gridSpan w:val="3"/>
          </w:tcPr>
          <w:p>
            <w:pPr>
              <w:jc w:val="right"/>
              <w:ind w:right="32"/>
              <w:spacing w:after="0"/>
              <w:rPr>
                <w:sz w:val="20"/>
                <w:szCs w:val="20"/>
                <w:color w:val="auto"/>
              </w:rPr>
            </w:pPr>
            <w:r>
              <w:rPr>
                <w:rFonts w:ascii="Arial" w:cs="Arial" w:eastAsia="Arial" w:hAnsi="Arial"/>
                <w:sz w:val="18"/>
                <w:szCs w:val="18"/>
                <w:color w:val="auto"/>
                <w:w w:val="99"/>
              </w:rPr>
              <w:t>19,320,100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8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8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-3609975</wp:posOffset>
            </wp:positionV>
            <wp:extent cx="521398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19" w:name="page120"/>
    <w:bookmarkEnd w:id="119"/>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11 — SELECTED QUARTERLY FINANCIAL DATA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49"/>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8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26,049</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(2,567,725)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(2,386,911)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(3,013,789)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(907,231)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Gains/(Losses)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(4,923,530)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5,902,614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8,729,535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8"/>
              </w:rPr>
              <w:t>56,030,509</w:t>
            </w:r>
          </w:p>
        </w:tc>
        <w:tc>
          <w:tcPr>
            <w:tcW w:w="0" w:type="dxa"/>
            <w:vAlign w:val="bottom"/>
          </w:tcPr>
          <w:p>
            <w:pPr>
              <w:spacing w:after="0"/>
              <w:rPr>
                <w:sz w:val="1"/>
                <w:szCs w:val="1"/>
                <w:color w:val="auto"/>
              </w:rPr>
            </w:pPr>
          </w:p>
        </w:tc>
      </w:tr>
      <w:tr>
        <w:trPr>
          <w:trHeight w:val="202"/>
        </w:trPr>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(7,491,255)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3,515,703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5,715,746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88"/>
              </w:rPr>
              <w:t>33,643,449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Loss per common share – basic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w w:val="97"/>
              </w:rPr>
              <w:t>Net Investment Loss per common share – diluted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Net Realized and Unrealized Gains/(Losses) per</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 – basic</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2"/>
        </w:trPr>
        <w:tc>
          <w:tcPr>
            <w:tcW w:w="3860" w:type="dxa"/>
            <w:vAlign w:val="bottom"/>
          </w:tcPr>
          <w:p>
            <w:pPr>
              <w:ind w:left="20"/>
              <w:spacing w:after="0" w:line="201" w:lineRule="exact"/>
              <w:rPr>
                <w:sz w:val="20"/>
                <w:szCs w:val="20"/>
                <w:color w:val="auto"/>
              </w:rPr>
            </w:pPr>
            <w:r>
              <w:rPr>
                <w:rFonts w:ascii="Arial" w:cs="Arial" w:eastAsia="Arial" w:hAnsi="Arial"/>
                <w:sz w:val="18"/>
                <w:szCs w:val="18"/>
                <w:color w:val="auto"/>
                <w:w w:val="98"/>
              </w:rPr>
              <w:t>Net Realized and Unrealized Gains/(Losses) per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Arial" w:cs="Arial" w:eastAsia="Arial" w:hAnsi="Arial"/>
                <w:sz w:val="18"/>
                <w:szCs w:val="18"/>
                <w:color w:val="auto"/>
              </w:rPr>
              <w:t>common share – diluted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common share – basic</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Net Increase/(Decrease) in Net Assets from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0"/>
              <w:spacing w:after="0"/>
              <w:rPr>
                <w:sz w:val="20"/>
                <w:szCs w:val="20"/>
                <w:color w:val="auto"/>
              </w:rPr>
            </w:pPr>
            <w:r>
              <w:rPr>
                <w:rFonts w:ascii="Arial" w:cs="Arial" w:eastAsia="Arial" w:hAnsi="Arial"/>
                <w:sz w:val="18"/>
                <w:szCs w:val="18"/>
                <w:color w:val="auto"/>
              </w:rPr>
              <w:t>Operations per common share – diluted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8"/>
              </w:rPr>
              <w:t>19,320,100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8"/>
              </w:rPr>
              <w:t>19,320,100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8"/>
              </w:rPr>
              <w:t>19,320,100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8"/>
              </w:rPr>
              <w:t>19,320,100</w:t>
            </w:r>
          </w:p>
        </w:tc>
        <w:tc>
          <w:tcPr>
            <w:tcW w:w="0" w:type="dxa"/>
            <w:vAlign w:val="bottom"/>
          </w:tcPr>
          <w:p>
            <w:pPr>
              <w:spacing w:after="0"/>
              <w:rPr>
                <w:sz w:val="1"/>
                <w:szCs w:val="1"/>
                <w:color w:val="auto"/>
              </w:rPr>
            </w:pPr>
          </w:p>
        </w:tc>
      </w:tr>
      <w:tr>
        <w:trPr>
          <w:trHeight w:val="202"/>
        </w:trPr>
        <w:tc>
          <w:tcPr>
            <w:tcW w:w="3860" w:type="dxa"/>
            <w:vAlign w:val="bottom"/>
          </w:tcPr>
          <w:p>
            <w:pPr>
              <w:ind w:left="20"/>
              <w:spacing w:after="0" w:line="201" w:lineRule="exact"/>
              <w:rPr>
                <w:sz w:val="20"/>
                <w:szCs w:val="20"/>
                <w:color w:val="auto"/>
              </w:rPr>
            </w:pPr>
            <w:r>
              <w:rPr>
                <w:rFonts w:ascii="Arial" w:cs="Arial" w:eastAsia="Arial" w:hAnsi="Arial"/>
                <w:sz w:val="18"/>
                <w:szCs w:val="18"/>
                <w:color w:val="auto"/>
                <w:w w:val="94"/>
              </w:rPr>
              <w:t>Weighted Average Common Shares Outstanding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88"/>
              </w:rPr>
              <w:t>19,320,100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88"/>
              </w:rPr>
              <w:t>19,320,100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88"/>
              </w:rPr>
              <w:t>19,320,100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88"/>
              </w:rPr>
              <w:t>23,564,228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12 — SUPPLEMENTAL FINANCIAL DATA</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Summarized Financial Information of Unconsolidated Subsidiaries</w:t>
      </w:r>
    </w:p>
    <w:p>
      <w:pPr>
        <w:spacing w:after="0" w:line="117" w:lineRule="exact"/>
        <w:rPr>
          <w:sz w:val="20"/>
          <w:szCs w:val="20"/>
          <w:color w:val="auto"/>
        </w:rPr>
      </w:pPr>
    </w:p>
    <w:p>
      <w:pPr>
        <w:ind w:left="180" w:right="539" w:firstLine="270"/>
        <w:spacing w:after="0" w:line="297" w:lineRule="auto"/>
        <w:rPr>
          <w:sz w:val="20"/>
          <w:szCs w:val="20"/>
          <w:color w:val="auto"/>
        </w:rPr>
      </w:pPr>
      <w:r>
        <w:rPr>
          <w:rFonts w:ascii="Arial" w:cs="Arial" w:eastAsia="Arial" w:hAnsi="Arial"/>
          <w:sz w:val="16"/>
          <w:szCs w:val="16"/>
          <w:color w:val="auto"/>
        </w:rPr>
        <w:t>In accordance with the SEC’s Regulation S-X and GAAP, we are not permitted to consolidate any subsidiary or other entity that is not an investment company, including those in which we have a controlling interest. We had certain unconsolidated subsidiaries for the year ended December 31, 2014, that met at least one of the significant conditions of Regulation S-X. Accordingly, pursuant to Rule 4-08(g) of Regulation S-X, summarized comparative financial information is presented below for our unconsolidated significant subsidiaries as of December 31, 2015 and 2014 and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wp:posOffset>
            </wp:positionV>
            <wp:extent cx="521398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Data as 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gridSpan w:val="3"/>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$ 5,241,795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$ 5,868,770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2,801,796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1,458.402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4,378,060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2,951,251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2,932,095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1,925,000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Income Statement Data</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2014</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7"/>
              </w:rPr>
              <w:t>$21,319,861</w:t>
            </w:r>
          </w:p>
        </w:tc>
        <w:tc>
          <w:tcPr>
            <w:tcW w:w="112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color w:val="auto"/>
              </w:rPr>
              <w:t>$13,263,877</w:t>
            </w:r>
          </w:p>
        </w:tc>
        <w:tc>
          <w:tcPr>
            <w:tcW w:w="114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$ 9,426,573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16,248,769</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11,169,530</w:t>
            </w:r>
          </w:p>
        </w:tc>
        <w:tc>
          <w:tcPr>
            <w:tcW w:w="1140" w:type="dxa"/>
            <w:vAlign w:val="bottom"/>
            <w:gridSpan w:val="3"/>
          </w:tcPr>
          <w:p>
            <w:pPr>
              <w:jc w:val="right"/>
              <w:ind w:right="22"/>
              <w:spacing w:after="0"/>
              <w:rPr>
                <w:sz w:val="20"/>
                <w:szCs w:val="20"/>
                <w:color w:val="auto"/>
              </w:rPr>
            </w:pPr>
            <w:r>
              <w:rPr>
                <w:rFonts w:ascii="Arial" w:cs="Arial" w:eastAsia="Arial" w:hAnsi="Arial"/>
                <w:sz w:val="18"/>
                <w:szCs w:val="18"/>
                <w:color w:val="auto"/>
              </w:rPr>
              <w:t>7,631,945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Income/(loss) from operations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(5,057,815)</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(3,460,381)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(2,736,398)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880" w:type="dxa"/>
            <w:vAlign w:val="bottom"/>
          </w:tcPr>
          <w:p>
            <w:pPr>
              <w:ind w:left="20"/>
              <w:spacing w:after="0" w:line="201" w:lineRule="exact"/>
              <w:rPr>
                <w:sz w:val="20"/>
                <w:szCs w:val="20"/>
                <w:color w:val="auto"/>
              </w:rPr>
            </w:pPr>
            <w:r>
              <w:rPr>
                <w:rFonts w:ascii="Arial" w:cs="Arial" w:eastAsia="Arial" w:hAnsi="Arial"/>
                <w:sz w:val="18"/>
                <w:szCs w:val="18"/>
                <w:color w:val="auto"/>
                <w:w w:val="94"/>
              </w:rPr>
              <w:t>Total net income/(loss) including net income/(loss) attributable to</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(5,306,836)</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(3,723,409)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(2,979,103)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non-controlling interest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4880" w:type="dxa"/>
            <w:vAlign w:val="bottom"/>
          </w:tcPr>
          <w:p>
            <w:pPr>
              <w:ind w:left="45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8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8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-1723390</wp:posOffset>
            </wp:positionV>
            <wp:extent cx="52057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We evaluated, under the supervision and with the participation of management, including our Chief Executive Officer and Chief Financial Officer, the effectiveness of the design and operation of our disclosure controls and procedures (as defined in Rules 13a-15(e) and 15d-15(e) of the Exchange Act), as of the end of the period covered by this report. Based on that evaluation, the Chief Executive Officer and Chief Financial Officer concluded that our disclosure controls and procedures were effective and provided reasonable assurance that information required to be disclosed in our periodic SEC filings is (1) recorded, processed, summarized and reported within the time periods specified in the SEC’s rules and forms, and (2) is accumulated and communicated to our management, including our Chief Executive Officer and Chief Financial Officer, as appropriate, to allow for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21"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2015.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6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73"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 xml:space="preserve">Management performed an assessment of the effectiveness of our internal control over financial reporting as of December 31, 2015 based upon criteria in Internal Control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(“COSO”). Based on our assessment, management determined that our internal control over financial reporting was effective as of December 31, 2015 based on the criteria on Internal Control —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80" w:lineRule="exact"/>
        <w:rPr>
          <w:sz w:val="20"/>
          <w:szCs w:val="20"/>
          <w:color w:val="auto"/>
        </w:rPr>
      </w:pPr>
    </w:p>
    <w:p>
      <w:pPr>
        <w:ind w:left="40" w:right="999" w:firstLine="270"/>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2015 has been audited by Deloitte &amp; Touche LLP, an independent registered public accounting firm, as stated in their report which appears herein.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Report of the Independent Registered Public Accounting Firm</w:t>
      </w:r>
    </w:p>
    <w:p>
      <w:pPr>
        <w:spacing w:after="0" w:line="121" w:lineRule="exact"/>
        <w:rPr>
          <w:sz w:val="20"/>
          <w:szCs w:val="20"/>
          <w:color w:val="auto"/>
        </w:rPr>
      </w:pPr>
    </w:p>
    <w:p>
      <w:pPr>
        <w:ind w:left="40" w:right="899" w:firstLine="270"/>
        <w:spacing w:after="0" w:line="308" w:lineRule="auto"/>
        <w:rPr>
          <w:sz w:val="20"/>
          <w:szCs w:val="20"/>
          <w:color w:val="auto"/>
        </w:rPr>
      </w:pPr>
      <w:r>
        <w:rPr>
          <w:rFonts w:ascii="Arial" w:cs="Arial" w:eastAsia="Arial" w:hAnsi="Arial"/>
          <w:sz w:val="17"/>
          <w:szCs w:val="17"/>
          <w:color w:val="auto"/>
        </w:rPr>
        <w:t>Deloitte and Touche LLP, our independent registered public accounting firm, has issued a report on the effectiveness of our internal control over financial reporting, which appears on page 119 of this annual report on Form 10-K.</w:t>
      </w: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GSV Capital Corp.</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Woodside, California</w:t>
      </w:r>
    </w:p>
    <w:p>
      <w:pPr>
        <w:spacing w:after="0" w:line="103"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GSV Capital Corp. and subsidiaries (the “Company”) as of December 31, 2015,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0"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5"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80"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2015,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ind w:left="40" w:right="779" w:firstLine="27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2015, of the Company and our report dated March 15, 2016 expressed an unqualified opinion on those financial statements and financial statement schedule.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Changes in Internal Controls Over Financial Reporting</w:t>
      </w:r>
    </w:p>
    <w:p>
      <w:pPr>
        <w:spacing w:after="0" w:line="121" w:lineRule="exact"/>
        <w:rPr>
          <w:sz w:val="20"/>
          <w:szCs w:val="20"/>
          <w:color w:val="auto"/>
        </w:rPr>
      </w:pPr>
    </w:p>
    <w:p>
      <w:pPr>
        <w:jc w:val="both"/>
        <w:ind w:left="40" w:right="73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and 15d-15(f) under the Exchange Act) that occurred during the fiscal quarter and year ended December 31, 2015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The information required by Item 10 will be contained in the 2016 Proxy Statement under the headings entitled “Proposal I: Election of Directors — Information About the Nominees and Directors,” “— Information About the Executive Officers Who Are Not Directors,” “— Section 16(a) Beneficial Ownership Reporting Compliance” and “— Committees to the Board of Directors,” and is hereby incorporated by reference. There have been no material changes to the procedures by which stockholders may recommend nominees to our board of directors.</w:t>
      </w:r>
    </w:p>
    <w:p>
      <w:pPr>
        <w:spacing w:after="0" w:line="80"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 xml:space="preserve">We have adopted a Code of Business Conduct and Ethics for our employees and directors, including, specifically, our Chief Executive Officer, our Chief Financial Officer, our chief accounting officer, and our other executive officers. Our Code of Business Conduct and Ethics satisfies the requirements for a “code of ethics” within the meaning of SEC rules. A copy of the Code of Business Conduct and Ethics is posted on our website at </w:t>
      </w:r>
      <w:r>
        <w:rPr>
          <w:rFonts w:ascii="Arial" w:cs="Arial" w:eastAsia="Arial" w:hAnsi="Arial"/>
          <w:sz w:val="17"/>
          <w:szCs w:val="17"/>
          <w:i w:val="1"/>
          <w:iCs w:val="1"/>
          <w:color w:val="auto"/>
        </w:rPr>
        <w:t>http://investors.gsvcap.com/governance</w:t>
      </w:r>
      <w:r>
        <w:rPr>
          <w:rFonts w:ascii="Arial" w:cs="Arial" w:eastAsia="Arial" w:hAnsi="Arial"/>
          <w:sz w:val="17"/>
          <w:szCs w:val="17"/>
          <w:color w:val="auto"/>
        </w:rPr>
        <w:t>. If we amend the Code of Business Conduct and Ethics or grant any waivers under the Code of Business Conduct and Ethics that are applicable to our Chief Executive Officer, our Chief Financial Officer, or our chief accounting officer and that relate to any element of the SEC’s definition of a code of ethics, we will promptly post that amendment or waiver on our website.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The information required by Item 11 will be contained in the 2016 Proxy Statement under the headings entitled “Proposal I: Election of Directors — Compensation of Chief Executive Officer and Other Executive Officers” and “— Committees to the Board of Directors,” and is hereby incorporated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The information required by Item 12 will be contained in the 2016 Proxy Statement under the heading “Security Ownership of Certain Beneficial Owners and Management,” and is hereby incorporated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The information required by Item 13 will be contained in the 2016 Proxy Statement under the heading “Proposal I: Election of Directors,” and is hereby incorporated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information required by Item 14 will be contained in the 2016 Proxy Statement and is hereby incorporated by reference.</w:t>
      </w:r>
    </w:p>
    <w:p>
      <w:pPr>
        <w:spacing w:after="0" w:line="200" w:lineRule="exact"/>
        <w:rPr>
          <w:sz w:val="20"/>
          <w:szCs w:val="20"/>
          <w:color w:val="auto"/>
        </w:rPr>
      </w:pP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4" w:name="page125"/>
    <w:bookmarkEnd w:id="124"/>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or incorporated by reference as part of this annual report on Form 10-K:</w:t>
      </w:r>
    </w:p>
    <w:p>
      <w:pPr>
        <w:spacing w:after="0" w:line="140" w:lineRule="exact"/>
        <w:rPr>
          <w:sz w:val="20"/>
          <w:szCs w:val="20"/>
          <w:color w:val="auto"/>
        </w:rPr>
      </w:pPr>
    </w:p>
    <w:p>
      <w:pPr>
        <w:ind w:left="440" w:hanging="252"/>
        <w:spacing w:after="0"/>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rFonts w:ascii="Arial" w:cs="Arial" w:eastAsia="Arial" w:hAnsi="Arial"/>
          <w:sz w:val="18"/>
          <w:szCs w:val="18"/>
          <w:b w:val="1"/>
          <w:bCs w:val="1"/>
          <w:color w:val="auto"/>
        </w:rPr>
      </w:pPr>
    </w:p>
    <w:p>
      <w:pPr>
        <w:ind w:left="720" w:hanging="262"/>
        <w:spacing w:after="0"/>
        <w:tabs>
          <w:tab w:leader="none" w:pos="7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following financial statements are set forth in 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Page</w:t>
            </w:r>
          </w:p>
        </w:tc>
      </w:tr>
      <w:tr>
        <w:trPr>
          <w:trHeight w:val="169"/>
        </w:trPr>
        <w:tc>
          <w:tcPr>
            <w:tcW w:w="6740" w:type="dxa"/>
            <w:vAlign w:val="bottom"/>
            <w:gridSpan w:val="13"/>
            <w:shd w:val="clear" w:color="auto" w:fill="CCEEFF"/>
          </w:tcPr>
          <w:p>
            <w:pPr>
              <w:ind w:left="20"/>
              <w:spacing w:after="0" w:line="170" w:lineRule="exact"/>
              <w:rPr>
                <w:rFonts w:ascii="Arial" w:cs="Arial" w:eastAsia="Arial" w:hAnsi="Arial"/>
                <w:sz w:val="18"/>
                <w:szCs w:val="18"/>
                <w:color w:val="0000EE"/>
              </w:rPr>
            </w:pPr>
            <w:hyperlink w:anchor="page73">
              <w:r>
                <w:rPr>
                  <w:rFonts w:ascii="Arial" w:cs="Arial" w:eastAsia="Arial" w:hAnsi="Arial"/>
                  <w:sz w:val="18"/>
                  <w:szCs w:val="18"/>
                  <w:color w:val="0000EE"/>
                </w:rPr>
                <w:t>Reports of Independent Registered Public Accounting Firms</w:t>
              </w:r>
            </w:hyperlink>
          </w:p>
        </w:tc>
        <w:tc>
          <w:tcPr>
            <w:tcW w:w="600" w:type="dxa"/>
            <w:vAlign w:val="bottom"/>
            <w:gridSpan w:val="2"/>
            <w:shd w:val="clear" w:color="auto" w:fill="CCEEFF"/>
          </w:tcPr>
          <w:p>
            <w:pPr>
              <w:jc w:val="center"/>
              <w:ind w:left="333"/>
              <w:spacing w:after="0" w:line="170"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70</w:t>
              </w:r>
            </w:hyperlink>
          </w:p>
        </w:tc>
        <w:tc>
          <w:tcPr>
            <w:tcW w:w="160" w:type="dxa"/>
            <w:vAlign w:val="bottom"/>
            <w:tcBorders>
              <w:left w:val="single" w:sz="8" w:color="CCEEFF"/>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76"/>
        </w:trPr>
        <w:tc>
          <w:tcPr>
            <w:tcW w:w="6740" w:type="dxa"/>
            <w:vAlign w:val="bottom"/>
            <w:gridSpan w:val="13"/>
          </w:tcPr>
          <w:p>
            <w:pPr>
              <w:ind w:left="20"/>
              <w:spacing w:after="0" w:line="17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Consolidated Statements of Assets and Liabilities as of December 31, 2015 and December</w:t>
              </w:r>
            </w:hyperlink>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700" w:type="dxa"/>
            <w:vAlign w:val="bottom"/>
            <w:tcBorders>
              <w:top w:val="single" w:sz="8" w:color="0000EE"/>
            </w:tcBorders>
            <w:gridSpan w:val="4"/>
          </w:tcPr>
          <w:p>
            <w:pPr>
              <w:ind w:left="180"/>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31, 2014</w:t>
              </w:r>
            </w:hyperlink>
          </w:p>
        </w:tc>
        <w:tc>
          <w:tcPr>
            <w:tcW w:w="17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center"/>
              <w:ind w:left="333"/>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1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6740" w:type="dxa"/>
            <w:vAlign w:val="bottom"/>
            <w:gridSpan w:val="13"/>
            <w:shd w:val="clear" w:color="auto" w:fill="CCEEFF"/>
          </w:tcPr>
          <w:p>
            <w:pPr>
              <w:ind w:left="20"/>
              <w:spacing w:after="0" w:line="17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Consolidated Statements of Operations for the years ended December 31, 2015, 2014 and</w:t>
              </w:r>
            </w:hyperlink>
          </w:p>
        </w:tc>
        <w:tc>
          <w:tcPr>
            <w:tcW w:w="4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0000EE"/>
            </w:tcBorders>
            <w:gridSpan w:val="2"/>
            <w:shd w:val="clear" w:color="auto" w:fill="CCEEFF"/>
          </w:tcPr>
          <w:p>
            <w:pPr>
              <w:ind w:left="180"/>
              <w:spacing w:after="0" w:line="196" w:lineRule="exact"/>
              <w:rPr>
                <w:rFonts w:ascii="Arial" w:cs="Arial" w:eastAsia="Arial" w:hAnsi="Arial"/>
                <w:sz w:val="18"/>
                <w:szCs w:val="18"/>
                <w:color w:val="0000EE"/>
                <w:w w:val="84"/>
              </w:rPr>
            </w:pPr>
            <w:hyperlink w:anchor="page77">
              <w:r>
                <w:rPr>
                  <w:rFonts w:ascii="Arial" w:cs="Arial" w:eastAsia="Arial" w:hAnsi="Arial"/>
                  <w:sz w:val="18"/>
                  <w:szCs w:val="18"/>
                  <w:color w:val="0000EE"/>
                  <w:w w:val="84"/>
                </w:rPr>
                <w:t>2013</w:t>
              </w:r>
            </w:hyperlink>
          </w:p>
        </w:tc>
        <w:tc>
          <w:tcPr>
            <w:tcW w:w="26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700" w:type="dxa"/>
            <w:vAlign w:val="bottom"/>
            <w:tcBorders>
              <w:top w:val="single" w:sz="8" w:color="0000EE"/>
            </w:tcBorders>
            <w:shd w:val="clear" w:color="auto" w:fill="CCEEFF"/>
          </w:tcPr>
          <w:p>
            <w:pPr>
              <w:spacing w:after="0"/>
              <w:rPr>
                <w:sz w:val="17"/>
                <w:szCs w:val="17"/>
                <w:color w:val="auto"/>
              </w:rPr>
            </w:pPr>
          </w:p>
        </w:tc>
        <w:tc>
          <w:tcPr>
            <w:tcW w:w="9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3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gridSpan w:val="2"/>
            <w:shd w:val="clear" w:color="auto" w:fill="CCEEFF"/>
          </w:tcPr>
          <w:p>
            <w:pPr>
              <w:jc w:val="center"/>
              <w:ind w:left="333"/>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74</w:t>
              </w:r>
            </w:hyperlink>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76"/>
        </w:trPr>
        <w:tc>
          <w:tcPr>
            <w:tcW w:w="6740" w:type="dxa"/>
            <w:vAlign w:val="bottom"/>
            <w:gridSpan w:val="13"/>
          </w:tcPr>
          <w:p>
            <w:pPr>
              <w:ind w:left="20"/>
              <w:spacing w:after="0" w:line="176"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Consolidated Statements of Changes in Net Assets for the years ended December 31,</w:t>
              </w:r>
            </w:hyperlink>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9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2015, 2014 and 2013</w:t>
              </w:r>
            </w:hyperlink>
          </w:p>
        </w:tc>
        <w:tc>
          <w:tcPr>
            <w:tcW w:w="600" w:type="dxa"/>
            <w:vAlign w:val="bottom"/>
            <w:gridSpan w:val="3"/>
          </w:tcPr>
          <w:p>
            <w:pPr>
              <w:spacing w:after="0"/>
              <w:rPr>
                <w:sz w:val="17"/>
                <w:szCs w:val="17"/>
                <w:color w:val="auto"/>
              </w:rPr>
            </w:pPr>
          </w:p>
        </w:tc>
        <w:tc>
          <w:tcPr>
            <w:tcW w:w="600" w:type="dxa"/>
            <w:vAlign w:val="bottom"/>
            <w:gridSpan w:val="2"/>
          </w:tcPr>
          <w:p>
            <w:pPr>
              <w:jc w:val="center"/>
              <w:ind w:left="333"/>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76</w:t>
              </w:r>
            </w:hyperlink>
          </w:p>
        </w:tc>
        <w:tc>
          <w:tcPr>
            <w:tcW w:w="1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6740" w:type="dxa"/>
            <w:vAlign w:val="bottom"/>
            <w:gridSpan w:val="13"/>
            <w:shd w:val="clear" w:color="auto" w:fill="CCEEFF"/>
          </w:tcPr>
          <w:p>
            <w:pPr>
              <w:ind w:left="20"/>
              <w:spacing w:after="0" w:line="17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Consolidated Statements of Cash Flows for the years ended December 31, 2015, 2014 and</w:t>
              </w:r>
            </w:hyperlink>
          </w:p>
        </w:tc>
        <w:tc>
          <w:tcPr>
            <w:tcW w:w="4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0000EE"/>
            </w:tcBorders>
            <w:gridSpan w:val="2"/>
            <w:shd w:val="clear" w:color="auto" w:fill="CCEEFF"/>
          </w:tcPr>
          <w:p>
            <w:pPr>
              <w:ind w:left="180"/>
              <w:spacing w:after="0" w:line="196" w:lineRule="exact"/>
              <w:rPr>
                <w:rFonts w:ascii="Arial" w:cs="Arial" w:eastAsia="Arial" w:hAnsi="Arial"/>
                <w:sz w:val="18"/>
                <w:szCs w:val="18"/>
                <w:color w:val="0000EE"/>
                <w:w w:val="84"/>
              </w:rPr>
            </w:pPr>
            <w:hyperlink w:anchor="page80">
              <w:r>
                <w:rPr>
                  <w:rFonts w:ascii="Arial" w:cs="Arial" w:eastAsia="Arial" w:hAnsi="Arial"/>
                  <w:sz w:val="18"/>
                  <w:szCs w:val="18"/>
                  <w:color w:val="0000EE"/>
                  <w:w w:val="84"/>
                </w:rPr>
                <w:t>2013</w:t>
              </w:r>
            </w:hyperlink>
          </w:p>
        </w:tc>
        <w:tc>
          <w:tcPr>
            <w:tcW w:w="26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700" w:type="dxa"/>
            <w:vAlign w:val="bottom"/>
            <w:tcBorders>
              <w:top w:val="single" w:sz="8" w:color="0000EE"/>
            </w:tcBorders>
            <w:shd w:val="clear" w:color="auto" w:fill="CCEEFF"/>
          </w:tcPr>
          <w:p>
            <w:pPr>
              <w:spacing w:after="0"/>
              <w:rPr>
                <w:sz w:val="17"/>
                <w:szCs w:val="17"/>
                <w:color w:val="auto"/>
              </w:rPr>
            </w:pPr>
          </w:p>
        </w:tc>
        <w:tc>
          <w:tcPr>
            <w:tcW w:w="9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3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gridSpan w:val="2"/>
            <w:shd w:val="clear" w:color="auto" w:fill="CCEEFF"/>
          </w:tcPr>
          <w:p>
            <w:pPr>
              <w:jc w:val="center"/>
              <w:ind w:left="333"/>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77</w:t>
              </w:r>
            </w:hyperlink>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76"/>
        </w:trPr>
        <w:tc>
          <w:tcPr>
            <w:tcW w:w="6740" w:type="dxa"/>
            <w:vAlign w:val="bottom"/>
            <w:gridSpan w:val="13"/>
          </w:tcPr>
          <w:p>
            <w:pPr>
              <w:ind w:left="2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Schedule of Investments as of December 31, 2015</w:t>
              </w:r>
            </w:hyperlink>
          </w:p>
        </w:tc>
        <w:tc>
          <w:tcPr>
            <w:tcW w:w="600" w:type="dxa"/>
            <w:vAlign w:val="bottom"/>
            <w:gridSpan w:val="2"/>
          </w:tcPr>
          <w:p>
            <w:pPr>
              <w:jc w:val="center"/>
              <w:ind w:left="333"/>
              <w:spacing w:after="0" w:line="17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79</w:t>
              </w:r>
            </w:hyperlink>
          </w:p>
        </w:tc>
        <w:tc>
          <w:tcPr>
            <w:tcW w:w="1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6740" w:type="dxa"/>
            <w:vAlign w:val="bottom"/>
            <w:gridSpan w:val="13"/>
            <w:shd w:val="clear" w:color="auto" w:fill="CCEEFF"/>
          </w:tcPr>
          <w:p>
            <w:pPr>
              <w:ind w:left="2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Schedule of Investments as of December 31, 2014</w:t>
              </w:r>
            </w:hyperlink>
          </w:p>
        </w:tc>
        <w:tc>
          <w:tcPr>
            <w:tcW w:w="600" w:type="dxa"/>
            <w:vAlign w:val="bottom"/>
            <w:gridSpan w:val="2"/>
            <w:shd w:val="clear" w:color="auto" w:fill="CCEEFF"/>
          </w:tcPr>
          <w:p>
            <w:pPr>
              <w:jc w:val="center"/>
              <w:ind w:left="333"/>
              <w:spacing w:after="0" w:line="17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85</w:t>
              </w:r>
            </w:hyperlink>
          </w:p>
        </w:tc>
        <w:tc>
          <w:tcPr>
            <w:tcW w:w="160" w:type="dxa"/>
            <w:vAlign w:val="bottom"/>
            <w:tcBorders>
              <w:left w:val="single" w:sz="8" w:color="CCEEFF"/>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76"/>
        </w:trPr>
        <w:tc>
          <w:tcPr>
            <w:tcW w:w="6740" w:type="dxa"/>
            <w:vAlign w:val="bottom"/>
            <w:gridSpan w:val="13"/>
          </w:tcPr>
          <w:p>
            <w:pPr>
              <w:ind w:left="20"/>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Notes to the Consolidated Financial Statements</w:t>
              </w:r>
            </w:hyperlink>
          </w:p>
        </w:tc>
        <w:tc>
          <w:tcPr>
            <w:tcW w:w="600" w:type="dxa"/>
            <w:vAlign w:val="bottom"/>
            <w:gridSpan w:val="2"/>
          </w:tcPr>
          <w:p>
            <w:pPr>
              <w:jc w:val="center"/>
              <w:ind w:left="333"/>
              <w:spacing w:after="0" w:line="17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91</w:t>
              </w:r>
            </w:hyperlink>
          </w:p>
        </w:tc>
        <w:tc>
          <w:tcPr>
            <w:tcW w:w="1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40" w:type="dxa"/>
            <w:vAlign w:val="bottom"/>
            <w:gridSpan w:val="11"/>
          </w:tcPr>
          <w:p>
            <w:pPr>
              <w:ind w:left="140"/>
              <w:spacing w:after="0"/>
              <w:rPr>
                <w:sz w:val="20"/>
                <w:szCs w:val="20"/>
                <w:color w:val="auto"/>
              </w:rPr>
            </w:pPr>
            <w:r>
              <w:rPr>
                <w:rFonts w:ascii="Arial" w:cs="Arial" w:eastAsia="Arial" w:hAnsi="Arial"/>
                <w:sz w:val="18"/>
                <w:szCs w:val="18"/>
                <w:color w:val="auto"/>
              </w:rPr>
              <w:t>(2) The following financial statement schedules are filed herewith:</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Page</w:t>
            </w:r>
          </w:p>
        </w:tc>
      </w:tr>
      <w:tr>
        <w:trPr>
          <w:trHeight w:val="210"/>
        </w:trPr>
        <w:tc>
          <w:tcPr>
            <w:tcW w:w="6740" w:type="dxa"/>
            <w:vAlign w:val="bottom"/>
            <w:gridSpan w:val="13"/>
            <w:shd w:val="clear" w:color="auto" w:fill="CCEEFF"/>
          </w:tcPr>
          <w:p>
            <w:pPr>
              <w:ind w:left="20"/>
              <w:spacing w:after="0"/>
              <w:rPr>
                <w:sz w:val="20"/>
                <w:szCs w:val="20"/>
                <w:color w:val="auto"/>
              </w:rPr>
            </w:pPr>
            <w:r>
              <w:rPr>
                <w:rFonts w:ascii="Arial" w:cs="Arial" w:eastAsia="Arial" w:hAnsi="Arial"/>
                <w:sz w:val="18"/>
                <w:szCs w:val="18"/>
                <w:color w:val="auto"/>
              </w:rPr>
              <w:t>Schedule 12-14</w:t>
            </w:r>
          </w:p>
        </w:tc>
        <w:tc>
          <w:tcPr>
            <w:tcW w:w="4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40" w:type="dxa"/>
            <w:vAlign w:val="bottom"/>
            <w:gridSpan w:val="11"/>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Schedule of Investments in and Advances to Affiliates as of December 31, 2015</w:t>
              </w:r>
            </w:hyperlink>
          </w:p>
        </w:tc>
        <w:tc>
          <w:tcPr>
            <w:tcW w:w="760" w:type="dxa"/>
            <w:vAlign w:val="bottom"/>
            <w:gridSpan w:val="3"/>
          </w:tcPr>
          <w:p>
            <w:pPr>
              <w:jc w:val="center"/>
              <w:ind w:left="153"/>
              <w:spacing w:after="0" w:line="17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124</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6740" w:type="dxa"/>
            <w:vAlign w:val="bottom"/>
            <w:gridSpan w:val="13"/>
            <w:shd w:val="clear" w:color="auto" w:fill="CCEEFF"/>
          </w:tcPr>
          <w:p>
            <w:pPr>
              <w:ind w:left="20"/>
              <w:spacing w:after="0"/>
              <w:rPr>
                <w:sz w:val="20"/>
                <w:szCs w:val="20"/>
                <w:color w:val="auto"/>
              </w:rPr>
            </w:pPr>
            <w:r>
              <w:rPr>
                <w:rFonts w:ascii="Arial" w:cs="Arial" w:eastAsia="Arial" w:hAnsi="Arial"/>
                <w:sz w:val="18"/>
                <w:szCs w:val="18"/>
                <w:color w:val="auto"/>
              </w:rPr>
              <w:t>Schedule 12-14</w:t>
            </w:r>
          </w:p>
        </w:tc>
        <w:tc>
          <w:tcPr>
            <w:tcW w:w="4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40" w:type="dxa"/>
            <w:vAlign w:val="bottom"/>
            <w:gridSpan w:val="11"/>
          </w:tcPr>
          <w:p>
            <w:pPr>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Schedule of Investments in and Advances to Affiliates as of December 31, 2014</w:t>
              </w:r>
            </w:hyperlink>
          </w:p>
        </w:tc>
        <w:tc>
          <w:tcPr>
            <w:tcW w:w="760" w:type="dxa"/>
            <w:vAlign w:val="bottom"/>
            <w:gridSpan w:val="3"/>
          </w:tcPr>
          <w:p>
            <w:pPr>
              <w:jc w:val="center"/>
              <w:ind w:left="153"/>
              <w:spacing w:after="0" w:line="176" w:lineRule="exact"/>
              <w:rPr>
                <w:rFonts w:ascii="Arial" w:cs="Arial" w:eastAsia="Arial" w:hAnsi="Arial"/>
                <w:sz w:val="18"/>
                <w:szCs w:val="18"/>
                <w:color w:val="0000EE"/>
                <w:w w:val="93"/>
              </w:rPr>
            </w:pPr>
            <w:hyperlink w:anchor="page131">
              <w:r>
                <w:rPr>
                  <w:rFonts w:ascii="Arial" w:cs="Arial" w:eastAsia="Arial" w:hAnsi="Arial"/>
                  <w:sz w:val="18"/>
                  <w:szCs w:val="18"/>
                  <w:color w:val="0000EE"/>
                  <w:w w:val="93"/>
                </w:rPr>
                <w:t>128</w:t>
              </w:r>
            </w:hyperlink>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-745490</wp:posOffset>
            </wp:positionV>
            <wp:extent cx="47510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 Exhibits required to be filed by Item 601 of Regulation S-K</w:t>
      </w:r>
    </w:p>
    <w:p>
      <w:pPr>
        <w:spacing w:after="0" w:line="121" w:lineRule="exact"/>
        <w:rPr>
          <w:sz w:val="20"/>
          <w:szCs w:val="20"/>
          <w:color w:val="auto"/>
        </w:rPr>
      </w:pPr>
    </w:p>
    <w:p>
      <w:pPr>
        <w:ind w:left="180" w:right="519" w:firstLine="270"/>
        <w:spacing w:after="0" w:line="257" w:lineRule="auto"/>
        <w:rPr>
          <w:sz w:val="20"/>
          <w:szCs w:val="20"/>
          <w:color w:val="auto"/>
        </w:rPr>
      </w:pPr>
      <w:r>
        <w:rPr>
          <w:rFonts w:ascii="Arial" w:cs="Arial" w:eastAsia="Arial" w:hAnsi="Arial"/>
          <w:sz w:val="18"/>
          <w:szCs w:val="18"/>
          <w:color w:val="auto"/>
        </w:rPr>
        <w:t>Please note that the agreements included as exhibits to this Form 10-K are included to provide information regarding their terms and are not intended to provide any other factual or disclosure information about us or the other parties to the agreements. The agreements contain representations and warranties by each of the parties to the applicable agreement that have been made solely for the benefit of the other parties to the applicable agreement and may not describe the actual state of affairs as of the date they were made or at any other time.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796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7"/>
              </w:rPr>
              <w:t>3.1</w:t>
            </w:r>
          </w:p>
        </w:tc>
        <w:tc>
          <w:tcPr>
            <w:tcW w:w="8740" w:type="dxa"/>
            <w:vAlign w:val="bottom"/>
          </w:tcPr>
          <w:p>
            <w:pPr>
              <w:ind w:left="200"/>
              <w:spacing w:after="0"/>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57"/>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7"/>
              </w:rPr>
              <w:t>3.2</w:t>
            </w:r>
          </w:p>
        </w:tc>
        <w:tc>
          <w:tcPr>
            <w:tcW w:w="8740" w:type="dxa"/>
            <w:vAlign w:val="bottom"/>
          </w:tcPr>
          <w:p>
            <w:pPr>
              <w:ind w:left="200"/>
              <w:spacing w:after="0" w:line="256" w:lineRule="exact"/>
              <w:rPr>
                <w:sz w:val="20"/>
                <w:szCs w:val="20"/>
                <w:color w:val="auto"/>
              </w:rPr>
            </w:pPr>
            <w:r>
              <w:rPr>
                <w:rFonts w:ascii="Arial" w:cs="Arial" w:eastAsia="Arial" w:hAnsi="Arial"/>
                <w:sz w:val="18"/>
                <w:szCs w:val="18"/>
                <w:color w:val="auto"/>
              </w:rPr>
              <w:t>Articles of Amendment</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7"/>
              </w:rPr>
              <w:t>3.3</w:t>
            </w:r>
          </w:p>
        </w:tc>
        <w:tc>
          <w:tcPr>
            <w:tcW w:w="8740" w:type="dxa"/>
            <w:vAlign w:val="bottom"/>
          </w:tcPr>
          <w:p>
            <w:pPr>
              <w:ind w:left="200"/>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7"/>
              </w:rPr>
              <w:t>4.1</w:t>
            </w:r>
          </w:p>
        </w:tc>
        <w:tc>
          <w:tcPr>
            <w:tcW w:w="8740" w:type="dxa"/>
            <w:vAlign w:val="bottom"/>
          </w:tcPr>
          <w:p>
            <w:pPr>
              <w:ind w:left="200"/>
              <w:spacing w:after="0" w:line="256" w:lineRule="exact"/>
              <w:rPr>
                <w:sz w:val="20"/>
                <w:szCs w:val="20"/>
                <w:color w:val="auto"/>
              </w:rPr>
            </w:pPr>
            <w:r>
              <w:rPr>
                <w:rFonts w:ascii="Arial" w:cs="Arial" w:eastAsia="Arial" w:hAnsi="Arial"/>
                <w:sz w:val="18"/>
                <w:szCs w:val="18"/>
                <w:color w:val="auto"/>
              </w:rPr>
              <w:t>Form of Common Stock Certificate</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220"/>
        </w:trPr>
        <w:tc>
          <w:tcPr>
            <w:tcW w:w="860" w:type="dxa"/>
            <w:vAlign w:val="bottom"/>
          </w:tcPr>
          <w:p>
            <w:pPr>
              <w:jc w:val="center"/>
              <w:ind w:left="110"/>
              <w:spacing w:after="0"/>
              <w:rPr>
                <w:sz w:val="20"/>
                <w:szCs w:val="20"/>
                <w:color w:val="auto"/>
              </w:rPr>
            </w:pPr>
            <w:r>
              <w:rPr>
                <w:rFonts w:ascii="Arial" w:cs="Arial" w:eastAsia="Arial" w:hAnsi="Arial"/>
                <w:sz w:val="18"/>
                <w:szCs w:val="18"/>
                <w:color w:val="auto"/>
                <w:w w:val="87"/>
              </w:rPr>
              <w:t>4.2</w:t>
            </w:r>
          </w:p>
        </w:tc>
        <w:tc>
          <w:tcPr>
            <w:tcW w:w="8740" w:type="dxa"/>
            <w:vAlign w:val="bottom"/>
          </w:tcPr>
          <w:p>
            <w:pPr>
              <w:ind w:left="200"/>
              <w:spacing w:after="0"/>
              <w:rPr>
                <w:sz w:val="20"/>
                <w:szCs w:val="20"/>
                <w:color w:val="auto"/>
              </w:rPr>
            </w:pPr>
            <w:r>
              <w:rPr>
                <w:rFonts w:ascii="Arial" w:cs="Arial" w:eastAsia="Arial" w:hAnsi="Arial"/>
                <w:sz w:val="18"/>
                <w:szCs w:val="18"/>
                <w:color w:val="auto"/>
              </w:rPr>
              <w:t>Indenture, dated September 17, 2013, relating to the 5.25% Convertible Senior Notes due 2018, by</w:t>
            </w:r>
          </w:p>
        </w:tc>
        <w:tc>
          <w:tcPr>
            <w:tcW w:w="0" w:type="dxa"/>
            <w:vAlign w:val="bottom"/>
          </w:tcPr>
          <w:p>
            <w:pPr>
              <w:spacing w:after="0"/>
              <w:rPr>
                <w:sz w:val="1"/>
                <w:szCs w:val="1"/>
                <w:color w:val="auto"/>
              </w:rPr>
            </w:pPr>
          </w:p>
        </w:tc>
      </w:tr>
      <w:tr>
        <w:trPr>
          <w:trHeight w:val="257"/>
        </w:trPr>
        <w:tc>
          <w:tcPr>
            <w:tcW w:w="860" w:type="dxa"/>
            <w:vAlign w:val="bottom"/>
            <w:vMerge w:val="restart"/>
          </w:tcPr>
          <w:p>
            <w:pPr>
              <w:jc w:val="center"/>
              <w:ind w:left="70"/>
              <w:spacing w:after="0"/>
              <w:rPr>
                <w:sz w:val="20"/>
                <w:szCs w:val="20"/>
                <w:color w:val="auto"/>
              </w:rPr>
            </w:pPr>
            <w:r>
              <w:rPr>
                <w:rFonts w:ascii="Arial" w:cs="Arial" w:eastAsia="Arial" w:hAnsi="Arial"/>
                <w:sz w:val="18"/>
                <w:szCs w:val="18"/>
                <w:color w:val="auto"/>
                <w:w w:val="85"/>
              </w:rPr>
              <w:t>10.1</w:t>
            </w:r>
          </w:p>
        </w:tc>
        <w:tc>
          <w:tcPr>
            <w:tcW w:w="8740" w:type="dxa"/>
            <w:vAlign w:val="bottom"/>
          </w:tcPr>
          <w:p>
            <w:pPr>
              <w:ind w:left="200"/>
              <w:spacing w:after="0" w:line="256" w:lineRule="exact"/>
              <w:rPr>
                <w:sz w:val="20"/>
                <w:szCs w:val="20"/>
                <w:color w:val="auto"/>
              </w:rPr>
            </w:pPr>
            <w:r>
              <w:rPr>
                <w:rFonts w:ascii="Arial" w:cs="Arial" w:eastAsia="Arial" w:hAnsi="Arial"/>
                <w:sz w:val="18"/>
                <w:szCs w:val="18"/>
                <w:color w:val="auto"/>
              </w:rPr>
              <w:t>and between the Company and the U.S. Bank National Association, as trustee</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53"/>
        </w:trPr>
        <w:tc>
          <w:tcPr>
            <w:tcW w:w="860" w:type="dxa"/>
            <w:vAlign w:val="bottom"/>
            <w:vMerge w:val="continue"/>
          </w:tcPr>
          <w:p>
            <w:pPr>
              <w:spacing w:after="0"/>
              <w:rPr>
                <w:sz w:val="21"/>
                <w:szCs w:val="21"/>
                <w:color w:val="auto"/>
              </w:rPr>
            </w:pPr>
          </w:p>
        </w:tc>
        <w:tc>
          <w:tcPr>
            <w:tcW w:w="8740" w:type="dxa"/>
            <w:vAlign w:val="bottom"/>
          </w:tcPr>
          <w:p>
            <w:pPr>
              <w:ind w:left="200"/>
              <w:spacing w:after="0" w:line="253" w:lineRule="exact"/>
              <w:rPr>
                <w:sz w:val="20"/>
                <w:szCs w:val="20"/>
                <w:color w:val="auto"/>
              </w:rPr>
            </w:pPr>
            <w:r>
              <w:rPr>
                <w:rFonts w:ascii="Arial" w:cs="Arial" w:eastAsia="Arial" w:hAnsi="Arial"/>
                <w:sz w:val="18"/>
                <w:szCs w:val="18"/>
                <w:color w:val="auto"/>
              </w:rPr>
              <w:t>Dividend Reinvestment Plan</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0"/>
        </w:trPr>
        <w:tc>
          <w:tcPr>
            <w:tcW w:w="860" w:type="dxa"/>
            <w:vAlign w:val="bottom"/>
          </w:tcPr>
          <w:p>
            <w:pPr>
              <w:jc w:val="center"/>
              <w:ind w:left="70"/>
              <w:spacing w:after="0"/>
              <w:rPr>
                <w:sz w:val="20"/>
                <w:szCs w:val="20"/>
                <w:color w:val="auto"/>
              </w:rPr>
            </w:pPr>
            <w:r>
              <w:rPr>
                <w:rFonts w:ascii="Arial" w:cs="Arial" w:eastAsia="Arial" w:hAnsi="Arial"/>
                <w:sz w:val="18"/>
                <w:szCs w:val="18"/>
                <w:color w:val="auto"/>
                <w:w w:val="85"/>
              </w:rPr>
              <w:t>10.2</w:t>
            </w:r>
          </w:p>
        </w:tc>
        <w:tc>
          <w:tcPr>
            <w:tcW w:w="8740" w:type="dxa"/>
            <w:vAlign w:val="bottom"/>
          </w:tcPr>
          <w:p>
            <w:pPr>
              <w:ind w:left="200"/>
              <w:spacing w:after="0"/>
              <w:rPr>
                <w:sz w:val="20"/>
                <w:szCs w:val="20"/>
                <w:color w:val="auto"/>
              </w:rPr>
            </w:pPr>
            <w:r>
              <w:rPr>
                <w:rFonts w:ascii="Arial" w:cs="Arial" w:eastAsia="Arial" w:hAnsi="Arial"/>
                <w:sz w:val="18"/>
                <w:szCs w:val="18"/>
                <w:color w:val="auto"/>
              </w:rPr>
              <w:t>Amended and Restated Investment Advisory Agreement by and between the Company and GSV</w:t>
            </w:r>
          </w:p>
        </w:tc>
        <w:tc>
          <w:tcPr>
            <w:tcW w:w="0" w:type="dxa"/>
            <w:vAlign w:val="bottom"/>
          </w:tcPr>
          <w:p>
            <w:pPr>
              <w:spacing w:after="0"/>
              <w:rPr>
                <w:sz w:val="1"/>
                <w:szCs w:val="1"/>
                <w:color w:val="auto"/>
              </w:rPr>
            </w:pPr>
          </w:p>
        </w:tc>
      </w:tr>
      <w:tr>
        <w:trPr>
          <w:trHeight w:val="390"/>
        </w:trPr>
        <w:tc>
          <w:tcPr>
            <w:tcW w:w="86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Asset Management, LLC</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647"/>
        </w:trPr>
        <w:tc>
          <w:tcPr>
            <w:tcW w:w="860" w:type="dxa"/>
            <w:vAlign w:val="bottom"/>
          </w:tcPr>
          <w:p>
            <w:pPr>
              <w:spacing w:after="0"/>
              <w:rPr>
                <w:sz w:val="24"/>
                <w:szCs w:val="24"/>
                <w:color w:val="auto"/>
              </w:rPr>
            </w:pPr>
          </w:p>
        </w:tc>
        <w:tc>
          <w:tcPr>
            <w:tcW w:w="8740" w:type="dxa"/>
            <w:vAlign w:val="bottom"/>
          </w:tcPr>
          <w:p>
            <w:pPr>
              <w:ind w:left="38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62"/>
        </w:trPr>
        <w:tc>
          <w:tcPr>
            <w:tcW w:w="860" w:type="dxa"/>
            <w:vAlign w:val="bottom"/>
            <w:tcBorders>
              <w:bottom w:val="single" w:sz="8" w:color="9A9A9A"/>
            </w:tcBorders>
          </w:tcPr>
          <w:p>
            <w:pPr>
              <w:spacing w:after="0"/>
              <w:rPr>
                <w:sz w:val="14"/>
                <w:szCs w:val="14"/>
                <w:color w:val="auto"/>
              </w:rPr>
            </w:pPr>
          </w:p>
        </w:tc>
        <w:tc>
          <w:tcPr>
            <w:tcW w:w="87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60" w:type="dxa"/>
            <w:vAlign w:val="bottom"/>
            <w:tcBorders>
              <w:bottom w:val="single" w:sz="8" w:color="EEEEEE"/>
            </w:tcBorders>
          </w:tcPr>
          <w:p>
            <w:pPr>
              <w:spacing w:after="0" w:line="20" w:lineRule="exact"/>
              <w:rPr>
                <w:sz w:val="1"/>
                <w:szCs w:val="1"/>
                <w:color w:val="auto"/>
              </w:rPr>
            </w:pPr>
          </w:p>
        </w:tc>
        <w:tc>
          <w:tcPr>
            <w:tcW w:w="87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17969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25"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10.3</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Amended and Restated Administration Agreement by and between the Company and GSV Capital</w:t>
            </w:r>
          </w:p>
        </w:tc>
        <w:tc>
          <w:tcPr>
            <w:tcW w:w="0" w:type="dxa"/>
            <w:vAlign w:val="bottom"/>
          </w:tcPr>
          <w:p>
            <w:pPr>
              <w:spacing w:after="0"/>
              <w:rPr>
                <w:sz w:val="1"/>
                <w:szCs w:val="1"/>
                <w:color w:val="auto"/>
              </w:rPr>
            </w:pPr>
          </w:p>
        </w:tc>
      </w:tr>
      <w:tr>
        <w:trPr>
          <w:trHeight w:val="257"/>
        </w:trPr>
        <w:tc>
          <w:tcPr>
            <w:tcW w:w="5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10.4</w:t>
            </w:r>
          </w:p>
        </w:tc>
        <w:tc>
          <w:tcPr>
            <w:tcW w:w="7460" w:type="dxa"/>
            <w:vAlign w:val="bottom"/>
          </w:tcPr>
          <w:p>
            <w:pPr>
              <w:ind w:left="200"/>
              <w:spacing w:after="0" w:line="256" w:lineRule="exact"/>
              <w:rPr>
                <w:sz w:val="20"/>
                <w:szCs w:val="20"/>
                <w:color w:val="auto"/>
              </w:rPr>
            </w:pPr>
            <w:r>
              <w:rPr>
                <w:rFonts w:ascii="Arial" w:cs="Arial" w:eastAsia="Arial" w:hAnsi="Arial"/>
                <w:sz w:val="18"/>
                <w:szCs w:val="18"/>
                <w:color w:val="auto"/>
              </w:rPr>
              <w:t>Service Company, LLC</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53"/>
        </w:trPr>
        <w:tc>
          <w:tcPr>
            <w:tcW w:w="500" w:type="dxa"/>
            <w:vAlign w:val="bottom"/>
            <w:vMerge w:val="continue"/>
          </w:tcPr>
          <w:p>
            <w:pPr>
              <w:spacing w:after="0"/>
              <w:rPr>
                <w:sz w:val="21"/>
                <w:szCs w:val="21"/>
                <w:color w:val="auto"/>
              </w:rPr>
            </w:pPr>
          </w:p>
        </w:tc>
        <w:tc>
          <w:tcPr>
            <w:tcW w:w="7460" w:type="dxa"/>
            <w:vAlign w:val="bottom"/>
          </w:tcPr>
          <w:p>
            <w:pPr>
              <w:ind w:left="200"/>
              <w:spacing w:after="0" w:line="253" w:lineRule="exact"/>
              <w:rPr>
                <w:sz w:val="20"/>
                <w:szCs w:val="20"/>
                <w:color w:val="auto"/>
              </w:rPr>
            </w:pPr>
            <w:r>
              <w:rPr>
                <w:rFonts w:ascii="Arial" w:cs="Arial" w:eastAsia="Arial" w:hAnsi="Arial"/>
                <w:sz w:val="18"/>
                <w:szCs w:val="18"/>
                <w:color w:val="auto"/>
                <w:w w:val="97"/>
              </w:rPr>
              <w:t>Form of Indemnification Agreement by and between the Company and each of its directors</w:t>
            </w:r>
            <w:r>
              <w:rPr>
                <w:rFonts w:ascii="Arial" w:cs="Arial" w:eastAsia="Arial" w:hAnsi="Arial"/>
                <w:sz w:val="29"/>
                <w:szCs w:val="29"/>
                <w:color w:val="auto"/>
                <w:w w:val="97"/>
                <w:vertAlign w:val="superscript"/>
              </w:rPr>
              <w:t>(1)</w:t>
            </w:r>
          </w:p>
        </w:tc>
        <w:tc>
          <w:tcPr>
            <w:tcW w:w="0" w:type="dxa"/>
            <w:vAlign w:val="bottom"/>
          </w:tcPr>
          <w:p>
            <w:pPr>
              <w:spacing w:after="0"/>
              <w:rPr>
                <w:sz w:val="1"/>
                <w:szCs w:val="1"/>
                <w:color w:val="auto"/>
              </w:rPr>
            </w:pPr>
          </w:p>
        </w:tc>
      </w:tr>
      <w:tr>
        <w:trPr>
          <w:trHeight w:val="257"/>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10.5</w:t>
            </w:r>
          </w:p>
        </w:tc>
        <w:tc>
          <w:tcPr>
            <w:tcW w:w="7460" w:type="dxa"/>
            <w:vAlign w:val="bottom"/>
          </w:tcPr>
          <w:p>
            <w:pPr>
              <w:ind w:left="200"/>
              <w:spacing w:after="0" w:line="256" w:lineRule="exact"/>
              <w:rPr>
                <w:sz w:val="20"/>
                <w:szCs w:val="20"/>
                <w:color w:val="auto"/>
              </w:rPr>
            </w:pPr>
            <w:r>
              <w:rPr>
                <w:rFonts w:ascii="Arial" w:cs="Arial" w:eastAsia="Arial" w:hAnsi="Arial"/>
                <w:sz w:val="18"/>
                <w:szCs w:val="18"/>
                <w:color w:val="auto"/>
              </w:rPr>
              <w:t>Custody Agreement by and between the Company and U.S. Bank National Association</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20"/>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10.6</w:t>
            </w:r>
          </w:p>
        </w:tc>
        <w:tc>
          <w:tcPr>
            <w:tcW w:w="7460" w:type="dxa"/>
            <w:vAlign w:val="bottom"/>
          </w:tcPr>
          <w:p>
            <w:pPr>
              <w:ind w:left="200"/>
              <w:spacing w:after="0"/>
              <w:rPr>
                <w:sz w:val="20"/>
                <w:szCs w:val="20"/>
                <w:color w:val="auto"/>
              </w:rPr>
            </w:pPr>
            <w:r>
              <w:rPr>
                <w:rFonts w:ascii="Arial" w:cs="Arial" w:eastAsia="Arial" w:hAnsi="Arial"/>
                <w:sz w:val="18"/>
                <w:szCs w:val="18"/>
                <w:color w:val="auto"/>
                <w:w w:val="90"/>
              </w:rPr>
              <w:t>Form of Trademark License Agreement by and between the Company and GSV Asset Management,</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1"/>
                <w:szCs w:val="21"/>
                <w:color w:val="auto"/>
              </w:rPr>
            </w:pPr>
          </w:p>
        </w:tc>
        <w:tc>
          <w:tcPr>
            <w:tcW w:w="7460" w:type="dxa"/>
            <w:vAlign w:val="bottom"/>
          </w:tcPr>
          <w:p>
            <w:pPr>
              <w:ind w:left="200"/>
              <w:spacing w:after="0" w:line="253" w:lineRule="exact"/>
              <w:rPr>
                <w:sz w:val="20"/>
                <w:szCs w:val="20"/>
                <w:color w:val="auto"/>
              </w:rPr>
            </w:pPr>
            <w:r>
              <w:rPr>
                <w:rFonts w:ascii="Arial" w:cs="Arial" w:eastAsia="Arial" w:hAnsi="Arial"/>
                <w:sz w:val="29"/>
                <w:szCs w:val="29"/>
                <w:color w:val="auto"/>
                <w:vertAlign w:val="subscript"/>
              </w:rPr>
              <w:t>LLC</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20"/>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10.7</w:t>
            </w:r>
          </w:p>
        </w:tc>
        <w:tc>
          <w:tcPr>
            <w:tcW w:w="7460" w:type="dxa"/>
            <w:vAlign w:val="bottom"/>
          </w:tcPr>
          <w:p>
            <w:pPr>
              <w:ind w:left="200"/>
              <w:spacing w:after="0"/>
              <w:rPr>
                <w:sz w:val="20"/>
                <w:szCs w:val="20"/>
                <w:color w:val="auto"/>
              </w:rPr>
            </w:pPr>
            <w:r>
              <w:rPr>
                <w:rFonts w:ascii="Arial" w:cs="Arial" w:eastAsia="Arial" w:hAnsi="Arial"/>
                <w:sz w:val="18"/>
                <w:szCs w:val="18"/>
                <w:color w:val="auto"/>
                <w:w w:val="90"/>
              </w:rPr>
              <w:t>Loan and Security Agreement between the Company and Silicon Valley Bank, dated as of December</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1"/>
                <w:szCs w:val="21"/>
                <w:color w:val="auto"/>
              </w:rPr>
            </w:pPr>
          </w:p>
        </w:tc>
        <w:tc>
          <w:tcPr>
            <w:tcW w:w="7460" w:type="dxa"/>
            <w:vAlign w:val="bottom"/>
          </w:tcPr>
          <w:p>
            <w:pPr>
              <w:ind w:left="200"/>
              <w:spacing w:after="0" w:line="253" w:lineRule="exact"/>
              <w:rPr>
                <w:sz w:val="20"/>
                <w:szCs w:val="20"/>
                <w:color w:val="auto"/>
              </w:rPr>
            </w:pPr>
            <w:r>
              <w:rPr>
                <w:rFonts w:ascii="Arial" w:cs="Arial" w:eastAsia="Arial" w:hAnsi="Arial"/>
                <w:sz w:val="18"/>
                <w:szCs w:val="18"/>
                <w:color w:val="auto"/>
              </w:rPr>
              <w:t>31, 2013</w:t>
            </w:r>
            <w:r>
              <w:rPr>
                <w:rFonts w:ascii="Arial" w:cs="Arial" w:eastAsia="Arial" w:hAnsi="Arial"/>
                <w:sz w:val="29"/>
                <w:szCs w:val="29"/>
                <w:color w:val="auto"/>
                <w:vertAlign w:val="superscript"/>
              </w:rPr>
              <w:t>(5)</w:t>
            </w:r>
          </w:p>
        </w:tc>
        <w:tc>
          <w:tcPr>
            <w:tcW w:w="0" w:type="dxa"/>
            <w:vAlign w:val="bottom"/>
          </w:tcPr>
          <w:p>
            <w:pPr>
              <w:spacing w:after="0"/>
              <w:rPr>
                <w:sz w:val="1"/>
                <w:szCs w:val="1"/>
                <w:color w:val="auto"/>
              </w:rPr>
            </w:pPr>
          </w:p>
        </w:tc>
      </w:tr>
      <w:tr>
        <w:trPr>
          <w:trHeight w:val="216"/>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11.1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Computation of Per Share Earnings (Included in the notes to the consolidated financial statements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contained in this report)</w:t>
            </w:r>
          </w:p>
        </w:tc>
        <w:tc>
          <w:tcPr>
            <w:tcW w:w="0" w:type="dxa"/>
            <w:vAlign w:val="bottom"/>
          </w:tcPr>
          <w:p>
            <w:pPr>
              <w:spacing w:after="0"/>
              <w:rPr>
                <w:sz w:val="1"/>
                <w:szCs w:val="1"/>
                <w:color w:val="auto"/>
              </w:rPr>
            </w:pPr>
          </w:p>
        </w:tc>
      </w:tr>
      <w:tr>
        <w:trPr>
          <w:trHeight w:val="216"/>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21.1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List of Subsidiaries (Included in the notes to the consolidated financial statements contained in this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report)</w:t>
            </w:r>
          </w:p>
        </w:tc>
        <w:tc>
          <w:tcPr>
            <w:tcW w:w="0" w:type="dxa"/>
            <w:vAlign w:val="bottom"/>
          </w:tcPr>
          <w:p>
            <w:pPr>
              <w:spacing w:after="0"/>
              <w:rPr>
                <w:sz w:val="1"/>
                <w:szCs w:val="1"/>
                <w:color w:val="auto"/>
              </w:rPr>
            </w:pPr>
          </w:p>
        </w:tc>
      </w:tr>
      <w:tr>
        <w:trPr>
          <w:trHeight w:val="216"/>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31.1</w:t>
            </w:r>
          </w:p>
        </w:tc>
        <w:tc>
          <w:tcPr>
            <w:tcW w:w="7460" w:type="dxa"/>
            <w:vAlign w:val="bottom"/>
          </w:tcPr>
          <w:p>
            <w:pPr>
              <w:ind w:left="200"/>
              <w:spacing w:after="0"/>
              <w:rPr>
                <w:sz w:val="20"/>
                <w:szCs w:val="20"/>
                <w:color w:val="auto"/>
              </w:rPr>
            </w:pPr>
            <w:r>
              <w:rPr>
                <w:rFonts w:ascii="Arial" w:cs="Arial" w:eastAsia="Arial" w:hAnsi="Arial"/>
                <w:sz w:val="18"/>
                <w:szCs w:val="18"/>
                <w:color w:val="auto"/>
                <w:w w:val="93"/>
              </w:rPr>
              <w:t>Certification of Chief Executive Officer pursuant to Rule 13a-14 of the Securities Exchange Act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16"/>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31.2</w:t>
            </w:r>
          </w:p>
        </w:tc>
        <w:tc>
          <w:tcPr>
            <w:tcW w:w="7460" w:type="dxa"/>
            <w:vAlign w:val="bottom"/>
          </w:tcPr>
          <w:p>
            <w:pPr>
              <w:ind w:left="200"/>
              <w:spacing w:after="0"/>
              <w:rPr>
                <w:sz w:val="20"/>
                <w:szCs w:val="20"/>
                <w:color w:val="auto"/>
              </w:rPr>
            </w:pPr>
            <w:r>
              <w:rPr>
                <w:rFonts w:ascii="Arial" w:cs="Arial" w:eastAsia="Arial" w:hAnsi="Arial"/>
                <w:sz w:val="18"/>
                <w:szCs w:val="18"/>
                <w:color w:val="auto"/>
                <w:w w:val="94"/>
              </w:rPr>
              <w:t>Certification of Chief Financial Officer pursuant to Rule 13a-14 of the Securities Exchange Act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16"/>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32.1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30"/>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79"/>
              </w:rPr>
              <w:t>32.2</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80" w:right="85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62" w:lineRule="exact"/>
        <w:rPr>
          <w:rFonts w:ascii="Arial" w:cs="Arial" w:eastAsia="Arial" w:hAnsi="Arial"/>
          <w:sz w:val="18"/>
          <w:szCs w:val="18"/>
          <w:color w:val="auto"/>
        </w:rPr>
      </w:pPr>
    </w:p>
    <w:p>
      <w:pPr>
        <w:ind w:left="280" w:right="71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June 1, 2011, and incorporated by reference herein.</w:t>
      </w:r>
    </w:p>
    <w:p>
      <w:pPr>
        <w:spacing w:after="0" w:line="62" w:lineRule="exact"/>
        <w:rPr>
          <w:rFonts w:ascii="Arial" w:cs="Arial" w:eastAsia="Arial" w:hAnsi="Arial"/>
          <w:sz w:val="18"/>
          <w:szCs w:val="18"/>
          <w:color w:val="auto"/>
        </w:rPr>
      </w:pPr>
    </w:p>
    <w:p>
      <w:pPr>
        <w:ind w:left="280" w:right="135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Annual Report on Form 10-K (File No. 814-00852) filed on March 14, 2013, and incorporated by reference herein.</w:t>
      </w:r>
    </w:p>
    <w:p>
      <w:pPr>
        <w:spacing w:after="0" w:line="62" w:lineRule="exact"/>
        <w:rPr>
          <w:rFonts w:ascii="Arial" w:cs="Arial" w:eastAsia="Arial" w:hAnsi="Arial"/>
          <w:sz w:val="18"/>
          <w:szCs w:val="18"/>
          <w:color w:val="auto"/>
        </w:rPr>
      </w:pPr>
    </w:p>
    <w:p>
      <w:pPr>
        <w:ind w:left="280" w:right="67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September 18, 2013, and incorporated by reference herein.</w:t>
      </w:r>
    </w:p>
    <w:p>
      <w:pPr>
        <w:spacing w:after="0" w:line="62" w:lineRule="exact"/>
        <w:rPr>
          <w:rFonts w:ascii="Arial" w:cs="Arial" w:eastAsia="Arial" w:hAnsi="Arial"/>
          <w:sz w:val="18"/>
          <w:szCs w:val="18"/>
          <w:color w:val="auto"/>
        </w:rPr>
      </w:pPr>
    </w:p>
    <w:p>
      <w:pPr>
        <w:ind w:left="280" w:right="143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Current Report on Form 8-K (File No. 814-00852) filed on January 7, 2014, and incorporated by reference herein.</w:t>
      </w:r>
    </w:p>
    <w:p>
      <w:pPr>
        <w:spacing w:after="0" w:line="62" w:lineRule="exact"/>
        <w:rPr>
          <w:rFonts w:ascii="Arial" w:cs="Arial" w:eastAsia="Arial" w:hAnsi="Arial"/>
          <w:sz w:val="18"/>
          <w:szCs w:val="18"/>
          <w:color w:val="auto"/>
        </w:rPr>
      </w:pPr>
    </w:p>
    <w:p>
      <w:pPr>
        <w:ind w:left="280" w:right="85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3 to the Registrant’s Registration Statement on Form N-2 (File No. 333-175655) filed on September 20, 2011, and incorporated by reference herein.</w:t>
      </w:r>
    </w:p>
    <w:p>
      <w:pPr>
        <w:spacing w:after="0" w:line="62" w:lineRule="exact"/>
        <w:rPr>
          <w:rFonts w:ascii="Arial" w:cs="Arial" w:eastAsia="Arial" w:hAnsi="Arial"/>
          <w:sz w:val="18"/>
          <w:szCs w:val="18"/>
          <w:color w:val="auto"/>
        </w:rPr>
      </w:pPr>
    </w:p>
    <w:p>
      <w:pPr>
        <w:ind w:left="280" w:right="859"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3 to the Registrant’s Registration Statement on Form N-2 (File No. 333-171578), filed on April 15, 2011, and incorporated by reference herein.</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6" w:name="page127"/>
    <w:bookmarkEnd w:id="12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or Dividends</w:t>
            </w:r>
          </w:p>
        </w:tc>
        <w:tc>
          <w:tcPr>
            <w:tcW w:w="90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3"/>
                <w:szCs w:val="13"/>
                <w:b w:val="1"/>
                <w:bCs w:val="1"/>
                <w:color w:val="auto"/>
              </w:rPr>
              <w:t>Portfolio Company/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Credited in</w:t>
            </w:r>
          </w:p>
        </w:tc>
        <w:tc>
          <w:tcPr>
            <w:tcW w:w="90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94"/>
              </w:rPr>
              <w:t>Transfers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96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Type of 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2014</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In (Out)</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2"/>
              </w:rPr>
              <w:t>Purchases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Sales</w:t>
            </w: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2015</w:t>
            </w:r>
          </w:p>
        </w:tc>
        <w:tc>
          <w:tcPr>
            <w:tcW w:w="60" w:type="dxa"/>
            <w:vAlign w:val="bottom"/>
            <w:tcBorders>
              <w:bottom w:val="single" w:sz="8" w:color="auto"/>
            </w:tcBorders>
          </w:tcPr>
          <w:p>
            <w:pPr>
              <w:spacing w:after="0"/>
              <w:rPr>
                <w:sz w:val="13"/>
                <w:szCs w:val="13"/>
                <w:color w:val="auto"/>
              </w:rPr>
            </w:pPr>
          </w:p>
        </w:tc>
      </w:tr>
      <w:tr>
        <w:trPr>
          <w:trHeight w:val="129"/>
        </w:trPr>
        <w:tc>
          <w:tcPr>
            <w:tcW w:w="196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Control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29"/>
        </w:trPr>
        <w:tc>
          <w:tcPr>
            <w:tcW w:w="1960" w:type="dxa"/>
            <w:vAlign w:val="bottom"/>
            <w:gridSpan w:val="11"/>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629,309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(629,309)</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left w:val="single" w:sz="8" w:color="CCEEFF"/>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491,252</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(491,252)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96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$1.00 strike price, expire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1/9/2017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196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4,338,830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260,888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4,599,718</w:t>
            </w: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4,347,608</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285,620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4,633,228</w:t>
            </w:r>
          </w:p>
        </w:tc>
      </w:tr>
      <w:tr>
        <w:trPr>
          <w:trHeight w:val="149"/>
        </w:trPr>
        <w:tc>
          <w:tcPr>
            <w:tcW w:w="196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391,592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126,408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518,000</w:t>
            </w: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NestGSV, Inc. (d/b/a GSV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600" w:type="dxa"/>
            <w:vAlign w:val="bottom"/>
            <w:tcBorders>
              <w:top w:val="single" w:sz="8" w:color="auto"/>
            </w:tcBorders>
            <w:gridSpan w:val="7"/>
          </w:tcPr>
          <w:p>
            <w:pPr>
              <w:ind w:left="180"/>
              <w:spacing w:after="0" w:line="129" w:lineRule="exact"/>
              <w:rPr>
                <w:sz w:val="20"/>
                <w:szCs w:val="20"/>
                <w:color w:val="auto"/>
              </w:rPr>
            </w:pPr>
            <w:r>
              <w:rPr>
                <w:rFonts w:ascii="Arial" w:cs="Arial" w:eastAsia="Arial" w:hAnsi="Arial"/>
                <w:sz w:val="14"/>
                <w:szCs w:val="14"/>
                <w:b w:val="1"/>
                <w:bCs w:val="1"/>
                <w:color w:val="auto"/>
              </w:rPr>
              <w:t>Labs, Inc.)</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1,460,557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3,499,999</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4,960,565</w:t>
            </w: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1,503,832</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229,572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1,733,404</w:t>
            </w:r>
          </w:p>
        </w:tc>
      </w:tr>
      <w:tr>
        <w:trPr>
          <w:trHeight w:val="149"/>
        </w:trPr>
        <w:tc>
          <w:tcPr>
            <w:tcW w:w="196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265,980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(265,980)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440,000</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96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 Series D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9"/>
          </w:tcPr>
          <w:p>
            <w:pPr>
              <w:ind w:left="40"/>
              <w:spacing w:after="0" w:line="149" w:lineRule="exact"/>
              <w:rPr>
                <w:sz w:val="20"/>
                <w:szCs w:val="20"/>
                <w:color w:val="auto"/>
              </w:rPr>
            </w:pPr>
            <w:r>
              <w:rPr>
                <w:rFonts w:ascii="Arial" w:cs="Arial" w:eastAsia="Arial" w:hAnsi="Arial"/>
                <w:sz w:val="14"/>
                <w:szCs w:val="14"/>
                <w:color w:val="auto"/>
                <w:w w:val="94"/>
              </w:rPr>
              <w:t>$1.33 Strike Price, Expiration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940" w:type="dxa"/>
            <w:vAlign w:val="bottom"/>
            <w:gridSpan w:val="10"/>
          </w:tcPr>
          <w:p>
            <w:pPr>
              <w:ind w:left="180"/>
              <w:spacing w:after="0"/>
              <w:rPr>
                <w:sz w:val="20"/>
                <w:szCs w:val="20"/>
                <w:color w:val="auto"/>
              </w:rPr>
            </w:pPr>
            <w:r>
              <w:rPr>
                <w:rFonts w:ascii="Arial" w:cs="Arial" w:eastAsia="Arial" w:hAnsi="Arial"/>
                <w:sz w:val="14"/>
                <w:szCs w:val="14"/>
                <w:color w:val="auto"/>
              </w:rPr>
              <w:t>Date 10/6/2019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65,000</w:t>
            </w: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145,000</w:t>
            </w:r>
          </w:p>
        </w:tc>
      </w:tr>
      <w:tr>
        <w:trPr>
          <w:trHeight w:val="130"/>
        </w:trPr>
        <w:tc>
          <w:tcPr>
            <w:tcW w:w="196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C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gridSpan w:val="9"/>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$1.33 Strike Price, Expiration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94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Date 4/9/2019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24,375</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31,875</w:t>
            </w: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GSV Sustainability Partners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4,850,000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2,300,156</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(900,156)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6,250,000</w:t>
            </w: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96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Total Control Investments</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820" w:type="dxa"/>
            <w:vAlign w:val="bottom"/>
            <w:tcBorders>
              <w:right w:val="single" w:sz="8" w:color="CCEEFF"/>
            </w:tcBorders>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76"/>
              </w:rPr>
              <w:t>$</w:t>
            </w:r>
          </w:p>
        </w:tc>
        <w:tc>
          <w:tcPr>
            <w:tcW w:w="820" w:type="dxa"/>
            <w:vAlign w:val="bottom"/>
            <w:tcBorders>
              <w:right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b w:val="1"/>
                <w:bCs w:val="1"/>
                <w:color w:val="auto"/>
                <w:w w:val="91"/>
              </w:rPr>
              <w:t>18,819,335</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b w:val="1"/>
                <w:bCs w:val="1"/>
                <w:color w:val="auto"/>
                <w:w w:val="92"/>
              </w:rPr>
              <w:t>(1,120,561)</w:t>
            </w:r>
          </w:p>
        </w:tc>
        <w:tc>
          <w:tcPr>
            <w:tcW w:w="1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u w:val="single" w:color="auto"/>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89"/>
              </w:rPr>
              <w:t>5,800,155</w:t>
            </w:r>
          </w:p>
        </w:tc>
        <w:tc>
          <w:tcPr>
            <w:tcW w:w="260" w:type="dxa"/>
            <w:vAlign w:val="bottom"/>
            <w:tcBorders>
              <w:left w:val="single" w:sz="8" w:color="CCEEFF"/>
            </w:tcBorders>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b w:val="1"/>
                <w:bCs w:val="1"/>
                <w:color w:val="auto"/>
              </w:rPr>
              <w:t>(627,139)</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b w:val="1"/>
                <w:bCs w:val="1"/>
                <w:color w:val="auto"/>
              </w:rPr>
              <w:t>22,871,790</w:t>
            </w:r>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Affiliate Investments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96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96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629,309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(437,316)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191,993</w:t>
            </w:r>
          </w:p>
        </w:tc>
      </w:tr>
      <w:tr>
        <w:trPr>
          <w:trHeight w:val="149"/>
        </w:trPr>
        <w:tc>
          <w:tcPr>
            <w:tcW w:w="196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491,252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(357,594)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133,978</w:t>
            </w:r>
          </w:p>
        </w:tc>
      </w:tr>
      <w:tr>
        <w:trPr>
          <w:trHeight w:val="130"/>
        </w:trPr>
        <w:tc>
          <w:tcPr>
            <w:tcW w:w="196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$1.00 strike price, expire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rPr>
              <w:t>1/9/2017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196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96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3,000,000</w:t>
            </w:r>
          </w:p>
        </w:tc>
      </w:tr>
      <w:tr>
        <w:trPr>
          <w:trHeight w:val="149"/>
        </w:trPr>
        <w:tc>
          <w:tcPr>
            <w:tcW w:w="196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1,500,000</w:t>
            </w:r>
          </w:p>
        </w:tc>
      </w:tr>
      <w:tr>
        <w:trPr>
          <w:trHeight w:val="135"/>
        </w:trPr>
        <w:tc>
          <w:tcPr>
            <w:tcW w:w="196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800" w:type="dxa"/>
            <w:vAlign w:val="bottom"/>
            <w:tcBorders>
              <w:top w:val="single" w:sz="8" w:color="auto"/>
            </w:tcBorders>
            <w:gridSpan w:val="9"/>
          </w:tcPr>
          <w:p>
            <w:pPr>
              <w:ind w:left="180"/>
              <w:spacing w:after="0" w:line="129" w:lineRule="exact"/>
              <w:rPr>
                <w:sz w:val="20"/>
                <w:szCs w:val="20"/>
                <w:color w:val="auto"/>
              </w:rPr>
            </w:pPr>
            <w:r>
              <w:rPr>
                <w:rFonts w:ascii="Arial" w:cs="Arial" w:eastAsia="Arial" w:hAnsi="Arial"/>
                <w:sz w:val="14"/>
                <w:szCs w:val="14"/>
                <w:b w:val="1"/>
                <w:bCs w:val="1"/>
                <w:color w:val="auto"/>
              </w:rPr>
              <w:t>Corp. (d/b/a S3i))</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96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1,705,006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293,558</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(842,389)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1,156,175</w:t>
            </w:r>
          </w:p>
        </w:tc>
      </w:tr>
      <w:tr>
        <w:trPr>
          <w:trHeight w:val="149"/>
        </w:trPr>
        <w:tc>
          <w:tcPr>
            <w:tcW w:w="196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Term Loan, 12%, 09/30/15***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(6,439)</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288,114</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(292,798)</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12%, 11/18/16***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26,104</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960" w:type="dxa"/>
            <w:vAlign w:val="bottom"/>
            <w:gridSpan w:val="11"/>
          </w:tcPr>
          <w:p>
            <w:pPr>
              <w:ind w:left="20"/>
              <w:spacing w:after="0" w:line="130" w:lineRule="exact"/>
              <w:rPr>
                <w:sz w:val="20"/>
                <w:szCs w:val="20"/>
                <w:color w:val="auto"/>
              </w:rPr>
            </w:pPr>
            <w:r>
              <w:rPr>
                <w:rFonts w:ascii="Arial" w:cs="Arial" w:eastAsia="Arial" w:hAnsi="Arial"/>
                <w:sz w:val="14"/>
                <w:szCs w:val="14"/>
                <w:color w:val="auto"/>
                <w:w w:val="96"/>
              </w:rPr>
              <w:t>Preferred warrants, $1.00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w w:val="91"/>
              </w:rPr>
              <w:t>11/21/2017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165,000</w:t>
            </w: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(110,000)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55,000</w:t>
            </w:r>
          </w:p>
        </w:tc>
      </w:tr>
      <w:tr>
        <w:trPr>
          <w:trHeight w:val="130"/>
        </w:trPr>
        <w:tc>
          <w:tcPr>
            <w:tcW w:w="196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Preferred warrants, $1.17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1"/>
              </w:rPr>
              <w:t>08/29/2021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58,019</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(43,954)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-2014855</wp:posOffset>
            </wp:positionV>
            <wp:extent cx="5213985" cy="1028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3985" cy="10287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7" w:name="page128"/>
    <w:bookmarkEnd w:id="12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6"/>
          </w:tcPr>
          <w:p>
            <w:pPr>
              <w:jc w:val="center"/>
              <w:ind w:left="168"/>
              <w:spacing w:after="0"/>
              <w:rPr>
                <w:sz w:val="20"/>
                <w:szCs w:val="20"/>
                <w:color w:val="auto"/>
              </w:rPr>
            </w:pPr>
            <w:r>
              <w:rPr>
                <w:rFonts w:ascii="Arial" w:cs="Arial" w:eastAsia="Arial" w:hAnsi="Arial"/>
                <w:sz w:val="18"/>
                <w:szCs w:val="18"/>
                <w:b w:val="1"/>
                <w:bCs w:val="1"/>
                <w:color w:val="auto"/>
                <w:w w:val="88"/>
              </w:rPr>
              <w:t>Schedule 12-14</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18"/>
          </w:tcPr>
          <w:p>
            <w:pPr>
              <w:jc w:val="center"/>
              <w:ind w:right="429"/>
              <w:spacing w:after="0"/>
              <w:rPr>
                <w:sz w:val="20"/>
                <w:szCs w:val="20"/>
                <w:color w:val="auto"/>
              </w:rPr>
            </w:pPr>
            <w:r>
              <w:rPr>
                <w:rFonts w:ascii="Arial" w:cs="Arial" w:eastAsia="Arial" w:hAnsi="Arial"/>
                <w:sz w:val="18"/>
                <w:szCs w:val="18"/>
                <w:b w:val="1"/>
                <w:bCs w:val="1"/>
                <w:color w:val="auto"/>
                <w:w w:val="89"/>
              </w:rPr>
              <w:t>Schedule of Investments in and Advances to Affiliates – (continued)</w:t>
            </w:r>
          </w:p>
        </w:tc>
      </w:tr>
      <w:tr>
        <w:trPr>
          <w:trHeight w:val="211"/>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0"/>
              </w:rPr>
              <w:t>Fair Value at</w:t>
            </w:r>
          </w:p>
        </w:tc>
      </w:tr>
      <w:tr>
        <w:trPr>
          <w:trHeight w:val="135"/>
        </w:trPr>
        <w:tc>
          <w:tcPr>
            <w:tcW w:w="1960" w:type="dxa"/>
            <w:vAlign w:val="bottom"/>
            <w:gridSpan w:val="9"/>
          </w:tcPr>
          <w:p>
            <w:pPr>
              <w:ind w:left="20"/>
              <w:spacing w:after="0" w:line="135" w:lineRule="exact"/>
              <w:rPr>
                <w:sz w:val="20"/>
                <w:szCs w:val="20"/>
                <w:color w:val="auto"/>
              </w:rPr>
            </w:pPr>
            <w:r>
              <w:rPr>
                <w:rFonts w:ascii="Arial" w:cs="Arial" w:eastAsia="Arial" w:hAnsi="Arial"/>
                <w:sz w:val="13"/>
                <w:szCs w:val="13"/>
                <w:b w:val="1"/>
                <w:bCs w:val="1"/>
                <w:color w:val="auto"/>
              </w:rPr>
              <w:t>Portfolio Company/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28"/>
              <w:spacing w:after="0" w:line="135" w:lineRule="exact"/>
              <w:rPr>
                <w:sz w:val="20"/>
                <w:szCs w:val="20"/>
                <w:color w:val="auto"/>
              </w:rPr>
            </w:pPr>
            <w:r>
              <w:rPr>
                <w:rFonts w:ascii="Arial" w:cs="Arial" w:eastAsia="Arial" w:hAnsi="Arial"/>
                <w:sz w:val="13"/>
                <w:szCs w:val="13"/>
                <w:b w:val="1"/>
                <w:bCs w:val="1"/>
                <w:color w:val="auto"/>
                <w:w w:val="84"/>
              </w:rPr>
              <w:t>Transfers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6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r>
      <w:tr>
        <w:trPr>
          <w:trHeight w:val="153"/>
        </w:trPr>
        <w:tc>
          <w:tcPr>
            <w:tcW w:w="1960" w:type="dxa"/>
            <w:vAlign w:val="bottom"/>
            <w:gridSpan w:val="9"/>
          </w:tcPr>
          <w:p>
            <w:pPr>
              <w:ind w:left="2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Income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8"/>
              <w:spacing w:after="0"/>
              <w:rPr>
                <w:sz w:val="20"/>
                <w:szCs w:val="20"/>
                <w:color w:val="auto"/>
              </w:rPr>
            </w:pPr>
            <w:r>
              <w:rPr>
                <w:rFonts w:ascii="Arial" w:cs="Arial" w:eastAsia="Arial" w:hAnsi="Arial"/>
                <w:sz w:val="13"/>
                <w:szCs w:val="13"/>
                <w:b w:val="1"/>
                <w:bCs w:val="1"/>
                <w:color w:val="auto"/>
                <w:w w:val="82"/>
              </w:rPr>
              <w:t>2014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68"/>
              <w:spacing w:after="0"/>
              <w:rPr>
                <w:sz w:val="20"/>
                <w:szCs w:val="20"/>
                <w:color w:val="auto"/>
              </w:rPr>
            </w:pPr>
            <w:r>
              <w:rPr>
                <w:rFonts w:ascii="Arial" w:cs="Arial" w:eastAsia="Arial" w:hAnsi="Arial"/>
                <w:sz w:val="13"/>
                <w:szCs w:val="13"/>
                <w:b w:val="1"/>
                <w:bCs w:val="1"/>
                <w:color w:val="auto"/>
                <w:w w:val="99"/>
              </w:rPr>
              <w:t>In (Out)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Purchases</w:t>
            </w:r>
          </w:p>
        </w:tc>
        <w:tc>
          <w:tcPr>
            <w:tcW w:w="660" w:type="dxa"/>
            <w:vAlign w:val="bottom"/>
          </w:tcPr>
          <w:p>
            <w:pPr>
              <w:ind w:left="120"/>
              <w:spacing w:after="0"/>
              <w:rPr>
                <w:sz w:val="20"/>
                <w:szCs w:val="20"/>
                <w:color w:val="auto"/>
              </w:rPr>
            </w:pPr>
            <w:r>
              <w:rPr>
                <w:rFonts w:ascii="Arial" w:cs="Arial" w:eastAsia="Arial" w:hAnsi="Arial"/>
                <w:sz w:val="13"/>
                <w:szCs w:val="13"/>
                <w:b w:val="1"/>
                <w:bCs w:val="1"/>
                <w:color w:val="auto"/>
              </w:rPr>
              <w:t>Sales</w:t>
            </w:r>
          </w:p>
        </w:tc>
        <w:tc>
          <w:tcPr>
            <w:tcW w:w="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9"/>
              <w:spacing w:after="0"/>
              <w:rPr>
                <w:sz w:val="20"/>
                <w:szCs w:val="20"/>
                <w:color w:val="auto"/>
              </w:rPr>
            </w:pPr>
            <w:r>
              <w:rPr>
                <w:rFonts w:ascii="Arial" w:cs="Arial" w:eastAsia="Arial" w:hAnsi="Arial"/>
                <w:sz w:val="13"/>
                <w:szCs w:val="13"/>
                <w:b w:val="1"/>
                <w:bCs w:val="1"/>
                <w:color w:val="auto"/>
                <w:w w:val="89"/>
              </w:rPr>
              <w:t>2015</w:t>
            </w:r>
          </w:p>
        </w:tc>
      </w:tr>
      <w:tr>
        <w:trPr>
          <w:trHeight w:val="123"/>
        </w:trPr>
        <w:tc>
          <w:tcPr>
            <w:tcW w:w="1960" w:type="dxa"/>
            <w:vAlign w:val="bottom"/>
            <w:tcBorders>
              <w:top w:val="single" w:sz="8" w:color="auto"/>
            </w:tcBorders>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w w:val="96"/>
              </w:rPr>
              <w:t>Preferred warrants, $1.17 Strike</w:t>
            </w: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88"/>
              </w:rPr>
              <w:t>09/30/2020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   (51,458)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12,864</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6"/>
              </w:rPr>
              <w:t>Preferred warrants, $1.16 Strike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99"/>
              </w:rPr>
              <w:t>6/26/2021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12,736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1"/>
              <w:spacing w:after="0"/>
              <w:rPr>
                <w:sz w:val="20"/>
                <w:szCs w:val="20"/>
                <w:color w:val="auto"/>
              </w:rPr>
            </w:pPr>
            <w:r>
              <w:rPr>
                <w:rFonts w:ascii="Arial" w:cs="Arial" w:eastAsia="Arial" w:hAnsi="Arial"/>
                <w:sz w:val="14"/>
                <w:szCs w:val="14"/>
                <w:color w:val="auto"/>
              </w:rPr>
              <w:t>(9,648)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3,088</w:t>
            </w:r>
          </w:p>
        </w:tc>
      </w:tr>
      <w:tr>
        <w:trPr>
          <w:trHeight w:val="130"/>
        </w:trPr>
        <w:tc>
          <w:tcPr>
            <w:tcW w:w="196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Circle Media, Inc. – Preferred</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Warrants Series A (f/k/a S3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Digital Corp.) – Strike Price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$1.166, Expiration Date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88"/>
              </w:rPr>
              <w:t>11/18/2022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(147)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429</w:t>
            </w:r>
          </w:p>
        </w:tc>
      </w:tr>
      <w:tr>
        <w:trPr>
          <w:trHeight w:val="135"/>
        </w:trPr>
        <w:tc>
          <w:tcPr>
            <w:tcW w:w="196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3"/>
        </w:trPr>
        <w:tc>
          <w:tcPr>
            <w:tcW w:w="196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w w:val="94"/>
              </w:rPr>
              <w:t>Senior Subordinated Convertible</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8"/>
        </w:trPr>
        <w:tc>
          <w:tcPr>
            <w:tcW w:w="20" w:type="dxa"/>
            <w:vAlign w:val="bottom"/>
            <w:shd w:val="clear" w:color="auto" w:fill="CCEEFF"/>
          </w:tcPr>
          <w:p>
            <w:pPr>
              <w:spacing w:after="0"/>
              <w:rPr>
                <w:sz w:val="13"/>
                <w:szCs w:val="13"/>
                <w:color w:val="auto"/>
              </w:rPr>
            </w:pPr>
          </w:p>
        </w:tc>
        <w:tc>
          <w:tcPr>
            <w:tcW w:w="1940" w:type="dxa"/>
            <w:vAlign w:val="bottom"/>
            <w:gridSpan w:val="8"/>
            <w:shd w:val="clear" w:color="auto" w:fill="CCEEFF"/>
          </w:tcPr>
          <w:p>
            <w:pPr>
              <w:ind w:left="180"/>
              <w:spacing w:after="0" w:line="159" w:lineRule="exact"/>
              <w:rPr>
                <w:sz w:val="20"/>
                <w:szCs w:val="20"/>
                <w:color w:val="auto"/>
              </w:rPr>
            </w:pPr>
            <w:r>
              <w:rPr>
                <w:rFonts w:ascii="Arial" w:cs="Arial" w:eastAsia="Arial" w:hAnsi="Arial"/>
                <w:sz w:val="14"/>
                <w:szCs w:val="14"/>
                <w:color w:val="auto"/>
              </w:rPr>
              <w:t>Promissory Note 8% Due</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98"/>
        </w:trPr>
        <w:tc>
          <w:tcPr>
            <w:tcW w:w="1540" w:type="dxa"/>
            <w:vAlign w:val="bottom"/>
            <w:gridSpan w:val="7"/>
            <w:shd w:val="clear" w:color="auto" w:fill="CCEEFF"/>
          </w:tcPr>
          <w:p>
            <w:pPr>
              <w:ind w:left="200"/>
              <w:spacing w:after="0" w:line="198" w:lineRule="exact"/>
              <w:rPr>
                <w:sz w:val="20"/>
                <w:szCs w:val="20"/>
                <w:color w:val="auto"/>
              </w:rPr>
            </w:pPr>
            <w:r>
              <w:rPr>
                <w:rFonts w:ascii="Arial" w:cs="Arial" w:eastAsia="Arial" w:hAnsi="Arial"/>
                <w:sz w:val="14"/>
                <w:szCs w:val="14"/>
                <w:color w:val="auto"/>
              </w:rPr>
              <w:t>11/26/2018 ***</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1,007,671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(7,671)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1,080,000</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940" w:type="dxa"/>
            <w:vAlign w:val="bottom"/>
            <w:gridSpan w:val="8"/>
          </w:tcPr>
          <w:p>
            <w:pPr>
              <w:ind w:left="180"/>
              <w:spacing w:after="0"/>
              <w:rPr>
                <w:sz w:val="20"/>
                <w:szCs w:val="20"/>
                <w:color w:val="auto"/>
              </w:rPr>
            </w:pPr>
            <w:r>
              <w:rPr>
                <w:rFonts w:ascii="Arial" w:cs="Arial" w:eastAsia="Arial" w:hAnsi="Arial"/>
                <w:sz w:val="14"/>
                <w:szCs w:val="14"/>
                <w:color w:val="auto"/>
              </w:rPr>
              <w:t>Series C</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2,292,582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1"/>
              <w:spacing w:after="0"/>
              <w:rPr>
                <w:sz w:val="20"/>
                <w:szCs w:val="20"/>
                <w:color w:val="auto"/>
              </w:rPr>
            </w:pPr>
            <w:r>
              <w:rPr>
                <w:rFonts w:ascii="Arial" w:cs="Arial" w:eastAsia="Arial" w:hAnsi="Arial"/>
                <w:sz w:val="14"/>
                <w:szCs w:val="14"/>
                <w:color w:val="auto"/>
              </w:rPr>
              <w:t>(333,455)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1,959,127</w:t>
            </w:r>
          </w:p>
        </w:tc>
      </w:tr>
      <w:tr>
        <w:trPr>
          <w:trHeight w:val="130"/>
        </w:trPr>
        <w:tc>
          <w:tcPr>
            <w:tcW w:w="196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94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Series D</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716,066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59,795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775,861</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6"/>
              </w:rPr>
              <w:t>Preferred warrants, $4.59 Strike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88"/>
              </w:rPr>
              <w:t>02/25/2018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12,508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1"/>
              <w:spacing w:after="0"/>
              <w:rPr>
                <w:sz w:val="20"/>
                <w:szCs w:val="20"/>
                <w:color w:val="auto"/>
              </w:rPr>
            </w:pPr>
            <w:r>
              <w:rPr>
                <w:rFonts w:ascii="Arial" w:cs="Arial" w:eastAsia="Arial" w:hAnsi="Arial"/>
                <w:sz w:val="14"/>
                <w:szCs w:val="14"/>
                <w:color w:val="auto"/>
              </w:rPr>
              <w:t>(2,366)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10,142</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Cricket Media (f/k/a ePals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Inc.)</w:t>
            </w:r>
            <w:r>
              <w:rPr>
                <w:rFonts w:ascii="Arial" w:cs="Arial" w:eastAsia="Arial" w:hAnsi="Arial"/>
                <w:sz w:val="19"/>
                <w:szCs w:val="19"/>
                <w:b w:val="1"/>
                <w:bCs w:val="1"/>
                <w:color w:val="auto"/>
                <w:vertAlign w:val="superscript"/>
              </w:rPr>
              <w:t>**(4)</w:t>
            </w:r>
          </w:p>
        </w:tc>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96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331,126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ind w:left="32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1"/>
              <w:spacing w:after="0" w:line="142" w:lineRule="exact"/>
              <w:rPr>
                <w:sz w:val="20"/>
                <w:szCs w:val="20"/>
                <w:color w:val="auto"/>
              </w:rPr>
            </w:pPr>
            <w:r>
              <w:rPr>
                <w:rFonts w:ascii="Arial" w:cs="Arial" w:eastAsia="Arial" w:hAnsi="Arial"/>
                <w:sz w:val="14"/>
                <w:szCs w:val="14"/>
                <w:color w:val="auto"/>
              </w:rPr>
              <w:t>(263,830)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9"/>
              <w:spacing w:after="0" w:line="142" w:lineRule="exact"/>
              <w:rPr>
                <w:sz w:val="20"/>
                <w:szCs w:val="20"/>
                <w:color w:val="auto"/>
              </w:rPr>
            </w:pPr>
            <w:r>
              <w:rPr>
                <w:rFonts w:ascii="Arial" w:cs="Arial" w:eastAsia="Arial" w:hAnsi="Arial"/>
                <w:sz w:val="14"/>
                <w:szCs w:val="14"/>
                <w:color w:val="auto"/>
              </w:rPr>
              <w:t>67,296</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Curious.com Inc.</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96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9,996,311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ind w:left="32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tcPr>
          <w:p>
            <w:pPr>
              <w:jc w:val="right"/>
              <w:ind w:right="71"/>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9"/>
              <w:spacing w:after="0" w:line="142" w:lineRule="exact"/>
              <w:rPr>
                <w:sz w:val="20"/>
                <w:szCs w:val="20"/>
                <w:color w:val="auto"/>
              </w:rPr>
            </w:pPr>
            <w:r>
              <w:rPr>
                <w:rFonts w:ascii="Arial" w:cs="Arial" w:eastAsia="Arial" w:hAnsi="Arial"/>
                <w:sz w:val="14"/>
                <w:szCs w:val="14"/>
                <w:color w:val="auto"/>
              </w:rPr>
              <w:t>9,996,311</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9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Declara, Inc., Convertible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Promissory Note 6%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rPr>
              <w:t>12/30/16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2,000,000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2,000,000</w:t>
            </w:r>
          </w:p>
        </w:tc>
      </w:tr>
      <w:tr>
        <w:trPr>
          <w:trHeight w:val="149"/>
        </w:trPr>
        <w:tc>
          <w:tcPr>
            <w:tcW w:w="196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10,019,825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(19,826)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9,999,999</w:t>
            </w:r>
          </w:p>
        </w:tc>
      </w:tr>
      <w:tr>
        <w:trPr>
          <w:trHeight w:val="135"/>
        </w:trPr>
        <w:tc>
          <w:tcPr>
            <w:tcW w:w="196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96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505,328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19,539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524,867</w:t>
            </w:r>
          </w:p>
        </w:tc>
      </w:tr>
      <w:tr>
        <w:trPr>
          <w:trHeight w:val="149"/>
        </w:trPr>
        <w:tc>
          <w:tcPr>
            <w:tcW w:w="19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500,960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1"/>
              <w:spacing w:after="0" w:line="149" w:lineRule="exact"/>
              <w:rPr>
                <w:sz w:val="20"/>
                <w:szCs w:val="20"/>
                <w:color w:val="auto"/>
              </w:rPr>
            </w:pPr>
            <w:r>
              <w:rPr>
                <w:rFonts w:ascii="Arial" w:cs="Arial" w:eastAsia="Arial" w:hAnsi="Arial"/>
                <w:sz w:val="14"/>
                <w:szCs w:val="14"/>
                <w:color w:val="auto"/>
              </w:rPr>
              <w:t>(960)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9"/>
              <w:spacing w:after="0" w:line="149" w:lineRule="exact"/>
              <w:rPr>
                <w:sz w:val="20"/>
                <w:szCs w:val="20"/>
                <w:color w:val="auto"/>
              </w:rPr>
            </w:pPr>
            <w:r>
              <w:rPr>
                <w:rFonts w:ascii="Arial" w:cs="Arial" w:eastAsia="Arial" w:hAnsi="Arial"/>
                <w:sz w:val="14"/>
                <w:szCs w:val="14"/>
                <w:color w:val="auto"/>
              </w:rPr>
              <w:t>500,000</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96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Note, 10% Interest rate,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940" w:type="dxa"/>
            <w:vAlign w:val="bottom"/>
            <w:gridSpan w:val="8"/>
          </w:tcPr>
          <w:p>
            <w:pPr>
              <w:ind w:left="180"/>
              <w:spacing w:after="0"/>
              <w:rPr>
                <w:sz w:val="20"/>
                <w:szCs w:val="20"/>
                <w:color w:val="auto"/>
              </w:rPr>
            </w:pPr>
            <w:r>
              <w:rPr>
                <w:rFonts w:ascii="Arial" w:cs="Arial" w:eastAsia="Arial" w:hAnsi="Arial"/>
                <w:sz w:val="14"/>
                <w:szCs w:val="14"/>
                <w:color w:val="auto"/>
              </w:rPr>
              <w:t>March 02, 2016***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142,645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1,014,395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71"/>
              <w:spacing w:after="0"/>
              <w:rPr>
                <w:sz w:val="20"/>
                <w:szCs w:val="20"/>
                <w:color w:val="auto"/>
              </w:rPr>
            </w:pPr>
            <w:r>
              <w:rPr>
                <w:rFonts w:ascii="Arial" w:cs="Arial" w:eastAsia="Arial" w:hAnsi="Arial"/>
                <w:sz w:val="14"/>
                <w:szCs w:val="14"/>
                <w:color w:val="auto"/>
              </w:rPr>
              <w:t>6,464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1,020,859</w:t>
            </w:r>
          </w:p>
        </w:tc>
      </w:tr>
      <w:tr>
        <w:trPr>
          <w:trHeight w:val="149"/>
        </w:trPr>
        <w:tc>
          <w:tcPr>
            <w:tcW w:w="196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3,111,714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3,111,714</w:t>
            </w:r>
          </w:p>
        </w:tc>
      </w:tr>
      <w:tr>
        <w:trPr>
          <w:trHeight w:val="149"/>
        </w:trPr>
        <w:tc>
          <w:tcPr>
            <w:tcW w:w="19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1,625,001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tcPr>
          <w:p>
            <w:pPr>
              <w:jc w:val="right"/>
              <w:ind w:right="71"/>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9"/>
              <w:spacing w:after="0" w:line="149" w:lineRule="exact"/>
              <w:rPr>
                <w:sz w:val="20"/>
                <w:szCs w:val="20"/>
                <w:color w:val="auto"/>
              </w:rPr>
            </w:pPr>
            <w:r>
              <w:rPr>
                <w:rFonts w:ascii="Arial" w:cs="Arial" w:eastAsia="Arial" w:hAnsi="Arial"/>
                <w:sz w:val="14"/>
                <w:szCs w:val="14"/>
                <w:color w:val="auto"/>
              </w:rPr>
              <w:t>1,625,001</w:t>
            </w:r>
          </w:p>
        </w:tc>
      </w:tr>
      <w:tr>
        <w:trPr>
          <w:trHeight w:val="130"/>
        </w:trPr>
        <w:tc>
          <w:tcPr>
            <w:tcW w:w="196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Common warrants, $0.91 Strike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99"/>
              </w:rPr>
              <w:t>2/18/2019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5,281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7,143</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7"/>
              </w:rPr>
              <w:t>Common warrants, $0.91 Strike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rPr>
              <w:t>4/3/2019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71"/>
              <w:spacing w:after="0"/>
              <w:rPr>
                <w:sz w:val="20"/>
                <w:szCs w:val="20"/>
                <w:color w:val="auto"/>
              </w:rPr>
            </w:pPr>
            <w:r>
              <w:rPr>
                <w:rFonts w:ascii="Arial" w:cs="Arial" w:eastAsia="Arial" w:hAnsi="Arial"/>
                <w:sz w:val="14"/>
                <w:szCs w:val="14"/>
                <w:color w:val="auto"/>
              </w:rPr>
              <w:t>3,297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4,121</w:t>
            </w:r>
          </w:p>
        </w:tc>
      </w:tr>
      <w:tr>
        <w:trPr>
          <w:trHeight w:val="130"/>
        </w:trPr>
        <w:tc>
          <w:tcPr>
            <w:tcW w:w="196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Common warrants, $0.91 Strike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99"/>
              </w:rPr>
              <w:t>3/02/2020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(1,290)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2,831</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7"/>
              </w:rPr>
              <w:t>Common warrants, $0.91 Strike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2"/>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99"/>
              </w:rPr>
              <w:t>5/16/2019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-5548630</wp:posOffset>
            </wp:positionV>
            <wp:extent cx="50685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8" w:name="page129"/>
    <w:bookmarkEnd w:id="12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52139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9"/>
              </w:rPr>
              <w:t>Amount of</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or Dividends</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960" w:type="dxa"/>
            <w:vAlign w:val="bottom"/>
            <w:gridSpan w:val="9"/>
          </w:tcPr>
          <w:p>
            <w:pPr>
              <w:ind w:left="20"/>
              <w:spacing w:after="0" w:line="135" w:lineRule="exact"/>
              <w:rPr>
                <w:sz w:val="20"/>
                <w:szCs w:val="20"/>
                <w:color w:val="auto"/>
              </w:rPr>
            </w:pPr>
            <w:r>
              <w:rPr>
                <w:rFonts w:ascii="Arial" w:cs="Arial" w:eastAsia="Arial" w:hAnsi="Arial"/>
                <w:sz w:val="13"/>
                <w:szCs w:val="13"/>
                <w:b w:val="1"/>
                <w:bCs w:val="1"/>
                <w:color w:val="auto"/>
              </w:rPr>
              <w:t>Portfolio Company/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Credited in</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94"/>
              </w:rPr>
              <w:t>Transfers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96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Type of 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3"/>
                <w:szCs w:val="13"/>
                <w:b w:val="1"/>
                <w:bCs w:val="1"/>
                <w:color w:val="auto"/>
                <w:w w:val="82"/>
              </w:rPr>
              <w:t>2014</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In (Out)</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Sales</w:t>
            </w: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2015</w:t>
            </w:r>
          </w:p>
        </w:tc>
      </w:tr>
      <w:tr>
        <w:trPr>
          <w:trHeight w:val="123"/>
        </w:trPr>
        <w:tc>
          <w:tcPr>
            <w:tcW w:w="196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w w:val="97"/>
              </w:rPr>
              <w:t>Common warrants, $0.91 Strike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r>
      <w:tr>
        <w:trPr>
          <w:trHeight w:val="167"/>
        </w:trPr>
        <w:tc>
          <w:tcPr>
            <w:tcW w:w="110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rPr>
              <w:t>3/22/2020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7,143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1,862</w:t>
            </w:r>
          </w:p>
        </w:tc>
      </w:tr>
      <w:tr>
        <w:trPr>
          <w:trHeight w:val="130"/>
        </w:trPr>
        <w:tc>
          <w:tcPr>
            <w:tcW w:w="196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7"/>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1100" w:type="dxa"/>
            <w:vAlign w:val="bottom"/>
            <w:gridSpan w:val="4"/>
          </w:tcPr>
          <w:p>
            <w:pPr>
              <w:ind w:left="200"/>
              <w:spacing w:after="0"/>
              <w:rPr>
                <w:sz w:val="20"/>
                <w:szCs w:val="20"/>
                <w:color w:val="auto"/>
              </w:rPr>
            </w:pPr>
            <w:r>
              <w:rPr>
                <w:rFonts w:ascii="Arial" w:cs="Arial" w:eastAsia="Arial" w:hAnsi="Arial"/>
                <w:sz w:val="14"/>
                <w:szCs w:val="14"/>
                <w:color w:val="auto"/>
              </w:rPr>
              <w:t>10/10/2018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w:t>
            </w:r>
          </w:p>
        </w:tc>
      </w:tr>
      <w:tr>
        <w:trPr>
          <w:trHeight w:val="130"/>
        </w:trPr>
        <w:tc>
          <w:tcPr>
            <w:tcW w:w="196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94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r>
      <w:tr>
        <w:trPr>
          <w:trHeight w:val="167"/>
        </w:trPr>
        <w:tc>
          <w:tcPr>
            <w:tcW w:w="110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rPr>
              <w:t>12/11/2018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w:t>
            </w:r>
          </w:p>
        </w:tc>
      </w:tr>
      <w:tr>
        <w:trPr>
          <w:trHeight w:val="135"/>
        </w:trPr>
        <w:tc>
          <w:tcPr>
            <w:tcW w:w="196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Global Education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9"/>
        </w:trPr>
        <w:tc>
          <w:tcPr>
            <w:tcW w:w="196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Learning (Holdings) Ltd.</w:t>
            </w:r>
            <w:r>
              <w:rPr>
                <w:rFonts w:ascii="Arial" w:cs="Arial" w:eastAsia="Arial" w:hAnsi="Arial"/>
                <w:sz w:val="19"/>
                <w:szCs w:val="19"/>
                <w:b w:val="1"/>
                <w:bCs w:val="1"/>
                <w:color w:val="auto"/>
                <w:vertAlign w:val="superscript"/>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96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3,995,221</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4"/>
              </w:rPr>
              <w:t>(3,660,394)</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(334,827)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right w:val="single" w:sz="8" w:color="CCEEFF"/>
            </w:tcBorders>
            <w:gridSpan w:val="7"/>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Learnist Inc.)</w:t>
            </w: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96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5,379,310</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4"/>
              </w:rPr>
              <w:t>(5,374,946)</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4,364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196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2,319,014</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(2,319,014)</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1,610,296</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(1,610,296)</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F</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1,450,000</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(1,450,000)</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5"/>
        </w:trPr>
        <w:tc>
          <w:tcPr>
            <w:tcW w:w="196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96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1,999,998</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1,999,998</w:t>
            </w:r>
          </w:p>
        </w:tc>
      </w:tr>
      <w:tr>
        <w:trPr>
          <w:trHeight w:val="149"/>
        </w:trPr>
        <w:tc>
          <w:tcPr>
            <w:tcW w:w="19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249,691</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249,691</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Ozy Media,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96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4,999,999</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(309,821)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4,690,178</w:t>
            </w:r>
          </w:p>
        </w:tc>
      </w:tr>
      <w:tr>
        <w:trPr>
          <w:trHeight w:val="149"/>
        </w:trPr>
        <w:tc>
          <w:tcPr>
            <w:tcW w:w="196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4,165,091</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(258,087)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3,907,004</w:t>
            </w:r>
          </w:p>
        </w:tc>
      </w:tr>
      <w:tr>
        <w:trPr>
          <w:trHeight w:val="149"/>
        </w:trPr>
        <w:tc>
          <w:tcPr>
            <w:tcW w:w="19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1,573,000</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(41,188)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1,531,812</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PayNearMe,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96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9,982,064</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89"/>
              </w:rPr>
              <w:t>3,999,998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(7,175)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13,974,887</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The rSmart Group,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96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192,586</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1,920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(189,506)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Strategic Data Command,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right w:val="single" w:sz="8" w:color="CCEEFF"/>
            </w:tcBorders>
            <w:gridSpan w:val="7"/>
            <w:shd w:val="clear" w:color="auto" w:fill="CCEEFF"/>
          </w:tcPr>
          <w:p>
            <w:pPr>
              <w:ind w:left="180"/>
              <w:spacing w:after="0" w:line="169" w:lineRule="exact"/>
              <w:rPr>
                <w:sz w:val="20"/>
                <w:szCs w:val="20"/>
                <w:color w:val="auto"/>
              </w:rPr>
            </w:pPr>
            <w:r>
              <w:rPr>
                <w:rFonts w:ascii="Arial" w:cs="Arial" w:eastAsia="Arial" w:hAnsi="Arial"/>
                <w:sz w:val="19"/>
                <w:szCs w:val="19"/>
                <w:b w:val="1"/>
                <w:bCs w:val="1"/>
                <w:color w:val="auto"/>
                <w:vertAlign w:val="subscript"/>
              </w:rPr>
              <w:t>LLC</w:t>
            </w:r>
            <w:r>
              <w:rPr>
                <w:rFonts w:ascii="Arial" w:cs="Arial" w:eastAsia="Arial" w:hAnsi="Arial"/>
                <w:sz w:val="10"/>
                <w:szCs w:val="10"/>
                <w:b w:val="1"/>
                <w:bCs w:val="1"/>
                <w:color w:val="auto"/>
              </w:rPr>
              <w:t>(3)</w:t>
            </w:r>
          </w:p>
        </w:tc>
        <w:tc>
          <w:tcPr>
            <w:tcW w:w="3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right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96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(12,373)</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14,023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1,001,650</w:t>
            </w:r>
          </w:p>
        </w:tc>
      </w:tr>
      <w:tr>
        <w:trPr>
          <w:trHeight w:val="135"/>
        </w:trPr>
        <w:tc>
          <w:tcPr>
            <w:tcW w:w="196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Totus Solutions,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23"/>
        </w:trPr>
        <w:tc>
          <w:tcPr>
            <w:tcW w:w="1960" w:type="dxa"/>
            <w:vAlign w:val="bottom"/>
            <w:gridSpan w:val="9"/>
          </w:tcPr>
          <w:p>
            <w:pPr>
              <w:ind w:left="20"/>
              <w:spacing w:after="0" w:line="123" w:lineRule="exact"/>
              <w:rPr>
                <w:sz w:val="20"/>
                <w:szCs w:val="20"/>
                <w:color w:val="auto"/>
              </w:rPr>
            </w:pPr>
            <w:r>
              <w:rPr>
                <w:rFonts w:ascii="Arial" w:cs="Arial" w:eastAsia="Arial" w:hAnsi="Arial"/>
                <w:sz w:val="14"/>
                <w:szCs w:val="14"/>
                <w:color w:val="auto"/>
                <w:w w:val="93"/>
              </w:rPr>
              <w:t>Convertible Promissory Note 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94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1100" w:type="dxa"/>
            <w:vAlign w:val="bottom"/>
            <w:gridSpan w:val="4"/>
          </w:tcPr>
          <w:p>
            <w:pPr>
              <w:ind w:left="200"/>
              <w:spacing w:after="0"/>
              <w:rPr>
                <w:sz w:val="20"/>
                <w:szCs w:val="20"/>
                <w:color w:val="auto"/>
              </w:rPr>
            </w:pPr>
            <w:r>
              <w:rPr>
                <w:rFonts w:ascii="Arial" w:cs="Arial" w:eastAsia="Arial" w:hAnsi="Arial"/>
                <w:sz w:val="14"/>
                <w:szCs w:val="14"/>
                <w:color w:val="auto"/>
              </w:rPr>
              <w:t>4/01/2016***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(3,074)</w:t>
            </w:r>
          </w:p>
        </w:tc>
        <w:tc>
          <w:tcPr>
            <w:tcW w:w="1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78,425</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(29,185)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196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128,902</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(128,902)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96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36"/>
        </w:trPr>
        <w:tc>
          <w:tcPr>
            <w:tcW w:w="1960" w:type="dxa"/>
            <w:vAlign w:val="bottom"/>
            <w:gridSpan w:val="9"/>
          </w:tcPr>
          <w:p>
            <w:pPr>
              <w:ind w:left="20"/>
              <w:spacing w:after="0" w:line="129" w:lineRule="exact"/>
              <w:rPr>
                <w:sz w:val="20"/>
                <w:szCs w:val="20"/>
                <w:color w:val="auto"/>
              </w:rPr>
            </w:pPr>
            <w:r>
              <w:rPr>
                <w:rFonts w:ascii="Arial" w:cs="Arial" w:eastAsia="Arial" w:hAnsi="Arial"/>
                <w:sz w:val="14"/>
                <w:szCs w:val="14"/>
                <w:b w:val="1"/>
                <w:bCs w:val="1"/>
                <w:color w:val="auto"/>
              </w:rPr>
              <w:t>Total Affiliate Investments</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214,421</w:t>
            </w:r>
          </w:p>
        </w:tc>
        <w:tc>
          <w:tcPr>
            <w:tcW w:w="20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line="129" w:lineRule="exact"/>
              <w:rPr>
                <w:sz w:val="20"/>
                <w:szCs w:val="20"/>
                <w:color w:val="auto"/>
              </w:rPr>
            </w:pPr>
            <w:r>
              <w:rPr>
                <w:rFonts w:ascii="Arial" w:cs="Arial" w:eastAsia="Arial" w:hAnsi="Arial"/>
                <w:sz w:val="14"/>
                <w:szCs w:val="14"/>
                <w:color w:val="auto"/>
                <w:w w:val="94"/>
              </w:rPr>
              <w:t>70,172,313</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w w:val="92"/>
              </w:rPr>
              <w:t>(1,120,561)</w:t>
            </w:r>
          </w:p>
        </w:tc>
        <w:tc>
          <w:tcPr>
            <w:tcW w:w="80" w:type="dxa"/>
            <w:vAlign w:val="bottom"/>
          </w:tcPr>
          <w:p>
            <w:pPr>
              <w:jc w:val="right"/>
              <w:spacing w:after="0" w:line="129"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w w:val="89"/>
              </w:rPr>
              <w:t>7,918,591</w:t>
            </w:r>
          </w:p>
        </w:tc>
        <w:tc>
          <w:tcPr>
            <w:tcW w:w="160" w:type="dxa"/>
            <w:vAlign w:val="bottom"/>
            <w:gridSpan w:val="2"/>
          </w:tcPr>
          <w:p>
            <w:pPr>
              <w:jc w:val="right"/>
              <w:ind w:right="20"/>
              <w:spacing w:after="0" w:line="12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w w:val="94"/>
              </w:rPr>
              <w:t>(4,020,565)</w:t>
            </w: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40"/>
              <w:spacing w:after="0" w:line="129" w:lineRule="exact"/>
              <w:rPr>
                <w:sz w:val="20"/>
                <w:szCs w:val="20"/>
                <w:color w:val="auto"/>
              </w:rPr>
            </w:pPr>
            <w:r>
              <w:rPr>
                <w:rFonts w:ascii="Arial" w:cs="Arial" w:eastAsia="Arial" w:hAnsi="Arial"/>
                <w:sz w:val="14"/>
                <w:szCs w:val="14"/>
                <w:color w:val="auto"/>
              </w:rPr>
              <w:t>(9,048,019)</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66,142,881</w:t>
            </w:r>
          </w:p>
        </w:tc>
      </w:tr>
      <w:tr>
        <w:trPr>
          <w:trHeight w:val="270"/>
        </w:trPr>
        <w:tc>
          <w:tcPr>
            <w:tcW w:w="2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213985" cy="1117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GSV Capital Corp.’s investment in StormWind, LLC is held through its wholly-owned subsidiary GSVC SW Holdings, Inc.</w:t>
      </w: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4540"/>
        <w:spacing w:after="0"/>
        <w:rPr>
          <w:rFonts w:ascii="Arial" w:cs="Arial" w:eastAsia="Arial" w:hAnsi="Arial"/>
          <w:sz w:val="16"/>
          <w:szCs w:val="16"/>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Schedule of Investments in and Advances to Affiliates – (continued)</w:t>
      </w:r>
    </w:p>
    <w:p>
      <w:pPr>
        <w:spacing w:after="0" w:line="121" w:lineRule="exact"/>
        <w:rPr>
          <w:sz w:val="20"/>
          <w:szCs w:val="20"/>
          <w:color w:val="auto"/>
        </w:rPr>
      </w:pPr>
    </w:p>
    <w:p>
      <w:pPr>
        <w:ind w:left="280" w:right="539" w:hanging="272"/>
        <w:spacing w:after="0" w:line="264" w:lineRule="auto"/>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which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280" w:right="759" w:hanging="272"/>
        <w:spacing w:after="0" w:line="277" w:lineRule="auto"/>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ind w:left="280" w:right="679" w:hanging="272"/>
        <w:spacing w:after="0" w:line="257" w:lineRule="auto"/>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October 22, 2013, Cricket Media (f/k/a ePals Inc.), priced its initial public offering, selling 40,267,333 shares at a price of CAD $0.075 per share. At December 31, 2015, GSV Capital Corp. valued Cricket Media (f/k/a ePals Inc.), based on its December 31, 2015 closing price. GSV Capital Corp.’s Chief Executive Officer, Michael Moe serves on the board of directors for Cricket Media (f/k/a ePals Inc.), which subjects GSV Capital Corp. to insider trading restrictions under Canadian securities law.</w:t>
      </w:r>
    </w:p>
    <w:p>
      <w:pPr>
        <w:spacing w:after="0" w:line="80" w:lineRule="exact"/>
        <w:rPr>
          <w:rFonts w:ascii="Arial" w:cs="Arial" w:eastAsia="Arial" w:hAnsi="Arial"/>
          <w:sz w:val="18"/>
          <w:szCs w:val="18"/>
          <w:color w:val="auto"/>
        </w:rPr>
      </w:pPr>
    </w:p>
    <w:p>
      <w:pPr>
        <w:ind w:left="280" w:right="739" w:hanging="272"/>
        <w:spacing w:after="0" w:line="264" w:lineRule="auto"/>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0" w:name="page131"/>
    <w:bookmarkEnd w:id="13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Amount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Fair Value at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5"/>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1"/>
              </w:rPr>
              <w:t>Unrealized</w:t>
            </w:r>
          </w:p>
        </w:tc>
        <w:tc>
          <w:tcPr>
            <w:tcW w:w="8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2580" w:type="dxa"/>
            <w:vAlign w:val="bottom"/>
            <w:tcBorders>
              <w:bottom w:val="single" w:sz="8" w:color="auto"/>
            </w:tcBorders>
            <w:gridSpan w:val="12"/>
          </w:tcPr>
          <w:p>
            <w:pPr>
              <w:ind w:left="20"/>
              <w:spacing w:after="0"/>
              <w:rPr>
                <w:sz w:val="20"/>
                <w:szCs w:val="20"/>
                <w:color w:val="auto"/>
              </w:rPr>
            </w:pPr>
            <w:r>
              <w:rPr>
                <w:rFonts w:ascii="Arial" w:cs="Arial" w:eastAsia="Arial" w:hAnsi="Arial"/>
                <w:sz w:val="13"/>
                <w:szCs w:val="13"/>
                <w:b w:val="1"/>
                <w:bCs w:val="1"/>
                <w:color w:val="auto"/>
              </w:rPr>
              <w:t>Portfolio Company/Type of Investment*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2013</w:t>
            </w: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85"/>
              </w:rPr>
              <w:t>Purchases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9"/>
              </w:rPr>
              <w:t>Sales</w:t>
            </w:r>
          </w:p>
        </w:tc>
        <w:tc>
          <w:tcPr>
            <w:tcW w:w="10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2014</w:t>
            </w:r>
          </w:p>
        </w:tc>
        <w:tc>
          <w:tcPr>
            <w:tcW w:w="60" w:type="dxa"/>
            <w:vAlign w:val="bottom"/>
            <w:tcBorders>
              <w:bottom w:val="single" w:sz="8" w:color="auto"/>
            </w:tcBorders>
          </w:tcPr>
          <w:p>
            <w:pPr>
              <w:spacing w:after="0"/>
              <w:rPr>
                <w:sz w:val="13"/>
                <w:szCs w:val="13"/>
                <w:color w:val="auto"/>
              </w:rPr>
            </w:pPr>
          </w:p>
        </w:tc>
      </w:tr>
      <w:tr>
        <w:trPr>
          <w:trHeight w:val="129"/>
        </w:trPr>
        <w:tc>
          <w:tcPr>
            <w:tcW w:w="2580" w:type="dxa"/>
            <w:vAlign w:val="bottom"/>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Control Investments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29"/>
        </w:trPr>
        <w:tc>
          <w:tcPr>
            <w:tcW w:w="2580" w:type="dxa"/>
            <w:vAlign w:val="bottom"/>
            <w:gridSpan w:val="12"/>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600,000</w:t>
            </w:r>
          </w:p>
        </w:tc>
        <w:tc>
          <w:tcPr>
            <w:tcW w:w="2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251,240</w:t>
            </w:r>
          </w:p>
        </w:tc>
        <w:tc>
          <w:tcPr>
            <w:tcW w:w="2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(359,988)</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491,252</w:t>
            </w:r>
          </w:p>
        </w:tc>
      </w:tr>
      <w:tr>
        <w:trPr>
          <w:trHeight w:val="149"/>
        </w:trPr>
        <w:tc>
          <w:tcPr>
            <w:tcW w:w="25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203,011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426,298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629,309</w:t>
            </w:r>
          </w:p>
        </w:tc>
      </w:tr>
      <w:tr>
        <w:trPr>
          <w:trHeight w:val="130"/>
        </w:trPr>
        <w:tc>
          <w:tcPr>
            <w:tcW w:w="25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Preferred warrants Series A-1, $0.19 strike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1"/>
            <w:shd w:val="clear" w:color="auto" w:fill="CCEEFF"/>
          </w:tcPr>
          <w:p>
            <w:pPr>
              <w:ind w:left="180"/>
              <w:spacing w:after="0"/>
              <w:rPr>
                <w:sz w:val="20"/>
                <w:szCs w:val="20"/>
                <w:color w:val="auto"/>
              </w:rPr>
            </w:pPr>
            <w:r>
              <w:rPr>
                <w:rFonts w:ascii="Arial" w:cs="Arial" w:eastAsia="Arial" w:hAnsi="Arial"/>
                <w:sz w:val="14"/>
                <w:szCs w:val="14"/>
                <w:color w:val="auto"/>
              </w:rPr>
              <w:t>price, expire 12/31/2014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Preferred warrants Series A, $1.00 strike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11"/>
          </w:tcPr>
          <w:p>
            <w:pPr>
              <w:ind w:left="180"/>
              <w:spacing w:after="0"/>
              <w:rPr>
                <w:sz w:val="20"/>
                <w:szCs w:val="20"/>
                <w:color w:val="auto"/>
              </w:rPr>
            </w:pPr>
            <w:r>
              <w:rPr>
                <w:rFonts w:ascii="Arial" w:cs="Arial" w:eastAsia="Arial" w:hAnsi="Arial"/>
                <w:sz w:val="14"/>
                <w:szCs w:val="14"/>
                <w:color w:val="auto"/>
              </w:rPr>
              <w:t>price, expire 1/9/2017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258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4,000,787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9"/>
              <w:spacing w:after="0" w:line="142" w:lineRule="exact"/>
              <w:rPr>
                <w:sz w:val="20"/>
                <w:szCs w:val="20"/>
                <w:color w:val="auto"/>
              </w:rPr>
            </w:pPr>
            <w:r>
              <w:rPr>
                <w:rFonts w:ascii="Arial" w:cs="Arial" w:eastAsia="Arial" w:hAnsi="Arial"/>
                <w:sz w:val="14"/>
                <w:szCs w:val="14"/>
                <w:color w:val="auto"/>
              </w:rPr>
              <w:t>338,043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4,338,830</w:t>
            </w:r>
          </w:p>
        </w:tc>
      </w:tr>
      <w:tr>
        <w:trPr>
          <w:trHeight w:val="149"/>
        </w:trPr>
        <w:tc>
          <w:tcPr>
            <w:tcW w:w="25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4,205,142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142,466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4,347,608</w:t>
            </w:r>
          </w:p>
        </w:tc>
      </w:tr>
      <w:tr>
        <w:trPr>
          <w:trHeight w:val="149"/>
        </w:trPr>
        <w:tc>
          <w:tcPr>
            <w:tcW w:w="25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281,592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391,592</w:t>
            </w:r>
          </w:p>
        </w:tc>
      </w:tr>
      <w:tr>
        <w:trPr>
          <w:trHeight w:val="130"/>
        </w:trPr>
        <w:tc>
          <w:tcPr>
            <w:tcW w:w="25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Preferred Unit Warrants $1.76 Strike Price,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1"/>
            <w:shd w:val="clear" w:color="auto" w:fill="CCEEFF"/>
          </w:tcPr>
          <w:p>
            <w:pPr>
              <w:ind w:left="180"/>
              <w:spacing w:after="0"/>
              <w:rPr>
                <w:sz w:val="20"/>
                <w:szCs w:val="20"/>
                <w:color w:val="auto"/>
              </w:rPr>
            </w:pPr>
            <w:r>
              <w:rPr>
                <w:rFonts w:ascii="Arial" w:cs="Arial" w:eastAsia="Arial" w:hAnsi="Arial"/>
                <w:sz w:val="14"/>
                <w:szCs w:val="14"/>
                <w:color w:val="auto"/>
              </w:rPr>
              <w:t>Expiration Date 1/6/15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35"/>
        </w:trPr>
        <w:tc>
          <w:tcPr>
            <w:tcW w:w="2580" w:type="dxa"/>
            <w:vAlign w:val="bottom"/>
            <w:gridSpan w:val="12"/>
          </w:tcPr>
          <w:p>
            <w:pPr>
              <w:ind w:left="20"/>
              <w:spacing w:after="0" w:line="135" w:lineRule="exact"/>
              <w:rPr>
                <w:sz w:val="20"/>
                <w:szCs w:val="20"/>
                <w:color w:val="auto"/>
              </w:rPr>
            </w:pPr>
            <w:r>
              <w:rPr>
                <w:rFonts w:ascii="Arial" w:cs="Arial" w:eastAsia="Arial" w:hAnsi="Arial"/>
                <w:sz w:val="14"/>
                <w:szCs w:val="14"/>
                <w:b w:val="1"/>
                <w:bCs w:val="1"/>
                <w:color w:val="auto"/>
              </w:rPr>
              <w:t>NestGSV, Inc. (d/b/a GSV Labs, Inc.)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1,188,137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(748,137)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440,000</w:t>
            </w:r>
          </w:p>
        </w:tc>
      </w:tr>
      <w:tr>
        <w:trPr>
          <w:trHeight w:val="149"/>
        </w:trPr>
        <w:tc>
          <w:tcPr>
            <w:tcW w:w="25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594,068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(328,088)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265,980</w:t>
            </w:r>
          </w:p>
        </w:tc>
      </w:tr>
      <w:tr>
        <w:trPr>
          <w:trHeight w:val="149"/>
        </w:trPr>
        <w:tc>
          <w:tcPr>
            <w:tcW w:w="25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2,005,730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(501,898)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1,503,832</w:t>
            </w:r>
          </w:p>
        </w:tc>
      </w:tr>
      <w:tr>
        <w:trPr>
          <w:trHeight w:val="149"/>
        </w:trPr>
        <w:tc>
          <w:tcPr>
            <w:tcW w:w="25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1,404,499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56,058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1,460,557</w:t>
            </w:r>
          </w:p>
        </w:tc>
      </w:tr>
      <w:tr>
        <w:trPr>
          <w:trHeight w:val="149"/>
        </w:trPr>
        <w:tc>
          <w:tcPr>
            <w:tcW w:w="25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w:t>
            </w:r>
          </w:p>
        </w:tc>
      </w:tr>
      <w:tr>
        <w:trPr>
          <w:trHeight w:val="149"/>
        </w:trPr>
        <w:tc>
          <w:tcPr>
            <w:tcW w:w="25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Convertible Promissory Note***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500,000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25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Preferred warrants, Series C – $1.33 Strike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1"/>
            <w:shd w:val="clear" w:color="auto" w:fill="CCEEFF"/>
          </w:tcPr>
          <w:p>
            <w:pPr>
              <w:ind w:left="180"/>
              <w:spacing w:after="0"/>
              <w:rPr>
                <w:sz w:val="20"/>
                <w:szCs w:val="20"/>
                <w:color w:val="auto"/>
              </w:rPr>
            </w:pPr>
            <w:r>
              <w:rPr>
                <w:rFonts w:ascii="Arial" w:cs="Arial" w:eastAsia="Arial" w:hAnsi="Arial"/>
                <w:sz w:val="14"/>
                <w:szCs w:val="14"/>
                <w:color w:val="auto"/>
              </w:rPr>
              <w:t>Price, Expiration Date 4/9/2019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24,375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24,375</w:t>
            </w: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w w:val="97"/>
              </w:rPr>
              <w:t>Preferred Warrant Series D – $1.33 Strike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11"/>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65,000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65,000</w:t>
            </w:r>
          </w:p>
        </w:tc>
      </w:tr>
      <w:tr>
        <w:trPr>
          <w:trHeight w:val="135"/>
        </w:trPr>
        <w:tc>
          <w:tcPr>
            <w:tcW w:w="25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GSV Sustainability Partners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4,851,256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2" w:lineRule="exact"/>
              <w:rPr>
                <w:sz w:val="20"/>
                <w:szCs w:val="20"/>
                <w:color w:val="auto"/>
              </w:rPr>
            </w:pPr>
            <w:r>
              <w:rPr>
                <w:rFonts w:ascii="Arial" w:cs="Arial" w:eastAsia="Arial" w:hAnsi="Arial"/>
                <w:sz w:val="14"/>
                <w:szCs w:val="14"/>
                <w:color w:val="auto"/>
              </w:rPr>
              <w:t>(1,256)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4,850,000</w:t>
            </w:r>
          </w:p>
        </w:tc>
      </w:tr>
      <w:tr>
        <w:trPr>
          <w:trHeight w:val="149"/>
        </w:trPr>
        <w:tc>
          <w:tcPr>
            <w:tcW w:w="25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10,000</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29"/>
        </w:trPr>
        <w:tc>
          <w:tcPr>
            <w:tcW w:w="2580" w:type="dxa"/>
            <w:vAlign w:val="bottom"/>
            <w:gridSpan w:val="12"/>
          </w:tcPr>
          <w:p>
            <w:pPr>
              <w:ind w:left="20"/>
              <w:spacing w:after="0" w:line="129" w:lineRule="exact"/>
              <w:rPr>
                <w:sz w:val="20"/>
                <w:szCs w:val="20"/>
                <w:color w:val="auto"/>
              </w:rPr>
            </w:pPr>
            <w:r>
              <w:rPr>
                <w:rFonts w:ascii="Arial" w:cs="Arial" w:eastAsia="Arial" w:hAnsi="Arial"/>
                <w:sz w:val="14"/>
                <w:szCs w:val="14"/>
                <w:b w:val="1"/>
                <w:bCs w:val="1"/>
                <w:color w:val="auto"/>
              </w:rPr>
              <w:t>Total Control Investments</w:t>
            </w:r>
          </w:p>
        </w:tc>
        <w:tc>
          <w:tcPr>
            <w:tcW w:w="10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10,233</w:t>
            </w:r>
          </w:p>
        </w:tc>
        <w:tc>
          <w:tcPr>
            <w:tcW w:w="1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rPr>
              <w:t>6,790,358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18,819,335</w:t>
            </w:r>
          </w:p>
        </w:tc>
      </w:tr>
      <w:tr>
        <w:trPr>
          <w:trHeight w:val="27"/>
        </w:trPr>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35"/>
        </w:trPr>
        <w:tc>
          <w:tcPr>
            <w:tcW w:w="25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Affiliate Investments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69"/>
        </w:trPr>
        <w:tc>
          <w:tcPr>
            <w:tcW w:w="2580" w:type="dxa"/>
            <w:vAlign w:val="bottom"/>
            <w:gridSpan w:val="12"/>
          </w:tcPr>
          <w:p>
            <w:pPr>
              <w:ind w:left="20"/>
              <w:spacing w:after="0" w:line="169" w:lineRule="exact"/>
              <w:rPr>
                <w:sz w:val="20"/>
                <w:szCs w:val="20"/>
                <w:color w:val="auto"/>
              </w:rPr>
            </w:pPr>
            <w:r>
              <w:rPr>
                <w:rFonts w:ascii="Arial" w:cs="Arial" w:eastAsia="Arial" w:hAnsi="Arial"/>
                <w:sz w:val="12"/>
                <w:szCs w:val="12"/>
                <w:b w:val="1"/>
                <w:bCs w:val="1"/>
                <w:color w:val="auto"/>
              </w:rPr>
              <w:t>Whittle Schools, LLC</w:t>
            </w:r>
            <w:r>
              <w:rPr>
                <w:rFonts w:ascii="Arial" w:cs="Arial" w:eastAsia="Arial" w:hAnsi="Arial"/>
                <w:sz w:val="19"/>
                <w:szCs w:val="19"/>
                <w:b w:val="1"/>
                <w:bCs w:val="1"/>
                <w:color w:val="auto"/>
                <w:vertAlign w:val="superscript"/>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3,000,000</w:t>
            </w:r>
          </w:p>
        </w:tc>
      </w:tr>
      <w:tr>
        <w:trPr>
          <w:trHeight w:val="149"/>
        </w:trPr>
        <w:tc>
          <w:tcPr>
            <w:tcW w:w="25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45,363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(45,363)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1,500,000</w:t>
            </w:r>
          </w:p>
        </w:tc>
      </w:tr>
      <w:tr>
        <w:trPr>
          <w:trHeight w:val="135"/>
        </w:trPr>
        <w:tc>
          <w:tcPr>
            <w:tcW w:w="25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180" w:type="dxa"/>
            <w:vAlign w:val="bottom"/>
            <w:tcBorders>
              <w:top w:val="single" w:sz="8" w:color="auto"/>
            </w:tcBorders>
            <w:gridSpan w:val="9"/>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(d/b/a S3i))</w:t>
            </w:r>
          </w:p>
        </w:tc>
        <w:tc>
          <w:tcPr>
            <w:tcW w:w="38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1,168,847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507,001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9"/>
              <w:spacing w:after="0" w:line="142" w:lineRule="exact"/>
              <w:rPr>
                <w:sz w:val="20"/>
                <w:szCs w:val="20"/>
                <w:color w:val="auto"/>
              </w:rPr>
            </w:pPr>
            <w:r>
              <w:rPr>
                <w:rFonts w:ascii="Arial" w:cs="Arial" w:eastAsia="Arial" w:hAnsi="Arial"/>
                <w:sz w:val="14"/>
                <w:szCs w:val="14"/>
                <w:color w:val="auto"/>
              </w:rPr>
              <w:t>29,158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1,705,006</w:t>
            </w:r>
          </w:p>
        </w:tc>
      </w:tr>
      <w:tr>
        <w:trPr>
          <w:trHeight w:val="149"/>
        </w:trPr>
        <w:tc>
          <w:tcPr>
            <w:tcW w:w="25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12%, 09/30/15***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31,423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22,871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15,243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288,114</w:t>
            </w: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11"/>
          </w:tcPr>
          <w:p>
            <w:pPr>
              <w:ind w:left="180"/>
              <w:spacing w:after="0"/>
              <w:rPr>
                <w:sz w:val="20"/>
                <w:szCs w:val="20"/>
                <w:color w:val="auto"/>
              </w:rPr>
            </w:pPr>
            <w:r>
              <w:rPr>
                <w:rFonts w:ascii="Arial" w:cs="Arial" w:eastAsia="Arial" w:hAnsi="Arial"/>
                <w:sz w:val="14"/>
                <w:szCs w:val="14"/>
                <w:color w:val="auto"/>
              </w:rPr>
              <w:t>Expiration Date 08/29/2021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58,019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58,019</w:t>
            </w:r>
          </w:p>
        </w:tc>
      </w:tr>
      <w:tr>
        <w:trPr>
          <w:trHeight w:val="130"/>
        </w:trPr>
        <w:tc>
          <w:tcPr>
            <w:tcW w:w="25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1"/>
            <w:shd w:val="clear" w:color="auto" w:fill="CCEEFF"/>
          </w:tcPr>
          <w:p>
            <w:pPr>
              <w:ind w:left="180"/>
              <w:spacing w:after="0"/>
              <w:rPr>
                <w:sz w:val="20"/>
                <w:szCs w:val="20"/>
                <w:color w:val="auto"/>
              </w:rPr>
            </w:pPr>
            <w:r>
              <w:rPr>
                <w:rFonts w:ascii="Arial" w:cs="Arial" w:eastAsia="Arial" w:hAnsi="Arial"/>
                <w:sz w:val="14"/>
                <w:szCs w:val="14"/>
                <w:color w:val="auto"/>
              </w:rPr>
              <w:t>Expiration Date 09/30/2020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64,322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64,322</w:t>
            </w: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Preferred warrants, $1.16 Strike 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11"/>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12,736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12,736</w:t>
            </w:r>
          </w:p>
        </w:tc>
      </w:tr>
      <w:tr>
        <w:trPr>
          <w:trHeight w:val="130"/>
        </w:trPr>
        <w:tc>
          <w:tcPr>
            <w:tcW w:w="25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1"/>
            <w:shd w:val="clear" w:color="auto" w:fill="CCEEFF"/>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165,000</w:t>
            </w:r>
          </w:p>
        </w:tc>
      </w:tr>
      <w:tr>
        <w:trPr>
          <w:trHeight w:val="135"/>
        </w:trPr>
        <w:tc>
          <w:tcPr>
            <w:tcW w:w="2580" w:type="dxa"/>
            <w:vAlign w:val="bottom"/>
            <w:gridSpan w:val="12"/>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2,006,077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2" w:lineRule="exact"/>
              <w:rPr>
                <w:sz w:val="20"/>
                <w:szCs w:val="20"/>
                <w:color w:val="auto"/>
              </w:rPr>
            </w:pPr>
            <w:r>
              <w:rPr>
                <w:rFonts w:ascii="Arial" w:cs="Arial" w:eastAsia="Arial" w:hAnsi="Arial"/>
                <w:sz w:val="14"/>
                <w:szCs w:val="14"/>
                <w:color w:val="auto"/>
              </w:rPr>
              <w:t>286,505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2,292,582</w:t>
            </w: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8"/>
        </w:trPr>
        <w:tc>
          <w:tcPr>
            <w:tcW w:w="20" w:type="dxa"/>
            <w:vAlign w:val="bottom"/>
          </w:tcPr>
          <w:p>
            <w:pPr>
              <w:spacing w:after="0"/>
              <w:rPr>
                <w:sz w:val="13"/>
                <w:szCs w:val="13"/>
                <w:color w:val="auto"/>
              </w:rPr>
            </w:pPr>
          </w:p>
        </w:tc>
        <w:tc>
          <w:tcPr>
            <w:tcW w:w="2560" w:type="dxa"/>
            <w:vAlign w:val="bottom"/>
            <w:gridSpan w:val="11"/>
          </w:tcPr>
          <w:p>
            <w:pPr>
              <w:ind w:left="180"/>
              <w:spacing w:after="0" w:line="159" w:lineRule="exact"/>
              <w:rPr>
                <w:sz w:val="20"/>
                <w:szCs w:val="20"/>
                <w:color w:val="auto"/>
              </w:rPr>
            </w:pPr>
            <w:r>
              <w:rPr>
                <w:rFonts w:ascii="Arial" w:cs="Arial" w:eastAsia="Arial" w:hAnsi="Arial"/>
                <w:sz w:val="14"/>
                <w:szCs w:val="14"/>
                <w:color w:val="auto"/>
                <w:w w:val="95"/>
              </w:rPr>
              <w:t>Promissory Note 8% Due 11/26/2018***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6"/>
        </w:trPr>
        <w:tc>
          <w:tcPr>
            <w:tcW w:w="880" w:type="dxa"/>
            <w:vAlign w:val="bottom"/>
            <w:gridSpan w:val="3"/>
          </w:tcPr>
          <w:p>
            <w:pPr>
              <w:ind w:left="20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7,890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7,671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1,007,671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-2135505</wp:posOffset>
            </wp:positionV>
            <wp:extent cx="5213985" cy="1117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1" w:name="page132"/>
    <w:bookmarkEnd w:id="13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9"/>
              <w:spacing w:after="0"/>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5"/>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1"/>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Company/Type of Investment*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85"/>
              </w:rPr>
              <w:t>Purchases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2014</w:t>
            </w: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Convertible preferred shares, Series D</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697,041</w:t>
            </w:r>
          </w:p>
        </w:tc>
        <w:tc>
          <w:tcPr>
            <w:tcW w:w="2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560"/>
              <w:spacing w:after="0" w:line="142" w:lineRule="exact"/>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19,025</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716,066</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02/25/2018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12,508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12,508</w:t>
            </w:r>
          </w:p>
        </w:tc>
      </w:tr>
      <w:tr>
        <w:trPr>
          <w:trHeight w:val="216"/>
        </w:trPr>
        <w:tc>
          <w:tcPr>
            <w:tcW w:w="2580" w:type="dxa"/>
            <w:vAlign w:val="bottom"/>
            <w:gridSpan w:val="9"/>
            <w:shd w:val="clear" w:color="auto" w:fill="CCEEFF"/>
          </w:tcPr>
          <w:p>
            <w:pPr>
              <w:ind w:left="20"/>
              <w:spacing w:after="0" w:line="216"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3"/>
                <w:szCs w:val="23"/>
                <w:b w:val="1"/>
                <w:bCs w:val="1"/>
                <w:color w:val="auto"/>
                <w:vertAlign w:val="superscript"/>
              </w:rPr>
              <w:t>**</w:t>
            </w:r>
            <w:r>
              <w:rPr>
                <w:rFonts w:ascii="Arial" w:cs="Arial" w:eastAsia="Arial" w:hAnsi="Arial"/>
                <w:sz w:val="19"/>
                <w:szCs w:val="19"/>
                <w:b w:val="1"/>
                <w:bCs w:val="1"/>
                <w:color w:val="auto"/>
                <w:vertAlign w:val="superscript"/>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1,700,000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4,199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(1,373,073)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331,126</w:t>
            </w: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Curious.com Inc.</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10,000,003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(3,692)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9,996,311</w:t>
            </w: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Dailybreak, Inc.</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1,211,393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(1,211,393)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426,254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(426,254)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9,999,999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19,826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10,019,825</w:t>
            </w: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500,801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4,527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505,328</w:t>
            </w: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3,114,120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(1,489,119)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1,625,001</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2,956,022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155,692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3,111,714</w:t>
            </w: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126,362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12/11/2018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w:t>
            </w: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Expiration Date 12/11/2018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5/16/2019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(21,321)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1,923</w:t>
            </w: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$0.91 Strike 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10/09/2018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w:t>
            </w: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Convertible Promissory Note, 10% Interest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rate, February 16, 2015***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1,813,904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89"/>
              </w:rPr>
              <w:t>1,813,904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Term Loan, 10%, 3/31/14***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10%, 3/31/14***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Global Education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Learning (Holdings) Ltd.</w:t>
            </w:r>
            <w:r>
              <w:rPr>
                <w:rFonts w:ascii="Arial" w:cs="Arial" w:eastAsia="Arial" w:hAnsi="Arial"/>
                <w:sz w:val="19"/>
                <w:szCs w:val="19"/>
                <w:b w:val="1"/>
                <w:bCs w:val="1"/>
                <w:color w:val="auto"/>
                <w:vertAlign w:val="superscript"/>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4,338,009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(342,886)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3,995,221</w:t>
            </w: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8"/>
              </w:rPr>
              <w:t>Orchestra One, Inc. (f/k/a Learnist Inc.)</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2,073,472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2" w:lineRule="exact"/>
              <w:rPr>
                <w:sz w:val="20"/>
                <w:szCs w:val="20"/>
                <w:color w:val="auto"/>
              </w:rPr>
            </w:pPr>
            <w:r>
              <w:rPr>
                <w:rFonts w:ascii="Arial" w:cs="Arial" w:eastAsia="Arial" w:hAnsi="Arial"/>
                <w:sz w:val="14"/>
                <w:szCs w:val="14"/>
                <w:color w:val="auto"/>
              </w:rPr>
              <w:t>245,542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2,319,014</w:t>
            </w: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1,499,999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110,297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1,610,296</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1,450,000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1,450,000</w:t>
            </w: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1,999,998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1,999,998</w:t>
            </w: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249,505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Ozy Media, Inc.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4,999,999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4,999,999</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1,164,891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4,165,091</w:t>
            </w: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708,000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1,573,000</w:t>
            </w:r>
          </w:p>
        </w:tc>
      </w:tr>
    </w:tbl>
    <w:p>
      <w:pPr>
        <w:spacing w:after="0" w:line="200" w:lineRule="exact"/>
        <w:rPr>
          <w:sz w:val="20"/>
          <w:szCs w:val="20"/>
          <w:color w:val="auto"/>
        </w:rPr>
      </w:pPr>
    </w:p>
    <w:p>
      <w:pPr>
        <w:spacing w:after="0" w:line="3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2" w:name="page133"/>
    <w:bookmarkEnd w:id="13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521398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31"/>
        </w:trPr>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2"/>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3"/>
              </w:rPr>
              <w:t>Fair Value at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85"/>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0"/>
              <w:spacing w:after="0" w:line="135" w:lineRule="exact"/>
              <w:rPr>
                <w:sz w:val="20"/>
                <w:szCs w:val="20"/>
                <w:color w:val="auto"/>
              </w:rPr>
            </w:pPr>
            <w:r>
              <w:rPr>
                <w:rFonts w:ascii="Arial" w:cs="Arial" w:eastAsia="Arial" w:hAnsi="Arial"/>
                <w:sz w:val="13"/>
                <w:szCs w:val="13"/>
                <w:b w:val="1"/>
                <w:bCs w:val="1"/>
                <w:color w:val="auto"/>
                <w:w w:val="91"/>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258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Portfolio Company/Type of Investment*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2"/>
              </w:rPr>
              <w:t>2013</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85"/>
              </w:rPr>
              <w:t>Purchases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2014</w:t>
            </w:r>
          </w:p>
        </w:tc>
      </w:tr>
      <w:tr>
        <w:trPr>
          <w:trHeight w:val="129"/>
        </w:trPr>
        <w:tc>
          <w:tcPr>
            <w:tcW w:w="2580" w:type="dxa"/>
            <w:vAlign w:val="bottom"/>
            <w:tcBorders>
              <w:left w:val="single" w:sz="8" w:color="CCEEFF"/>
            </w:tcBorders>
            <w:gridSpan w:val="6"/>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PayNearMe, Inc.</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10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25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10,000,000</w:t>
            </w:r>
          </w:p>
        </w:tc>
        <w:tc>
          <w:tcPr>
            <w:tcW w:w="2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400</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(18,336)</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9,982,064</w:t>
            </w:r>
          </w:p>
        </w:tc>
      </w:tr>
      <w:tr>
        <w:trPr>
          <w:trHeight w:val="135"/>
        </w:trPr>
        <w:tc>
          <w:tcPr>
            <w:tcW w:w="2580" w:type="dxa"/>
            <w:vAlign w:val="bottom"/>
            <w:tcBorders>
              <w:left w:val="single" w:sz="8" w:color="CCEEFF"/>
            </w:tcBorders>
            <w:gridSpan w:val="6"/>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The rSmart Group, Inc.</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10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25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857,302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(664,716)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192,586</w:t>
            </w:r>
          </w:p>
        </w:tc>
      </w:tr>
      <w:tr>
        <w:trPr>
          <w:trHeight w:val="176"/>
        </w:trPr>
        <w:tc>
          <w:tcPr>
            <w:tcW w:w="2580" w:type="dxa"/>
            <w:vAlign w:val="bottom"/>
            <w:tcBorders>
              <w:left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Strategic Data Command, LLC</w:t>
            </w:r>
            <w:r>
              <w:rPr>
                <w:rFonts w:ascii="Arial" w:cs="Arial" w:eastAsia="Arial" w:hAnsi="Arial"/>
                <w:sz w:val="20"/>
                <w:szCs w:val="20"/>
                <w:b w:val="1"/>
                <w:bCs w:val="1"/>
                <w:color w:val="auto"/>
                <w:vertAlign w:val="superscript"/>
              </w:rPr>
              <w:t>(3)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r>
      <w:tr>
        <w:trPr>
          <w:trHeight w:val="20"/>
        </w:trPr>
        <w:tc>
          <w:tcPr>
            <w:tcW w:w="10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25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1,046,830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(46,830)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1,000,000</w:t>
            </w:r>
          </w:p>
        </w:tc>
      </w:tr>
      <w:tr>
        <w:trPr>
          <w:trHeight w:val="176"/>
        </w:trPr>
        <w:tc>
          <w:tcPr>
            <w:tcW w:w="2580" w:type="dxa"/>
            <w:vAlign w:val="bottom"/>
            <w:tcBorders>
              <w:left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Totus Solutions, Inc.</w:t>
            </w:r>
            <w:r>
              <w:rPr>
                <w:rFonts w:ascii="Arial" w:cs="Arial" w:eastAsia="Arial" w:hAnsi="Arial"/>
                <w:sz w:val="20"/>
                <w:szCs w:val="20"/>
                <w:b w:val="1"/>
                <w:bCs w:val="1"/>
                <w:color w:val="auto"/>
                <w:vertAlign w:val="superscript"/>
              </w:rPr>
              <w:t>(5)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r>
      <w:tr>
        <w:trPr>
          <w:trHeight w:val="20"/>
        </w:trPr>
        <w:tc>
          <w:tcPr>
            <w:tcW w:w="10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25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1,001,001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3"/>
              </w:rPr>
              <w:t>(872,099)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30"/>
              <w:spacing w:after="0" w:line="142" w:lineRule="exact"/>
              <w:rPr>
                <w:sz w:val="20"/>
                <w:szCs w:val="20"/>
                <w:color w:val="auto"/>
              </w:rPr>
            </w:pPr>
            <w:r>
              <w:rPr>
                <w:rFonts w:ascii="Arial" w:cs="Arial" w:eastAsia="Arial" w:hAnsi="Arial"/>
                <w:sz w:val="14"/>
                <w:szCs w:val="14"/>
                <w:color w:val="auto"/>
              </w:rPr>
              <w:t>128,902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0"/>
        </w:trPr>
        <w:tc>
          <w:tcPr>
            <w:tcW w:w="2580" w:type="dxa"/>
            <w:vAlign w:val="bottom"/>
            <w:tcBorders>
              <w:left w:val="single" w:sz="8" w:color="CCEEFF"/>
            </w:tcBorders>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rPr>
              <w:t>Convertible Promissory Note 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6"/>
            <w:shd w:val="clear" w:color="auto" w:fill="CCEEFF"/>
          </w:tcPr>
          <w:p>
            <w:pPr>
              <w:ind w:left="200"/>
              <w:spacing w:after="0"/>
              <w:rPr>
                <w:sz w:val="20"/>
                <w:szCs w:val="20"/>
                <w:color w:val="auto"/>
              </w:rPr>
            </w:pPr>
            <w:r>
              <w:rPr>
                <w:rFonts w:ascii="Arial" w:cs="Arial" w:eastAsia="Arial" w:hAnsi="Arial"/>
                <w:sz w:val="14"/>
                <w:szCs w:val="14"/>
                <w:color w:val="auto"/>
              </w:rPr>
              <w:t>Expiration Date, 4/01/2016***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76,430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1,995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78,425</w:t>
            </w:r>
          </w:p>
        </w:tc>
      </w:tr>
      <w:tr>
        <w:trPr>
          <w:trHeight w:val="149"/>
        </w:trPr>
        <w:tc>
          <w:tcPr>
            <w:tcW w:w="25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2,173,163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840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(2,174,003)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tcBorders>
              <w:left w:val="single" w:sz="8" w:color="CCEEFF"/>
            </w:tcBorders>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576,675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(576,875)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20"/>
        </w:trPr>
        <w:tc>
          <w:tcPr>
            <w:tcW w:w="10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36"/>
        </w:trPr>
        <w:tc>
          <w:tcPr>
            <w:tcW w:w="2580" w:type="dxa"/>
            <w:vAlign w:val="bottom"/>
            <w:gridSpan w:val="6"/>
          </w:tcPr>
          <w:p>
            <w:pPr>
              <w:ind w:left="20"/>
              <w:spacing w:after="0" w:line="129" w:lineRule="exact"/>
              <w:rPr>
                <w:sz w:val="20"/>
                <w:szCs w:val="20"/>
                <w:color w:val="auto"/>
              </w:rPr>
            </w:pPr>
            <w:r>
              <w:rPr>
                <w:rFonts w:ascii="Arial" w:cs="Arial" w:eastAsia="Arial" w:hAnsi="Arial"/>
                <w:sz w:val="14"/>
                <w:szCs w:val="14"/>
                <w:b w:val="1"/>
                <w:bCs w:val="1"/>
                <w:color w:val="auto"/>
              </w:rPr>
              <w:t>Total Affiliate Investments</w:t>
            </w:r>
          </w:p>
        </w:tc>
        <w:tc>
          <w:tcPr>
            <w:tcW w:w="10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130,021</w:t>
            </w:r>
          </w:p>
        </w:tc>
        <w:tc>
          <w:tcPr>
            <w:tcW w:w="10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52,663,042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70,172,313</w:t>
            </w:r>
          </w:p>
        </w:tc>
      </w:tr>
      <w:tr>
        <w:trPr>
          <w:trHeight w:val="270"/>
        </w:trPr>
        <w:tc>
          <w:tcPr>
            <w:tcW w:w="106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213985" cy="1117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right="539" w:hanging="272"/>
        <w:spacing w:after="0" w:line="264"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which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right="759" w:hanging="272"/>
        <w:spacing w:after="0" w:line="277"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ind w:left="300" w:right="539" w:hanging="272"/>
        <w:spacing w:after="0" w:line="293" w:lineRule="auto"/>
        <w:tabs>
          <w:tab w:leader="none" w:pos="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December 31, 2014, GSV Capital Corp. valued Cricket Media (f/k/a ePals Inc.), based on its December 31,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56" w:lineRule="exact"/>
        <w:rPr>
          <w:rFonts w:ascii="Arial" w:cs="Arial" w:eastAsia="Arial" w:hAnsi="Arial"/>
          <w:sz w:val="16"/>
          <w:szCs w:val="16"/>
          <w:color w:val="auto"/>
        </w:rPr>
      </w:pPr>
    </w:p>
    <w:p>
      <w:pPr>
        <w:ind w:left="300" w:hanging="272"/>
        <w:spacing w:after="0"/>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November 20, 2014, Totus Solutions, Inc., conducted a 10:1 stock split.</w:t>
      </w:r>
    </w:p>
    <w:p>
      <w:pPr>
        <w:spacing w:after="0" w:line="117" w:lineRule="exact"/>
        <w:rPr>
          <w:rFonts w:ascii="Arial" w:cs="Arial" w:eastAsia="Arial" w:hAnsi="Arial"/>
          <w:sz w:val="18"/>
          <w:szCs w:val="18"/>
          <w:color w:val="auto"/>
        </w:rPr>
      </w:pPr>
    </w:p>
    <w:p>
      <w:pPr>
        <w:ind w:left="300" w:right="739" w:hanging="272"/>
        <w:spacing w:after="0" w:line="264"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3" w:name="page134"/>
    <w:bookmarkEnd w:id="133"/>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659"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5900" w:type="dxa"/>
            <w:vAlign w:val="bottom"/>
            <w:gridSpan w:val="2"/>
          </w:tcPr>
          <w:p>
            <w:pPr>
              <w:ind w:left="720"/>
              <w:spacing w:after="0"/>
              <w:rPr>
                <w:sz w:val="20"/>
                <w:szCs w:val="20"/>
                <w:color w:val="auto"/>
              </w:rPr>
            </w:pPr>
            <w:r>
              <w:rPr>
                <w:rFonts w:ascii="Arial" w:cs="Arial" w:eastAsia="Arial" w:hAnsi="Arial"/>
                <w:sz w:val="18"/>
                <w:szCs w:val="18"/>
                <w:b w:val="1"/>
                <w:bCs w:val="1"/>
                <w:color w:val="auto"/>
              </w:rPr>
              <w:t>GSV CAPITAL CORP.</w:t>
            </w:r>
          </w:p>
        </w:tc>
      </w:tr>
      <w:tr>
        <w:trPr>
          <w:trHeight w:val="378"/>
        </w:trPr>
        <w:tc>
          <w:tcPr>
            <w:tcW w:w="2300" w:type="dxa"/>
            <w:vAlign w:val="bottom"/>
          </w:tcPr>
          <w:p>
            <w:pPr>
              <w:spacing w:after="0"/>
              <w:rPr>
                <w:sz w:val="20"/>
                <w:szCs w:val="20"/>
                <w:color w:val="auto"/>
              </w:rPr>
            </w:pPr>
            <w:r>
              <w:rPr>
                <w:rFonts w:ascii="Arial" w:cs="Arial" w:eastAsia="Arial" w:hAnsi="Arial"/>
                <w:sz w:val="18"/>
                <w:szCs w:val="18"/>
                <w:color w:val="auto"/>
              </w:rPr>
              <w:t>Date: March 15, 2016</w:t>
            </w:r>
          </w:p>
        </w:tc>
        <w:tc>
          <w:tcPr>
            <w:tcW w:w="5900" w:type="dxa"/>
            <w:vAlign w:val="bottom"/>
            <w:gridSpan w:val="2"/>
          </w:tcPr>
          <w:p>
            <w:pPr>
              <w:ind w:left="1620"/>
              <w:spacing w:after="0"/>
              <w:rPr>
                <w:sz w:val="20"/>
                <w:szCs w:val="20"/>
                <w:color w:val="auto"/>
              </w:rPr>
            </w:pPr>
            <w:r>
              <w:rPr>
                <w:rFonts w:ascii="Arial" w:cs="Arial" w:eastAsia="Arial" w:hAnsi="Arial"/>
                <w:sz w:val="18"/>
                <w:szCs w:val="18"/>
                <w:color w:val="auto"/>
              </w:rPr>
              <w:t>By: /s/ Michael T. Moe</w:t>
            </w:r>
          </w:p>
        </w:tc>
      </w:tr>
      <w:tr>
        <w:trPr>
          <w:trHeight w:val="191"/>
        </w:trPr>
        <w:tc>
          <w:tcPr>
            <w:tcW w:w="2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Michael T. Moe</w:t>
            </w:r>
          </w:p>
        </w:tc>
      </w:tr>
      <w:tr>
        <w:trPr>
          <w:trHeight w:val="216"/>
        </w:trPr>
        <w:tc>
          <w:tcPr>
            <w:tcW w:w="2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20"/>
        </w:trPr>
        <w:tc>
          <w:tcPr>
            <w:tcW w:w="2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and Chairman of the Board of Directors</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Date: March 15, 2016</w:t>
            </w:r>
          </w:p>
        </w:tc>
        <w:tc>
          <w:tcPr>
            <w:tcW w:w="5900" w:type="dxa"/>
            <w:vAlign w:val="bottom"/>
            <w:gridSpan w:val="2"/>
          </w:tcPr>
          <w:p>
            <w:pPr>
              <w:ind w:left="1620"/>
              <w:spacing w:after="0"/>
              <w:rPr>
                <w:sz w:val="20"/>
                <w:szCs w:val="20"/>
                <w:color w:val="auto"/>
              </w:rPr>
            </w:pPr>
            <w:r>
              <w:rPr>
                <w:rFonts w:ascii="Arial" w:cs="Arial" w:eastAsia="Arial" w:hAnsi="Arial"/>
                <w:sz w:val="18"/>
                <w:szCs w:val="18"/>
                <w:color w:val="auto"/>
              </w:rPr>
              <w:t>By: /s/ William Tanona</w:t>
            </w:r>
          </w:p>
        </w:tc>
      </w:tr>
      <w:tr>
        <w:trPr>
          <w:trHeight w:val="191"/>
        </w:trPr>
        <w:tc>
          <w:tcPr>
            <w:tcW w:w="2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William Tanona</w:t>
            </w:r>
          </w:p>
        </w:tc>
      </w:tr>
      <w:tr>
        <w:trPr>
          <w:trHeight w:val="216"/>
        </w:trPr>
        <w:tc>
          <w:tcPr>
            <w:tcW w:w="2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34"/>
        </w:trPr>
        <w:tc>
          <w:tcPr>
            <w:tcW w:w="2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Treasurer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-1191260</wp:posOffset>
            </wp:positionV>
            <wp:extent cx="51885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74" w:lineRule="exact"/>
        <w:rPr>
          <w:sz w:val="20"/>
          <w:szCs w:val="20"/>
          <w:color w:val="auto"/>
        </w:rPr>
      </w:pPr>
    </w:p>
    <w:p>
      <w:pPr>
        <w:ind w:left="180" w:right="109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8858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Date: March 15, 2016</w:t>
            </w:r>
          </w:p>
        </w:tc>
        <w:tc>
          <w:tcPr>
            <w:tcW w:w="6720" w:type="dxa"/>
            <w:vAlign w:val="bottom"/>
            <w:gridSpan w:val="3"/>
          </w:tcPr>
          <w:p>
            <w:pPr>
              <w:ind w:left="1180"/>
              <w:spacing w:after="0"/>
              <w:rPr>
                <w:sz w:val="20"/>
                <w:szCs w:val="20"/>
                <w:color w:val="auto"/>
              </w:rPr>
            </w:pPr>
            <w:r>
              <w:rPr>
                <w:rFonts w:ascii="Arial" w:cs="Arial" w:eastAsia="Arial" w:hAnsi="Arial"/>
                <w:sz w:val="18"/>
                <w:szCs w:val="18"/>
                <w:color w:val="auto"/>
              </w:rPr>
              <w:t>By: /s/ Michael T. Moe</w:t>
            </w:r>
          </w:p>
        </w:tc>
      </w:tr>
      <w:tr>
        <w:trPr>
          <w:trHeight w:val="191"/>
        </w:trPr>
        <w:tc>
          <w:tcPr>
            <w:tcW w:w="2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Michael T. Moe</w:t>
            </w:r>
          </w:p>
        </w:tc>
        <w:tc>
          <w:tcPr>
            <w:tcW w:w="1260" w:type="dxa"/>
            <w:vAlign w:val="bottom"/>
          </w:tcPr>
          <w:p>
            <w:pPr>
              <w:spacing w:after="0"/>
              <w:rPr>
                <w:sz w:val="16"/>
                <w:szCs w:val="16"/>
                <w:color w:val="auto"/>
              </w:rPr>
            </w:pPr>
          </w:p>
        </w:tc>
      </w:tr>
      <w:tr>
        <w:trPr>
          <w:trHeight w:val="216"/>
        </w:trPr>
        <w:tc>
          <w:tcPr>
            <w:tcW w:w="2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16"/>
        </w:trPr>
        <w:tc>
          <w:tcPr>
            <w:tcW w:w="2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and Chairman of the Board of Directors</w:t>
            </w:r>
          </w:p>
        </w:tc>
      </w:tr>
      <w:tr>
        <w:trPr>
          <w:trHeight w:val="220"/>
        </w:trPr>
        <w:tc>
          <w:tcPr>
            <w:tcW w:w="2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(Principal Executive Officer)</w:t>
            </w: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Date: March 15, 2016</w:t>
            </w:r>
          </w:p>
        </w:tc>
        <w:tc>
          <w:tcPr>
            <w:tcW w:w="6720" w:type="dxa"/>
            <w:vAlign w:val="bottom"/>
            <w:gridSpan w:val="3"/>
          </w:tcPr>
          <w:p>
            <w:pPr>
              <w:ind w:left="1180"/>
              <w:spacing w:after="0"/>
              <w:rPr>
                <w:sz w:val="20"/>
                <w:szCs w:val="20"/>
                <w:color w:val="auto"/>
              </w:rPr>
            </w:pPr>
            <w:r>
              <w:rPr>
                <w:rFonts w:ascii="Arial" w:cs="Arial" w:eastAsia="Arial" w:hAnsi="Arial"/>
                <w:sz w:val="18"/>
                <w:szCs w:val="18"/>
                <w:color w:val="auto"/>
              </w:rPr>
              <w:t>By: /s/ William Tanona</w:t>
            </w:r>
          </w:p>
        </w:tc>
      </w:tr>
      <w:tr>
        <w:trPr>
          <w:trHeight w:val="191"/>
        </w:trPr>
        <w:tc>
          <w:tcPr>
            <w:tcW w:w="2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William Tanona</w:t>
            </w:r>
          </w:p>
        </w:tc>
        <w:tc>
          <w:tcPr>
            <w:tcW w:w="1260" w:type="dxa"/>
            <w:vAlign w:val="bottom"/>
          </w:tcPr>
          <w:p>
            <w:pPr>
              <w:spacing w:after="0"/>
              <w:rPr>
                <w:sz w:val="16"/>
                <w:szCs w:val="16"/>
                <w:color w:val="auto"/>
              </w:rPr>
            </w:pPr>
          </w:p>
        </w:tc>
      </w:tr>
      <w:tr>
        <w:trPr>
          <w:trHeight w:val="216"/>
        </w:trPr>
        <w:tc>
          <w:tcPr>
            <w:tcW w:w="2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2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Treasurer and Secretary</w:t>
            </w:r>
          </w:p>
        </w:tc>
      </w:tr>
      <w:tr>
        <w:trPr>
          <w:trHeight w:val="220"/>
        </w:trPr>
        <w:tc>
          <w:tcPr>
            <w:tcW w:w="2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Date: March 15, 2016</w:t>
            </w:r>
          </w:p>
        </w:tc>
        <w:tc>
          <w:tcPr>
            <w:tcW w:w="6720" w:type="dxa"/>
            <w:vAlign w:val="bottom"/>
            <w:gridSpan w:val="3"/>
          </w:tcPr>
          <w:p>
            <w:pPr>
              <w:ind w:left="1180"/>
              <w:spacing w:after="0"/>
              <w:rPr>
                <w:sz w:val="20"/>
                <w:szCs w:val="20"/>
                <w:color w:val="auto"/>
              </w:rPr>
            </w:pPr>
            <w:r>
              <w:rPr>
                <w:rFonts w:ascii="Arial" w:cs="Arial" w:eastAsia="Arial" w:hAnsi="Arial"/>
                <w:sz w:val="18"/>
                <w:szCs w:val="18"/>
                <w:color w:val="auto"/>
              </w:rPr>
              <w:t>By: /s/ Mark D. Klein</w:t>
            </w:r>
          </w:p>
        </w:tc>
      </w:tr>
      <w:tr>
        <w:trPr>
          <w:trHeight w:val="191"/>
        </w:trPr>
        <w:tc>
          <w:tcPr>
            <w:tcW w:w="2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Mark D. Klein</w:t>
            </w:r>
          </w:p>
        </w:tc>
        <w:tc>
          <w:tcPr>
            <w:tcW w:w="1260" w:type="dxa"/>
            <w:vAlign w:val="bottom"/>
          </w:tcPr>
          <w:p>
            <w:pPr>
              <w:spacing w:after="0"/>
              <w:rPr>
                <w:sz w:val="16"/>
                <w:szCs w:val="16"/>
                <w:color w:val="auto"/>
              </w:rPr>
            </w:pPr>
          </w:p>
        </w:tc>
      </w:tr>
      <w:tr>
        <w:trPr>
          <w:trHeight w:val="220"/>
        </w:trPr>
        <w:tc>
          <w:tcPr>
            <w:tcW w:w="2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Date: March 15, 2016</w:t>
            </w:r>
          </w:p>
        </w:tc>
        <w:tc>
          <w:tcPr>
            <w:tcW w:w="6720" w:type="dxa"/>
            <w:vAlign w:val="bottom"/>
            <w:gridSpan w:val="3"/>
          </w:tcPr>
          <w:p>
            <w:pPr>
              <w:ind w:left="1180"/>
              <w:spacing w:after="0"/>
              <w:rPr>
                <w:sz w:val="20"/>
                <w:szCs w:val="20"/>
                <w:color w:val="auto"/>
              </w:rPr>
            </w:pPr>
            <w:r>
              <w:rPr>
                <w:rFonts w:ascii="Arial" w:cs="Arial" w:eastAsia="Arial" w:hAnsi="Arial"/>
                <w:sz w:val="18"/>
                <w:szCs w:val="18"/>
                <w:color w:val="auto"/>
              </w:rPr>
              <w:t>By: /s/ Leonard A. Potter</w:t>
            </w:r>
          </w:p>
        </w:tc>
      </w:tr>
      <w:tr>
        <w:trPr>
          <w:trHeight w:val="191"/>
        </w:trPr>
        <w:tc>
          <w:tcPr>
            <w:tcW w:w="2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Leonard A. Potter</w:t>
            </w:r>
          </w:p>
        </w:tc>
        <w:tc>
          <w:tcPr>
            <w:tcW w:w="1260" w:type="dxa"/>
            <w:vAlign w:val="bottom"/>
          </w:tcPr>
          <w:p>
            <w:pPr>
              <w:spacing w:after="0"/>
              <w:rPr>
                <w:sz w:val="16"/>
                <w:szCs w:val="16"/>
                <w:color w:val="auto"/>
              </w:rPr>
            </w:pPr>
          </w:p>
        </w:tc>
      </w:tr>
      <w:tr>
        <w:trPr>
          <w:trHeight w:val="220"/>
        </w:trPr>
        <w:tc>
          <w:tcPr>
            <w:tcW w:w="2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Date: March 15, 2016</w:t>
            </w:r>
          </w:p>
        </w:tc>
        <w:tc>
          <w:tcPr>
            <w:tcW w:w="6720" w:type="dxa"/>
            <w:vAlign w:val="bottom"/>
            <w:gridSpan w:val="3"/>
          </w:tcPr>
          <w:p>
            <w:pPr>
              <w:ind w:left="1180"/>
              <w:spacing w:after="0"/>
              <w:rPr>
                <w:sz w:val="20"/>
                <w:szCs w:val="20"/>
                <w:color w:val="auto"/>
              </w:rPr>
            </w:pPr>
            <w:r>
              <w:rPr>
                <w:rFonts w:ascii="Arial" w:cs="Arial" w:eastAsia="Arial" w:hAnsi="Arial"/>
                <w:sz w:val="18"/>
                <w:szCs w:val="18"/>
                <w:color w:val="auto"/>
              </w:rPr>
              <w:t>By: /s/ Mark W. Flynn</w:t>
            </w:r>
          </w:p>
        </w:tc>
      </w:tr>
      <w:tr>
        <w:trPr>
          <w:trHeight w:val="191"/>
        </w:trPr>
        <w:tc>
          <w:tcPr>
            <w:tcW w:w="2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Mark W. Flynn</w:t>
            </w:r>
          </w:p>
        </w:tc>
        <w:tc>
          <w:tcPr>
            <w:tcW w:w="1260" w:type="dxa"/>
            <w:vAlign w:val="bottom"/>
          </w:tcPr>
          <w:p>
            <w:pPr>
              <w:spacing w:after="0"/>
              <w:rPr>
                <w:sz w:val="16"/>
                <w:szCs w:val="16"/>
                <w:color w:val="auto"/>
              </w:rPr>
            </w:pPr>
          </w:p>
        </w:tc>
      </w:tr>
      <w:tr>
        <w:trPr>
          <w:trHeight w:val="220"/>
        </w:trPr>
        <w:tc>
          <w:tcPr>
            <w:tcW w:w="2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Date: March 15, 2016</w:t>
            </w:r>
          </w:p>
        </w:tc>
        <w:tc>
          <w:tcPr>
            <w:tcW w:w="6720" w:type="dxa"/>
            <w:vAlign w:val="bottom"/>
            <w:gridSpan w:val="3"/>
          </w:tcPr>
          <w:p>
            <w:pPr>
              <w:ind w:left="1180"/>
              <w:spacing w:after="0"/>
              <w:rPr>
                <w:sz w:val="20"/>
                <w:szCs w:val="20"/>
                <w:color w:val="auto"/>
              </w:rPr>
            </w:pPr>
            <w:r>
              <w:rPr>
                <w:rFonts w:ascii="Arial" w:cs="Arial" w:eastAsia="Arial" w:hAnsi="Arial"/>
                <w:sz w:val="18"/>
                <w:szCs w:val="18"/>
                <w:color w:val="auto"/>
              </w:rPr>
              <w:t>By: /s/ Ronald M. Lott</w:t>
            </w:r>
          </w:p>
        </w:tc>
      </w:tr>
      <w:tr>
        <w:trPr>
          <w:trHeight w:val="191"/>
        </w:trPr>
        <w:tc>
          <w:tcPr>
            <w:tcW w:w="2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Ronald M. Lott</w:t>
            </w:r>
          </w:p>
        </w:tc>
        <w:tc>
          <w:tcPr>
            <w:tcW w:w="1260" w:type="dxa"/>
            <w:vAlign w:val="bottom"/>
          </w:tcPr>
          <w:p>
            <w:pPr>
              <w:spacing w:after="0"/>
              <w:rPr>
                <w:sz w:val="16"/>
                <w:szCs w:val="16"/>
                <w:color w:val="auto"/>
              </w:rPr>
            </w:pPr>
          </w:p>
        </w:tc>
      </w:tr>
      <w:tr>
        <w:trPr>
          <w:trHeight w:val="220"/>
        </w:trPr>
        <w:tc>
          <w:tcPr>
            <w:tcW w:w="2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Date: March 15, 2016</w:t>
            </w:r>
          </w:p>
        </w:tc>
        <w:tc>
          <w:tcPr>
            <w:tcW w:w="6720" w:type="dxa"/>
            <w:vAlign w:val="bottom"/>
            <w:gridSpan w:val="3"/>
          </w:tcPr>
          <w:p>
            <w:pPr>
              <w:ind w:left="1180"/>
              <w:spacing w:after="0"/>
              <w:rPr>
                <w:sz w:val="20"/>
                <w:szCs w:val="20"/>
                <w:color w:val="auto"/>
              </w:rPr>
            </w:pPr>
            <w:r>
              <w:rPr>
                <w:rFonts w:ascii="Arial" w:cs="Arial" w:eastAsia="Arial" w:hAnsi="Arial"/>
                <w:sz w:val="18"/>
                <w:szCs w:val="18"/>
                <w:color w:val="auto"/>
              </w:rPr>
              <w:t>By: /s/ Catherine J. Friedman</w:t>
            </w:r>
          </w:p>
        </w:tc>
      </w:tr>
      <w:tr>
        <w:trPr>
          <w:trHeight w:val="191"/>
        </w:trPr>
        <w:tc>
          <w:tcPr>
            <w:tcW w:w="2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Catherine J. Friedman</w:t>
            </w:r>
          </w:p>
        </w:tc>
        <w:tc>
          <w:tcPr>
            <w:tcW w:w="1260" w:type="dxa"/>
            <w:vAlign w:val="bottom"/>
          </w:tcPr>
          <w:p>
            <w:pPr>
              <w:spacing w:after="0"/>
              <w:rPr>
                <w:sz w:val="16"/>
                <w:szCs w:val="16"/>
                <w:color w:val="auto"/>
              </w:rPr>
            </w:pPr>
          </w:p>
        </w:tc>
      </w:tr>
      <w:tr>
        <w:trPr>
          <w:trHeight w:val="220"/>
        </w:trPr>
        <w:tc>
          <w:tcPr>
            <w:tcW w:w="2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Date: March 15, 2016</w:t>
            </w:r>
          </w:p>
        </w:tc>
        <w:tc>
          <w:tcPr>
            <w:tcW w:w="6720" w:type="dxa"/>
            <w:vAlign w:val="bottom"/>
            <w:gridSpan w:val="3"/>
          </w:tcPr>
          <w:p>
            <w:pPr>
              <w:ind w:left="1180"/>
              <w:spacing w:after="0"/>
              <w:rPr>
                <w:sz w:val="20"/>
                <w:szCs w:val="20"/>
                <w:color w:val="auto"/>
              </w:rPr>
            </w:pPr>
            <w:r>
              <w:rPr>
                <w:rFonts w:ascii="Arial" w:cs="Arial" w:eastAsia="Arial" w:hAnsi="Arial"/>
                <w:sz w:val="18"/>
                <w:szCs w:val="18"/>
                <w:color w:val="auto"/>
              </w:rPr>
              <w:t>By: /s/ Bradford C. Koenig</w:t>
            </w:r>
          </w:p>
        </w:tc>
      </w:tr>
      <w:tr>
        <w:trPr>
          <w:trHeight w:val="191"/>
        </w:trPr>
        <w:tc>
          <w:tcPr>
            <w:tcW w:w="2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Bradford C. Koenig</w:t>
            </w:r>
          </w:p>
        </w:tc>
        <w:tc>
          <w:tcPr>
            <w:tcW w:w="1260" w:type="dxa"/>
            <w:vAlign w:val="bottom"/>
          </w:tcPr>
          <w:p>
            <w:pPr>
              <w:spacing w:after="0"/>
              <w:rPr>
                <w:sz w:val="16"/>
                <w:szCs w:val="16"/>
                <w:color w:val="auto"/>
              </w:rPr>
            </w:pPr>
          </w:p>
        </w:tc>
      </w:tr>
      <w:tr>
        <w:trPr>
          <w:trHeight w:val="234"/>
        </w:trPr>
        <w:tc>
          <w:tcPr>
            <w:tcW w:w="2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r>
      <w:tr>
        <w:trPr>
          <w:trHeight w:val="770"/>
        </w:trPr>
        <w:tc>
          <w:tcPr>
            <w:tcW w:w="2880" w:type="dxa"/>
            <w:vAlign w:val="bottom"/>
          </w:tcPr>
          <w:p>
            <w:pPr>
              <w:spacing w:after="0"/>
              <w:rPr>
                <w:sz w:val="24"/>
                <w:szCs w:val="24"/>
                <w:color w:val="auto"/>
              </w:rPr>
            </w:pPr>
          </w:p>
        </w:tc>
        <w:tc>
          <w:tcPr>
            <w:tcW w:w="5460" w:type="dxa"/>
            <w:vAlign w:val="bottom"/>
            <w:gridSpan w:val="2"/>
          </w:tcPr>
          <w:p>
            <w:pPr>
              <w:ind w:left="1780"/>
              <w:spacing w:after="0"/>
              <w:rPr>
                <w:sz w:val="20"/>
                <w:szCs w:val="20"/>
                <w:color w:val="auto"/>
              </w:rPr>
            </w:pPr>
            <w:r>
              <w:rPr>
                <w:rFonts w:ascii="Arial" w:cs="Arial" w:eastAsia="Arial" w:hAnsi="Arial"/>
                <w:sz w:val="18"/>
                <w:szCs w:val="18"/>
                <w:color w:val="auto"/>
              </w:rPr>
              <w:t>131</w:t>
            </w:r>
          </w:p>
        </w:tc>
        <w:tc>
          <w:tcPr>
            <w:tcW w:w="1260" w:type="dxa"/>
            <w:vAlign w:val="bottom"/>
          </w:tcPr>
          <w:p>
            <w:pPr>
              <w:spacing w:after="0"/>
              <w:rPr>
                <w:sz w:val="24"/>
                <w:szCs w:val="24"/>
                <w:color w:val="auto"/>
              </w:rPr>
            </w:pPr>
          </w:p>
        </w:tc>
      </w:tr>
      <w:tr>
        <w:trPr>
          <w:trHeight w:val="162"/>
        </w:trPr>
        <w:tc>
          <w:tcPr>
            <w:tcW w:w="28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39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288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39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4" w:name="page135"/>
    <w:bookmarkEnd w:id="134"/>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135" w:name="page136"/>
    <w:bookmarkEnd w:id="135"/>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Tanona, certify that:</w:t>
      </w:r>
    </w:p>
    <w:p>
      <w:pPr>
        <w:spacing w:after="0" w:line="117" w:lineRule="exact"/>
        <w:rPr>
          <w:sz w:val="20"/>
          <w:szCs w:val="20"/>
          <w:color w:val="auto"/>
        </w:rPr>
      </w:pPr>
    </w:p>
    <w:p>
      <w:pPr>
        <w:ind w:left="540" w:hanging="26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William Tanona</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136" w:name="page137"/>
    <w:bookmarkEnd w:id="136"/>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559" w:firstLine="270"/>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2015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37" w:name="page138"/>
    <w:bookmarkEnd w:id="137"/>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annual report on Form 10-K for the year ended December 31, 2015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x"/>
      <w:numFmt w:val="bullet"/>
      <w:start w:val="1"/>
    </w:lvl>
  </w:abstractNum>
  <w:abstractNum w:abstractNumId="1">
    <w:nsid w:val="2463B9EA"/>
    <w:multiLevelType w:val="hybridMultilevel"/>
    <w:lvl w:ilvl="0">
      <w:lvlJc w:val="left"/>
      <w:lvlText w:val="o"/>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3"/>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
    <w:nsid w:val="4B588F54"/>
    <w:multiLevelType w:val="hybridMultilevel"/>
    <w:lvl w:ilvl="0">
      <w:lvlJc w:val="left"/>
      <w:lvlText w:val="(%1)"/>
      <w:numFmt w:val="lowerRoman"/>
      <w:start w:val="4"/>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lvl w:ilvl="1">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5"/>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2"/>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4"/>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2"/>
    </w:lvl>
  </w:abstractNum>
  <w:abstractNum w:abstractNumId="54">
    <w:nsid w:val="2F305DEF"/>
    <w:multiLevelType w:val="hybridMultilevel"/>
    <w:lvl w:ilvl="0">
      <w:lvlJc w:val="left"/>
      <w:lvlText w:val="(%1)"/>
      <w:numFmt w:val="decimal"/>
      <w:start w:val="12"/>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3"/>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4"/>
    </w:lvl>
  </w:abstractNum>
  <w:abstractNum w:abstractNumId="62">
    <w:nsid w:val="6590700B"/>
    <w:multiLevelType w:val="hybridMultilevel"/>
    <w:lvl w:ilvl="0">
      <w:lvlJc w:val="left"/>
      <w:lvlText w:val="(%1)"/>
      <w:numFmt w:val="lowerLetter"/>
      <w:start w:val="1"/>
    </w:lvl>
    <w:lvl w:ilvl="1">
      <w:lvlJc w:val="left"/>
      <w:lvlText w:val="(%2)"/>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2"/>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2019-12-29T11:43:06Z</dcterms:created>
  <dcterms:modified xsi:type="dcterms:W3CDTF">2019-12-29T11:43:06Z</dcterms:modified>
</cp:coreProperties>
</file>