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3253105</wp:posOffset>
            </wp:positionH>
            <wp:positionV relativeFrom="page">
              <wp:posOffset>663575</wp:posOffset>
            </wp:positionV>
            <wp:extent cx="342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page">
              <wp:posOffset>3253105</wp:posOffset>
            </wp:positionH>
            <wp:positionV relativeFrom="page">
              <wp:posOffset>688975</wp:posOffset>
            </wp:positionV>
            <wp:extent cx="34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4081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120" w:hanging="685"/>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w:t>
      </w:r>
    </w:p>
    <w:p>
      <w:pPr>
        <w:spacing w:after="0" w:line="9"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-59055</wp:posOffset>
            </wp:positionV>
            <wp:extent cx="4081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7" w:lineRule="exact"/>
        <w:rPr>
          <w:sz w:val="24"/>
          <w:szCs w:val="24"/>
          <w:color w:val="auto"/>
        </w:rPr>
      </w:pPr>
    </w:p>
    <w:p>
      <w:pPr>
        <w:ind w:left="1120" w:hanging="685"/>
        <w:spacing w:after="0"/>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9"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1080" w:type="dxa"/>
        <w:tblCellMar>
          <w:top w:w="0" w:type="dxa"/>
          <w:left w:w="0" w:type="dxa"/>
          <w:bottom w:w="0" w:type="dxa"/>
          <w:right w:w="0" w:type="dxa"/>
        </w:tblCellMar>
      </w:tblPr>
      <w:tr>
        <w:trPr>
          <w:trHeight w:val="421"/>
        </w:trPr>
        <w:tc>
          <w:tcPr>
            <w:tcW w:w="2320" w:type="dxa"/>
            <w:vAlign w:val="bottom"/>
          </w:tcPr>
          <w:p>
            <w:pPr>
              <w:spacing w:after="0"/>
              <w:rPr>
                <w:sz w:val="24"/>
                <w:szCs w:val="24"/>
                <w:color w:val="auto"/>
              </w:rPr>
            </w:pPr>
          </w:p>
        </w:tc>
        <w:tc>
          <w:tcPr>
            <w:tcW w:w="4480" w:type="dxa"/>
            <w:vAlign w:val="bottom"/>
            <w:gridSpan w:val="3"/>
          </w:tcPr>
          <w:p>
            <w:pPr>
              <w:jc w:val="center"/>
              <w:ind w:right="1668"/>
              <w:spacing w:after="0"/>
              <w:rPr>
                <w:sz w:val="20"/>
                <w:szCs w:val="20"/>
                <w:color w:val="auto"/>
              </w:rPr>
            </w:pPr>
            <w:r>
              <w:rPr>
                <w:rFonts w:ascii="Arial" w:cs="Arial" w:eastAsia="Arial" w:hAnsi="Arial"/>
                <w:sz w:val="32"/>
                <w:szCs w:val="32"/>
                <w:b w:val="1"/>
                <w:bCs w:val="1"/>
                <w:color w:val="auto"/>
                <w:w w:val="96"/>
              </w:rPr>
              <w:t>GSV Capital Corp.</w:t>
            </w:r>
          </w:p>
        </w:tc>
      </w:tr>
      <w:tr>
        <w:trPr>
          <w:trHeight w:val="257"/>
        </w:trPr>
        <w:tc>
          <w:tcPr>
            <w:tcW w:w="6800" w:type="dxa"/>
            <w:vAlign w:val="bottom"/>
            <w:gridSpan w:val="4"/>
          </w:tcPr>
          <w:p>
            <w:pPr>
              <w:ind w:left="2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96"/>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312"/>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4480" w:type="dxa"/>
            <w:vAlign w:val="bottom"/>
            <w:gridSpan w:val="3"/>
          </w:tcPr>
          <w:p>
            <w:pPr>
              <w:jc w:val="right"/>
              <w:ind w:right="528"/>
              <w:spacing w:after="0"/>
              <w:rPr>
                <w:sz w:val="20"/>
                <w:szCs w:val="20"/>
                <w:color w:val="auto"/>
              </w:rPr>
            </w:pPr>
            <w:r>
              <w:rPr>
                <w:rFonts w:ascii="Arial" w:cs="Arial" w:eastAsia="Arial" w:hAnsi="Arial"/>
                <w:sz w:val="18"/>
                <w:szCs w:val="18"/>
                <w:b w:val="1"/>
                <w:bCs w:val="1"/>
                <w:color w:val="auto"/>
              </w:rPr>
              <w:t>27-4443543</w:t>
            </w:r>
          </w:p>
        </w:tc>
      </w:tr>
      <w:tr>
        <w:trPr>
          <w:trHeight w:val="140"/>
        </w:trPr>
        <w:tc>
          <w:tcPr>
            <w:tcW w:w="2320" w:type="dxa"/>
            <w:vAlign w:val="bottom"/>
          </w:tcPr>
          <w:p>
            <w:pPr>
              <w:jc w:val="center"/>
              <w:spacing w:after="0" w:line="141" w:lineRule="exact"/>
              <w:rPr>
                <w:sz w:val="20"/>
                <w:szCs w:val="20"/>
                <w:color w:val="auto"/>
              </w:rPr>
            </w:pPr>
            <w:r>
              <w:rPr>
                <w:rFonts w:ascii="Arial" w:cs="Arial" w:eastAsia="Arial" w:hAnsi="Arial"/>
                <w:sz w:val="14"/>
                <w:szCs w:val="14"/>
                <w:color w:val="auto"/>
                <w:w w:val="95"/>
              </w:rPr>
              <w:t>(State of incorporation)</w:t>
            </w:r>
          </w:p>
        </w:tc>
        <w:tc>
          <w:tcPr>
            <w:tcW w:w="160" w:type="dxa"/>
            <w:vAlign w:val="bottom"/>
          </w:tcPr>
          <w:p>
            <w:pPr>
              <w:spacing w:after="0"/>
              <w:rPr>
                <w:sz w:val="12"/>
                <w:szCs w:val="12"/>
                <w:color w:val="auto"/>
              </w:rPr>
            </w:pPr>
          </w:p>
        </w:tc>
        <w:tc>
          <w:tcPr>
            <w:tcW w:w="4320" w:type="dxa"/>
            <w:vAlign w:val="bottom"/>
            <w:gridSpan w:val="2"/>
          </w:tcPr>
          <w:p>
            <w:pPr>
              <w:jc w:val="center"/>
              <w:ind w:left="2168"/>
              <w:spacing w:after="0" w:line="141" w:lineRule="exact"/>
              <w:rPr>
                <w:sz w:val="20"/>
                <w:szCs w:val="20"/>
                <w:color w:val="auto"/>
              </w:rPr>
            </w:pPr>
            <w:r>
              <w:rPr>
                <w:rFonts w:ascii="Arial" w:cs="Arial" w:eastAsia="Arial" w:hAnsi="Arial"/>
                <w:sz w:val="14"/>
                <w:szCs w:val="14"/>
                <w:color w:val="auto"/>
                <w:w w:val="96"/>
              </w:rPr>
              <w:t>(I.R.S. Employer Identification No.)</w:t>
            </w:r>
          </w:p>
        </w:tc>
      </w:tr>
      <w:tr>
        <w:trPr>
          <w:trHeight w:val="157"/>
        </w:trPr>
        <w:tc>
          <w:tcPr>
            <w:tcW w:w="2320" w:type="dxa"/>
            <w:vAlign w:val="bottom"/>
          </w:tcPr>
          <w:p>
            <w:pPr>
              <w:jc w:val="center"/>
              <w:spacing w:after="0" w:line="157" w:lineRule="exact"/>
              <w:rPr>
                <w:sz w:val="20"/>
                <w:szCs w:val="20"/>
                <w:color w:val="auto"/>
              </w:rPr>
            </w:pPr>
            <w:r>
              <w:rPr>
                <w:rFonts w:ascii="Arial" w:cs="Arial" w:eastAsia="Arial" w:hAnsi="Arial"/>
                <w:sz w:val="18"/>
                <w:szCs w:val="18"/>
                <w:b w:val="1"/>
                <w:bCs w:val="1"/>
                <w:color w:val="auto"/>
                <w:w w:val="88"/>
              </w:rPr>
              <w:t>2925 Woodside Road</w:t>
            </w:r>
          </w:p>
        </w:tc>
        <w:tc>
          <w:tcPr>
            <w:tcW w:w="4480" w:type="dxa"/>
            <w:vAlign w:val="bottom"/>
            <w:gridSpan w:val="3"/>
          </w:tcPr>
          <w:p>
            <w:pPr>
              <w:jc w:val="right"/>
              <w:ind w:right="748"/>
              <w:spacing w:after="0" w:line="157" w:lineRule="exact"/>
              <w:rPr>
                <w:sz w:val="20"/>
                <w:szCs w:val="20"/>
                <w:color w:val="auto"/>
              </w:rPr>
            </w:pPr>
            <w:r>
              <w:rPr>
                <w:rFonts w:ascii="Arial" w:cs="Arial" w:eastAsia="Arial" w:hAnsi="Arial"/>
                <w:sz w:val="18"/>
                <w:szCs w:val="18"/>
                <w:b w:val="1"/>
                <w:bCs w:val="1"/>
                <w:color w:val="auto"/>
              </w:rPr>
              <w:t>94062</w:t>
            </w: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Woodside, CA</w:t>
            </w: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900" w:type="dxa"/>
            <w:vAlign w:val="bottom"/>
          </w:tcPr>
          <w:p>
            <w:pPr>
              <w:jc w:val="center"/>
              <w:ind w:right="108"/>
              <w:spacing w:after="0"/>
              <w:rPr>
                <w:sz w:val="20"/>
                <w:szCs w:val="20"/>
                <w:color w:val="auto"/>
              </w:rPr>
            </w:pPr>
            <w:r>
              <w:rPr>
                <w:rFonts w:ascii="Arial" w:cs="Arial" w:eastAsia="Arial" w:hAnsi="Arial"/>
                <w:sz w:val="14"/>
                <w:szCs w:val="14"/>
                <w:color w:val="auto"/>
                <w:w w:val="96"/>
              </w:rPr>
              <w:t>(Zip Code)</w:t>
            </w:r>
          </w:p>
        </w:tc>
      </w:tr>
      <w:tr>
        <w:trPr>
          <w:trHeight w:val="417"/>
        </w:trPr>
        <w:tc>
          <w:tcPr>
            <w:tcW w:w="2320" w:type="dxa"/>
            <w:vAlign w:val="bottom"/>
          </w:tcPr>
          <w:p>
            <w:pPr>
              <w:spacing w:after="0"/>
              <w:rPr>
                <w:sz w:val="24"/>
                <w:szCs w:val="24"/>
                <w:color w:val="auto"/>
              </w:rPr>
            </w:pPr>
          </w:p>
        </w:tc>
        <w:tc>
          <w:tcPr>
            <w:tcW w:w="258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(650) 235-4769</w:t>
            </w:r>
          </w:p>
        </w:tc>
        <w:tc>
          <w:tcPr>
            <w:tcW w:w="19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-882650</wp:posOffset>
            </wp:positionV>
            <wp:extent cx="574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-694055</wp:posOffset>
            </wp:positionV>
            <wp:extent cx="574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8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201295</wp:posOffset>
            </wp:positionV>
            <wp:extent cx="15436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73" w:lineRule="exact"/>
        <w:rPr>
          <w:sz w:val="24"/>
          <w:szCs w:val="24"/>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39" w:lineRule="exact"/>
        <w:rPr>
          <w:sz w:val="24"/>
          <w:szCs w:val="24"/>
          <w:color w:val="auto"/>
        </w:rPr>
      </w:pPr>
    </w:p>
    <w:p>
      <w:pPr>
        <w:jc w:val="both"/>
        <w:ind w:left="40" w:right="519"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-76200</wp:posOffset>
            </wp:positionV>
            <wp:extent cx="574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p>
      <w:pPr>
        <w:ind w:left="180"/>
        <w:spacing w:after="0"/>
        <w:tabs>
          <w:tab w:leader="none" w:pos="21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4"/>
          <w:szCs w:val="14"/>
          <w:color w:val="auto"/>
        </w:rPr>
        <w:t>o</w:t>
      </w:r>
    </w:p>
    <w:p>
      <w:pPr>
        <w:spacing w:after="0" w:line="9" w:lineRule="exact"/>
        <w:rPr>
          <w:sz w:val="24"/>
          <w:szCs w:val="24"/>
          <w:color w:val="auto"/>
        </w:rPr>
      </w:pPr>
    </w:p>
    <w:p>
      <w:pPr>
        <w:ind w:left="180"/>
        <w:spacing w:after="0"/>
        <w:tabs>
          <w:tab w:leader="none" w:pos="21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54" w:lineRule="exact"/>
        <w:rPr>
          <w:sz w:val="24"/>
          <w:szCs w:val="24"/>
          <w:color w:val="auto"/>
        </w:rPr>
      </w:pPr>
    </w:p>
    <w:p>
      <w:pPr>
        <w:sectPr>
          <w:pgSz w:w="11900" w:h="16838" w:orient="portrait"/>
          <w:cols w:equalWidth="0" w:num="3">
            <w:col w:w="3900" w:space="720"/>
            <w:col w:w="1960" w:space="200"/>
            <w:col w:w="3299"/>
          </w:cols>
          <w:pgMar w:left="380" w:top="144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(do not check if a smaller reporting company)</w:t>
      </w:r>
    </w:p>
    <w:p>
      <w:pPr>
        <w:spacing w:after="0" w:line="103" w:lineRule="exact"/>
        <w:rPr>
          <w:sz w:val="24"/>
          <w:szCs w:val="24"/>
          <w:color w:val="auto"/>
        </w:rPr>
      </w:pPr>
    </w:p>
    <w:p>
      <w:pPr>
        <w:ind w:left="3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Act).Yes o No x</w:t>
      </w:r>
    </w:p>
    <w:p>
      <w:pPr>
        <w:spacing w:after="0" w:line="140" w:lineRule="exact"/>
        <w:rPr>
          <w:sz w:val="24"/>
          <w:szCs w:val="24"/>
          <w:color w:val="auto"/>
        </w:rPr>
      </w:pPr>
    </w:p>
    <w:p>
      <w:pPr>
        <w:ind w:left="320"/>
        <w:spacing w:after="0"/>
        <w:rPr>
          <w:sz w:val="20"/>
          <w:szCs w:val="20"/>
          <w:color w:val="auto"/>
        </w:rPr>
      </w:pPr>
      <w:r>
        <w:rPr>
          <w:rFonts w:ascii="Arial" w:cs="Arial" w:eastAsia="Arial" w:hAnsi="Arial"/>
          <w:sz w:val="16"/>
          <w:szCs w:val="16"/>
          <w:color w:val="auto"/>
        </w:rPr>
        <w:t>The number of shares of the issuer’s Common Stock, $0.01 par value, outstanding as of August 9, 2013 was 19,320,100.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486410</wp:posOffset>
            </wp:positionH>
            <wp:positionV relativeFrom="paragraph">
              <wp:posOffset>762635</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12065</wp:posOffset>
            </wp:positionV>
            <wp:extent cx="342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38100</wp:posOffset>
            </wp:positionV>
            <wp:extent cx="342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type w:val="continuous"/>
        </w:sectPr>
      </w:pPr>
    </w:p>
    <w:bookmarkStart w:id="1" w:name="page2"/>
    <w:bookmarkEnd w:id="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7680" w:type="dxa"/>
            <w:vAlign w:val="bottom"/>
            <w:gridSpan w:val="29"/>
            <w:shd w:val="clear" w:color="auto" w:fill="CCFFCC"/>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840" w:type="dxa"/>
            <w:vAlign w:val="bottom"/>
            <w:gridSpan w:val="26"/>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760" w:type="dxa"/>
            <w:vAlign w:val="bottom"/>
            <w:gridSpan w:val="25"/>
            <w:shd w:val="clear" w:color="auto" w:fill="CCFFCC"/>
          </w:tcPr>
          <w:p>
            <w:pPr>
              <w:spacing w:after="0" w:line="176"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Consolidated Statements of Assets and Liabilities as of June 30, 2013 (unaudited) and</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196"/>
        </w:trPr>
        <w:tc>
          <w:tcPr>
            <w:tcW w:w="200" w:type="dxa"/>
            <w:vAlign w:val="bottom"/>
            <w:tcBorders>
              <w:top w:val="single" w:sz="8" w:color="CCFFCC"/>
            </w:tcBorders>
            <w:shd w:val="clear" w:color="auto" w:fill="CCFFCC"/>
          </w:tcPr>
          <w:p>
            <w:pPr>
              <w:spacing w:after="0"/>
              <w:rPr>
                <w:sz w:val="17"/>
                <w:szCs w:val="17"/>
                <w:color w:val="auto"/>
              </w:rPr>
            </w:pPr>
          </w:p>
        </w:tc>
        <w:tc>
          <w:tcPr>
            <w:tcW w:w="5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6180" w:type="dxa"/>
            <w:vAlign w:val="bottom"/>
            <w:tcBorders>
              <w:top w:val="single" w:sz="8" w:color="0000EE"/>
            </w:tcBorders>
            <w:gridSpan w:val="20"/>
            <w:shd w:val="clear" w:color="auto" w:fill="CCFFCC"/>
          </w:tcPr>
          <w:p>
            <w:pPr>
              <w:ind w:left="18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December 31, 2012</w:t>
              </w:r>
            </w:hyperlink>
          </w:p>
        </w:tc>
        <w:tc>
          <w:tcPr>
            <w:tcW w:w="580" w:type="dxa"/>
            <w:vAlign w:val="bottom"/>
            <w:tcBorders>
              <w:top w:val="single" w:sz="8" w:color="CCFFCC"/>
            </w:tcBorders>
            <w:gridSpan w:val="5"/>
            <w:shd w:val="clear" w:color="auto" w:fill="CCFFCC"/>
          </w:tcPr>
          <w:p>
            <w:pPr>
              <w:spacing w:after="0"/>
              <w:rPr>
                <w:sz w:val="17"/>
                <w:szCs w:val="17"/>
                <w:color w:val="auto"/>
              </w:rPr>
            </w:pPr>
          </w:p>
        </w:tc>
        <w:tc>
          <w:tcPr>
            <w:tcW w:w="26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0000EE"/>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0" w:type="dxa"/>
            <w:vAlign w:val="bottom"/>
            <w:tcBorders>
              <w:bottom w:val="single" w:sz="8" w:color="0000EE"/>
            </w:tcBorders>
            <w:gridSpan w:val="24"/>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(unaudited) for the three and six months ended June</w:t>
              </w:r>
            </w:hyperlink>
          </w:p>
        </w:tc>
        <w:tc>
          <w:tcPr>
            <w:tcW w:w="16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100" w:type="dxa"/>
            <w:vAlign w:val="bottom"/>
            <w:tcBorders>
              <w:bottom w:val="single" w:sz="8" w:color="0000EE"/>
            </w:tcBorders>
          </w:tcPr>
          <w:p>
            <w:pPr>
              <w:jc w:val="right"/>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60" w:type="dxa"/>
            <w:vAlign w:val="bottom"/>
            <w:gridSpan w:val="25"/>
          </w:tcPr>
          <w:p>
            <w:pPr>
              <w:ind w:left="18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30, 2013, and June 30, 2012</w:t>
              </w:r>
            </w:hyperlink>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760" w:type="dxa"/>
            <w:vAlign w:val="bottom"/>
            <w:gridSpan w:val="25"/>
            <w:shd w:val="clear" w:color="auto" w:fill="CCFFCC"/>
          </w:tcPr>
          <w:p>
            <w:pPr>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Statements of Changes in Net Assets (unaudited) for the six months ended</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200" w:type="dxa"/>
            <w:vAlign w:val="bottom"/>
            <w:tcBorders>
              <w:top w:val="single" w:sz="8" w:color="CCFFCC"/>
            </w:tcBorders>
            <w:shd w:val="clear" w:color="auto" w:fill="CCFFCC"/>
          </w:tcPr>
          <w:p>
            <w:pPr>
              <w:spacing w:after="0"/>
              <w:rPr>
                <w:sz w:val="17"/>
                <w:szCs w:val="17"/>
                <w:color w:val="auto"/>
              </w:rPr>
            </w:pPr>
          </w:p>
        </w:tc>
        <w:tc>
          <w:tcPr>
            <w:tcW w:w="5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6340" w:type="dxa"/>
            <w:vAlign w:val="bottom"/>
            <w:tcBorders>
              <w:top w:val="single" w:sz="8" w:color="0000EE"/>
            </w:tcBorders>
            <w:gridSpan w:val="22"/>
            <w:shd w:val="clear" w:color="auto" w:fill="CCFFCC"/>
          </w:tcPr>
          <w:p>
            <w:pPr>
              <w:ind w:left="18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30, 2013, and June 30, 2012</w:t>
              </w:r>
            </w:hyperlink>
          </w:p>
        </w:tc>
        <w:tc>
          <w:tcPr>
            <w:tcW w:w="420" w:type="dxa"/>
            <w:vAlign w:val="bottom"/>
            <w:tcBorders>
              <w:top w:val="single" w:sz="8" w:color="CCFFCC"/>
            </w:tcBorders>
            <w:gridSpan w:val="3"/>
            <w:shd w:val="clear" w:color="auto" w:fill="CCFFCC"/>
          </w:tcPr>
          <w:p>
            <w:pPr>
              <w:spacing w:after="0"/>
              <w:rPr>
                <w:sz w:val="17"/>
                <w:szCs w:val="17"/>
                <w:color w:val="auto"/>
              </w:rPr>
            </w:pPr>
          </w:p>
        </w:tc>
        <w:tc>
          <w:tcPr>
            <w:tcW w:w="26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0000EE"/>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1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760" w:type="dxa"/>
            <w:vAlign w:val="bottom"/>
            <w:gridSpan w:val="25"/>
          </w:tcPr>
          <w:p>
            <w:pPr>
              <w:spacing w:after="0" w:line="17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Consolidated Statements of Cash Flows (unaudited) for the six months ended June 30,</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0" w:type="dxa"/>
            <w:vAlign w:val="bottom"/>
            <w:tcBorders>
              <w:top w:val="single" w:sz="8" w:color="0000EE"/>
            </w:tcBorders>
            <w:gridSpan w:val="21"/>
          </w:tcPr>
          <w:p>
            <w:pPr>
              <w:ind w:left="18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2013, and June 30, 2012</w:t>
              </w:r>
            </w:hyperlink>
          </w:p>
        </w:tc>
        <w:tc>
          <w:tcPr>
            <w:tcW w:w="560" w:type="dxa"/>
            <w:vAlign w:val="bottom"/>
            <w:gridSpan w:val="4"/>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0" w:type="dxa"/>
            <w:vAlign w:val="bottom"/>
            <w:tcBorders>
              <w:bottom w:val="single" w:sz="8" w:color="CCFFCC"/>
            </w:tcBorders>
            <w:shd w:val="clear" w:color="auto" w:fill="CCFFCC"/>
          </w:tcPr>
          <w:p>
            <w:pPr>
              <w:spacing w:after="0"/>
              <w:rPr>
                <w:sz w:val="17"/>
                <w:szCs w:val="17"/>
                <w:color w:val="auto"/>
              </w:rPr>
            </w:pPr>
          </w:p>
        </w:tc>
        <w:tc>
          <w:tcPr>
            <w:tcW w:w="5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5080" w:type="dxa"/>
            <w:vAlign w:val="bottom"/>
            <w:tcBorders>
              <w:bottom w:val="single" w:sz="8" w:color="0000EE"/>
            </w:tcBorders>
            <w:gridSpan w:val="18"/>
            <w:shd w:val="clear" w:color="auto" w:fill="CCFFCC"/>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Schedule of Investments as of June 30, 2013 (unaudited)</w:t>
              </w:r>
            </w:hyperlink>
          </w:p>
        </w:tc>
        <w:tc>
          <w:tcPr>
            <w:tcW w:w="1680" w:type="dxa"/>
            <w:vAlign w:val="bottom"/>
            <w:tcBorders>
              <w:bottom w:val="single" w:sz="8" w:color="CCFFCC"/>
            </w:tcBorders>
            <w:gridSpan w:val="7"/>
            <w:shd w:val="clear" w:color="auto" w:fill="CCFFCC"/>
          </w:tcPr>
          <w:p>
            <w:pPr>
              <w:spacing w:after="0"/>
              <w:rPr>
                <w:sz w:val="17"/>
                <w:szCs w:val="17"/>
                <w:color w:val="auto"/>
              </w:rPr>
            </w:pPr>
          </w:p>
        </w:tc>
        <w:tc>
          <w:tcPr>
            <w:tcW w:w="340" w:type="dxa"/>
            <w:vAlign w:val="bottom"/>
            <w:tcBorders>
              <w:bottom w:val="single" w:sz="8" w:color="CCFFCC"/>
            </w:tcBorders>
            <w:gridSpan w:val="2"/>
            <w:shd w:val="clear" w:color="auto" w:fill="CCFFCC"/>
          </w:tcPr>
          <w:p>
            <w:pPr>
              <w:spacing w:after="0"/>
              <w:rPr>
                <w:sz w:val="17"/>
                <w:szCs w:val="17"/>
                <w:color w:val="auto"/>
              </w:rPr>
            </w:pPr>
          </w:p>
        </w:tc>
        <w:tc>
          <w:tcPr>
            <w:tcW w:w="100" w:type="dxa"/>
            <w:vAlign w:val="bottom"/>
            <w:tcBorders>
              <w:bottom w:val="single" w:sz="8" w:color="0000EE"/>
            </w:tcBorders>
            <w:shd w:val="clear" w:color="auto" w:fill="CCFFCC"/>
          </w:tcPr>
          <w:p>
            <w:pPr>
              <w:jc w:val="right"/>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00" w:type="dxa"/>
            <w:vAlign w:val="bottom"/>
            <w:tcBorders>
              <w:bottom w:val="single" w:sz="8" w:color="CCFFCC"/>
            </w:tcBorders>
            <w:shd w:val="clear" w:color="auto" w:fill="CCFFCC"/>
          </w:tcPr>
          <w:p>
            <w:pPr>
              <w:spacing w:after="0"/>
              <w:rPr>
                <w:sz w:val="17"/>
                <w:szCs w:val="17"/>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760" w:type="dxa"/>
            <w:vAlign w:val="bottom"/>
            <w:gridSpan w:val="25"/>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Consolidated Schedule of Investments as of December 31, 2012</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760" w:type="dxa"/>
            <w:vAlign w:val="bottom"/>
            <w:gridSpan w:val="25"/>
            <w:shd w:val="clear" w:color="auto" w:fill="CCFFCC"/>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Notes to the Consolidated Financial Statements as of June 30, 2013 (unaudited)</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17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6840" w:type="dxa"/>
            <w:vAlign w:val="bottom"/>
            <w:gridSpan w:val="26"/>
          </w:tcPr>
          <w:p>
            <w:pPr>
              <w:ind w:left="80"/>
              <w:spacing w:after="0" w:line="17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Management’s Discussion and Analysis of Financial Condition and Results of Operations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FFCC"/>
          </w:tcPr>
          <w:p>
            <w:pPr>
              <w:ind w:left="2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6840" w:type="dxa"/>
            <w:vAlign w:val="bottom"/>
            <w:gridSpan w:val="26"/>
            <w:shd w:val="clear" w:color="auto" w:fill="CCFFCC"/>
          </w:tcPr>
          <w:p>
            <w:pPr>
              <w:ind w:left="8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17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6840" w:type="dxa"/>
            <w:vAlign w:val="bottom"/>
            <w:gridSpan w:val="26"/>
          </w:tcPr>
          <w:p>
            <w:pPr>
              <w:ind w:left="8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680" w:type="dxa"/>
            <w:vAlign w:val="bottom"/>
            <w:gridSpan w:val="29"/>
            <w:shd w:val="clear" w:color="auto" w:fill="CCFFCC"/>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1.</w:t>
              </w:r>
            </w:hyperlink>
          </w:p>
        </w:tc>
        <w:tc>
          <w:tcPr>
            <w:tcW w:w="6840" w:type="dxa"/>
            <w:vAlign w:val="bottom"/>
            <w:gridSpan w:val="26"/>
          </w:tcPr>
          <w:p>
            <w:pPr>
              <w:ind w:left="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FFCC"/>
          </w:tcPr>
          <w:p>
            <w:pPr>
              <w:ind w:left="200"/>
              <w:spacing w:after="0" w:line="17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Item 1A.</w:t>
              </w:r>
            </w:hyperlink>
          </w:p>
        </w:tc>
        <w:tc>
          <w:tcPr>
            <w:tcW w:w="6840" w:type="dxa"/>
            <w:vAlign w:val="bottom"/>
            <w:gridSpan w:val="26"/>
            <w:shd w:val="clear" w:color="auto" w:fill="CCFFCC"/>
          </w:tcPr>
          <w:p>
            <w:pPr>
              <w:ind w:left="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2.</w:t>
              </w:r>
            </w:hyperlink>
          </w:p>
        </w:tc>
        <w:tc>
          <w:tcPr>
            <w:tcW w:w="6840" w:type="dxa"/>
            <w:vAlign w:val="bottom"/>
            <w:gridSpan w:val="26"/>
          </w:tcPr>
          <w:p>
            <w:pPr>
              <w:ind w:left="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FFCC"/>
          </w:tcPr>
          <w:p>
            <w:pPr>
              <w:ind w:left="2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3.</w:t>
              </w:r>
            </w:hyperlink>
          </w:p>
        </w:tc>
        <w:tc>
          <w:tcPr>
            <w:tcW w:w="6840" w:type="dxa"/>
            <w:vAlign w:val="bottom"/>
            <w:gridSpan w:val="26"/>
            <w:shd w:val="clear" w:color="auto" w:fill="CCFFCC"/>
          </w:tcPr>
          <w:p>
            <w:pPr>
              <w:ind w:left="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4.</w:t>
              </w:r>
            </w:hyperlink>
          </w:p>
        </w:tc>
        <w:tc>
          <w:tcPr>
            <w:tcW w:w="6840" w:type="dxa"/>
            <w:vAlign w:val="bottom"/>
            <w:gridSpan w:val="26"/>
          </w:tcPr>
          <w:p>
            <w:pPr>
              <w:ind w:left="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Mine Safety Disclosure</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FFCC"/>
          </w:tcPr>
          <w:p>
            <w:pPr>
              <w:ind w:left="2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5.</w:t>
              </w:r>
            </w:hyperlink>
          </w:p>
        </w:tc>
        <w:tc>
          <w:tcPr>
            <w:tcW w:w="6840" w:type="dxa"/>
            <w:vAlign w:val="bottom"/>
            <w:gridSpan w:val="26"/>
            <w:shd w:val="clear" w:color="auto" w:fill="CCFFCC"/>
          </w:tcPr>
          <w:p>
            <w:pPr>
              <w:ind w:left="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6.</w:t>
              </w:r>
            </w:hyperlink>
          </w:p>
        </w:tc>
        <w:tc>
          <w:tcPr>
            <w:tcW w:w="6840" w:type="dxa"/>
            <w:vAlign w:val="bottom"/>
            <w:gridSpan w:val="26"/>
          </w:tcPr>
          <w:p>
            <w:pPr>
              <w:ind w:left="8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760" w:type="dxa"/>
            <w:vAlign w:val="bottom"/>
            <w:gridSpan w:val="25"/>
            <w:shd w:val="clear" w:color="auto" w:fill="CCFFCC"/>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6"/>
              </w:rPr>
              <w:t>June 30, 2013</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198"/>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3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Investments at fair value:</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200"/>
              <w:spacing w:after="0" w:line="201" w:lineRule="exact"/>
              <w:rPr>
                <w:sz w:val="20"/>
                <w:szCs w:val="20"/>
                <w:color w:val="auto"/>
              </w:rPr>
            </w:pPr>
            <w:r>
              <w:rPr>
                <w:rFonts w:ascii="Arial" w:cs="Arial" w:eastAsia="Arial" w:hAnsi="Arial"/>
                <w:sz w:val="18"/>
                <w:szCs w:val="18"/>
                <w:color w:val="auto"/>
              </w:rPr>
              <w:t>Investments in affiliated securities (cost of $35,632,566 and</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31,939,574</w:t>
            </w:r>
          </w:p>
        </w:tc>
        <w:tc>
          <w:tcPr>
            <w:tcW w:w="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34,648,363</w:t>
            </w:r>
          </w:p>
        </w:tc>
        <w:tc>
          <w:tcPr>
            <w:tcW w:w="0" w:type="dxa"/>
            <w:vAlign w:val="bottom"/>
          </w:tcPr>
          <w:p>
            <w:pPr>
              <w:spacing w:after="0"/>
              <w:rPr>
                <w:sz w:val="1"/>
                <w:szCs w:val="1"/>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$38,210,753, respectively)</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rPr>
              <w:t>Investments in non-control/non-affiliated securities (cost of</w:t>
            </w:r>
          </w:p>
        </w:tc>
        <w:tc>
          <w:tcPr>
            <w:tcW w:w="16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w w:val="97"/>
              </w:rPr>
              <w:t>212,258,912</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190,748,722</w:t>
            </w:r>
          </w:p>
        </w:tc>
        <w:tc>
          <w:tcPr>
            <w:tcW w:w="0" w:type="dxa"/>
            <w:vAlign w:val="bottom"/>
          </w:tcPr>
          <w:p>
            <w:pPr>
              <w:spacing w:after="0"/>
              <w:rPr>
                <w:sz w:val="1"/>
                <w:szCs w:val="1"/>
                <w:color w:val="auto"/>
              </w:rPr>
            </w:pPr>
          </w:p>
        </w:tc>
      </w:tr>
      <w:tr>
        <w:trPr>
          <w:trHeight w:val="230"/>
        </w:trPr>
        <w:tc>
          <w:tcPr>
            <w:tcW w:w="53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$209,662,962 and $198,936,982, respectively)</w:t>
            </w:r>
          </w:p>
        </w:tc>
        <w:tc>
          <w:tcPr>
            <w:tcW w:w="16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200"/>
              <w:spacing w:after="0" w:line="201" w:lineRule="exact"/>
              <w:rPr>
                <w:sz w:val="20"/>
                <w:szCs w:val="20"/>
                <w:color w:val="auto"/>
              </w:rPr>
            </w:pPr>
            <w:r>
              <w:rPr>
                <w:rFonts w:ascii="Arial" w:cs="Arial" w:eastAsia="Arial" w:hAnsi="Arial"/>
                <w:sz w:val="18"/>
                <w:szCs w:val="18"/>
                <w:color w:val="auto"/>
                <w:w w:val="99"/>
              </w:rPr>
              <w:t>Investments in money market funds (cost of $0 and $16,000,000,</w:t>
            </w:r>
          </w:p>
        </w:tc>
        <w:tc>
          <w:tcPr>
            <w:tcW w:w="160" w:type="dxa"/>
            <w:vAlign w:val="bottom"/>
          </w:tcPr>
          <w:p>
            <w:pPr>
              <w:spacing w:after="0"/>
              <w:rPr>
                <w:sz w:val="17"/>
                <w:szCs w:val="17"/>
                <w:color w:val="auto"/>
              </w:rPr>
            </w:pPr>
          </w:p>
        </w:tc>
        <w:tc>
          <w:tcPr>
            <w:tcW w:w="11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360" w:type="dxa"/>
            <w:vAlign w:val="bottom"/>
            <w:shd w:val="clear" w:color="auto" w:fill="CCFFCC"/>
          </w:tcPr>
          <w:p>
            <w:pPr>
              <w:ind w:left="380"/>
              <w:spacing w:after="0" w:line="195" w:lineRule="exact"/>
              <w:rPr>
                <w:sz w:val="20"/>
                <w:szCs w:val="20"/>
                <w:color w:val="auto"/>
              </w:rPr>
            </w:pPr>
            <w:r>
              <w:rPr>
                <w:rFonts w:ascii="Arial" w:cs="Arial" w:eastAsia="Arial" w:hAnsi="Arial"/>
                <w:sz w:val="18"/>
                <w:szCs w:val="18"/>
                <w:color w:val="auto"/>
              </w:rPr>
              <w:t>Total Investments (cost of $245,295,528 and $253,147,735,</w:t>
            </w:r>
          </w:p>
        </w:tc>
        <w:tc>
          <w:tcPr>
            <w:tcW w:w="16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40"/>
              <w:spacing w:after="0" w:line="195" w:lineRule="exact"/>
              <w:rPr>
                <w:sz w:val="20"/>
                <w:szCs w:val="20"/>
                <w:color w:val="auto"/>
              </w:rPr>
            </w:pPr>
            <w:r>
              <w:rPr>
                <w:rFonts w:ascii="Arial" w:cs="Arial" w:eastAsia="Arial" w:hAnsi="Arial"/>
                <w:sz w:val="18"/>
                <w:szCs w:val="18"/>
                <w:color w:val="auto"/>
                <w:w w:val="97"/>
              </w:rPr>
              <w:t>244,198,486</w:t>
            </w: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00" w:type="dxa"/>
            <w:vAlign w:val="bottom"/>
            <w:gridSpan w:val="2"/>
            <w:shd w:val="clear" w:color="auto" w:fill="CCFFCC"/>
          </w:tcPr>
          <w:p>
            <w:pPr>
              <w:jc w:val="right"/>
              <w:ind w:right="140"/>
              <w:spacing w:after="0" w:line="195" w:lineRule="exact"/>
              <w:rPr>
                <w:sz w:val="20"/>
                <w:szCs w:val="20"/>
                <w:color w:val="auto"/>
              </w:rPr>
            </w:pPr>
            <w:r>
              <w:rPr>
                <w:rFonts w:ascii="Arial" w:cs="Arial" w:eastAsia="Arial" w:hAnsi="Arial"/>
                <w:sz w:val="18"/>
                <w:szCs w:val="18"/>
                <w:color w:val="auto"/>
              </w:rPr>
              <w:t>241,397,085</w:t>
            </w:r>
          </w:p>
        </w:tc>
        <w:tc>
          <w:tcPr>
            <w:tcW w:w="0" w:type="dxa"/>
            <w:vAlign w:val="bottom"/>
          </w:tcPr>
          <w:p>
            <w:pPr>
              <w:spacing w:after="0"/>
              <w:rPr>
                <w:sz w:val="1"/>
                <w:szCs w:val="1"/>
                <w:color w:val="auto"/>
              </w:rPr>
            </w:pPr>
          </w:p>
        </w:tc>
      </w:tr>
      <w:tr>
        <w:trPr>
          <w:trHeight w:val="230"/>
        </w:trPr>
        <w:tc>
          <w:tcPr>
            <w:tcW w:w="5360" w:type="dxa"/>
            <w:vAlign w:val="bottom"/>
            <w:shd w:val="clear" w:color="auto" w:fill="CCFFCC"/>
          </w:tcPr>
          <w:p>
            <w:pPr>
              <w:ind w:left="56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4,634,110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11,318,525</w:t>
            </w: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Due from:</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GSV Asset Management</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Portfolio companies</w:t>
            </w:r>
          </w:p>
        </w:tc>
        <w:tc>
          <w:tcPr>
            <w:tcW w:w="1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190,630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316,377</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113,682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63,953</w:t>
            </w: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Dividend receivable</w:t>
            </w:r>
          </w:p>
        </w:tc>
        <w:tc>
          <w:tcPr>
            <w:tcW w:w="1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13,225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6,255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27,145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7"/>
              </w:rPr>
              <w:t>249,158,994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253,130,728</w:t>
            </w:r>
          </w:p>
        </w:tc>
        <w:tc>
          <w:tcPr>
            <w:tcW w:w="0" w:type="dxa"/>
            <w:vAlign w:val="bottom"/>
          </w:tcPr>
          <w:p>
            <w:pPr>
              <w:spacing w:after="0"/>
              <w:rPr>
                <w:sz w:val="1"/>
                <w:szCs w:val="1"/>
                <w:color w:val="auto"/>
              </w:rPr>
            </w:pPr>
          </w:p>
        </w:tc>
      </w:tr>
      <w:tr>
        <w:trPr>
          <w:trHeight w:val="210"/>
        </w:trPr>
        <w:tc>
          <w:tcPr>
            <w:tcW w:w="536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Due to:</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GSV Asset Management</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438,848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51,194</w:t>
            </w: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91,954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204,093</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20,943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292,640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551,745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547,927</w:t>
            </w:r>
          </w:p>
        </w:tc>
        <w:tc>
          <w:tcPr>
            <w:tcW w:w="0" w:type="dxa"/>
            <w:vAlign w:val="bottom"/>
          </w:tcPr>
          <w:p>
            <w:pPr>
              <w:spacing w:after="0"/>
              <w:rPr>
                <w:sz w:val="1"/>
                <w:szCs w:val="1"/>
                <w:color w:val="auto"/>
              </w:rPr>
            </w:pPr>
          </w:p>
        </w:tc>
      </w:tr>
      <w:tr>
        <w:trPr>
          <w:trHeight w:val="210"/>
        </w:trPr>
        <w:tc>
          <w:tcPr>
            <w:tcW w:w="536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Commitments and contingencies (Note 6)</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7"/>
              </w:rPr>
              <w:t>248,607,249</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252,582,801</w:t>
            </w:r>
          </w:p>
        </w:tc>
        <w:tc>
          <w:tcPr>
            <w:tcW w:w="0" w:type="dxa"/>
            <w:vAlign w:val="bottom"/>
          </w:tcPr>
          <w:p>
            <w:pPr>
              <w:spacing w:after="0"/>
              <w:rPr>
                <w:sz w:val="1"/>
                <w:szCs w:val="1"/>
                <w:color w:val="auto"/>
              </w:rPr>
            </w:pPr>
          </w:p>
        </w:tc>
      </w:tr>
      <w:tr>
        <w:trPr>
          <w:trHeight w:val="210"/>
        </w:trPr>
        <w:tc>
          <w:tcPr>
            <w:tcW w:w="536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NET ASSETS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Common stock, par value $0.01 per share</w:t>
            </w:r>
          </w:p>
        </w:tc>
        <w:tc>
          <w:tcPr>
            <w:tcW w:w="1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193,201</w:t>
            </w:r>
          </w:p>
        </w:tc>
        <w:tc>
          <w:tcPr>
            <w:tcW w:w="260" w:type="dxa"/>
            <w:vAlign w:val="bottom"/>
            <w:gridSpan w:val="2"/>
            <w:shd w:val="clear" w:color="auto" w:fill="CCFFCC"/>
          </w:tcPr>
          <w:p>
            <w:pPr>
              <w:jc w:val="right"/>
              <w:spacing w:after="0" w:line="201"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193,201</w:t>
            </w: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9"/>
              </w:rPr>
              <w:t>(100,000,000 authorized; 19,320,100 and 19,320,100 issued and</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outstanding, respectively)</w:t>
            </w:r>
          </w:p>
        </w:tc>
        <w:tc>
          <w:tcPr>
            <w:tcW w:w="16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Paid-in capital in excess of par</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275,837,514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275,837,514</w:t>
            </w: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Accumulated net investment loss</w:t>
            </w:r>
          </w:p>
        </w:tc>
        <w:tc>
          <w:tcPr>
            <w:tcW w:w="1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(15,271,381)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(10,316,745)</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Accumulated net realized loss on investments</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(11,055,043)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(1,380,519)</w:t>
            </w: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Accumulated net unrealized depreciation on investments</w:t>
            </w:r>
          </w:p>
        </w:tc>
        <w:tc>
          <w:tcPr>
            <w:tcW w:w="1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(1,097,042)</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(11,750,650)</w:t>
            </w:r>
          </w:p>
        </w:tc>
        <w:tc>
          <w:tcPr>
            <w:tcW w:w="0" w:type="dxa"/>
            <w:vAlign w:val="bottom"/>
          </w:tcPr>
          <w:p>
            <w:pPr>
              <w:spacing w:after="0"/>
              <w:rPr>
                <w:sz w:val="1"/>
                <w:szCs w:val="1"/>
                <w:color w:val="auto"/>
              </w:rPr>
            </w:pPr>
          </w:p>
        </w:tc>
      </w:tr>
      <w:tr>
        <w:trPr>
          <w:trHeight w:val="20"/>
        </w:trPr>
        <w:tc>
          <w:tcPr>
            <w:tcW w:w="53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ind w:left="380"/>
              <w:spacing w:after="0"/>
              <w:rPr>
                <w:sz w:val="20"/>
                <w:szCs w:val="20"/>
                <w:color w:val="auto"/>
              </w:rPr>
            </w:pPr>
            <w:r>
              <w:rPr>
                <w:rFonts w:ascii="Arial" w:cs="Arial" w:eastAsia="Arial" w:hAnsi="Arial"/>
                <w:sz w:val="18"/>
                <w:szCs w:val="18"/>
                <w:b w:val="1"/>
                <w:bCs w:val="1"/>
                <w:color w:val="auto"/>
              </w:rPr>
              <w:t>Net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248,607,249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252,582,801</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12.87</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0"/>
        </w:trPr>
        <w:tc>
          <w:tcPr>
            <w:tcW w:w="53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-2606675</wp:posOffset>
            </wp:positionV>
            <wp:extent cx="521398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-1765935</wp:posOffset>
            </wp:positionV>
            <wp:extent cx="521398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-1482725</wp:posOffset>
            </wp:positionV>
            <wp:extent cx="52139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-351155</wp:posOffset>
            </wp:positionV>
            <wp:extent cx="521398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 w:name="page4"/>
    <w:bookmarkEnd w:id="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6"/>
        </w:trPr>
        <w:tc>
          <w:tcPr>
            <w:tcW w:w="3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7,808</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7,808</w:t>
            </w:r>
          </w:p>
        </w:tc>
        <w:tc>
          <w:tcPr>
            <w:tcW w:w="0" w:type="dxa"/>
            <w:vAlign w:val="bottom"/>
          </w:tcPr>
          <w:p>
            <w:pPr>
              <w:spacing w:after="0"/>
              <w:rPr>
                <w:sz w:val="1"/>
                <w:szCs w:val="1"/>
                <w:color w:val="auto"/>
              </w:rPr>
            </w:pPr>
          </w:p>
        </w:tc>
      </w:tr>
      <w:tr>
        <w:trPr>
          <w:trHeight w:val="202"/>
        </w:trPr>
        <w:tc>
          <w:tcPr>
            <w:tcW w:w="3520" w:type="dxa"/>
            <w:vAlign w:val="bottom"/>
          </w:tcPr>
          <w:p>
            <w:pPr>
              <w:ind w:left="20"/>
              <w:spacing w:after="0" w:line="201" w:lineRule="exact"/>
              <w:rPr>
                <w:sz w:val="20"/>
                <w:szCs w:val="20"/>
                <w:color w:val="auto"/>
              </w:rPr>
            </w:pPr>
            <w:r>
              <w:rPr>
                <w:rFonts w:ascii="Arial" w:cs="Arial" w:eastAsia="Arial" w:hAnsi="Arial"/>
                <w:sz w:val="18"/>
                <w:szCs w:val="18"/>
                <w:color w:val="auto"/>
              </w:rPr>
              <w:t>Interest income from non-control/non-</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95,075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8"/>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207,176</w:t>
            </w:r>
          </w:p>
        </w:tc>
        <w:tc>
          <w:tcPr>
            <w:tcW w:w="0" w:type="dxa"/>
            <w:vAlign w:val="bottom"/>
          </w:tcPr>
          <w:p>
            <w:pPr>
              <w:spacing w:after="0"/>
              <w:rPr>
                <w:sz w:val="1"/>
                <w:szCs w:val="1"/>
                <w:color w:val="auto"/>
              </w:rPr>
            </w:pPr>
          </w:p>
        </w:tc>
      </w:tr>
      <w:tr>
        <w:trPr>
          <w:trHeight w:val="230"/>
        </w:trPr>
        <w:tc>
          <w:tcPr>
            <w:tcW w:w="3520" w:type="dxa"/>
            <w:vAlign w:val="bottom"/>
          </w:tcPr>
          <w:p>
            <w:pPr>
              <w:ind w:left="200"/>
              <w:spacing w:after="0"/>
              <w:rPr>
                <w:sz w:val="20"/>
                <w:szCs w:val="20"/>
                <w:color w:val="auto"/>
              </w:rPr>
            </w:pPr>
            <w:r>
              <w:rPr>
                <w:rFonts w:ascii="Arial" w:cs="Arial" w:eastAsia="Arial" w:hAnsi="Arial"/>
                <w:sz w:val="18"/>
                <w:szCs w:val="18"/>
                <w:color w:val="auto"/>
              </w:rPr>
              <w:t>affiliated securities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Dividend income</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15,723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7,471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20,258</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13,175</w:t>
            </w:r>
          </w:p>
        </w:tc>
        <w:tc>
          <w:tcPr>
            <w:tcW w:w="0" w:type="dxa"/>
            <w:vAlign w:val="bottom"/>
          </w:tcPr>
          <w:p>
            <w:pPr>
              <w:spacing w:after="0"/>
              <w:rPr>
                <w:sz w:val="1"/>
                <w:szCs w:val="1"/>
                <w:color w:val="auto"/>
              </w:rPr>
            </w:pPr>
          </w:p>
        </w:tc>
      </w:tr>
      <w:tr>
        <w:trPr>
          <w:trHeight w:val="20"/>
        </w:trPr>
        <w:tc>
          <w:tcPr>
            <w:tcW w:w="35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tcPr>
          <w:p>
            <w:pPr>
              <w:ind w:left="20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15,723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110,354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20,258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228,159</w:t>
            </w:r>
          </w:p>
        </w:tc>
        <w:tc>
          <w:tcPr>
            <w:tcW w:w="0" w:type="dxa"/>
            <w:vAlign w:val="bottom"/>
          </w:tcPr>
          <w:p>
            <w:pPr>
              <w:spacing w:after="0"/>
              <w:rPr>
                <w:sz w:val="1"/>
                <w:szCs w:val="1"/>
                <w:color w:val="auto"/>
              </w:rPr>
            </w:pPr>
          </w:p>
        </w:tc>
      </w:tr>
      <w:tr>
        <w:trPr>
          <w:trHeight w:val="210"/>
        </w:trPr>
        <w:tc>
          <w:tcPr>
            <w:tcW w:w="35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Investment management fees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1,246,378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1,126,091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w w:val="97"/>
              </w:rPr>
              <w:t>2,529,977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1,748,017</w:t>
            </w:r>
          </w:p>
        </w:tc>
        <w:tc>
          <w:tcPr>
            <w:tcW w:w="0" w:type="dxa"/>
            <w:vAlign w:val="bottom"/>
          </w:tcPr>
          <w:p>
            <w:pPr>
              <w:spacing w:after="0"/>
              <w:rPr>
                <w:sz w:val="1"/>
                <w:szCs w:val="1"/>
                <w:color w:val="auto"/>
              </w:rPr>
            </w:pPr>
          </w:p>
        </w:tc>
      </w:tr>
      <w:tr>
        <w:trPr>
          <w:trHeight w:val="202"/>
        </w:trPr>
        <w:tc>
          <w:tcPr>
            <w:tcW w:w="352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Costs incurred under administration</w:t>
            </w:r>
          </w:p>
        </w:tc>
        <w:tc>
          <w:tcPr>
            <w:tcW w:w="10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709,885</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602,201</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48"/>
              <w:spacing w:after="0" w:line="201" w:lineRule="exact"/>
              <w:rPr>
                <w:sz w:val="20"/>
                <w:szCs w:val="20"/>
                <w:color w:val="auto"/>
              </w:rPr>
            </w:pPr>
            <w:r>
              <w:rPr>
                <w:rFonts w:ascii="Arial" w:cs="Arial" w:eastAsia="Arial" w:hAnsi="Arial"/>
                <w:sz w:val="18"/>
                <w:szCs w:val="18"/>
                <w:color w:val="auto"/>
                <w:w w:val="97"/>
              </w:rPr>
              <w:t>1,597,869</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947,795</w:t>
            </w:r>
          </w:p>
        </w:tc>
        <w:tc>
          <w:tcPr>
            <w:tcW w:w="0" w:type="dxa"/>
            <w:vAlign w:val="bottom"/>
          </w:tcPr>
          <w:p>
            <w:pPr>
              <w:spacing w:after="0"/>
              <w:rPr>
                <w:sz w:val="1"/>
                <w:szCs w:val="1"/>
                <w:color w:val="auto"/>
              </w:rPr>
            </w:pPr>
          </w:p>
        </w:tc>
      </w:tr>
      <w:tr>
        <w:trPr>
          <w:trHeight w:val="230"/>
        </w:trPr>
        <w:tc>
          <w:tcPr>
            <w:tcW w:w="35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agreement</w:t>
            </w: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Directors’ fees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130,250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107,500</w:t>
            </w:r>
          </w:p>
        </w:tc>
        <w:tc>
          <w:tcPr>
            <w:tcW w:w="0" w:type="dxa"/>
            <w:vAlign w:val="bottom"/>
          </w:tcPr>
          <w:p>
            <w:pPr>
              <w:spacing w:after="0"/>
              <w:rPr>
                <w:sz w:val="1"/>
                <w:szCs w:val="1"/>
                <w:color w:val="auto"/>
              </w:rPr>
            </w:pPr>
          </w:p>
        </w:tc>
      </w:tr>
      <w:tr>
        <w:trPr>
          <w:trHeight w:val="216"/>
        </w:trPr>
        <w:tc>
          <w:tcPr>
            <w:tcW w:w="3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220,978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222,561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457,864</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354,406</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Insurance expense</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64,062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55,485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117,075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102,154</w:t>
            </w:r>
          </w:p>
        </w:tc>
        <w:tc>
          <w:tcPr>
            <w:tcW w:w="0" w:type="dxa"/>
            <w:vAlign w:val="bottom"/>
          </w:tcPr>
          <w:p>
            <w:pPr>
              <w:spacing w:after="0"/>
              <w:rPr>
                <w:sz w:val="1"/>
                <w:szCs w:val="1"/>
                <w:color w:val="auto"/>
              </w:rPr>
            </w:pPr>
          </w:p>
        </w:tc>
      </w:tr>
      <w:tr>
        <w:trPr>
          <w:trHeight w:val="216"/>
        </w:trPr>
        <w:tc>
          <w:tcPr>
            <w:tcW w:w="3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Investor relations expense</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72,943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95,038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116,505</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109,288</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23,388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24,097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25,354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33,120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2,402,634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2,190,473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w w:val="97"/>
              </w:rPr>
              <w:t>4,974,894</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3,402,280</w:t>
            </w:r>
          </w:p>
        </w:tc>
        <w:tc>
          <w:tcPr>
            <w:tcW w:w="0" w:type="dxa"/>
            <w:vAlign w:val="bottom"/>
          </w:tcPr>
          <w:p>
            <w:pPr>
              <w:spacing w:after="0"/>
              <w:rPr>
                <w:sz w:val="1"/>
                <w:szCs w:val="1"/>
                <w:color w:val="auto"/>
              </w:rPr>
            </w:pPr>
          </w:p>
        </w:tc>
      </w:tr>
      <w:tr>
        <w:trPr>
          <w:trHeight w:val="20"/>
        </w:trPr>
        <w:tc>
          <w:tcPr>
            <w:tcW w:w="35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tcPr>
          <w:p>
            <w:pPr>
              <w:ind w:left="200"/>
              <w:spacing w:after="0"/>
              <w:rPr>
                <w:sz w:val="20"/>
                <w:szCs w:val="20"/>
                <w:color w:val="auto"/>
              </w:rPr>
            </w:pPr>
            <w:r>
              <w:rPr>
                <w:rFonts w:ascii="Arial" w:cs="Arial" w:eastAsia="Arial" w:hAnsi="Arial"/>
                <w:sz w:val="18"/>
                <w:szCs w:val="18"/>
                <w:b w:val="1"/>
                <w:bCs w:val="1"/>
                <w:color w:val="auto"/>
              </w:rPr>
              <w:t>Net Investment Loss</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(2,386,911)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(2,080,119)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1"/>
              </w:rPr>
              <w:t>(4,954,636)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(3,174,121)</w:t>
            </w:r>
          </w:p>
        </w:tc>
        <w:tc>
          <w:tcPr>
            <w:tcW w:w="0" w:type="dxa"/>
            <w:vAlign w:val="bottom"/>
          </w:tcPr>
          <w:p>
            <w:pPr>
              <w:spacing w:after="0"/>
              <w:rPr>
                <w:sz w:val="1"/>
                <w:szCs w:val="1"/>
                <w:color w:val="auto"/>
              </w:rPr>
            </w:pPr>
          </w:p>
        </w:tc>
      </w:tr>
      <w:tr>
        <w:trPr>
          <w:trHeight w:val="216"/>
        </w:trPr>
        <w:tc>
          <w:tcPr>
            <w:tcW w:w="352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Net Realized Loss on Investments</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3"/>
              </w:rPr>
              <w:t>(6,327,632)</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3"/>
              </w:rPr>
              <w:t>(1,380,263)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1"/>
              </w:rPr>
              <w:t>(9,674,524)</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(1,380,519)</w:t>
            </w:r>
          </w:p>
        </w:tc>
        <w:tc>
          <w:tcPr>
            <w:tcW w:w="0" w:type="dxa"/>
            <w:vAlign w:val="bottom"/>
          </w:tcPr>
          <w:p>
            <w:pPr>
              <w:spacing w:after="0"/>
              <w:rPr>
                <w:sz w:val="1"/>
                <w:szCs w:val="1"/>
                <w:color w:val="auto"/>
              </w:rPr>
            </w:pPr>
          </w:p>
        </w:tc>
      </w:tr>
      <w:tr>
        <w:trPr>
          <w:trHeight w:val="198"/>
        </w:trPr>
        <w:tc>
          <w:tcPr>
            <w:tcW w:w="3520" w:type="dxa"/>
            <w:vAlign w:val="bottom"/>
          </w:tcPr>
          <w:p>
            <w:pPr>
              <w:ind w:left="200"/>
              <w:spacing w:after="0" w:line="198" w:lineRule="exact"/>
              <w:rPr>
                <w:sz w:val="20"/>
                <w:szCs w:val="20"/>
                <w:color w:val="auto"/>
              </w:rPr>
            </w:pPr>
            <w:r>
              <w:rPr>
                <w:rFonts w:ascii="Arial" w:cs="Arial" w:eastAsia="Arial" w:hAnsi="Arial"/>
                <w:sz w:val="18"/>
                <w:szCs w:val="18"/>
                <w:b w:val="1"/>
                <w:bCs w:val="1"/>
                <w:color w:val="auto"/>
                <w:w w:val="99"/>
              </w:rPr>
              <w:t>Net Change in Unrealized Appreciation</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w w:val="88"/>
              </w:rPr>
              <w:t>12,230,246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w w:val="93"/>
              </w:rPr>
              <w:t>(2,014,512)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8"/>
              <w:spacing w:after="0" w:line="198" w:lineRule="exact"/>
              <w:rPr>
                <w:sz w:val="20"/>
                <w:szCs w:val="20"/>
                <w:color w:val="auto"/>
              </w:rPr>
            </w:pPr>
            <w:r>
              <w:rPr>
                <w:rFonts w:ascii="Arial" w:cs="Arial" w:eastAsia="Arial" w:hAnsi="Arial"/>
                <w:sz w:val="18"/>
                <w:szCs w:val="18"/>
                <w:color w:val="auto"/>
                <w:w w:val="86"/>
              </w:rPr>
              <w:t>10,653,608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w w:val="97"/>
              </w:rPr>
              <w:t>(1,003,317)</w:t>
            </w:r>
          </w:p>
        </w:tc>
        <w:tc>
          <w:tcPr>
            <w:tcW w:w="0" w:type="dxa"/>
            <w:vAlign w:val="bottom"/>
          </w:tcPr>
          <w:p>
            <w:pPr>
              <w:spacing w:after="0"/>
              <w:rPr>
                <w:sz w:val="1"/>
                <w:szCs w:val="1"/>
                <w:color w:val="auto"/>
              </w:rPr>
            </w:pPr>
          </w:p>
        </w:tc>
      </w:tr>
      <w:tr>
        <w:trPr>
          <w:trHeight w:val="234"/>
        </w:trPr>
        <w:tc>
          <w:tcPr>
            <w:tcW w:w="3520" w:type="dxa"/>
            <w:vAlign w:val="bottom"/>
          </w:tcPr>
          <w:p>
            <w:pPr>
              <w:ind w:left="380"/>
              <w:spacing w:after="0"/>
              <w:rPr>
                <w:sz w:val="20"/>
                <w:szCs w:val="20"/>
                <w:color w:val="auto"/>
              </w:rPr>
            </w:pPr>
            <w:r>
              <w:rPr>
                <w:rFonts w:ascii="Arial" w:cs="Arial" w:eastAsia="Arial" w:hAnsi="Arial"/>
                <w:sz w:val="18"/>
                <w:szCs w:val="18"/>
                <w:b w:val="1"/>
                <w:bCs w:val="1"/>
                <w:color w:val="auto"/>
              </w:rPr>
              <w:t>(Depreciation) on Investments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520" w:type="dxa"/>
            <w:vAlign w:val="bottom"/>
            <w:shd w:val="clear" w:color="auto" w:fill="CCFFCC"/>
          </w:tcPr>
          <w:p>
            <w:pPr>
              <w:ind w:left="200"/>
              <w:spacing w:after="0" w:line="191" w:lineRule="exact"/>
              <w:rPr>
                <w:sz w:val="20"/>
                <w:szCs w:val="20"/>
                <w:color w:val="auto"/>
              </w:rPr>
            </w:pPr>
            <w:r>
              <w:rPr>
                <w:rFonts w:ascii="Arial" w:cs="Arial" w:eastAsia="Arial" w:hAnsi="Arial"/>
                <w:sz w:val="18"/>
                <w:szCs w:val="18"/>
                <w:b w:val="1"/>
                <w:bCs w:val="1"/>
                <w:color w:val="auto"/>
              </w:rPr>
              <w:t>Net Increase (Decrease) in Net Assets</w:t>
            </w:r>
          </w:p>
        </w:tc>
        <w:tc>
          <w:tcPr>
            <w:tcW w:w="100" w:type="dxa"/>
            <w:vAlign w:val="bottom"/>
            <w:shd w:val="clear" w:color="auto" w:fill="CCFFCC"/>
          </w:tcPr>
          <w:p>
            <w:pPr>
              <w:jc w:val="right"/>
              <w:spacing w:after="0" w:line="191"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FFCC"/>
          </w:tcPr>
          <w:p>
            <w:pPr>
              <w:jc w:val="right"/>
              <w:ind w:right="100"/>
              <w:spacing w:after="0" w:line="191" w:lineRule="exact"/>
              <w:rPr>
                <w:sz w:val="20"/>
                <w:szCs w:val="20"/>
                <w:color w:val="auto"/>
              </w:rPr>
            </w:pPr>
            <w:r>
              <w:rPr>
                <w:rFonts w:ascii="Arial" w:cs="Arial" w:eastAsia="Arial" w:hAnsi="Arial"/>
                <w:sz w:val="18"/>
                <w:szCs w:val="18"/>
                <w:color w:val="auto"/>
                <w:w w:val="99"/>
              </w:rPr>
              <w:t>3,515,703</w:t>
            </w:r>
          </w:p>
        </w:tc>
        <w:tc>
          <w:tcPr>
            <w:tcW w:w="260" w:type="dxa"/>
            <w:vAlign w:val="bottom"/>
            <w:gridSpan w:val="2"/>
            <w:shd w:val="clear" w:color="auto" w:fill="CCFFCC"/>
          </w:tcPr>
          <w:p>
            <w:pPr>
              <w:jc w:val="right"/>
              <w:spacing w:after="0" w:line="19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60"/>
              <w:spacing w:after="0" w:line="191" w:lineRule="exact"/>
              <w:rPr>
                <w:sz w:val="20"/>
                <w:szCs w:val="20"/>
                <w:color w:val="auto"/>
              </w:rPr>
            </w:pPr>
            <w:r>
              <w:rPr>
                <w:rFonts w:ascii="Arial" w:cs="Arial" w:eastAsia="Arial" w:hAnsi="Arial"/>
                <w:sz w:val="18"/>
                <w:szCs w:val="18"/>
                <w:color w:val="auto"/>
                <w:w w:val="93"/>
              </w:rPr>
              <w:t>(5,474,894)</w:t>
            </w:r>
          </w:p>
        </w:tc>
        <w:tc>
          <w:tcPr>
            <w:tcW w:w="260" w:type="dxa"/>
            <w:vAlign w:val="bottom"/>
            <w:gridSpan w:val="2"/>
            <w:shd w:val="clear" w:color="auto" w:fill="CCFFCC"/>
          </w:tcPr>
          <w:p>
            <w:pPr>
              <w:jc w:val="right"/>
              <w:spacing w:after="0" w:line="19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spacing w:after="0" w:line="191" w:lineRule="exact"/>
              <w:rPr>
                <w:sz w:val="20"/>
                <w:szCs w:val="20"/>
                <w:color w:val="auto"/>
              </w:rPr>
            </w:pPr>
            <w:r>
              <w:rPr>
                <w:rFonts w:ascii="Arial" w:cs="Arial" w:eastAsia="Arial" w:hAnsi="Arial"/>
                <w:sz w:val="18"/>
                <w:szCs w:val="18"/>
                <w:color w:val="auto"/>
                <w:w w:val="91"/>
              </w:rPr>
              <w:t>(3,975,552)</w:t>
            </w:r>
          </w:p>
        </w:tc>
        <w:tc>
          <w:tcPr>
            <w:tcW w:w="320" w:type="dxa"/>
            <w:vAlign w:val="bottom"/>
            <w:gridSpan w:val="2"/>
            <w:shd w:val="clear" w:color="auto" w:fill="CCFFCC"/>
          </w:tcPr>
          <w:p>
            <w:pPr>
              <w:jc w:val="right"/>
              <w:ind w:right="60"/>
              <w:spacing w:after="0" w:line="191"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60"/>
              <w:spacing w:after="0" w:line="191" w:lineRule="exact"/>
              <w:rPr>
                <w:sz w:val="20"/>
                <w:szCs w:val="20"/>
                <w:color w:val="auto"/>
              </w:rPr>
            </w:pPr>
            <w:r>
              <w:rPr>
                <w:rFonts w:ascii="Arial" w:cs="Arial" w:eastAsia="Arial" w:hAnsi="Arial"/>
                <w:sz w:val="18"/>
                <w:szCs w:val="18"/>
                <w:color w:val="auto"/>
                <w:w w:val="97"/>
              </w:rPr>
              <w:t>(5,557,957)</w:t>
            </w:r>
          </w:p>
        </w:tc>
        <w:tc>
          <w:tcPr>
            <w:tcW w:w="0" w:type="dxa"/>
            <w:vAlign w:val="bottom"/>
          </w:tcPr>
          <w:p>
            <w:pPr>
              <w:spacing w:after="0"/>
              <w:rPr>
                <w:sz w:val="1"/>
                <w:szCs w:val="1"/>
                <w:color w:val="auto"/>
              </w:rPr>
            </w:pPr>
          </w:p>
        </w:tc>
      </w:tr>
      <w:tr>
        <w:trPr>
          <w:trHeight w:val="275"/>
        </w:trPr>
        <w:tc>
          <w:tcPr>
            <w:tcW w:w="352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b w:val="1"/>
                <w:bCs w:val="1"/>
                <w:color w:val="auto"/>
              </w:rPr>
              <w:t>Resulting from Operations</w:t>
            </w:r>
          </w:p>
        </w:tc>
        <w:tc>
          <w:tcPr>
            <w:tcW w:w="100" w:type="dxa"/>
            <w:vAlign w:val="bottom"/>
            <w:tcBorders>
              <w:bottom w:val="single" w:sz="8" w:color="auto"/>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82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auto"/>
            </w:tcBorders>
            <w:shd w:val="clear" w:color="auto" w:fill="CCFFCC"/>
          </w:tcPr>
          <w:p>
            <w:pPr>
              <w:spacing w:after="0"/>
              <w:rPr>
                <w:sz w:val="23"/>
                <w:szCs w:val="23"/>
                <w:color w:val="auto"/>
              </w:rPr>
            </w:pPr>
          </w:p>
        </w:tc>
        <w:tc>
          <w:tcPr>
            <w:tcW w:w="84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520" w:type="dxa"/>
            <w:vAlign w:val="bottom"/>
          </w:tcPr>
          <w:p>
            <w:pPr>
              <w:ind w:left="200"/>
              <w:spacing w:after="0" w:line="191" w:lineRule="exact"/>
              <w:rPr>
                <w:sz w:val="20"/>
                <w:szCs w:val="20"/>
                <w:color w:val="auto"/>
              </w:rPr>
            </w:pPr>
            <w:r>
              <w:rPr>
                <w:rFonts w:ascii="Arial" w:cs="Arial" w:eastAsia="Arial" w:hAnsi="Arial"/>
                <w:sz w:val="18"/>
                <w:szCs w:val="18"/>
                <w:b w:val="1"/>
                <w:bCs w:val="1"/>
                <w:color w:val="auto"/>
              </w:rPr>
              <w:t>Net Increase (Decrease) in Net Assets</w:t>
            </w:r>
          </w:p>
        </w:tc>
        <w:tc>
          <w:tcPr>
            <w:tcW w:w="10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191" w:lineRule="exact"/>
              <w:rPr>
                <w:sz w:val="20"/>
                <w:szCs w:val="20"/>
                <w:color w:val="auto"/>
              </w:rPr>
            </w:pPr>
            <w:r>
              <w:rPr>
                <w:rFonts w:ascii="Arial" w:cs="Arial" w:eastAsia="Arial" w:hAnsi="Arial"/>
                <w:sz w:val="18"/>
                <w:szCs w:val="18"/>
                <w:color w:val="auto"/>
              </w:rPr>
              <w:t>0.18</w:t>
            </w:r>
          </w:p>
        </w:tc>
        <w:tc>
          <w:tcPr>
            <w:tcW w:w="26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191" w:lineRule="exact"/>
              <w:rPr>
                <w:sz w:val="20"/>
                <w:szCs w:val="20"/>
                <w:color w:val="auto"/>
              </w:rPr>
            </w:pPr>
            <w:r>
              <w:rPr>
                <w:rFonts w:ascii="Arial" w:cs="Arial" w:eastAsia="Arial" w:hAnsi="Arial"/>
                <w:sz w:val="18"/>
                <w:szCs w:val="18"/>
                <w:color w:val="auto"/>
              </w:rPr>
              <w:t>(0.34)</w:t>
            </w:r>
          </w:p>
        </w:tc>
        <w:tc>
          <w:tcPr>
            <w:tcW w:w="26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(0.21)</w:t>
            </w:r>
          </w:p>
        </w:tc>
        <w:tc>
          <w:tcPr>
            <w:tcW w:w="320" w:type="dxa"/>
            <w:vAlign w:val="bottom"/>
            <w:gridSpan w:val="2"/>
          </w:tcPr>
          <w:p>
            <w:pPr>
              <w:jc w:val="right"/>
              <w:ind w:right="60"/>
              <w:spacing w:after="0" w:line="19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line="191" w:lineRule="exact"/>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3520" w:type="dxa"/>
            <w:vAlign w:val="bottom"/>
          </w:tcPr>
          <w:p>
            <w:pPr>
              <w:ind w:left="380"/>
              <w:spacing w:after="0"/>
              <w:rPr>
                <w:sz w:val="20"/>
                <w:szCs w:val="20"/>
                <w:color w:val="auto"/>
              </w:rPr>
            </w:pPr>
            <w:r>
              <w:rPr>
                <w:rFonts w:ascii="Arial" w:cs="Arial" w:eastAsia="Arial" w:hAnsi="Arial"/>
                <w:sz w:val="18"/>
                <w:szCs w:val="18"/>
                <w:b w:val="1"/>
                <w:bCs w:val="1"/>
                <w:color w:val="auto"/>
              </w:rPr>
              <w:t>Resulting from Operations per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380"/>
              <w:spacing w:after="0"/>
              <w:rPr>
                <w:sz w:val="20"/>
                <w:szCs w:val="20"/>
                <w:color w:val="auto"/>
              </w:rPr>
            </w:pPr>
            <w:r>
              <w:rPr>
                <w:rFonts w:ascii="Arial" w:cs="Arial" w:eastAsia="Arial" w:hAnsi="Arial"/>
                <w:sz w:val="18"/>
                <w:szCs w:val="18"/>
                <w:b w:val="1"/>
                <w:bCs w:val="1"/>
                <w:color w:val="auto"/>
              </w:rPr>
              <w:t>Common Share</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520" w:type="dxa"/>
            <w:vAlign w:val="bottom"/>
            <w:shd w:val="clear" w:color="auto" w:fill="CCFFCC"/>
          </w:tcPr>
          <w:p>
            <w:pPr>
              <w:ind w:left="200"/>
              <w:spacing w:after="0" w:line="191" w:lineRule="exact"/>
              <w:rPr>
                <w:sz w:val="20"/>
                <w:szCs w:val="20"/>
                <w:color w:val="auto"/>
              </w:rPr>
            </w:pPr>
            <w:r>
              <w:rPr>
                <w:rFonts w:ascii="Arial" w:cs="Arial" w:eastAsia="Arial" w:hAnsi="Arial"/>
                <w:sz w:val="18"/>
                <w:szCs w:val="18"/>
                <w:b w:val="1"/>
                <w:bCs w:val="1"/>
                <w:color w:val="auto"/>
              </w:rPr>
              <w:t>Weighted Average Common Shares</w:t>
            </w:r>
          </w:p>
        </w:tc>
        <w:tc>
          <w:tcPr>
            <w:tcW w:w="10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00"/>
              <w:spacing w:after="0" w:line="191" w:lineRule="exact"/>
              <w:rPr>
                <w:sz w:val="20"/>
                <w:szCs w:val="20"/>
                <w:color w:val="auto"/>
              </w:rPr>
            </w:pPr>
            <w:r>
              <w:rPr>
                <w:rFonts w:ascii="Arial" w:cs="Arial" w:eastAsia="Arial" w:hAnsi="Arial"/>
                <w:sz w:val="18"/>
                <w:szCs w:val="18"/>
                <w:color w:val="auto"/>
                <w:w w:val="88"/>
              </w:rPr>
              <w:t>19,320,100</w:t>
            </w: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40" w:type="dxa"/>
            <w:vAlign w:val="bottom"/>
            <w:gridSpan w:val="2"/>
            <w:shd w:val="clear" w:color="auto" w:fill="CCFFCC"/>
          </w:tcPr>
          <w:p>
            <w:pPr>
              <w:jc w:val="right"/>
              <w:ind w:right="120"/>
              <w:spacing w:after="0" w:line="191" w:lineRule="exact"/>
              <w:rPr>
                <w:sz w:val="20"/>
                <w:szCs w:val="20"/>
                <w:color w:val="auto"/>
              </w:rPr>
            </w:pPr>
            <w:r>
              <w:rPr>
                <w:rFonts w:ascii="Arial" w:cs="Arial" w:eastAsia="Arial" w:hAnsi="Arial"/>
                <w:sz w:val="18"/>
                <w:szCs w:val="18"/>
                <w:color w:val="auto"/>
                <w:w w:val="88"/>
              </w:rPr>
              <w:t>16,287,133</w:t>
            </w: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48"/>
              <w:spacing w:after="0" w:line="191" w:lineRule="exact"/>
              <w:rPr>
                <w:sz w:val="20"/>
                <w:szCs w:val="20"/>
                <w:color w:val="auto"/>
              </w:rPr>
            </w:pPr>
            <w:r>
              <w:rPr>
                <w:rFonts w:ascii="Arial" w:cs="Arial" w:eastAsia="Arial" w:hAnsi="Arial"/>
                <w:sz w:val="18"/>
                <w:szCs w:val="18"/>
                <w:color w:val="auto"/>
                <w:w w:val="86"/>
              </w:rPr>
              <w:t>19,320,100</w:t>
            </w:r>
          </w:p>
        </w:tc>
        <w:tc>
          <w:tcPr>
            <w:tcW w:w="1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980" w:type="dxa"/>
            <w:vAlign w:val="bottom"/>
            <w:gridSpan w:val="2"/>
            <w:shd w:val="clear" w:color="auto" w:fill="CCFFCC"/>
          </w:tcPr>
          <w:p>
            <w:pPr>
              <w:jc w:val="right"/>
              <w:ind w:right="120"/>
              <w:spacing w:after="0" w:line="191" w:lineRule="exact"/>
              <w:rPr>
                <w:sz w:val="20"/>
                <w:szCs w:val="20"/>
                <w:color w:val="auto"/>
              </w:rPr>
            </w:pPr>
            <w:r>
              <w:rPr>
                <w:rFonts w:ascii="Arial" w:cs="Arial" w:eastAsia="Arial" w:hAnsi="Arial"/>
                <w:sz w:val="18"/>
                <w:szCs w:val="18"/>
                <w:color w:val="auto"/>
                <w:w w:val="93"/>
              </w:rPr>
              <w:t>12,837,133</w:t>
            </w:r>
          </w:p>
        </w:tc>
        <w:tc>
          <w:tcPr>
            <w:tcW w:w="0" w:type="dxa"/>
            <w:vAlign w:val="bottom"/>
          </w:tcPr>
          <w:p>
            <w:pPr>
              <w:spacing w:after="0"/>
              <w:rPr>
                <w:sz w:val="1"/>
                <w:szCs w:val="1"/>
                <w:color w:val="auto"/>
              </w:rPr>
            </w:pPr>
          </w:p>
        </w:tc>
      </w:tr>
      <w:tr>
        <w:trPr>
          <w:trHeight w:val="275"/>
        </w:trPr>
        <w:tc>
          <w:tcPr>
            <w:tcW w:w="352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auto"/>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82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auto"/>
            </w:tcBorders>
            <w:shd w:val="clear" w:color="auto" w:fill="CCFFCC"/>
          </w:tcPr>
          <w:p>
            <w:pPr>
              <w:spacing w:after="0"/>
              <w:rPr>
                <w:sz w:val="23"/>
                <w:szCs w:val="23"/>
                <w:color w:val="auto"/>
              </w:rPr>
            </w:pPr>
          </w:p>
        </w:tc>
        <w:tc>
          <w:tcPr>
            <w:tcW w:w="84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-3163570</wp:posOffset>
            </wp:positionV>
            <wp:extent cx="521398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-1628775</wp:posOffset>
            </wp:positionV>
            <wp:extent cx="521398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-788035</wp:posOffset>
            </wp:positionV>
            <wp:extent cx="5213985" cy="480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4800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05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Six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5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June 30, 2013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June 30, 2012</w:t>
            </w:r>
          </w:p>
        </w:tc>
      </w:tr>
      <w:tr>
        <w:trPr>
          <w:trHeight w:val="210"/>
        </w:trPr>
        <w:tc>
          <w:tcPr>
            <w:tcW w:w="53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Decrease in Net Assets Resulting From Operations</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(4,954,636)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(3,174,121)</w:t>
            </w:r>
          </w:p>
        </w:tc>
      </w:tr>
      <w:tr>
        <w:trPr>
          <w:trHeight w:val="216"/>
        </w:trPr>
        <w:tc>
          <w:tcPr>
            <w:tcW w:w="5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Realized Loss on Investments</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(9,674,524)</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(1,380,519)</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w w:val="95"/>
              </w:rPr>
              <w:t>Net Change in Unrealized Appreciation (Depreciation) on Investments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10,653,608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(1,003,317)</w:t>
            </w:r>
          </w:p>
        </w:tc>
      </w:tr>
      <w:tr>
        <w:trPr>
          <w:trHeight w:val="20"/>
        </w:trPr>
        <w:tc>
          <w:tcPr>
            <w:tcW w:w="5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(3,975,552)</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(5,557,957)</w:t>
            </w:r>
          </w:p>
        </w:tc>
      </w:tr>
      <w:tr>
        <w:trPr>
          <w:trHeight w:val="210"/>
        </w:trPr>
        <w:tc>
          <w:tcPr>
            <w:tcW w:w="534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r>
      <w:tr>
        <w:trPr>
          <w:trHeight w:val="216"/>
        </w:trPr>
        <w:tc>
          <w:tcPr>
            <w:tcW w:w="5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Proceeds from Common Shares Issued</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201,652,500</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(737,737)</w:t>
            </w:r>
          </w:p>
        </w:tc>
      </w:tr>
      <w:tr>
        <w:trPr>
          <w:trHeight w:val="20"/>
        </w:trPr>
        <w:tc>
          <w:tcPr>
            <w:tcW w:w="5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Capital Share Transactions</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200,914,763</w:t>
            </w:r>
          </w:p>
        </w:tc>
      </w:tr>
      <w:tr>
        <w:trPr>
          <w:trHeight w:val="20"/>
        </w:trPr>
        <w:tc>
          <w:tcPr>
            <w:tcW w:w="53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Total Increase (Decrease) in Net Assets</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(3,975,552)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195,356,806</w:t>
            </w:r>
          </w:p>
        </w:tc>
      </w:tr>
      <w:tr>
        <w:trPr>
          <w:trHeight w:val="216"/>
        </w:trPr>
        <w:tc>
          <w:tcPr>
            <w:tcW w:w="5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Assets at Beginning of Period</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252,582,801</w:t>
            </w:r>
          </w:p>
        </w:tc>
        <w:tc>
          <w:tcPr>
            <w:tcW w:w="14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71,503,248</w:t>
            </w:r>
          </w:p>
        </w:tc>
      </w:tr>
      <w:tr>
        <w:trPr>
          <w:trHeight w:val="20"/>
        </w:trPr>
        <w:tc>
          <w:tcPr>
            <w:tcW w:w="53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Net Assets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248,607,249</w:t>
            </w:r>
          </w:p>
        </w:tc>
        <w:tc>
          <w:tcPr>
            <w:tcW w:w="14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266,860,054</w:t>
            </w:r>
          </w:p>
        </w:tc>
      </w:tr>
      <w:tr>
        <w:trPr>
          <w:trHeight w:val="21"/>
        </w:trPr>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13,800,000</w:t>
            </w:r>
          </w:p>
        </w:tc>
      </w:tr>
      <w:tr>
        <w:trPr>
          <w:trHeight w:val="216"/>
        </w:trPr>
        <w:tc>
          <w:tcPr>
            <w:tcW w:w="5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Shares Outstanding at Beginning of Period</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19,320,100</w:t>
            </w:r>
          </w:p>
        </w:tc>
        <w:tc>
          <w:tcPr>
            <w:tcW w:w="14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5,520,100</w:t>
            </w:r>
          </w:p>
        </w:tc>
      </w:tr>
      <w:tr>
        <w:trPr>
          <w:trHeight w:val="20"/>
        </w:trPr>
        <w:tc>
          <w:tcPr>
            <w:tcW w:w="53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Shares Outstanding at End of Period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19,320,100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19,320,100</w:t>
            </w:r>
          </w:p>
        </w:tc>
      </w:tr>
      <w:tr>
        <w:trPr>
          <w:trHeight w:val="21"/>
        </w:trPr>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-1619885</wp:posOffset>
            </wp:positionV>
            <wp:extent cx="521398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 w:name="page6"/>
    <w:bookmarkEnd w:id="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Six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5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June 30, 2013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June 30, 2012</w:t>
            </w:r>
          </w:p>
        </w:tc>
      </w:tr>
      <w:tr>
        <w:trPr>
          <w:trHeight w:val="210"/>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(3,975,552)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(5,557,957)</w:t>
            </w:r>
          </w:p>
        </w:tc>
      </w:tr>
      <w:tr>
        <w:trPr>
          <w:trHeight w:val="202"/>
        </w:trPr>
        <w:tc>
          <w:tcPr>
            <w:tcW w:w="536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Adjustments to reconcile net decrease in net assets resulting from</w:t>
            </w:r>
          </w:p>
        </w:tc>
        <w:tc>
          <w:tcPr>
            <w:tcW w:w="1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r>
      <w:tr>
        <w:trPr>
          <w:trHeight w:val="230"/>
        </w:trPr>
        <w:tc>
          <w:tcPr>
            <w:tcW w:w="53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operations to net cash used in operating activities:</w:t>
            </w:r>
          </w:p>
        </w:tc>
        <w:tc>
          <w:tcPr>
            <w:tcW w:w="10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Net realized loss on investments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9,674,524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1,380,519</w:t>
            </w:r>
          </w:p>
        </w:tc>
      </w:tr>
      <w:tr>
        <w:trPr>
          <w:trHeight w:val="216"/>
        </w:trPr>
        <w:tc>
          <w:tcPr>
            <w:tcW w:w="536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4"/>
              </w:rPr>
              <w:t>Net change in unrealized (appreciation) depreciation on investments</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(10,653,608)</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1,003,317</w:t>
            </w: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Purchases of investments in: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3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Portfolio investments</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(19,607,661)</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(109,902,924)</w:t>
            </w:r>
          </w:p>
        </w:tc>
      </w:tr>
      <w:tr>
        <w:trPr>
          <w:trHeight w:val="216"/>
        </w:trPr>
        <w:tc>
          <w:tcPr>
            <w:tcW w:w="5360" w:type="dxa"/>
            <w:vAlign w:val="bottom"/>
          </w:tcPr>
          <w:p>
            <w:pPr>
              <w:ind w:left="380"/>
              <w:spacing w:after="0"/>
              <w:rPr>
                <w:sz w:val="20"/>
                <w:szCs w:val="20"/>
                <w:color w:val="auto"/>
              </w:rPr>
            </w:pPr>
            <w:r>
              <w:rPr>
                <w:rFonts w:ascii="Arial" w:cs="Arial" w:eastAsia="Arial" w:hAnsi="Arial"/>
                <w:sz w:val="18"/>
                <w:szCs w:val="18"/>
                <w:color w:val="auto"/>
              </w:rPr>
              <w:t>United States treasury bill</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(19,999,128)</w:t>
            </w:r>
          </w:p>
        </w:tc>
      </w:tr>
      <w:tr>
        <w:trPr>
          <w:trHeight w:val="216"/>
        </w:trPr>
        <w:tc>
          <w:tcPr>
            <w:tcW w:w="53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(10,000,000)</w:t>
            </w: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Proceeds from sales of investments in: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3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Portfolio investments</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17,785,344</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ind w:left="380"/>
              <w:spacing w:after="0"/>
              <w:rPr>
                <w:sz w:val="20"/>
                <w:szCs w:val="20"/>
                <w:color w:val="auto"/>
              </w:rPr>
            </w:pPr>
            <w:r>
              <w:rPr>
                <w:rFonts w:ascii="Arial" w:cs="Arial" w:eastAsia="Arial" w:hAnsi="Arial"/>
                <w:sz w:val="18"/>
                <w:szCs w:val="18"/>
                <w:color w:val="auto"/>
              </w:rPr>
              <w:t>United States treasury bill</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19,998,872</w:t>
            </w:r>
          </w:p>
        </w:tc>
      </w:tr>
      <w:tr>
        <w:trPr>
          <w:trHeight w:val="216"/>
        </w:trPr>
        <w:tc>
          <w:tcPr>
            <w:tcW w:w="53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1,000,000</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3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Due from GSV Asset Management</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3,117</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7,569</w:t>
            </w: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Due from portfolio companies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125,747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(236,816)</w:t>
            </w:r>
          </w:p>
        </w:tc>
      </w:tr>
      <w:tr>
        <w:trPr>
          <w:trHeight w:val="216"/>
        </w:trPr>
        <w:tc>
          <w:tcPr>
            <w:tcW w:w="53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148,990</w:t>
            </w: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(49,729)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(98,889)</w:t>
            </w:r>
          </w:p>
        </w:tc>
      </w:tr>
      <w:tr>
        <w:trPr>
          <w:trHeight w:val="216"/>
        </w:trPr>
        <w:tc>
          <w:tcPr>
            <w:tcW w:w="53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Dividend receivable</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(11,305)</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(1,251)</w:t>
            </w: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20,890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(80,910)</w:t>
            </w:r>
          </w:p>
        </w:tc>
      </w:tr>
      <w:tr>
        <w:trPr>
          <w:trHeight w:val="216"/>
        </w:trPr>
        <w:tc>
          <w:tcPr>
            <w:tcW w:w="53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Due to GSV Asset Management</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387,654</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(61,268)</w:t>
            </w: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Due to other affiliates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1,935</w:t>
            </w:r>
          </w:p>
        </w:tc>
      </w:tr>
      <w:tr>
        <w:trPr>
          <w:trHeight w:val="216"/>
        </w:trPr>
        <w:tc>
          <w:tcPr>
            <w:tcW w:w="53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(112,139)</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555,107</w:t>
            </w: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(271,697)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159,144</w:t>
            </w:r>
          </w:p>
        </w:tc>
      </w:tr>
      <w:tr>
        <w:trPr>
          <w:trHeight w:val="20"/>
        </w:trPr>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36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(6,684,415)</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(121,683,690)</w:t>
            </w:r>
          </w:p>
        </w:tc>
      </w:tr>
      <w:tr>
        <w:trPr>
          <w:trHeight w:val="210"/>
        </w:trPr>
        <w:tc>
          <w:tcPr>
            <w:tcW w:w="536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proceeds from common shares issued</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201,652,500</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(737,737)</w:t>
            </w:r>
          </w:p>
        </w:tc>
      </w:tr>
      <w:tr>
        <w:trPr>
          <w:trHeight w:val="20"/>
        </w:trPr>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36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200,914,763</w:t>
            </w:r>
          </w:p>
        </w:tc>
      </w:tr>
      <w:tr>
        <w:trPr>
          <w:trHeight w:val="20"/>
        </w:trPr>
        <w:tc>
          <w:tcPr>
            <w:tcW w:w="53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Total Increase (Decrease) in Cash Balance</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(6,684,415)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79,231,073</w:t>
            </w: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Balance at Beginning of Period</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11,318,525</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385,995</w:t>
            </w:r>
          </w:p>
        </w:tc>
      </w:tr>
      <w:tr>
        <w:trPr>
          <w:trHeight w:val="20"/>
        </w:trPr>
        <w:tc>
          <w:tcPr>
            <w:tcW w:w="53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Cash Balance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4,634,110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79,617,068</w:t>
            </w:r>
          </w:p>
        </w:tc>
      </w:tr>
      <w:tr>
        <w:trPr>
          <w:trHeight w:val="21"/>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Non-Cash Operating Items</w:t>
            </w: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Structured notes converted to preferred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674,651</w:t>
            </w: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Structured notes converted to common shares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3,002,665</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Preferred shares converted to common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1,999,997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Warrants exercised for preferred shares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-1714500</wp:posOffset>
            </wp:positionV>
            <wp:extent cx="521398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-1148715</wp:posOffset>
            </wp:positionV>
            <wp:extent cx="521398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-865505</wp:posOffset>
            </wp:positionV>
            <wp:extent cx="521398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 w:name="page7"/>
    <w:bookmarkEnd w:id="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1960" w:type="dxa"/>
            <w:vAlign w:val="bottom"/>
            <w:gridSpan w:val="16"/>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9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2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8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r>
      <w:tr>
        <w:trPr>
          <w:trHeight w:val="156"/>
        </w:trPr>
        <w:tc>
          <w:tcPr>
            <w:tcW w:w="1960" w:type="dxa"/>
            <w:vAlign w:val="bottom"/>
            <w:gridSpan w:val="16"/>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Twitter,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Social Communication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1,835,600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$31,755,821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$36,351,602</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14.62%</w:t>
            </w: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1,235,290</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1,287,238</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0.52%</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32,991,111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37,638,840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15.14%</w:t>
            </w:r>
          </w:p>
        </w:tc>
      </w:tr>
      <w:tr>
        <w:trPr>
          <w:trHeight w:val="156"/>
        </w:trPr>
        <w:tc>
          <w:tcPr>
            <w:tcW w:w="1960" w:type="dxa"/>
            <w:vAlign w:val="bottom"/>
            <w:gridSpan w:val="16"/>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w w:val="94"/>
              </w:rPr>
              <w:t>Palantir Technologies,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8"/>
              </w:rPr>
              <w:t>Palo Alto,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Common shares, Class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Cyber Security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7,145,690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20,051,479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21,994,434</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8.85%</w:t>
            </w: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Preferred shares, Series G</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326,797</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1,008,968</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1,012,664</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0.41%</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21,060,447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23,007,098</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9.26%</w:t>
            </w:r>
          </w:p>
        </w:tc>
      </w:tr>
      <w:tr>
        <w:trPr>
          <w:trHeight w:val="156"/>
        </w:trPr>
        <w:tc>
          <w:tcPr>
            <w:tcW w:w="1960" w:type="dxa"/>
            <w:vAlign w:val="bottom"/>
            <w:gridSpan w:val="16"/>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Dropbox,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Common share</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Online Storage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760,000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8,641,153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8,740,000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3.52%</w:t>
            </w: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w w:val="94"/>
              </w:rPr>
              <w:t>Preferred shares, Series A-1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552,486</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5,015,333</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6,353,589</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2.56%</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13,656,486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15,093,589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6.08%</w:t>
            </w:r>
          </w:p>
        </w:tc>
      </w:tr>
      <w:tr>
        <w:trPr>
          <w:trHeight w:val="156"/>
        </w:trPr>
        <w:tc>
          <w:tcPr>
            <w:tcW w:w="1960" w:type="dxa"/>
            <w:vAlign w:val="bottom"/>
            <w:gridSpan w:val="16"/>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Violin Memory,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5"/>
              </w:rPr>
              <w:t>Mountain View,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Memory Flash</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1,666,666</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10,018,370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9,999,996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4.02%</w:t>
            </w: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4,800,798</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4,360,000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1.75%</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14,819,168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14,359,996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5.77%</w:t>
            </w:r>
          </w:p>
        </w:tc>
      </w:tr>
      <w:tr>
        <w:trPr>
          <w:trHeight w:val="156"/>
        </w:trPr>
        <w:tc>
          <w:tcPr>
            <w:tcW w:w="1960" w:type="dxa"/>
            <w:vAlign w:val="bottom"/>
            <w:gridSpan w:val="16"/>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Chegg,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Santa Clara,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Textbook Rental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1,274,193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10,014,248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9,571,313</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3.85%</w:t>
            </w: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Preferred shares, Series F</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4,008,654</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4,478,523</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1.80%</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14,022,902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14,049,836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5.65%</w:t>
            </w:r>
          </w:p>
        </w:tc>
      </w:tr>
      <w:tr>
        <w:trPr>
          <w:trHeight w:val="156"/>
        </w:trPr>
        <w:tc>
          <w:tcPr>
            <w:tcW w:w="1960" w:type="dxa"/>
            <w:vAlign w:val="bottom"/>
            <w:gridSpan w:val="16"/>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Solexel,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rPr>
              <w:t>Milpitas,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9"/>
              </w:rPr>
              <w:t>Solar Power</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5,034,324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11,016,624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10,999,998</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4.42%</w:t>
            </w:r>
          </w:p>
        </w:tc>
      </w:tr>
      <w:tr>
        <w:trPr>
          <w:trHeight w:val="162"/>
        </w:trPr>
        <w:tc>
          <w:tcPr>
            <w:tcW w:w="1960" w:type="dxa"/>
            <w:vAlign w:val="bottom"/>
            <w:gridSpan w:val="16"/>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2U, Inc. (f/k/a 2tor,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3"/>
              </w:rPr>
              <w:t>Landover, MD</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1,151,802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8,757,668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9,247,603</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3.72%</w:t>
            </w: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167,431</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1,273,125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1,344,272</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0.54%</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10,030,793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10,591,875</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4.26%</w:t>
            </w:r>
          </w:p>
        </w:tc>
      </w:tr>
      <w:tr>
        <w:trPr>
          <w:trHeight w:val="156"/>
        </w:trPr>
        <w:tc>
          <w:tcPr>
            <w:tcW w:w="1960" w:type="dxa"/>
            <w:vAlign w:val="bottom"/>
            <w:gridSpan w:val="16"/>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Avenues World Holdings</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720" w:type="dxa"/>
            <w:vAlign w:val="bottom"/>
            <w:tcBorders>
              <w:top w:val="single" w:sz="8" w:color="auto"/>
            </w:tcBorders>
            <w:gridSpan w:val="13"/>
            <w:shd w:val="clear" w:color="auto" w:fill="CCFFCC"/>
          </w:tcPr>
          <w:p>
            <w:pPr>
              <w:ind w:left="180"/>
              <w:spacing w:after="0" w:line="223" w:lineRule="exact"/>
              <w:rPr>
                <w:sz w:val="20"/>
                <w:szCs w:val="20"/>
                <w:color w:val="auto"/>
              </w:rPr>
            </w:pPr>
            <w:r>
              <w:rPr>
                <w:rFonts w:ascii="Arial" w:cs="Arial" w:eastAsia="Arial" w:hAnsi="Arial"/>
                <w:sz w:val="15"/>
                <w:szCs w:val="15"/>
                <w:b w:val="1"/>
                <w:bCs w:val="1"/>
                <w:color w:val="auto"/>
              </w:rPr>
              <w:t>LLC</w:t>
            </w:r>
            <w:r>
              <w:rPr>
                <w:rFonts w:ascii="Arial" w:cs="Arial" w:eastAsia="Arial" w:hAnsi="Arial"/>
                <w:sz w:val="25"/>
                <w:szCs w:val="25"/>
                <w:b w:val="1"/>
                <w:bCs w:val="1"/>
                <w:color w:val="auto"/>
                <w:vertAlign w:val="superscript"/>
              </w:rPr>
              <w:t>(3)</w:t>
            </w:r>
          </w:p>
        </w:tc>
        <w:tc>
          <w:tcPr>
            <w:tcW w:w="220" w:type="dxa"/>
            <w:vAlign w:val="bottom"/>
            <w:tcBorders>
              <w:top w:val="single" w:sz="8" w:color="CCFFCC"/>
            </w:tcBorders>
            <w:gridSpan w:val="2"/>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92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CCFFCC"/>
              <w:left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CCFFCC"/>
              <w:left w:val="single" w:sz="8" w:color="CCFFCC"/>
            </w:tcBorders>
            <w:shd w:val="clear" w:color="auto" w:fill="CCFFCC"/>
          </w:tcPr>
          <w:p>
            <w:pPr>
              <w:spacing w:after="0"/>
              <w:rPr>
                <w:sz w:val="19"/>
                <w:szCs w:val="19"/>
                <w:color w:val="auto"/>
              </w:rPr>
            </w:pPr>
          </w:p>
        </w:tc>
        <w:tc>
          <w:tcPr>
            <w:tcW w:w="480" w:type="dxa"/>
            <w:vAlign w:val="bottom"/>
            <w:tcBorders>
              <w:top w:val="single" w:sz="8" w:color="CCFFCC"/>
            </w:tcBorders>
            <w:shd w:val="clear" w:color="auto" w:fill="CCFFCC"/>
          </w:tcPr>
          <w:p>
            <w:pPr>
              <w:spacing w:after="0"/>
              <w:rPr>
                <w:sz w:val="19"/>
                <w:szCs w:val="19"/>
                <w:color w:val="auto"/>
              </w:rPr>
            </w:pPr>
          </w:p>
        </w:tc>
        <w:tc>
          <w:tcPr>
            <w:tcW w:w="20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w w:val="97"/>
              </w:rPr>
              <w:t>Preferred shares, Class A-1</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Globally-focused Private School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10,026,005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10,395,159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4.18%</w:t>
            </w:r>
          </w:p>
        </w:tc>
      </w:tr>
      <w:tr>
        <w:trPr>
          <w:trHeight w:val="162"/>
        </w:trPr>
        <w:tc>
          <w:tcPr>
            <w:tcW w:w="1960" w:type="dxa"/>
            <w:vAlign w:val="bottom"/>
            <w:gridSpan w:val="16"/>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Coursera,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5"/>
              </w:rPr>
              <w:t>Mountain View, CA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2,039,609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9,999,999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9,999,999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4.02%</w:t>
            </w:r>
          </w:p>
        </w:tc>
      </w:tr>
      <w:tr>
        <w:trPr>
          <w:trHeight w:val="162"/>
        </w:trPr>
        <w:tc>
          <w:tcPr>
            <w:tcW w:w="1960" w:type="dxa"/>
            <w:vAlign w:val="bottom"/>
            <w:gridSpan w:val="16"/>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Kno,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1"/>
              </w:rPr>
              <w:t>Santa Clara, CA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6"/>
              </w:rPr>
              <w:t>Digital Textbooks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440,313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2,262,006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2,249,999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0.91%</w:t>
            </w: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w w:val="94"/>
              </w:rPr>
              <w:t>Preferred shares, Series C-1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7,510,334</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7,500,000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3.02%</w:t>
            </w: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214,681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172,914</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0.07%</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9,987,021</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9,922,913</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4.00%</w:t>
            </w:r>
          </w:p>
        </w:tc>
      </w:tr>
      <w:tr>
        <w:trPr>
          <w:trHeight w:val="196"/>
        </w:trPr>
        <w:tc>
          <w:tcPr>
            <w:tcW w:w="1960" w:type="dxa"/>
            <w:vAlign w:val="bottom"/>
            <w:tcBorders>
              <w:top w:val="single" w:sz="8" w:color="CCFFCC"/>
            </w:tcBorders>
            <w:gridSpan w:val="16"/>
          </w:tcPr>
          <w:p>
            <w:pPr>
              <w:ind w:left="20"/>
              <w:spacing w:after="0" w:line="197" w:lineRule="exact"/>
              <w:rPr>
                <w:sz w:val="20"/>
                <w:szCs w:val="20"/>
                <w:color w:val="auto"/>
              </w:rPr>
            </w:pPr>
            <w:r>
              <w:rPr>
                <w:rFonts w:ascii="Arial" w:cs="Arial" w:eastAsia="Arial" w:hAnsi="Arial"/>
                <w:sz w:val="14"/>
                <w:szCs w:val="14"/>
                <w:b w:val="1"/>
                <w:bCs w:val="1"/>
                <w:color w:val="auto"/>
              </w:rPr>
              <w:t>Facebook, Inc.</w:t>
            </w:r>
            <w:r>
              <w:rPr>
                <w:rFonts w:ascii="Arial" w:cs="Arial" w:eastAsia="Arial" w:hAnsi="Arial"/>
                <w:sz w:val="22"/>
                <w:szCs w:val="22"/>
                <w:b w:val="1"/>
                <w:bCs w:val="1"/>
                <w:color w:val="auto"/>
                <w:vertAlign w:val="superscript"/>
              </w:rPr>
              <w:t>(7)</w:t>
            </w:r>
          </w:p>
        </w:tc>
        <w:tc>
          <w:tcPr>
            <w:tcW w:w="80" w:type="dxa"/>
            <w:vAlign w:val="bottom"/>
            <w:tcBorders>
              <w:top w:val="single" w:sz="8" w:color="CCFFCC"/>
            </w:tcBorders>
          </w:tcPr>
          <w:p>
            <w:pPr>
              <w:spacing w:after="0"/>
              <w:rPr>
                <w:sz w:val="17"/>
                <w:szCs w:val="17"/>
                <w:color w:val="auto"/>
              </w:rPr>
            </w:pPr>
          </w:p>
        </w:tc>
        <w:tc>
          <w:tcPr>
            <w:tcW w:w="2460" w:type="dxa"/>
            <w:vAlign w:val="bottom"/>
            <w:tcBorders>
              <w:top w:val="single" w:sz="8" w:color="CCFFCC"/>
            </w:tcBorders>
          </w:tcPr>
          <w:p>
            <w:pPr>
              <w:jc w:val="center"/>
              <w:spacing w:after="0"/>
              <w:rPr>
                <w:sz w:val="20"/>
                <w:szCs w:val="20"/>
                <w:color w:val="auto"/>
              </w:rPr>
            </w:pPr>
            <w:r>
              <w:rPr>
                <w:rFonts w:ascii="Arial" w:cs="Arial" w:eastAsia="Arial" w:hAnsi="Arial"/>
                <w:sz w:val="16"/>
                <w:szCs w:val="16"/>
                <w:color w:val="auto"/>
                <w:w w:val="94"/>
              </w:rPr>
              <w:t>Menlo Park, CA</w:t>
            </w:r>
          </w:p>
        </w:tc>
        <w:tc>
          <w:tcPr>
            <w:tcW w:w="80" w:type="dxa"/>
            <w:vAlign w:val="bottom"/>
            <w:tcBorders>
              <w:top w:val="single" w:sz="8" w:color="CCFFCC"/>
            </w:tcBorders>
          </w:tcPr>
          <w:p>
            <w:pPr>
              <w:spacing w:after="0"/>
              <w:rPr>
                <w:sz w:val="17"/>
                <w:szCs w:val="17"/>
                <w:color w:val="auto"/>
              </w:rPr>
            </w:pPr>
          </w:p>
        </w:tc>
        <w:tc>
          <w:tcPr>
            <w:tcW w:w="92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Common shares, Class A</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Social Networking</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350,000</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10,472,294</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8,708,000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3.50%</w:t>
            </w:r>
          </w:p>
        </w:tc>
      </w:tr>
      <w:tr>
        <w:trPr>
          <w:trHeight w:val="203"/>
        </w:trPr>
        <w:tc>
          <w:tcPr>
            <w:tcW w:w="1960" w:type="dxa"/>
            <w:vAlign w:val="bottom"/>
            <w:gridSpan w:val="16"/>
          </w:tcPr>
          <w:p>
            <w:pPr>
              <w:ind w:left="20"/>
              <w:spacing w:after="0" w:line="202" w:lineRule="exact"/>
              <w:rPr>
                <w:sz w:val="20"/>
                <w:szCs w:val="20"/>
                <w:color w:val="auto"/>
              </w:rPr>
            </w:pPr>
            <w:r>
              <w:rPr>
                <w:rFonts w:ascii="Arial" w:cs="Arial" w:eastAsia="Arial" w:hAnsi="Arial"/>
                <w:sz w:val="14"/>
                <w:szCs w:val="14"/>
                <w:b w:val="1"/>
                <w:bCs w:val="1"/>
                <w:color w:val="auto"/>
              </w:rPr>
              <w:t>Control4 Corporation</w:t>
            </w:r>
            <w:r>
              <w:rPr>
                <w:rFonts w:ascii="Arial" w:cs="Arial" w:eastAsia="Arial" w:hAnsi="Arial"/>
                <w:sz w:val="23"/>
                <w:szCs w:val="23"/>
                <w:b w:val="1"/>
                <w:bCs w:val="1"/>
                <w:color w:val="auto"/>
                <w:vertAlign w:val="superscript"/>
              </w:rPr>
              <w:t>(9)</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Salt Lake City, UT</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Home Automation</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782,821</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7,011,025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7,518,198</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3.02%</w:t>
            </w:r>
          </w:p>
        </w:tc>
      </w:tr>
      <w:tr>
        <w:trPr>
          <w:trHeight w:val="162"/>
        </w:trPr>
        <w:tc>
          <w:tcPr>
            <w:tcW w:w="1960" w:type="dxa"/>
            <w:vAlign w:val="bottom"/>
            <w:gridSpan w:val="16"/>
          </w:tcPr>
          <w:p>
            <w:pPr>
              <w:ind w:left="20"/>
              <w:spacing w:after="0" w:line="162" w:lineRule="exact"/>
              <w:rPr>
                <w:sz w:val="20"/>
                <w:szCs w:val="20"/>
                <w:color w:val="auto"/>
              </w:rPr>
            </w:pPr>
            <w:r>
              <w:rPr>
                <w:rFonts w:ascii="Arial" w:cs="Arial" w:eastAsia="Arial" w:hAnsi="Arial"/>
                <w:sz w:val="16"/>
                <w:szCs w:val="16"/>
                <w:b w:val="1"/>
                <w:bCs w:val="1"/>
                <w:color w:val="auto"/>
              </w:rPr>
              <w:t>SugarCRM, Inc.</w:t>
            </w:r>
          </w:p>
        </w:tc>
        <w:tc>
          <w:tcPr>
            <w:tcW w:w="80" w:type="dxa"/>
            <w:vAlign w:val="bottom"/>
          </w:tcPr>
          <w:p>
            <w:pPr>
              <w:spacing w:after="0"/>
              <w:rPr>
                <w:sz w:val="14"/>
                <w:szCs w:val="14"/>
                <w:color w:val="auto"/>
              </w:rPr>
            </w:pPr>
          </w:p>
        </w:tc>
        <w:tc>
          <w:tcPr>
            <w:tcW w:w="2460" w:type="dxa"/>
            <w:vAlign w:val="bottom"/>
          </w:tcPr>
          <w:p>
            <w:pPr>
              <w:jc w:val="center"/>
              <w:spacing w:after="0" w:line="162" w:lineRule="exact"/>
              <w:rPr>
                <w:sz w:val="20"/>
                <w:szCs w:val="20"/>
                <w:color w:val="auto"/>
              </w:rPr>
            </w:pPr>
            <w:r>
              <w:rPr>
                <w:rFonts w:ascii="Arial" w:cs="Arial" w:eastAsia="Arial" w:hAnsi="Arial"/>
                <w:sz w:val="16"/>
                <w:szCs w:val="16"/>
                <w:color w:val="auto"/>
                <w:w w:val="93"/>
              </w:rPr>
              <w:t>Cupertino, CA</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Customer Relationship Manager</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1,480,131</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5,192,673</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5,180,459</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2.08%</w:t>
            </w: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E</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373,134</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1,500,522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1,652,476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0.66%</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6,693,195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6,832,935</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2.74%</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-5487670</wp:posOffset>
            </wp:positionV>
            <wp:extent cx="521398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-4956175</wp:posOffset>
            </wp:positionV>
            <wp:extent cx="521398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-4424680</wp:posOffset>
            </wp:positionV>
            <wp:extent cx="521398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-3892550</wp:posOffset>
            </wp:positionV>
            <wp:extent cx="521398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-3361055</wp:posOffset>
            </wp:positionV>
            <wp:extent cx="521398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-2572385</wp:posOffset>
            </wp:positionV>
            <wp:extent cx="521398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-1105535</wp:posOffset>
            </wp:positionV>
            <wp:extent cx="521398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 w:name="page8"/>
    <w:bookmarkEnd w:id="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100" w:type="dxa"/>
            <w:vAlign w:val="bottom"/>
            <w:gridSpan w:val="17"/>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Headquarters/Industry</w:t>
            </w:r>
          </w:p>
        </w:tc>
        <w:tc>
          <w:tcPr>
            <w:tcW w:w="100" w:type="dxa"/>
            <w:vAlign w:val="bottom"/>
          </w:tcPr>
          <w:p>
            <w:pPr>
              <w:spacing w:after="0"/>
              <w:rPr>
                <w:sz w:val="12"/>
                <w:szCs w:val="12"/>
                <w:color w:val="auto"/>
              </w:rPr>
            </w:pPr>
          </w:p>
        </w:tc>
        <w:tc>
          <w:tcPr>
            <w:tcW w:w="88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00" w:type="dxa"/>
            <w:vAlign w:val="bottom"/>
          </w:tcPr>
          <w:p>
            <w:pPr>
              <w:jc w:val="right"/>
              <w:ind w:right="140"/>
              <w:spacing w:after="0" w:line="149" w:lineRule="exact"/>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7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r>
      <w:tr>
        <w:trPr>
          <w:trHeight w:val="156"/>
        </w:trPr>
        <w:tc>
          <w:tcPr>
            <w:tcW w:w="210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ZocDoc Inc.</w:t>
            </w:r>
          </w:p>
        </w:tc>
        <w:tc>
          <w:tcPr>
            <w:tcW w:w="100" w:type="dxa"/>
            <w:vAlign w:val="bottom"/>
            <w:shd w:val="clear" w:color="auto" w:fill="CCFFCC"/>
          </w:tcPr>
          <w:p>
            <w:pPr>
              <w:spacing w:after="0"/>
              <w:rPr>
                <w:sz w:val="13"/>
                <w:szCs w:val="13"/>
                <w:color w:val="auto"/>
              </w:rPr>
            </w:pPr>
          </w:p>
        </w:tc>
        <w:tc>
          <w:tcPr>
            <w:tcW w:w="240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7"/>
              </w:rPr>
              <w:t>New York, NY</w:t>
            </w:r>
          </w:p>
        </w:tc>
        <w:tc>
          <w:tcPr>
            <w:tcW w:w="100" w:type="dxa"/>
            <w:vAlign w:val="bottom"/>
            <w:shd w:val="clear" w:color="auto" w:fill="CCFFCC"/>
          </w:tcPr>
          <w:p>
            <w:pPr>
              <w:spacing w:after="0"/>
              <w:rPr>
                <w:sz w:val="13"/>
                <w:szCs w:val="13"/>
                <w:color w:val="auto"/>
              </w:rPr>
            </w:pPr>
          </w:p>
        </w:tc>
        <w:tc>
          <w:tcPr>
            <w:tcW w:w="8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0" w:type="dxa"/>
            <w:vAlign w:val="bottom"/>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780" w:type="dxa"/>
            <w:vAlign w:val="bottom"/>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44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10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94"/>
              </w:rPr>
              <w:t>Online Medical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$ 3,563,178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$ 3,100,000</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1.25%</w:t>
            </w:r>
          </w:p>
        </w:tc>
      </w:tr>
      <w:tr>
        <w:trPr>
          <w:trHeight w:val="203"/>
        </w:trPr>
        <w:tc>
          <w:tcPr>
            <w:tcW w:w="210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Common Stock</w:t>
            </w:r>
          </w:p>
        </w:tc>
        <w:tc>
          <w:tcPr>
            <w:tcW w:w="100" w:type="dxa"/>
            <w:vAlign w:val="bottom"/>
            <w:shd w:val="clear" w:color="auto" w:fill="CCFFCC"/>
          </w:tcPr>
          <w:p>
            <w:pPr>
              <w:spacing w:after="0"/>
              <w:rPr>
                <w:sz w:val="17"/>
                <w:szCs w:val="17"/>
                <w:color w:val="auto"/>
              </w:rPr>
            </w:pPr>
          </w:p>
        </w:tc>
        <w:tc>
          <w:tcPr>
            <w:tcW w:w="240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0"/>
              </w:rPr>
              <w:t>Scheduling</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111,866</w:t>
            </w: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1,734,878</w:t>
            </w:r>
          </w:p>
        </w:tc>
        <w:tc>
          <w:tcPr>
            <w:tcW w:w="140" w:type="dxa"/>
            <w:vAlign w:val="bottom"/>
            <w:tcBorders>
              <w:left w:val="single" w:sz="8" w:color="CCFFCC"/>
            </w:tcBorders>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1,733,923</w:t>
            </w:r>
          </w:p>
        </w:tc>
        <w:tc>
          <w:tcPr>
            <w:tcW w:w="84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0.70%</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4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5,298,056</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4,833,923</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1.95%</w:t>
            </w:r>
          </w:p>
        </w:tc>
      </w:tr>
      <w:tr>
        <w:trPr>
          <w:trHeight w:val="156"/>
        </w:trPr>
        <w:tc>
          <w:tcPr>
            <w:tcW w:w="210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Bloom Energy Corporation</w:t>
            </w:r>
          </w:p>
        </w:tc>
        <w:tc>
          <w:tcPr>
            <w:tcW w:w="100" w:type="dxa"/>
            <w:vAlign w:val="bottom"/>
            <w:shd w:val="clear" w:color="auto" w:fill="CCFFCC"/>
          </w:tcPr>
          <w:p>
            <w:pPr>
              <w:spacing w:after="0"/>
              <w:rPr>
                <w:sz w:val="13"/>
                <w:szCs w:val="13"/>
                <w:color w:val="auto"/>
              </w:rPr>
            </w:pPr>
          </w:p>
        </w:tc>
        <w:tc>
          <w:tcPr>
            <w:tcW w:w="240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4"/>
              </w:rPr>
              <w:t>Sunnyvale, CA</w:t>
            </w:r>
          </w:p>
        </w:tc>
        <w:tc>
          <w:tcPr>
            <w:tcW w:w="100" w:type="dxa"/>
            <w:vAlign w:val="bottom"/>
            <w:shd w:val="clear" w:color="auto" w:fill="CCFFCC"/>
          </w:tcPr>
          <w:p>
            <w:pPr>
              <w:spacing w:after="0"/>
              <w:rPr>
                <w:sz w:val="13"/>
                <w:szCs w:val="13"/>
                <w:color w:val="auto"/>
              </w:rPr>
            </w:pPr>
          </w:p>
        </w:tc>
        <w:tc>
          <w:tcPr>
            <w:tcW w:w="8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78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440" w:type="dxa"/>
            <w:vAlign w:val="bottom"/>
            <w:tcBorders>
              <w:top w:val="single" w:sz="8" w:color="auto"/>
            </w:tcBorders>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10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92"/>
              </w:rPr>
              <w:t>Fuel Cell Energy</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201,589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3,855,601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4,008,093</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1.61%</w:t>
            </w:r>
          </w:p>
        </w:tc>
      </w:tr>
      <w:tr>
        <w:trPr>
          <w:trHeight w:val="162"/>
        </w:trPr>
        <w:tc>
          <w:tcPr>
            <w:tcW w:w="2100" w:type="dxa"/>
            <w:vAlign w:val="bottom"/>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Gilt Groupe, Inc.</w:t>
            </w:r>
          </w:p>
        </w:tc>
        <w:tc>
          <w:tcPr>
            <w:tcW w:w="100" w:type="dxa"/>
            <w:vAlign w:val="bottom"/>
            <w:shd w:val="clear" w:color="auto" w:fill="CCFFCC"/>
          </w:tcPr>
          <w:p>
            <w:pPr>
              <w:spacing w:after="0"/>
              <w:rPr>
                <w:sz w:val="14"/>
                <w:szCs w:val="14"/>
                <w:color w:val="auto"/>
              </w:rPr>
            </w:pPr>
          </w:p>
        </w:tc>
        <w:tc>
          <w:tcPr>
            <w:tcW w:w="240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7"/>
              </w:rPr>
              <w:t>New York, NY</w:t>
            </w: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10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88"/>
              </w:rPr>
              <w:t>e-Commerce Flash Sales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248,600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6,594,433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3,841,793</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1.55%</w:t>
            </w:r>
          </w:p>
        </w:tc>
      </w:tr>
      <w:tr>
        <w:trPr>
          <w:trHeight w:val="203"/>
        </w:trPr>
        <w:tc>
          <w:tcPr>
            <w:tcW w:w="2100" w:type="dxa"/>
            <w:vAlign w:val="bottom"/>
            <w:gridSpan w:val="17"/>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Spotify Technology S.A.</w:t>
            </w:r>
            <w:r>
              <w:rPr>
                <w:rFonts w:ascii="Arial" w:cs="Arial" w:eastAsia="Arial" w:hAnsi="Arial"/>
                <w:sz w:val="23"/>
                <w:szCs w:val="23"/>
                <w:b w:val="1"/>
                <w:bCs w:val="1"/>
                <w:color w:val="auto"/>
                <w:vertAlign w:val="superscript"/>
              </w:rPr>
              <w:t>(7)</w:t>
            </w:r>
          </w:p>
        </w:tc>
        <w:tc>
          <w:tcPr>
            <w:tcW w:w="100" w:type="dxa"/>
            <w:vAlign w:val="bottom"/>
            <w:shd w:val="clear" w:color="auto" w:fill="CCFFCC"/>
          </w:tcPr>
          <w:p>
            <w:pPr>
              <w:spacing w:after="0"/>
              <w:rPr>
                <w:sz w:val="17"/>
                <w:szCs w:val="17"/>
                <w:color w:val="auto"/>
              </w:rPr>
            </w:pPr>
          </w:p>
        </w:tc>
        <w:tc>
          <w:tcPr>
            <w:tcW w:w="240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Stockholm, Sweden</w:t>
            </w:r>
          </w:p>
        </w:tc>
        <w:tc>
          <w:tcPr>
            <w:tcW w:w="1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10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92"/>
              </w:rPr>
              <w:t>Music Streaming Service</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3,658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3,598,472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3,682,927</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1.48%</w:t>
            </w:r>
          </w:p>
        </w:tc>
      </w:tr>
      <w:tr>
        <w:trPr>
          <w:trHeight w:val="203"/>
        </w:trPr>
        <w:tc>
          <w:tcPr>
            <w:tcW w:w="2100" w:type="dxa"/>
            <w:vAlign w:val="bottom"/>
            <w:gridSpan w:val="17"/>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3"/>
                <w:szCs w:val="23"/>
                <w:b w:val="1"/>
                <w:bCs w:val="1"/>
                <w:color w:val="auto"/>
                <w:vertAlign w:val="superscript"/>
              </w:rPr>
              <w:t>(2)(5)</w:t>
            </w:r>
          </w:p>
        </w:tc>
        <w:tc>
          <w:tcPr>
            <w:tcW w:w="100" w:type="dxa"/>
            <w:vAlign w:val="bottom"/>
            <w:shd w:val="clear" w:color="auto" w:fill="CCFFCC"/>
          </w:tcPr>
          <w:p>
            <w:pPr>
              <w:spacing w:after="0"/>
              <w:rPr>
                <w:sz w:val="17"/>
                <w:szCs w:val="17"/>
                <w:color w:val="auto"/>
              </w:rPr>
            </w:pPr>
          </w:p>
        </w:tc>
        <w:tc>
          <w:tcPr>
            <w:tcW w:w="240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Scottsdale, AZ</w:t>
            </w:r>
          </w:p>
        </w:tc>
        <w:tc>
          <w:tcPr>
            <w:tcW w:w="1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10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93"/>
              </w:rPr>
              <w:t>Interactive Learning Platform</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3,279,629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2,019,687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3,667,495</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1.48%</w:t>
            </w:r>
          </w:p>
        </w:tc>
      </w:tr>
      <w:tr>
        <w:trPr>
          <w:trHeight w:val="162"/>
        </w:trPr>
        <w:tc>
          <w:tcPr>
            <w:tcW w:w="2100" w:type="dxa"/>
            <w:vAlign w:val="bottom"/>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Learnist Inc, (f/k/a Grockit,</w:t>
            </w:r>
          </w:p>
        </w:tc>
        <w:tc>
          <w:tcPr>
            <w:tcW w:w="100" w:type="dxa"/>
            <w:vAlign w:val="bottom"/>
            <w:shd w:val="clear" w:color="auto" w:fill="CCFFCC"/>
          </w:tcPr>
          <w:p>
            <w:pPr>
              <w:spacing w:after="0"/>
              <w:rPr>
                <w:sz w:val="14"/>
                <w:szCs w:val="14"/>
                <w:color w:val="auto"/>
              </w:rPr>
            </w:pPr>
          </w:p>
        </w:tc>
        <w:tc>
          <w:tcPr>
            <w:tcW w:w="240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1"/>
              </w:rPr>
              <w:t>San Francisco, CA</w:t>
            </w: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920" w:type="dxa"/>
            <w:vAlign w:val="bottom"/>
            <w:tcBorders>
              <w:top w:val="single" w:sz="8" w:color="auto"/>
            </w:tcBorders>
            <w:gridSpan w:val="15"/>
            <w:shd w:val="clear" w:color="auto" w:fill="CCFFCC"/>
          </w:tcPr>
          <w:p>
            <w:pPr>
              <w:ind w:left="180"/>
              <w:spacing w:after="0" w:line="223" w:lineRule="exact"/>
              <w:rPr>
                <w:sz w:val="20"/>
                <w:szCs w:val="20"/>
                <w:color w:val="auto"/>
              </w:rPr>
            </w:pPr>
            <w:r>
              <w:rPr>
                <w:rFonts w:ascii="Arial" w:cs="Arial" w:eastAsia="Arial" w:hAnsi="Arial"/>
                <w:sz w:val="25"/>
                <w:szCs w:val="25"/>
                <w:b w:val="1"/>
                <w:bCs w:val="1"/>
                <w:color w:val="auto"/>
                <w:vertAlign w:val="subscript"/>
              </w:rPr>
              <w:t>Inc.)</w:t>
            </w:r>
            <w:r>
              <w:rPr>
                <w:rFonts w:ascii="Arial" w:cs="Arial" w:eastAsia="Arial" w:hAnsi="Arial"/>
                <w:sz w:val="12"/>
                <w:szCs w:val="12"/>
                <w:b w:val="1"/>
                <w:bCs w:val="1"/>
                <w:color w:val="auto"/>
              </w:rPr>
              <w:t>(2)(10)</w:t>
            </w:r>
          </w:p>
        </w:tc>
        <w:tc>
          <w:tcPr>
            <w:tcW w:w="16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240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8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80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CCFFCC"/>
              <w:left w:val="single" w:sz="8" w:color="CCFFCC"/>
            </w:tcBorders>
            <w:shd w:val="clear" w:color="auto" w:fill="CCFFCC"/>
          </w:tcPr>
          <w:p>
            <w:pPr>
              <w:spacing w:after="0"/>
              <w:rPr>
                <w:sz w:val="19"/>
                <w:szCs w:val="19"/>
                <w:color w:val="auto"/>
              </w:rPr>
            </w:pPr>
          </w:p>
        </w:tc>
        <w:tc>
          <w:tcPr>
            <w:tcW w:w="78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CCFFCC"/>
              <w:left w:val="single" w:sz="8" w:color="CCFFCC"/>
            </w:tcBorders>
            <w:shd w:val="clear" w:color="auto" w:fill="CCFFCC"/>
          </w:tcPr>
          <w:p>
            <w:pPr>
              <w:spacing w:after="0"/>
              <w:rPr>
                <w:sz w:val="19"/>
                <w:szCs w:val="19"/>
                <w:color w:val="auto"/>
              </w:rPr>
            </w:pPr>
          </w:p>
        </w:tc>
        <w:tc>
          <w:tcPr>
            <w:tcW w:w="4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10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D</w:t>
            </w: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91"/>
              </w:rPr>
              <w:t>Online Test Preparation</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2,728,252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2,005,945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2,018,906</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0.82%</w:t>
            </w:r>
          </w:p>
        </w:tc>
      </w:tr>
      <w:tr>
        <w:trPr>
          <w:trHeight w:val="203"/>
        </w:trPr>
        <w:tc>
          <w:tcPr>
            <w:tcW w:w="210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E</w:t>
            </w:r>
          </w:p>
        </w:tc>
        <w:tc>
          <w:tcPr>
            <w:tcW w:w="100" w:type="dxa"/>
            <w:vAlign w:val="bottom"/>
            <w:shd w:val="clear" w:color="auto" w:fill="CCFFCC"/>
          </w:tcPr>
          <w:p>
            <w:pPr>
              <w:spacing w:after="0"/>
              <w:rPr>
                <w:sz w:val="17"/>
                <w:szCs w:val="17"/>
                <w:color w:val="auto"/>
              </w:rPr>
            </w:pPr>
          </w:p>
        </w:tc>
        <w:tc>
          <w:tcPr>
            <w:tcW w:w="240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1,731,501</w:t>
            </w: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1,503,670</w:t>
            </w:r>
          </w:p>
        </w:tc>
        <w:tc>
          <w:tcPr>
            <w:tcW w:w="140" w:type="dxa"/>
            <w:vAlign w:val="bottom"/>
            <w:tcBorders>
              <w:left w:val="single" w:sz="8" w:color="CCFFCC"/>
            </w:tcBorders>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1,427,558</w:t>
            </w:r>
          </w:p>
        </w:tc>
        <w:tc>
          <w:tcPr>
            <w:tcW w:w="84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0.57%</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4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3,509,615</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3,446,464</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1.39%</w:t>
            </w:r>
          </w:p>
        </w:tc>
      </w:tr>
      <w:tr>
        <w:trPr>
          <w:trHeight w:val="196"/>
        </w:trPr>
        <w:tc>
          <w:tcPr>
            <w:tcW w:w="2100" w:type="dxa"/>
            <w:vAlign w:val="bottom"/>
            <w:gridSpan w:val="17"/>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2"/>
                <w:szCs w:val="22"/>
                <w:b w:val="1"/>
                <w:bCs w:val="1"/>
                <w:color w:val="auto"/>
                <w:vertAlign w:val="superscript"/>
              </w:rPr>
              <w:t>(2)</w:t>
            </w:r>
          </w:p>
        </w:tc>
        <w:tc>
          <w:tcPr>
            <w:tcW w:w="100" w:type="dxa"/>
            <w:vAlign w:val="bottom"/>
            <w:shd w:val="clear" w:color="auto" w:fill="CCFFCC"/>
          </w:tcPr>
          <w:p>
            <w:pPr>
              <w:spacing w:after="0"/>
              <w:rPr>
                <w:sz w:val="17"/>
                <w:szCs w:val="17"/>
                <w:color w:val="auto"/>
              </w:rPr>
            </w:pPr>
          </w:p>
        </w:tc>
        <w:tc>
          <w:tcPr>
            <w:tcW w:w="240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Cambridge, MA</w:t>
            </w:r>
          </w:p>
        </w:tc>
        <w:tc>
          <w:tcPr>
            <w:tcW w:w="1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780" w:type="dxa"/>
            <w:vAlign w:val="bottom"/>
            <w:tcBorders>
              <w:top w:val="single" w:sz="8" w:color="auto"/>
            </w:tcBorders>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10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C</w:t>
            </w: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91"/>
              </w:rPr>
              <w:t>Business Education</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1,728,724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3,260,465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3,289,115</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1.32%</w:t>
            </w:r>
          </w:p>
        </w:tc>
      </w:tr>
      <w:tr>
        <w:trPr>
          <w:trHeight w:val="203"/>
        </w:trPr>
        <w:tc>
          <w:tcPr>
            <w:tcW w:w="210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Warrants</w:t>
            </w:r>
          </w:p>
        </w:tc>
        <w:tc>
          <w:tcPr>
            <w:tcW w:w="100" w:type="dxa"/>
            <w:vAlign w:val="bottom"/>
            <w:shd w:val="clear" w:color="auto" w:fill="CCFFCC"/>
          </w:tcPr>
          <w:p>
            <w:pPr>
              <w:spacing w:after="0"/>
              <w:rPr>
                <w:sz w:val="17"/>
                <w:szCs w:val="17"/>
                <w:color w:val="auto"/>
              </w:rPr>
            </w:pPr>
          </w:p>
        </w:tc>
        <w:tc>
          <w:tcPr>
            <w:tcW w:w="240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186,170</w:t>
            </w: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FFCC"/>
            </w:tcBorders>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FFCC"/>
            </w:tcBorders>
            <w:shd w:val="clear" w:color="auto" w:fill="CCFFCC"/>
          </w:tcPr>
          <w:p>
            <w:pPr>
              <w:spacing w:after="0"/>
              <w:rPr>
                <w:sz w:val="17"/>
                <w:szCs w:val="17"/>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4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3,260,465</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3,289,115</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1.32%</w:t>
            </w:r>
          </w:p>
        </w:tc>
      </w:tr>
      <w:tr>
        <w:trPr>
          <w:trHeight w:val="196"/>
        </w:trPr>
        <w:tc>
          <w:tcPr>
            <w:tcW w:w="2100" w:type="dxa"/>
            <w:vAlign w:val="bottom"/>
            <w:gridSpan w:val="17"/>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CUX, Inc. (d/b/a CorpU)</w:t>
            </w:r>
            <w:r>
              <w:rPr>
                <w:rFonts w:ascii="Arial" w:cs="Arial" w:eastAsia="Arial" w:hAnsi="Arial"/>
                <w:sz w:val="22"/>
                <w:szCs w:val="22"/>
                <w:b w:val="1"/>
                <w:bCs w:val="1"/>
                <w:color w:val="auto"/>
                <w:vertAlign w:val="superscript"/>
              </w:rPr>
              <w:t>(1)(2)</w:t>
            </w:r>
          </w:p>
        </w:tc>
        <w:tc>
          <w:tcPr>
            <w:tcW w:w="100" w:type="dxa"/>
            <w:vAlign w:val="bottom"/>
            <w:shd w:val="clear" w:color="auto" w:fill="CCFFCC"/>
          </w:tcPr>
          <w:p>
            <w:pPr>
              <w:spacing w:after="0"/>
              <w:rPr>
                <w:sz w:val="17"/>
                <w:szCs w:val="17"/>
                <w:color w:val="auto"/>
              </w:rPr>
            </w:pPr>
          </w:p>
        </w:tc>
        <w:tc>
          <w:tcPr>
            <w:tcW w:w="240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1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780" w:type="dxa"/>
            <w:vAlign w:val="bottom"/>
            <w:tcBorders>
              <w:top w:val="single" w:sz="8" w:color="auto"/>
            </w:tcBorders>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100" w:type="dxa"/>
            <w:vAlign w:val="bottom"/>
            <w:gridSpan w:val="17"/>
          </w:tcPr>
          <w:p>
            <w:pPr>
              <w:ind w:left="20"/>
              <w:spacing w:after="0"/>
              <w:rPr>
                <w:sz w:val="20"/>
                <w:szCs w:val="20"/>
                <w:color w:val="auto"/>
              </w:rPr>
            </w:pPr>
            <w:r>
              <w:rPr>
                <w:rFonts w:ascii="Arial" w:cs="Arial" w:eastAsia="Arial" w:hAnsi="Arial"/>
                <w:sz w:val="16"/>
                <w:szCs w:val="16"/>
                <w:color w:val="auto"/>
              </w:rPr>
              <w:t>Common Stock</w:t>
            </w: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92"/>
              </w:rPr>
              <w:t>Corporate Education</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615,763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2,006,077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2,483,986</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1.00%</w:t>
            </w:r>
          </w:p>
        </w:tc>
      </w:tr>
      <w:tr>
        <w:trPr>
          <w:trHeight w:val="193"/>
        </w:trPr>
        <w:tc>
          <w:tcPr>
            <w:tcW w:w="210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w w:val="99"/>
              </w:rPr>
              <w:t>Convertible preferred shares,</w:t>
            </w:r>
          </w:p>
        </w:tc>
        <w:tc>
          <w:tcPr>
            <w:tcW w:w="100" w:type="dxa"/>
            <w:vAlign w:val="bottom"/>
            <w:shd w:val="clear" w:color="auto" w:fill="CCFFCC"/>
          </w:tcPr>
          <w:p>
            <w:pPr>
              <w:spacing w:after="0"/>
              <w:rPr>
                <w:sz w:val="16"/>
                <w:szCs w:val="16"/>
                <w:color w:val="auto"/>
              </w:rPr>
            </w:pPr>
          </w:p>
        </w:tc>
        <w:tc>
          <w:tcPr>
            <w:tcW w:w="2400" w:type="dxa"/>
            <w:vAlign w:val="bottom"/>
            <w:shd w:val="clear" w:color="auto" w:fill="CCFFCC"/>
          </w:tcPr>
          <w:p>
            <w:pPr>
              <w:spacing w:after="0"/>
              <w:rPr>
                <w:sz w:val="16"/>
                <w:szCs w:val="16"/>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169,033</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778,607</w:t>
            </w:r>
          </w:p>
        </w:tc>
        <w:tc>
          <w:tcPr>
            <w:tcW w:w="9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775,861</w:t>
            </w:r>
          </w:p>
        </w:tc>
        <w:tc>
          <w:tcPr>
            <w:tcW w:w="84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0.31%</w:t>
            </w:r>
          </w:p>
        </w:tc>
      </w:tr>
      <w:tr>
        <w:trPr>
          <w:trHeight w:val="212"/>
        </w:trPr>
        <w:tc>
          <w:tcPr>
            <w:tcW w:w="20" w:type="dxa"/>
            <w:vAlign w:val="bottom"/>
            <w:shd w:val="clear" w:color="auto" w:fill="CCFFCC"/>
          </w:tcPr>
          <w:p>
            <w:pPr>
              <w:spacing w:after="0"/>
              <w:rPr>
                <w:sz w:val="18"/>
                <w:szCs w:val="18"/>
                <w:color w:val="auto"/>
              </w:rPr>
            </w:pPr>
          </w:p>
        </w:tc>
        <w:tc>
          <w:tcPr>
            <w:tcW w:w="2080" w:type="dxa"/>
            <w:vAlign w:val="bottom"/>
            <w:gridSpan w:val="16"/>
            <w:shd w:val="clear" w:color="auto" w:fill="CCFFCC"/>
          </w:tcPr>
          <w:p>
            <w:pPr>
              <w:ind w:left="180"/>
              <w:spacing w:after="0"/>
              <w:rPr>
                <w:sz w:val="20"/>
                <w:szCs w:val="20"/>
                <w:color w:val="auto"/>
              </w:rPr>
            </w:pPr>
            <w:r>
              <w:rPr>
                <w:rFonts w:ascii="Arial" w:cs="Arial" w:eastAsia="Arial" w:hAnsi="Arial"/>
                <w:sz w:val="16"/>
                <w:szCs w:val="16"/>
                <w:color w:val="auto"/>
              </w:rPr>
              <w:t>Series D</w:t>
            </w:r>
          </w:p>
        </w:tc>
        <w:tc>
          <w:tcPr>
            <w:tcW w:w="100" w:type="dxa"/>
            <w:vAlign w:val="bottom"/>
            <w:shd w:val="clear" w:color="auto" w:fill="CCFFCC"/>
          </w:tcPr>
          <w:p>
            <w:pPr>
              <w:spacing w:after="0"/>
              <w:rPr>
                <w:sz w:val="18"/>
                <w:szCs w:val="18"/>
                <w:color w:val="auto"/>
              </w:rPr>
            </w:pPr>
          </w:p>
        </w:tc>
        <w:tc>
          <w:tcPr>
            <w:tcW w:w="24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0" w:type="dxa"/>
            <w:vAlign w:val="bottom"/>
            <w:tcBorders>
              <w:left w:val="single" w:sz="8" w:color="CCFFCC"/>
            </w:tcBorders>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r>
      <w:tr>
        <w:trPr>
          <w:trHeight w:val="203"/>
        </w:trPr>
        <w:tc>
          <w:tcPr>
            <w:tcW w:w="2100" w:type="dxa"/>
            <w:vAlign w:val="bottom"/>
            <w:gridSpan w:val="17"/>
          </w:tcPr>
          <w:p>
            <w:pPr>
              <w:ind w:left="20"/>
              <w:spacing w:after="0"/>
              <w:rPr>
                <w:sz w:val="20"/>
                <w:szCs w:val="20"/>
                <w:color w:val="auto"/>
              </w:rPr>
            </w:pPr>
            <w:r>
              <w:rPr>
                <w:rFonts w:ascii="Arial" w:cs="Arial" w:eastAsia="Arial" w:hAnsi="Arial"/>
                <w:sz w:val="16"/>
                <w:szCs w:val="16"/>
                <w:color w:val="auto"/>
              </w:rPr>
              <w:t>Warrants</w:t>
            </w: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16,903</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080" w:type="dxa"/>
            <w:vAlign w:val="bottom"/>
            <w:gridSpan w:val="16"/>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FFCC"/>
          </w:tcPr>
          <w:p>
            <w:pPr>
              <w:spacing w:after="0"/>
              <w:rPr>
                <w:sz w:val="17"/>
                <w:szCs w:val="17"/>
                <w:color w:val="auto"/>
              </w:rPr>
            </w:pPr>
          </w:p>
        </w:tc>
        <w:tc>
          <w:tcPr>
            <w:tcW w:w="24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2,784,684</w:t>
            </w:r>
          </w:p>
        </w:tc>
        <w:tc>
          <w:tcPr>
            <w:tcW w:w="140" w:type="dxa"/>
            <w:vAlign w:val="bottom"/>
            <w:tcBorders>
              <w:left w:val="single" w:sz="8" w:color="CCFFCC"/>
            </w:tcBorders>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3,259,847</w:t>
            </w:r>
          </w:p>
        </w:tc>
        <w:tc>
          <w:tcPr>
            <w:tcW w:w="84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1.31%</w:t>
            </w:r>
          </w:p>
        </w:tc>
      </w:tr>
      <w:tr>
        <w:trPr>
          <w:trHeight w:val="156"/>
        </w:trPr>
        <w:tc>
          <w:tcPr>
            <w:tcW w:w="2100" w:type="dxa"/>
            <w:vAlign w:val="bottom"/>
            <w:tcBorders>
              <w:top w:val="single" w:sz="8" w:color="CCFFCC"/>
            </w:tcBorders>
            <w:gridSpan w:val="17"/>
          </w:tcPr>
          <w:p>
            <w:pPr>
              <w:ind w:left="20"/>
              <w:spacing w:after="0" w:line="155" w:lineRule="exact"/>
              <w:rPr>
                <w:sz w:val="20"/>
                <w:szCs w:val="20"/>
                <w:color w:val="auto"/>
              </w:rPr>
            </w:pPr>
            <w:r>
              <w:rPr>
                <w:rFonts w:ascii="Arial" w:cs="Arial" w:eastAsia="Arial" w:hAnsi="Arial"/>
                <w:sz w:val="16"/>
                <w:szCs w:val="16"/>
                <w:b w:val="1"/>
                <w:bCs w:val="1"/>
                <w:color w:val="auto"/>
              </w:rPr>
              <w:t>Global Education Learning</w:t>
            </w:r>
          </w:p>
        </w:tc>
        <w:tc>
          <w:tcPr>
            <w:tcW w:w="100" w:type="dxa"/>
            <w:vAlign w:val="bottom"/>
            <w:tcBorders>
              <w:top w:val="single" w:sz="8" w:color="CCFFCC"/>
            </w:tcBorders>
          </w:tcPr>
          <w:p>
            <w:pPr>
              <w:spacing w:after="0"/>
              <w:rPr>
                <w:sz w:val="13"/>
                <w:szCs w:val="13"/>
                <w:color w:val="auto"/>
              </w:rPr>
            </w:pPr>
          </w:p>
        </w:tc>
        <w:tc>
          <w:tcPr>
            <w:tcW w:w="2400" w:type="dxa"/>
            <w:vAlign w:val="bottom"/>
            <w:tcBorders>
              <w:top w:val="single" w:sz="8" w:color="CCFFCC"/>
            </w:tcBorders>
          </w:tcPr>
          <w:p>
            <w:pPr>
              <w:jc w:val="center"/>
              <w:spacing w:after="0" w:line="155" w:lineRule="exact"/>
              <w:rPr>
                <w:sz w:val="20"/>
                <w:szCs w:val="20"/>
                <w:color w:val="auto"/>
              </w:rPr>
            </w:pPr>
            <w:r>
              <w:rPr>
                <w:rFonts w:ascii="Arial" w:cs="Arial" w:eastAsia="Arial" w:hAnsi="Arial"/>
                <w:sz w:val="16"/>
                <w:szCs w:val="16"/>
                <w:color w:val="auto"/>
                <w:w w:val="94"/>
              </w:rPr>
              <w:t>Hong Kong</w:t>
            </w:r>
          </w:p>
        </w:tc>
        <w:tc>
          <w:tcPr>
            <w:tcW w:w="100" w:type="dxa"/>
            <w:vAlign w:val="bottom"/>
            <w:tcBorders>
              <w:top w:val="single" w:sz="8" w:color="CCFFCC"/>
            </w:tcBorders>
          </w:tcPr>
          <w:p>
            <w:pPr>
              <w:spacing w:after="0"/>
              <w:rPr>
                <w:sz w:val="13"/>
                <w:szCs w:val="13"/>
                <w:color w:val="auto"/>
              </w:rPr>
            </w:pPr>
          </w:p>
        </w:tc>
        <w:tc>
          <w:tcPr>
            <w:tcW w:w="880" w:type="dxa"/>
            <w:vAlign w:val="bottom"/>
            <w:tcBorders>
              <w:top w:val="single" w:sz="8" w:color="CCFFCC"/>
            </w:tcBorders>
          </w:tcPr>
          <w:p>
            <w:pPr>
              <w:spacing w:after="0"/>
              <w:rPr>
                <w:sz w:val="13"/>
                <w:szCs w:val="13"/>
                <w:color w:val="auto"/>
              </w:rPr>
            </w:pPr>
          </w:p>
        </w:tc>
        <w:tc>
          <w:tcPr>
            <w:tcW w:w="80" w:type="dxa"/>
            <w:vAlign w:val="bottom"/>
            <w:tcBorders>
              <w:top w:val="single" w:sz="8" w:color="CCFFCC"/>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CCFFCC"/>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Borders>
              <w:top w:val="single" w:sz="8" w:color="CCFFCC"/>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40" w:type="dxa"/>
            <w:vAlign w:val="bottom"/>
            <w:tcBorders>
              <w:top w:val="single" w:sz="8" w:color="CCFFC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900" w:type="dxa"/>
            <w:vAlign w:val="bottom"/>
            <w:tcBorders>
              <w:top w:val="single" w:sz="8" w:color="auto"/>
            </w:tcBorders>
            <w:gridSpan w:val="14"/>
          </w:tcPr>
          <w:p>
            <w:pPr>
              <w:ind w:left="180"/>
              <w:spacing w:after="0" w:line="223" w:lineRule="exact"/>
              <w:rPr>
                <w:sz w:val="20"/>
                <w:szCs w:val="20"/>
                <w:color w:val="auto"/>
              </w:rPr>
            </w:pPr>
            <w:r>
              <w:rPr>
                <w:rFonts w:ascii="Arial" w:cs="Arial" w:eastAsia="Arial" w:hAnsi="Arial"/>
                <w:sz w:val="15"/>
                <w:szCs w:val="15"/>
                <w:b w:val="1"/>
                <w:bCs w:val="1"/>
                <w:color w:val="auto"/>
              </w:rPr>
              <w:t>(Holdings) Ltd.</w:t>
            </w:r>
            <w:r>
              <w:rPr>
                <w:rFonts w:ascii="Arial" w:cs="Arial" w:eastAsia="Arial" w:hAnsi="Arial"/>
                <w:sz w:val="25"/>
                <w:szCs w:val="25"/>
                <w:b w:val="1"/>
                <w:bCs w:val="1"/>
                <w:color w:val="auto"/>
                <w:vertAlign w:val="superscript"/>
              </w:rPr>
              <w:t>(2)(7)</w:t>
            </w:r>
          </w:p>
        </w:tc>
        <w:tc>
          <w:tcPr>
            <w:tcW w:w="1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3"/>
        </w:trPr>
        <w:tc>
          <w:tcPr>
            <w:tcW w:w="210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shd w:val="clear" w:color="auto" w:fill="CCFFCC"/>
          </w:tcPr>
          <w:p>
            <w:pPr>
              <w:spacing w:after="0"/>
              <w:rPr>
                <w:sz w:val="17"/>
                <w:szCs w:val="17"/>
                <w:color w:val="auto"/>
              </w:rPr>
            </w:pPr>
          </w:p>
        </w:tc>
        <w:tc>
          <w:tcPr>
            <w:tcW w:w="240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Education Technology</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1,472,175</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2,999,998</w:t>
            </w:r>
          </w:p>
        </w:tc>
        <w:tc>
          <w:tcPr>
            <w:tcW w:w="9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3,187,140</w:t>
            </w:r>
          </w:p>
        </w:tc>
        <w:tc>
          <w:tcPr>
            <w:tcW w:w="84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1.28%</w:t>
            </w:r>
          </w:p>
        </w:tc>
      </w:tr>
      <w:tr>
        <w:trPr>
          <w:trHeight w:val="162"/>
        </w:trPr>
        <w:tc>
          <w:tcPr>
            <w:tcW w:w="2100" w:type="dxa"/>
            <w:vAlign w:val="bottom"/>
            <w:gridSpan w:val="17"/>
          </w:tcPr>
          <w:p>
            <w:pPr>
              <w:ind w:left="20"/>
              <w:spacing w:after="0" w:line="162" w:lineRule="exact"/>
              <w:rPr>
                <w:sz w:val="20"/>
                <w:szCs w:val="20"/>
                <w:color w:val="auto"/>
              </w:rPr>
            </w:pPr>
            <w:r>
              <w:rPr>
                <w:rFonts w:ascii="Arial" w:cs="Arial" w:eastAsia="Arial" w:hAnsi="Arial"/>
                <w:sz w:val="16"/>
                <w:szCs w:val="16"/>
                <w:b w:val="1"/>
                <w:bCs w:val="1"/>
                <w:color w:val="auto"/>
              </w:rPr>
              <w:t>Parchment, Inc.</w:t>
            </w:r>
          </w:p>
        </w:tc>
        <w:tc>
          <w:tcPr>
            <w:tcW w:w="100" w:type="dxa"/>
            <w:vAlign w:val="bottom"/>
          </w:tcPr>
          <w:p>
            <w:pPr>
              <w:spacing w:after="0"/>
              <w:rPr>
                <w:sz w:val="14"/>
                <w:szCs w:val="14"/>
                <w:color w:val="auto"/>
              </w:rPr>
            </w:pPr>
          </w:p>
        </w:tc>
        <w:tc>
          <w:tcPr>
            <w:tcW w:w="2400" w:type="dxa"/>
            <w:vAlign w:val="bottom"/>
          </w:tcPr>
          <w:p>
            <w:pPr>
              <w:jc w:val="center"/>
              <w:spacing w:after="0" w:line="162" w:lineRule="exact"/>
              <w:rPr>
                <w:sz w:val="20"/>
                <w:szCs w:val="20"/>
                <w:color w:val="auto"/>
              </w:rPr>
            </w:pPr>
            <w:r>
              <w:rPr>
                <w:rFonts w:ascii="Arial" w:cs="Arial" w:eastAsia="Arial" w:hAnsi="Arial"/>
                <w:sz w:val="16"/>
                <w:szCs w:val="16"/>
                <w:color w:val="auto"/>
                <w:w w:val="92"/>
              </w:rPr>
              <w:t>Scottsdale, AZ</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3"/>
        </w:trPr>
        <w:tc>
          <w:tcPr>
            <w:tcW w:w="210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D</w:t>
            </w:r>
          </w:p>
        </w:tc>
        <w:tc>
          <w:tcPr>
            <w:tcW w:w="100" w:type="dxa"/>
            <w:vAlign w:val="bottom"/>
            <w:shd w:val="clear" w:color="auto" w:fill="CCFFCC"/>
          </w:tcPr>
          <w:p>
            <w:pPr>
              <w:spacing w:after="0"/>
              <w:rPr>
                <w:sz w:val="17"/>
                <w:szCs w:val="17"/>
                <w:color w:val="auto"/>
              </w:rPr>
            </w:pPr>
          </w:p>
        </w:tc>
        <w:tc>
          <w:tcPr>
            <w:tcW w:w="240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0"/>
              </w:rPr>
              <w:t>E-Transcript Exchange</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2,400,384</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3,000,000</w:t>
            </w:r>
          </w:p>
        </w:tc>
        <w:tc>
          <w:tcPr>
            <w:tcW w:w="9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3,040,167</w:t>
            </w:r>
          </w:p>
        </w:tc>
        <w:tc>
          <w:tcPr>
            <w:tcW w:w="84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1.22%</w:t>
            </w:r>
          </w:p>
        </w:tc>
      </w:tr>
      <w:tr>
        <w:trPr>
          <w:trHeight w:val="203"/>
        </w:trPr>
        <w:tc>
          <w:tcPr>
            <w:tcW w:w="2100" w:type="dxa"/>
            <w:vAlign w:val="bottom"/>
            <w:gridSpan w:val="17"/>
          </w:tcPr>
          <w:p>
            <w:pPr>
              <w:ind w:left="20"/>
              <w:spacing w:after="0" w:line="202"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(2)(4)</w:t>
            </w: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3"/>
        </w:trPr>
        <w:tc>
          <w:tcPr>
            <w:tcW w:w="210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shd w:val="clear" w:color="auto" w:fill="CCFFCC"/>
          </w:tcPr>
          <w:p>
            <w:pPr>
              <w:spacing w:after="0"/>
              <w:rPr>
                <w:sz w:val="17"/>
                <w:szCs w:val="17"/>
                <w:color w:val="auto"/>
              </w:rPr>
            </w:pPr>
          </w:p>
        </w:tc>
        <w:tc>
          <w:tcPr>
            <w:tcW w:w="240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3"/>
              </w:rPr>
              <w:t>Globally-focused Private School</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3,000,000</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3,000,000</w:t>
            </w:r>
          </w:p>
        </w:tc>
        <w:tc>
          <w:tcPr>
            <w:tcW w:w="9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3,000,000</w:t>
            </w:r>
          </w:p>
        </w:tc>
        <w:tc>
          <w:tcPr>
            <w:tcW w:w="84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1.21%</w:t>
            </w:r>
          </w:p>
        </w:tc>
      </w:tr>
      <w:tr>
        <w:trPr>
          <w:trHeight w:val="162"/>
        </w:trPr>
        <w:tc>
          <w:tcPr>
            <w:tcW w:w="2100" w:type="dxa"/>
            <w:vAlign w:val="bottom"/>
            <w:gridSpan w:val="17"/>
          </w:tcPr>
          <w:p>
            <w:pPr>
              <w:ind w:left="20"/>
              <w:spacing w:after="0" w:line="162" w:lineRule="exact"/>
              <w:rPr>
                <w:sz w:val="20"/>
                <w:szCs w:val="20"/>
                <w:color w:val="auto"/>
              </w:rPr>
            </w:pPr>
            <w:r>
              <w:rPr>
                <w:rFonts w:ascii="Arial" w:cs="Arial" w:eastAsia="Arial" w:hAnsi="Arial"/>
                <w:sz w:val="16"/>
                <w:szCs w:val="16"/>
                <w:b w:val="1"/>
                <w:bCs w:val="1"/>
                <w:color w:val="auto"/>
              </w:rPr>
              <w:t>Dataminr, Inc.</w:t>
            </w:r>
          </w:p>
        </w:tc>
        <w:tc>
          <w:tcPr>
            <w:tcW w:w="100" w:type="dxa"/>
            <w:vAlign w:val="bottom"/>
          </w:tcPr>
          <w:p>
            <w:pPr>
              <w:spacing w:after="0"/>
              <w:rPr>
                <w:sz w:val="14"/>
                <w:szCs w:val="14"/>
                <w:color w:val="auto"/>
              </w:rPr>
            </w:pPr>
          </w:p>
        </w:tc>
        <w:tc>
          <w:tcPr>
            <w:tcW w:w="2400" w:type="dxa"/>
            <w:vAlign w:val="bottom"/>
          </w:tcPr>
          <w:p>
            <w:pPr>
              <w:jc w:val="center"/>
              <w:spacing w:after="0" w:line="162" w:lineRule="exact"/>
              <w:rPr>
                <w:sz w:val="20"/>
                <w:szCs w:val="20"/>
                <w:color w:val="auto"/>
              </w:rPr>
            </w:pPr>
            <w:r>
              <w:rPr>
                <w:rFonts w:ascii="Arial" w:cs="Arial" w:eastAsia="Arial" w:hAnsi="Arial"/>
                <w:sz w:val="16"/>
                <w:szCs w:val="16"/>
                <w:color w:val="auto"/>
                <w:w w:val="97"/>
              </w:rPr>
              <w:t>New York, NY</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3"/>
        </w:trPr>
        <w:tc>
          <w:tcPr>
            <w:tcW w:w="210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shd w:val="clear" w:color="auto" w:fill="CCFFCC"/>
          </w:tcPr>
          <w:p>
            <w:pPr>
              <w:spacing w:after="0"/>
              <w:rPr>
                <w:sz w:val="17"/>
                <w:szCs w:val="17"/>
                <w:color w:val="auto"/>
              </w:rPr>
            </w:pPr>
          </w:p>
        </w:tc>
        <w:tc>
          <w:tcPr>
            <w:tcW w:w="240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Social Media Analytics</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904,977</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2,063,356</w:t>
            </w:r>
          </w:p>
        </w:tc>
        <w:tc>
          <w:tcPr>
            <w:tcW w:w="9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2,972,849</w:t>
            </w:r>
          </w:p>
        </w:tc>
        <w:tc>
          <w:tcPr>
            <w:tcW w:w="84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1.20%</w:t>
            </w:r>
          </w:p>
        </w:tc>
      </w:tr>
      <w:tr>
        <w:trPr>
          <w:trHeight w:val="203"/>
        </w:trPr>
        <w:tc>
          <w:tcPr>
            <w:tcW w:w="2100" w:type="dxa"/>
            <w:vAlign w:val="bottom"/>
            <w:gridSpan w:val="17"/>
          </w:tcPr>
          <w:p>
            <w:pPr>
              <w:ind w:left="20"/>
              <w:spacing w:after="0" w:line="202"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3"/>
                <w:szCs w:val="23"/>
                <w:b w:val="1"/>
                <w:bCs w:val="1"/>
                <w:color w:val="auto"/>
                <w:vertAlign w:val="superscript"/>
              </w:rPr>
              <w:t>(2)</w:t>
            </w: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97"/>
              </w:rPr>
              <w:t>Carrollton, TX</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3"/>
        </w:trPr>
        <w:tc>
          <w:tcPr>
            <w:tcW w:w="210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shd w:val="clear" w:color="auto" w:fill="CCFFCC"/>
          </w:tcPr>
          <w:p>
            <w:pPr>
              <w:spacing w:after="0"/>
              <w:rPr>
                <w:sz w:val="17"/>
                <w:szCs w:val="17"/>
                <w:color w:val="auto"/>
              </w:rPr>
            </w:pPr>
          </w:p>
        </w:tc>
        <w:tc>
          <w:tcPr>
            <w:tcW w:w="2400" w:type="dxa"/>
            <w:vAlign w:val="bottom"/>
            <w:shd w:val="clear" w:color="auto" w:fill="CCFFCC"/>
          </w:tcPr>
          <w:p>
            <w:pPr>
              <w:jc w:val="center"/>
              <w:spacing w:after="0"/>
              <w:rPr>
                <w:sz w:val="20"/>
                <w:szCs w:val="20"/>
                <w:color w:val="auto"/>
              </w:rPr>
            </w:pPr>
            <w:r>
              <w:rPr>
                <w:rFonts w:ascii="Arial" w:cs="Arial" w:eastAsia="Arial" w:hAnsi="Arial"/>
                <w:sz w:val="16"/>
                <w:szCs w:val="16"/>
                <w:color w:val="auto"/>
              </w:rPr>
              <w:t>LED Lighting</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20,000,000</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5,023,748</w:t>
            </w:r>
          </w:p>
        </w:tc>
        <w:tc>
          <w:tcPr>
            <w:tcW w:w="9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2,586,345</w:t>
            </w:r>
          </w:p>
        </w:tc>
        <w:tc>
          <w:tcPr>
            <w:tcW w:w="84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-4775835</wp:posOffset>
            </wp:positionV>
            <wp:extent cx="521398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-3009265</wp:posOffset>
            </wp:positionV>
            <wp:extent cx="521398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-2451735</wp:posOffset>
            </wp:positionV>
            <wp:extent cx="521398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-1499870</wp:posOffset>
            </wp:positionV>
            <wp:extent cx="5213985"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29146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1960" w:type="dxa"/>
            <w:vAlign w:val="bottom"/>
            <w:gridSpan w:val="19"/>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Shares/Capital</w:t>
            </w:r>
          </w:p>
        </w:tc>
        <w:tc>
          <w:tcPr>
            <w:tcW w:w="100" w:type="dxa"/>
            <w:vAlign w:val="bottom"/>
          </w:tcPr>
          <w:p>
            <w:pPr>
              <w:spacing w:after="0"/>
              <w:rPr>
                <w:sz w:val="12"/>
                <w:szCs w:val="12"/>
                <w:color w:val="auto"/>
              </w:rPr>
            </w:pPr>
          </w:p>
        </w:tc>
        <w:tc>
          <w:tcPr>
            <w:tcW w:w="880" w:type="dxa"/>
            <w:vAlign w:val="bottom"/>
          </w:tcPr>
          <w:p>
            <w:pPr>
              <w:jc w:val="right"/>
              <w:ind w:right="221"/>
              <w:spacing w:after="0" w:line="149" w:lineRule="exact"/>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880" w:type="dxa"/>
            <w:vAlign w:val="bottom"/>
          </w:tcPr>
          <w:p>
            <w:pPr>
              <w:jc w:val="right"/>
              <w:ind w:right="43"/>
              <w:spacing w:after="0" w:line="149"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Contribution</w:t>
            </w: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r>
      <w:tr>
        <w:trPr>
          <w:trHeight w:val="196"/>
        </w:trPr>
        <w:tc>
          <w:tcPr>
            <w:tcW w:w="1960" w:type="dxa"/>
            <w:vAlign w:val="bottom"/>
            <w:gridSpan w:val="19"/>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Dailybreak,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6"/>
              </w:rPr>
              <w:t>Boston, MA</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w w:val="94"/>
              </w:rPr>
              <w:t>Preferred shares, Series A-1</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Social Advertising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1,878,129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$ 2,430,950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$ 2,422,788</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0.97%</w:t>
            </w:r>
          </w:p>
        </w:tc>
      </w:tr>
      <w:tr>
        <w:trPr>
          <w:trHeight w:val="162"/>
        </w:trPr>
        <w:tc>
          <w:tcPr>
            <w:tcW w:w="196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SharesPost,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3"/>
              </w:rPr>
              <w:t>San Bruno, CA</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Online Marketplace (Finance)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1,771,653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2,258,328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2,232,283</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0.90%</w:t>
            </w:r>
          </w:p>
        </w:tc>
      </w:tr>
      <w:tr>
        <w:trPr>
          <w:trHeight w:val="193"/>
        </w:trPr>
        <w:tc>
          <w:tcPr>
            <w:tcW w:w="1960" w:type="dxa"/>
            <w:vAlign w:val="bottom"/>
            <w:gridSpan w:val="19"/>
            <w:shd w:val="clear" w:color="auto" w:fill="CCFFCC"/>
          </w:tcPr>
          <w:p>
            <w:pPr>
              <w:ind w:left="20"/>
              <w:spacing w:after="0"/>
              <w:rPr>
                <w:sz w:val="20"/>
                <w:szCs w:val="20"/>
                <w:color w:val="auto"/>
              </w:rPr>
            </w:pPr>
            <w:r>
              <w:rPr>
                <w:rFonts w:ascii="Arial" w:cs="Arial" w:eastAsia="Arial" w:hAnsi="Arial"/>
                <w:sz w:val="16"/>
                <w:szCs w:val="16"/>
                <w:color w:val="auto"/>
              </w:rPr>
              <w:t>Common warrants, $0.13</w:t>
            </w:r>
          </w:p>
        </w:tc>
        <w:tc>
          <w:tcPr>
            <w:tcW w:w="80" w:type="dxa"/>
            <w:vAlign w:val="bottom"/>
            <w:shd w:val="clear" w:color="auto" w:fill="CCFFCC"/>
          </w:tcPr>
          <w:p>
            <w:pPr>
              <w:spacing w:after="0"/>
              <w:rPr>
                <w:sz w:val="16"/>
                <w:szCs w:val="16"/>
                <w:color w:val="auto"/>
              </w:rPr>
            </w:pPr>
          </w:p>
        </w:tc>
        <w:tc>
          <w:tcPr>
            <w:tcW w:w="24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770,934</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23,128</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138,768</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0.06%</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8"/>
            <w:shd w:val="clear" w:color="auto" w:fill="CCFFCC"/>
          </w:tcPr>
          <w:p>
            <w:pPr>
              <w:ind w:left="180"/>
              <w:spacing w:after="0"/>
              <w:rPr>
                <w:sz w:val="20"/>
                <w:szCs w:val="20"/>
                <w:color w:val="auto"/>
              </w:rPr>
            </w:pPr>
            <w:r>
              <w:rPr>
                <w:rFonts w:ascii="Arial" w:cs="Arial" w:eastAsia="Arial" w:hAnsi="Arial"/>
                <w:sz w:val="16"/>
                <w:szCs w:val="16"/>
                <w:color w:val="auto"/>
              </w:rPr>
              <w:t>strike price, expire</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09"/>
        </w:trPr>
        <w:tc>
          <w:tcPr>
            <w:tcW w:w="860" w:type="dxa"/>
            <w:vAlign w:val="bottom"/>
            <w:tcBorders>
              <w:bottom w:val="single" w:sz="8" w:color="CCFFCC"/>
            </w:tcBorders>
            <w:gridSpan w:val="7"/>
            <w:shd w:val="clear" w:color="auto" w:fill="CCFFCC"/>
          </w:tcPr>
          <w:p>
            <w:pPr>
              <w:ind w:left="200"/>
              <w:spacing w:after="0"/>
              <w:rPr>
                <w:sz w:val="20"/>
                <w:szCs w:val="20"/>
                <w:color w:val="auto"/>
              </w:rPr>
            </w:pPr>
            <w:r>
              <w:rPr>
                <w:rFonts w:ascii="Arial" w:cs="Arial" w:eastAsia="Arial" w:hAnsi="Arial"/>
                <w:sz w:val="16"/>
                <w:szCs w:val="16"/>
                <w:color w:val="auto"/>
                <w:w w:val="89"/>
              </w:rPr>
              <w:t>6/15/2018</w:t>
            </w:r>
          </w:p>
        </w:tc>
        <w:tc>
          <w:tcPr>
            <w:tcW w:w="8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940" w:type="dxa"/>
            <w:vAlign w:val="bottom"/>
            <w:gridSpan w:val="18"/>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2,281,456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2,371,051</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0.96%</w:t>
            </w:r>
          </w:p>
        </w:tc>
      </w:tr>
      <w:tr>
        <w:trPr>
          <w:trHeight w:val="156"/>
        </w:trPr>
        <w:tc>
          <w:tcPr>
            <w:tcW w:w="1960" w:type="dxa"/>
            <w:vAlign w:val="bottom"/>
            <w:gridSpan w:val="19"/>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Silver Spring Networks,</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40" w:type="dxa"/>
            <w:vAlign w:val="bottom"/>
            <w:tcBorders>
              <w:top w:val="single" w:sz="8" w:color="auto"/>
            </w:tcBorders>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660" w:type="dxa"/>
            <w:vAlign w:val="bottom"/>
            <w:tcBorders>
              <w:top w:val="single" w:sz="8" w:color="auto"/>
            </w:tcBorders>
            <w:gridSpan w:val="16"/>
            <w:shd w:val="clear" w:color="auto" w:fill="CCFFCC"/>
          </w:tcPr>
          <w:p>
            <w:pPr>
              <w:ind w:left="180"/>
              <w:spacing w:after="0" w:line="223" w:lineRule="exact"/>
              <w:rPr>
                <w:sz w:val="20"/>
                <w:szCs w:val="20"/>
                <w:color w:val="auto"/>
              </w:rPr>
            </w:pPr>
            <w:r>
              <w:rPr>
                <w:rFonts w:ascii="Arial" w:cs="Arial" w:eastAsia="Arial" w:hAnsi="Arial"/>
                <w:sz w:val="15"/>
                <w:szCs w:val="15"/>
                <w:b w:val="1"/>
                <w:bCs w:val="1"/>
                <w:color w:val="auto"/>
              </w:rPr>
              <w:t>Inc.</w:t>
            </w:r>
            <w:r>
              <w:rPr>
                <w:rFonts w:ascii="Arial" w:cs="Arial" w:eastAsia="Arial" w:hAnsi="Arial"/>
                <w:sz w:val="25"/>
                <w:szCs w:val="25"/>
                <w:b w:val="1"/>
                <w:bCs w:val="1"/>
                <w:color w:val="auto"/>
                <w:vertAlign w:val="superscript"/>
              </w:rPr>
              <w:t>(8)</w:t>
            </w:r>
          </w:p>
        </w:tc>
        <w:tc>
          <w:tcPr>
            <w:tcW w:w="280" w:type="dxa"/>
            <w:vAlign w:val="bottom"/>
            <w:tcBorders>
              <w:top w:val="single" w:sz="8" w:color="CCFFCC"/>
            </w:tcBorders>
            <w:gridSpan w:val="2"/>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CCFFCC"/>
            </w:tcBorders>
            <w:shd w:val="clear" w:color="auto" w:fill="CCFFCC"/>
          </w:tcPr>
          <w:p>
            <w:pPr>
              <w:spacing w:after="0"/>
              <w:rPr>
                <w:sz w:val="19"/>
                <w:szCs w:val="19"/>
                <w:color w:val="auto"/>
              </w:rPr>
            </w:pPr>
          </w:p>
        </w:tc>
        <w:tc>
          <w:tcPr>
            <w:tcW w:w="76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80" w:type="dxa"/>
            <w:vAlign w:val="bottom"/>
            <w:tcBorders>
              <w:top w:val="single" w:sz="8" w:color="CCFFCC"/>
              <w:right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80" w:type="dxa"/>
            <w:vAlign w:val="bottom"/>
            <w:tcBorders>
              <w:top w:val="single" w:sz="8" w:color="CCFFCC"/>
              <w:right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4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Smart Grid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102,028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5,145,271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2,366,472</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0.95%</w:t>
            </w:r>
          </w:p>
        </w:tc>
      </w:tr>
      <w:tr>
        <w:trPr>
          <w:trHeight w:val="162"/>
        </w:trPr>
        <w:tc>
          <w:tcPr>
            <w:tcW w:w="196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TrueCar,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3"/>
              </w:rPr>
              <w:t>Santa Monica, CA</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Online Marketplace (Cars)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377,358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2,014,863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2,305,338</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0.93%</w:t>
            </w:r>
          </w:p>
        </w:tc>
      </w:tr>
      <w:tr>
        <w:trPr>
          <w:trHeight w:val="203"/>
        </w:trPr>
        <w:tc>
          <w:tcPr>
            <w:tcW w:w="1960" w:type="dxa"/>
            <w:vAlign w:val="bottom"/>
            <w:gridSpan w:val="19"/>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Maven Research, Inc.</w:t>
            </w:r>
            <w:r>
              <w:rPr>
                <w:rFonts w:ascii="Arial" w:cs="Arial" w:eastAsia="Arial" w:hAnsi="Arial"/>
                <w:sz w:val="23"/>
                <w:szCs w:val="23"/>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Knowledge Networks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318,979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1,999,998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1,828,817</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0.74%</w:t>
            </w:r>
          </w:p>
        </w:tc>
      </w:tr>
      <w:tr>
        <w:trPr>
          <w:trHeight w:val="203"/>
        </w:trPr>
        <w:tc>
          <w:tcPr>
            <w:tcW w:w="1960" w:type="dxa"/>
            <w:vAlign w:val="bottom"/>
            <w:gridSpan w:val="19"/>
            <w:shd w:val="clear" w:color="auto" w:fill="CCFFCC"/>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49,505</w:t>
            </w: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217,206</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232,971</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0.09%</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8"/>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2,217,204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2,061,788</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0.83%</w:t>
            </w:r>
          </w:p>
        </w:tc>
      </w:tr>
      <w:tr>
        <w:trPr>
          <w:trHeight w:val="156"/>
        </w:trPr>
        <w:tc>
          <w:tcPr>
            <w:tcW w:w="1960" w:type="dxa"/>
            <w:vAlign w:val="bottom"/>
            <w:gridSpan w:val="19"/>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S3 Digital Corp. (d/b/a</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40" w:type="dxa"/>
            <w:vAlign w:val="bottom"/>
            <w:tcBorders>
              <w:top w:val="single" w:sz="8" w:color="auto"/>
            </w:tcBorders>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80" w:type="dxa"/>
            <w:vAlign w:val="bottom"/>
            <w:tcBorders>
              <w:top w:val="single" w:sz="8" w:color="auto"/>
            </w:tcBorders>
            <w:shd w:val="clear" w:color="auto" w:fill="CCFFCC"/>
          </w:tcPr>
          <w:p>
            <w:pPr>
              <w:spacing w:after="0"/>
              <w:rPr>
                <w:sz w:val="19"/>
                <w:szCs w:val="19"/>
                <w:color w:val="auto"/>
              </w:rPr>
            </w:pPr>
          </w:p>
        </w:tc>
        <w:tc>
          <w:tcPr>
            <w:tcW w:w="1380" w:type="dxa"/>
            <w:vAlign w:val="bottom"/>
            <w:tcBorders>
              <w:top w:val="single" w:sz="8" w:color="auto"/>
            </w:tcBorders>
            <w:gridSpan w:val="13"/>
            <w:shd w:val="clear" w:color="auto" w:fill="CCFFCC"/>
          </w:tcPr>
          <w:p>
            <w:pPr>
              <w:ind w:left="80"/>
              <w:spacing w:after="0" w:line="223" w:lineRule="exact"/>
              <w:rPr>
                <w:sz w:val="20"/>
                <w:szCs w:val="20"/>
                <w:color w:val="auto"/>
              </w:rPr>
            </w:pPr>
            <w:r>
              <w:rPr>
                <w:rFonts w:ascii="Arial" w:cs="Arial" w:eastAsia="Arial" w:hAnsi="Arial"/>
                <w:sz w:val="15"/>
                <w:szCs w:val="15"/>
                <w:b w:val="1"/>
                <w:bCs w:val="1"/>
                <w:color w:val="auto"/>
              </w:rPr>
              <w:t>S3i)</w:t>
            </w:r>
            <w:r>
              <w:rPr>
                <w:rFonts w:ascii="Arial" w:cs="Arial" w:eastAsia="Arial" w:hAnsi="Arial"/>
                <w:sz w:val="25"/>
                <w:szCs w:val="25"/>
                <w:b w:val="1"/>
                <w:bCs w:val="1"/>
                <w:color w:val="auto"/>
                <w:vertAlign w:val="superscript"/>
              </w:rPr>
              <w:t>(2)</w:t>
            </w:r>
          </w:p>
        </w:tc>
        <w:tc>
          <w:tcPr>
            <w:tcW w:w="380" w:type="dxa"/>
            <w:vAlign w:val="bottom"/>
            <w:tcBorders>
              <w:top w:val="single" w:sz="8" w:color="CCFFCC"/>
            </w:tcBorders>
            <w:gridSpan w:val="4"/>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CCFFCC"/>
            </w:tcBorders>
            <w:shd w:val="clear" w:color="auto" w:fill="CCFFCC"/>
          </w:tcPr>
          <w:p>
            <w:pPr>
              <w:spacing w:after="0"/>
              <w:rPr>
                <w:sz w:val="19"/>
                <w:szCs w:val="19"/>
                <w:color w:val="auto"/>
              </w:rPr>
            </w:pPr>
          </w:p>
        </w:tc>
        <w:tc>
          <w:tcPr>
            <w:tcW w:w="76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80" w:type="dxa"/>
            <w:vAlign w:val="bottom"/>
            <w:tcBorders>
              <w:top w:val="single" w:sz="8" w:color="CCFFCC"/>
              <w:right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80" w:type="dxa"/>
            <w:vAlign w:val="bottom"/>
            <w:tcBorders>
              <w:top w:val="single" w:sz="8" w:color="CCFFCC"/>
              <w:right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4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w w:val="99"/>
              </w:rPr>
              <w:t>Preferred shares, Class A1</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Sports Analytics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1,033,452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989,058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1,123,622</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0.45%</w:t>
            </w:r>
          </w:p>
        </w:tc>
      </w:tr>
      <w:tr>
        <w:trPr>
          <w:trHeight w:val="193"/>
        </w:trPr>
        <w:tc>
          <w:tcPr>
            <w:tcW w:w="1960" w:type="dxa"/>
            <w:vAlign w:val="bottom"/>
            <w:gridSpan w:val="19"/>
            <w:shd w:val="clear" w:color="auto" w:fill="CCFFCC"/>
          </w:tcPr>
          <w:p>
            <w:pPr>
              <w:ind w:left="20"/>
              <w:spacing w:after="0"/>
              <w:rPr>
                <w:sz w:val="20"/>
                <w:szCs w:val="20"/>
                <w:color w:val="auto"/>
              </w:rPr>
            </w:pPr>
            <w:r>
              <w:rPr>
                <w:rFonts w:ascii="Arial" w:cs="Arial" w:eastAsia="Arial" w:hAnsi="Arial"/>
                <w:sz w:val="16"/>
                <w:szCs w:val="16"/>
                <w:color w:val="auto"/>
              </w:rPr>
              <w:t>Preferred warrants, $1.00</w:t>
            </w:r>
          </w:p>
        </w:tc>
        <w:tc>
          <w:tcPr>
            <w:tcW w:w="80" w:type="dxa"/>
            <w:vAlign w:val="bottom"/>
            <w:shd w:val="clear" w:color="auto" w:fill="CCFFCC"/>
          </w:tcPr>
          <w:p>
            <w:pPr>
              <w:spacing w:after="0"/>
              <w:rPr>
                <w:sz w:val="16"/>
                <w:szCs w:val="16"/>
                <w:color w:val="auto"/>
              </w:rPr>
            </w:pPr>
          </w:p>
        </w:tc>
        <w:tc>
          <w:tcPr>
            <w:tcW w:w="24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31,354</w:t>
            </w:r>
          </w:p>
        </w:tc>
        <w:tc>
          <w:tcPr>
            <w:tcW w:w="100" w:type="dxa"/>
            <w:vAlign w:val="bottom"/>
            <w:shd w:val="clear" w:color="auto" w:fill="CCFFCC"/>
          </w:tcPr>
          <w:p>
            <w:pPr>
              <w:spacing w:after="0"/>
              <w:rPr>
                <w:sz w:val="16"/>
                <w:szCs w:val="16"/>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8"/>
            <w:shd w:val="clear" w:color="auto" w:fill="CCFFCC"/>
          </w:tcPr>
          <w:p>
            <w:pPr>
              <w:ind w:left="180"/>
              <w:spacing w:after="0"/>
              <w:rPr>
                <w:sz w:val="20"/>
                <w:szCs w:val="20"/>
                <w:color w:val="auto"/>
              </w:rPr>
            </w:pPr>
            <w:r>
              <w:rPr>
                <w:rFonts w:ascii="Arial" w:cs="Arial" w:eastAsia="Arial" w:hAnsi="Arial"/>
                <w:sz w:val="16"/>
                <w:szCs w:val="16"/>
                <w:color w:val="auto"/>
              </w:rPr>
              <w:t>strike price, expire</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09"/>
        </w:trPr>
        <w:tc>
          <w:tcPr>
            <w:tcW w:w="940" w:type="dxa"/>
            <w:vAlign w:val="bottom"/>
            <w:tcBorders>
              <w:bottom w:val="single" w:sz="8" w:color="CCFFCC"/>
            </w:tcBorders>
            <w:gridSpan w:val="8"/>
            <w:shd w:val="clear" w:color="auto" w:fill="CCFFCC"/>
          </w:tcPr>
          <w:p>
            <w:pPr>
              <w:ind w:left="200"/>
              <w:spacing w:after="0"/>
              <w:rPr>
                <w:sz w:val="20"/>
                <w:szCs w:val="20"/>
                <w:color w:val="auto"/>
              </w:rPr>
            </w:pPr>
            <w:r>
              <w:rPr>
                <w:rFonts w:ascii="Arial" w:cs="Arial" w:eastAsia="Arial" w:hAnsi="Arial"/>
                <w:sz w:val="16"/>
                <w:szCs w:val="16"/>
                <w:color w:val="auto"/>
                <w:w w:val="89"/>
              </w:rPr>
              <w:t>11/21/2017</w:t>
            </w:r>
          </w:p>
        </w:tc>
        <w:tc>
          <w:tcPr>
            <w:tcW w:w="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940" w:type="dxa"/>
            <w:vAlign w:val="bottom"/>
            <w:gridSpan w:val="18"/>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1,020,412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1,123,622</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0.45%</w:t>
            </w:r>
          </w:p>
        </w:tc>
      </w:tr>
      <w:tr>
        <w:trPr>
          <w:trHeight w:val="196"/>
        </w:trPr>
        <w:tc>
          <w:tcPr>
            <w:tcW w:w="1960" w:type="dxa"/>
            <w:vAlign w:val="bottom"/>
            <w:gridSpan w:val="19"/>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NestGSV,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1,021,778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1,093,866</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0.44%</w:t>
            </w:r>
          </w:p>
        </w:tc>
      </w:tr>
      <w:tr>
        <w:trPr>
          <w:trHeight w:val="162"/>
        </w:trPr>
        <w:tc>
          <w:tcPr>
            <w:tcW w:w="196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The rSmart Group,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2"/>
              </w:rPr>
              <w:t>Scottsdale, AZ</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Higher Education Learning</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1,201,923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1,266,940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933,381</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0.38%</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Platform</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65"/>
        </w:trPr>
        <w:tc>
          <w:tcPr>
            <w:tcW w:w="1960" w:type="dxa"/>
            <w:vAlign w:val="bottom"/>
            <w:gridSpan w:val="19"/>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DreamBox Learning,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5" w:lineRule="exact"/>
              <w:rPr>
                <w:sz w:val="20"/>
                <w:szCs w:val="20"/>
                <w:color w:val="auto"/>
              </w:rPr>
            </w:pPr>
            <w:r>
              <w:rPr>
                <w:rFonts w:ascii="Arial" w:cs="Arial" w:eastAsia="Arial" w:hAnsi="Arial"/>
                <w:sz w:val="16"/>
                <w:szCs w:val="16"/>
                <w:color w:val="auto"/>
                <w:w w:val="95"/>
              </w:rPr>
              <w:t>Bellevue, WA</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Education Technology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3,579,610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758,017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828,257</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0.33%</w:t>
            </w:r>
          </w:p>
        </w:tc>
      </w:tr>
      <w:tr>
        <w:trPr>
          <w:trHeight w:val="203"/>
        </w:trPr>
        <w:tc>
          <w:tcPr>
            <w:tcW w:w="1960" w:type="dxa"/>
            <w:vAlign w:val="bottom"/>
            <w:gridSpan w:val="19"/>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AlwaysOn, Inc.</w:t>
            </w:r>
            <w:r>
              <w:rPr>
                <w:rFonts w:ascii="Arial" w:cs="Arial" w:eastAsia="Arial" w:hAnsi="Arial"/>
                <w:sz w:val="23"/>
                <w:szCs w:val="23"/>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3"/>
              </w:rPr>
              <w:t>Woodside, CA</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1,066,626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1,027,391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600,000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0.24%</w:t>
            </w:r>
          </w:p>
        </w:tc>
      </w:tr>
      <w:tr>
        <w:trPr>
          <w:trHeight w:val="203"/>
        </w:trPr>
        <w:tc>
          <w:tcPr>
            <w:tcW w:w="1960" w:type="dxa"/>
            <w:vAlign w:val="bottom"/>
            <w:gridSpan w:val="19"/>
            <w:shd w:val="clear" w:color="auto" w:fill="CCFFCC"/>
          </w:tcPr>
          <w:p>
            <w:pPr>
              <w:ind w:left="20"/>
              <w:spacing w:after="0"/>
              <w:rPr>
                <w:sz w:val="20"/>
                <w:szCs w:val="20"/>
                <w:color w:val="auto"/>
              </w:rPr>
            </w:pPr>
            <w:r>
              <w:rPr>
                <w:rFonts w:ascii="Arial" w:cs="Arial" w:eastAsia="Arial" w:hAnsi="Arial"/>
                <w:sz w:val="16"/>
                <w:szCs w:val="16"/>
                <w:color w:val="auto"/>
                <w:w w:val="94"/>
              </w:rPr>
              <w:t>Preferred shares, Series A-1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8"/>
              </w:rPr>
              <w:t>3,152,417</w:t>
            </w: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624,783</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203,011</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0.08%</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8"/>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1,652,174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803,011</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0.32%</w:t>
            </w:r>
          </w:p>
        </w:tc>
      </w:tr>
      <w:tr>
        <w:trPr>
          <w:trHeight w:val="156"/>
        </w:trPr>
        <w:tc>
          <w:tcPr>
            <w:tcW w:w="1960" w:type="dxa"/>
            <w:vAlign w:val="bottom"/>
            <w:gridSpan w:val="19"/>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AliphCom, Inc. (d/b/a</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40" w:type="dxa"/>
            <w:vAlign w:val="bottom"/>
            <w:tcBorders>
              <w:top w:val="single" w:sz="8" w:color="auto"/>
            </w:tcBorders>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r>
      <w:tr>
        <w:trPr>
          <w:trHeight w:val="183"/>
        </w:trPr>
        <w:tc>
          <w:tcPr>
            <w:tcW w:w="20" w:type="dxa"/>
            <w:vAlign w:val="bottom"/>
            <w:tcBorders>
              <w:top w:val="single" w:sz="8" w:color="CCFFCC"/>
            </w:tcBorders>
            <w:shd w:val="clear" w:color="auto" w:fill="CCFFCC"/>
          </w:tcPr>
          <w:p>
            <w:pPr>
              <w:spacing w:after="0"/>
              <w:rPr>
                <w:sz w:val="15"/>
                <w:szCs w:val="15"/>
                <w:color w:val="auto"/>
              </w:rPr>
            </w:pPr>
          </w:p>
        </w:tc>
        <w:tc>
          <w:tcPr>
            <w:tcW w:w="1500" w:type="dxa"/>
            <w:vAlign w:val="bottom"/>
            <w:tcBorders>
              <w:top w:val="single" w:sz="8" w:color="auto"/>
            </w:tcBorders>
            <w:gridSpan w:val="13"/>
            <w:shd w:val="clear" w:color="auto" w:fill="CCFFCC"/>
          </w:tcPr>
          <w:p>
            <w:pPr>
              <w:ind w:left="180"/>
              <w:spacing w:after="0" w:line="183" w:lineRule="exact"/>
              <w:rPr>
                <w:sz w:val="20"/>
                <w:szCs w:val="20"/>
                <w:color w:val="auto"/>
              </w:rPr>
            </w:pPr>
            <w:r>
              <w:rPr>
                <w:rFonts w:ascii="Arial" w:cs="Arial" w:eastAsia="Arial" w:hAnsi="Arial"/>
                <w:sz w:val="16"/>
                <w:szCs w:val="16"/>
                <w:b w:val="1"/>
                <w:bCs w:val="1"/>
                <w:color w:val="auto"/>
              </w:rPr>
              <w:t>Jawbone)</w:t>
            </w:r>
          </w:p>
        </w:tc>
        <w:tc>
          <w:tcPr>
            <w:tcW w:w="440" w:type="dxa"/>
            <w:vAlign w:val="bottom"/>
            <w:tcBorders>
              <w:top w:val="single" w:sz="8" w:color="CCFFCC"/>
            </w:tcBorders>
            <w:gridSpan w:val="5"/>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46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CCFFCC"/>
            </w:tcBorders>
            <w:shd w:val="clear" w:color="auto" w:fill="CCFFCC"/>
          </w:tcPr>
          <w:p>
            <w:pPr>
              <w:spacing w:after="0"/>
              <w:rPr>
                <w:sz w:val="15"/>
                <w:szCs w:val="15"/>
                <w:color w:val="auto"/>
              </w:rPr>
            </w:pPr>
          </w:p>
        </w:tc>
        <w:tc>
          <w:tcPr>
            <w:tcW w:w="76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880" w:type="dxa"/>
            <w:vAlign w:val="bottom"/>
            <w:tcBorders>
              <w:top w:val="single" w:sz="8" w:color="CCFFCC"/>
              <w:right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880" w:type="dxa"/>
            <w:vAlign w:val="bottom"/>
            <w:tcBorders>
              <w:top w:val="single" w:sz="8" w:color="CCFFCC"/>
              <w:right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440" w:type="dxa"/>
            <w:vAlign w:val="bottom"/>
            <w:tcBorders>
              <w:top w:val="single" w:sz="8" w:color="CCFFCC"/>
            </w:tcBorders>
            <w:shd w:val="clear" w:color="auto" w:fill="CCFFCC"/>
          </w:tcPr>
          <w:p>
            <w:pPr>
              <w:spacing w:after="0"/>
              <w:rPr>
                <w:sz w:val="15"/>
                <w:szCs w:val="15"/>
                <w:color w:val="auto"/>
              </w:rPr>
            </w:pPr>
          </w:p>
        </w:tc>
        <w:tc>
          <w:tcPr>
            <w:tcW w:w="240" w:type="dxa"/>
            <w:vAlign w:val="bottom"/>
            <w:tcBorders>
              <w:top w:val="single" w:sz="8" w:color="CCFFCC"/>
            </w:tcBorders>
            <w:shd w:val="clear" w:color="auto" w:fill="CCFFCC"/>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Smart Device Company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793,152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750,000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0.30%</w:t>
            </w:r>
          </w:p>
        </w:tc>
      </w:tr>
      <w:tr>
        <w:trPr>
          <w:trHeight w:val="203"/>
        </w:trPr>
        <w:tc>
          <w:tcPr>
            <w:tcW w:w="1960" w:type="dxa"/>
            <w:vAlign w:val="bottom"/>
            <w:gridSpan w:val="19"/>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SinoLending Ltd.</w:t>
            </w:r>
            <w:r>
              <w:rPr>
                <w:rFonts w:ascii="Arial" w:cs="Arial" w:eastAsia="Arial" w:hAnsi="Arial"/>
                <w:sz w:val="23"/>
                <w:szCs w:val="23"/>
                <w:b w:val="1"/>
                <w:bCs w:val="1"/>
                <w:color w:val="auto"/>
                <w:vertAlign w:val="superscript"/>
              </w:rPr>
              <w:t>(2)(7)</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Shanghai, China</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Preferred shares, Class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Chinese P2P Lending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6,414,368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501,998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604,859</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0.24%</w:t>
            </w:r>
          </w:p>
        </w:tc>
      </w:tr>
      <w:tr>
        <w:trPr>
          <w:trHeight w:val="162"/>
        </w:trPr>
        <w:tc>
          <w:tcPr>
            <w:tcW w:w="196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NestGSV Silicon Valley,</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640" w:type="dxa"/>
            <w:vAlign w:val="bottom"/>
            <w:tcBorders>
              <w:top w:val="single" w:sz="8" w:color="auto"/>
            </w:tcBorders>
            <w:gridSpan w:val="15"/>
            <w:shd w:val="clear" w:color="auto" w:fill="CCFFCC"/>
          </w:tcPr>
          <w:p>
            <w:pPr>
              <w:ind w:left="180"/>
              <w:spacing w:after="0" w:line="223" w:lineRule="exact"/>
              <w:rPr>
                <w:sz w:val="20"/>
                <w:szCs w:val="20"/>
                <w:color w:val="auto"/>
              </w:rPr>
            </w:pPr>
            <w:r>
              <w:rPr>
                <w:rFonts w:ascii="Arial" w:cs="Arial" w:eastAsia="Arial" w:hAnsi="Arial"/>
                <w:sz w:val="25"/>
                <w:szCs w:val="25"/>
                <w:b w:val="1"/>
                <w:bCs w:val="1"/>
                <w:color w:val="auto"/>
                <w:vertAlign w:val="subscript"/>
              </w:rPr>
              <w:t>LLC</w:t>
            </w:r>
            <w:r>
              <w:rPr>
                <w:rFonts w:ascii="Arial" w:cs="Arial" w:eastAsia="Arial" w:hAnsi="Arial"/>
                <w:sz w:val="12"/>
                <w:szCs w:val="12"/>
                <w:b w:val="1"/>
                <w:bCs w:val="1"/>
                <w:color w:val="auto"/>
              </w:rPr>
              <w:t>(2)(6)</w:t>
            </w:r>
          </w:p>
        </w:tc>
        <w:tc>
          <w:tcPr>
            <w:tcW w:w="300" w:type="dxa"/>
            <w:vAlign w:val="bottom"/>
            <w:tcBorders>
              <w:top w:val="single" w:sz="8" w:color="CCFFCC"/>
            </w:tcBorders>
            <w:gridSpan w:val="3"/>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CCFFCC"/>
            </w:tcBorders>
            <w:shd w:val="clear" w:color="auto" w:fill="CCFFCC"/>
          </w:tcPr>
          <w:p>
            <w:pPr>
              <w:spacing w:after="0"/>
              <w:rPr>
                <w:sz w:val="19"/>
                <w:szCs w:val="19"/>
                <w:color w:val="auto"/>
              </w:rPr>
            </w:pPr>
          </w:p>
        </w:tc>
        <w:tc>
          <w:tcPr>
            <w:tcW w:w="76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80" w:type="dxa"/>
            <w:vAlign w:val="bottom"/>
            <w:tcBorders>
              <w:top w:val="single" w:sz="8" w:color="CCFFCC"/>
              <w:right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80" w:type="dxa"/>
            <w:vAlign w:val="bottom"/>
            <w:tcBorders>
              <w:top w:val="single" w:sz="8" w:color="CCFFCC"/>
              <w:right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4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Common membership</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514,084</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0.21%</w:t>
            </w:r>
          </w:p>
        </w:tc>
      </w:tr>
      <w:tr>
        <w:trPr>
          <w:trHeight w:val="209"/>
        </w:trPr>
        <w:tc>
          <w:tcPr>
            <w:tcW w:w="20" w:type="dxa"/>
            <w:vAlign w:val="bottom"/>
          </w:tcPr>
          <w:p>
            <w:pPr>
              <w:spacing w:after="0"/>
              <w:rPr>
                <w:sz w:val="18"/>
                <w:szCs w:val="18"/>
                <w:color w:val="auto"/>
              </w:rPr>
            </w:pPr>
          </w:p>
        </w:tc>
        <w:tc>
          <w:tcPr>
            <w:tcW w:w="1940" w:type="dxa"/>
            <w:vAlign w:val="bottom"/>
            <w:gridSpan w:val="18"/>
          </w:tcPr>
          <w:p>
            <w:pPr>
              <w:ind w:left="180"/>
              <w:spacing w:after="0"/>
              <w:rPr>
                <w:sz w:val="20"/>
                <w:szCs w:val="20"/>
                <w:color w:val="auto"/>
              </w:rPr>
            </w:pPr>
            <w:r>
              <w:rPr>
                <w:rFonts w:ascii="Arial" w:cs="Arial" w:eastAsia="Arial" w:hAnsi="Arial"/>
                <w:sz w:val="16"/>
                <w:szCs w:val="16"/>
                <w:color w:val="auto"/>
              </w:rPr>
              <w:t>interest</w:t>
            </w:r>
          </w:p>
        </w:tc>
        <w:tc>
          <w:tcPr>
            <w:tcW w:w="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65"/>
        </w:trPr>
        <w:tc>
          <w:tcPr>
            <w:tcW w:w="1960" w:type="dxa"/>
            <w:vAlign w:val="bottom"/>
            <w:gridSpan w:val="19"/>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Ozy Media,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5" w:lineRule="exact"/>
              <w:rPr>
                <w:sz w:val="20"/>
                <w:szCs w:val="20"/>
                <w:color w:val="auto"/>
              </w:rPr>
            </w:pPr>
            <w:r>
              <w:rPr>
                <w:rFonts w:ascii="Arial" w:cs="Arial" w:eastAsia="Arial" w:hAnsi="Arial"/>
                <w:sz w:val="16"/>
                <w:szCs w:val="16"/>
                <w:color w:val="auto"/>
                <w:w w:val="95"/>
              </w:rPr>
              <w:t>Mountain View, CA</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6"/>
        </w:trPr>
        <w:tc>
          <w:tcPr>
            <w:tcW w:w="1960" w:type="dxa"/>
            <w:vAlign w:val="bottom"/>
            <w:gridSpan w:val="19"/>
          </w:tcPr>
          <w:p>
            <w:pPr>
              <w:ind w:left="20"/>
              <w:spacing w:after="0"/>
              <w:rPr>
                <w:sz w:val="20"/>
                <w:szCs w:val="20"/>
                <w:color w:val="auto"/>
              </w:rPr>
            </w:pPr>
            <w:r>
              <w:rPr>
                <w:rFonts w:ascii="Arial" w:cs="Arial" w:eastAsia="Arial" w:hAnsi="Arial"/>
                <w:sz w:val="16"/>
                <w:szCs w:val="16"/>
                <w:color w:val="auto"/>
                <w:w w:val="89"/>
              </w:rPr>
              <w:t>Preferred shares, Series Seed</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513,725</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-5267325</wp:posOffset>
            </wp:positionV>
            <wp:extent cx="521398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-4041140</wp:posOffset>
            </wp:positionV>
            <wp:extent cx="521398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-3097530</wp:posOffset>
            </wp:positionV>
            <wp:extent cx="521398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-1614170</wp:posOffset>
            </wp:positionV>
            <wp:extent cx="521398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 w:name="page10"/>
    <w:bookmarkEnd w:id="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48"/>
        </w:trPr>
        <w:tc>
          <w:tcPr>
            <w:tcW w:w="1960" w:type="dxa"/>
            <w:vAlign w:val="bottom"/>
            <w:gridSpan w:val="8"/>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Headquarters/Industry</w:t>
            </w:r>
          </w:p>
        </w:tc>
        <w:tc>
          <w:tcPr>
            <w:tcW w:w="80" w:type="dxa"/>
            <w:vAlign w:val="bottom"/>
          </w:tcPr>
          <w:p>
            <w:pPr>
              <w:spacing w:after="0"/>
              <w:rPr>
                <w:sz w:val="12"/>
                <w:szCs w:val="12"/>
                <w:color w:val="auto"/>
              </w:rPr>
            </w:pPr>
          </w:p>
        </w:tc>
        <w:tc>
          <w:tcPr>
            <w:tcW w:w="9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 of Net</w:t>
            </w:r>
          </w:p>
        </w:tc>
      </w:tr>
      <w:tr>
        <w:trPr>
          <w:trHeight w:val="171"/>
        </w:trPr>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r>
      <w:tr>
        <w:trPr>
          <w:trHeight w:val="156"/>
        </w:trPr>
        <w:tc>
          <w:tcPr>
            <w:tcW w:w="1960" w:type="dxa"/>
            <w:vAlign w:val="bottom"/>
            <w:tcBorders>
              <w:left w:val="single" w:sz="8" w:color="CCFFCC"/>
            </w:tcBorders>
            <w:gridSpan w:val="8"/>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Starfish Holdings, Inc.</w:t>
            </w:r>
          </w:p>
        </w:tc>
        <w:tc>
          <w:tcPr>
            <w:tcW w:w="60" w:type="dxa"/>
            <w:vAlign w:val="bottom"/>
            <w:shd w:val="clear" w:color="auto" w:fill="CCFFCC"/>
          </w:tcPr>
          <w:p>
            <w:pPr>
              <w:spacing w:after="0"/>
              <w:rPr>
                <w:sz w:val="13"/>
                <w:szCs w:val="13"/>
                <w:color w:val="auto"/>
              </w:rPr>
            </w:pPr>
          </w:p>
        </w:tc>
        <w:tc>
          <w:tcPr>
            <w:tcW w:w="244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7"/>
              </w:rPr>
              <w:t>Beverly Hills,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0" w:type="dxa"/>
            <w:vAlign w:val="bottom"/>
            <w:shd w:val="clear" w:color="auto" w:fill="CCFFCC"/>
          </w:tcPr>
          <w:p>
            <w:pPr>
              <w:spacing w:after="0"/>
              <w:rPr>
                <w:sz w:val="13"/>
                <w:szCs w:val="13"/>
                <w:color w:val="auto"/>
              </w:rPr>
            </w:pPr>
          </w:p>
        </w:tc>
        <w:tc>
          <w:tcPr>
            <w:tcW w:w="120" w:type="dxa"/>
            <w:vAlign w:val="bottom"/>
            <w:tcBorders>
              <w:lef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0" w:type="dxa"/>
            <w:vAlign w:val="bottom"/>
            <w:shd w:val="clear" w:color="auto" w:fill="CCFFCC"/>
          </w:tcPr>
          <w:p>
            <w:pPr>
              <w:spacing w:after="0"/>
              <w:rPr>
                <w:sz w:val="13"/>
                <w:szCs w:val="13"/>
                <w:color w:val="auto"/>
              </w:rPr>
            </w:pPr>
          </w:p>
        </w:tc>
        <w:tc>
          <w:tcPr>
            <w:tcW w:w="120" w:type="dxa"/>
            <w:vAlign w:val="bottom"/>
            <w:tcBorders>
              <w:left w:val="single" w:sz="8" w:color="CCFFCC"/>
            </w:tcBorders>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0"/>
        </w:trPr>
        <w:tc>
          <w:tcPr>
            <w:tcW w:w="200" w:type="dxa"/>
            <w:vAlign w:val="bottom"/>
            <w:tcBorders>
              <w:left w:val="single" w:sz="8" w:color="CCFFCC"/>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4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223"/>
        </w:trPr>
        <w:tc>
          <w:tcPr>
            <w:tcW w:w="1960" w:type="dxa"/>
            <w:vAlign w:val="bottom"/>
            <w:tcBorders>
              <w:left w:val="single" w:sz="8" w:color="CCFFCC"/>
            </w:tcBorders>
            <w:gridSpan w:val="8"/>
            <w:shd w:val="clear" w:color="auto" w:fill="CCFFCC"/>
          </w:tcPr>
          <w:p>
            <w:pPr>
              <w:ind w:left="200"/>
              <w:spacing w:after="0" w:line="223" w:lineRule="exact"/>
              <w:rPr>
                <w:sz w:val="20"/>
                <w:szCs w:val="20"/>
                <w:color w:val="auto"/>
              </w:rPr>
            </w:pPr>
            <w:r>
              <w:rPr>
                <w:rFonts w:ascii="Arial" w:cs="Arial" w:eastAsia="Arial" w:hAnsi="Arial"/>
                <w:sz w:val="15"/>
                <w:szCs w:val="15"/>
                <w:b w:val="1"/>
                <w:bCs w:val="1"/>
                <w:color w:val="auto"/>
              </w:rPr>
              <w:t>(d/b/a YourOffers)</w:t>
            </w:r>
            <w:r>
              <w:rPr>
                <w:rFonts w:ascii="Arial" w:cs="Arial" w:eastAsia="Arial" w:hAnsi="Arial"/>
                <w:sz w:val="25"/>
                <w:szCs w:val="25"/>
                <w:b w:val="1"/>
                <w:bCs w:val="1"/>
                <w:color w:val="auto"/>
                <w:vertAlign w:val="superscript"/>
              </w:rPr>
              <w:t>(2)</w:t>
            </w:r>
          </w:p>
        </w:tc>
        <w:tc>
          <w:tcPr>
            <w:tcW w:w="60" w:type="dxa"/>
            <w:vAlign w:val="bottom"/>
            <w:shd w:val="clear" w:color="auto" w:fill="CCFFCC"/>
          </w:tcPr>
          <w:p>
            <w:pPr>
              <w:spacing w:after="0"/>
              <w:rPr>
                <w:sz w:val="19"/>
                <w:szCs w:val="19"/>
                <w:color w:val="auto"/>
              </w:rPr>
            </w:pPr>
          </w:p>
        </w:tc>
        <w:tc>
          <w:tcPr>
            <w:tcW w:w="24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r>
      <w:tr>
        <w:trPr>
          <w:trHeight w:val="21"/>
        </w:trPr>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5"/>
              </w:rPr>
              <w:t>Marketing Platform</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43,878,894</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2,177,461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500,000</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0.20%</w:t>
            </w:r>
          </w:p>
        </w:tc>
      </w:tr>
      <w:tr>
        <w:trPr>
          <w:trHeight w:val="193"/>
        </w:trPr>
        <w:tc>
          <w:tcPr>
            <w:tcW w:w="1960" w:type="dxa"/>
            <w:vAlign w:val="bottom"/>
            <w:tcBorders>
              <w:left w:val="single" w:sz="8" w:color="CCFFCC"/>
            </w:tcBorders>
            <w:gridSpan w:val="8"/>
            <w:shd w:val="clear" w:color="auto" w:fill="CCFFCC"/>
          </w:tcPr>
          <w:p>
            <w:pPr>
              <w:ind w:left="20"/>
              <w:spacing w:after="0"/>
              <w:rPr>
                <w:sz w:val="20"/>
                <w:szCs w:val="20"/>
                <w:color w:val="auto"/>
              </w:rPr>
            </w:pPr>
            <w:r>
              <w:rPr>
                <w:rFonts w:ascii="Arial" w:cs="Arial" w:eastAsia="Arial" w:hAnsi="Arial"/>
                <w:sz w:val="16"/>
                <w:szCs w:val="16"/>
                <w:color w:val="auto"/>
                <w:w w:val="93"/>
              </w:rPr>
              <w:t>Common warrants, $0.00001</w:t>
            </w:r>
          </w:p>
        </w:tc>
        <w:tc>
          <w:tcPr>
            <w:tcW w:w="6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144,800,351</w:t>
            </w: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FFCC"/>
            </w:tcBorders>
            <w:shd w:val="clear" w:color="auto" w:fill="CCFFCC"/>
          </w:tcPr>
          <w:p>
            <w:pPr>
              <w:spacing w:after="0"/>
              <w:rPr>
                <w:sz w:val="16"/>
                <w:szCs w:val="16"/>
                <w:color w:val="auto"/>
              </w:rPr>
            </w:pP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1960" w:type="dxa"/>
            <w:vAlign w:val="bottom"/>
            <w:tcBorders>
              <w:left w:val="single" w:sz="8" w:color="CCFFCC"/>
            </w:tcBorders>
            <w:gridSpan w:val="8"/>
            <w:shd w:val="clear" w:color="auto" w:fill="CCFFCC"/>
          </w:tcPr>
          <w:p>
            <w:pPr>
              <w:ind w:left="200"/>
              <w:spacing w:after="0"/>
              <w:rPr>
                <w:sz w:val="20"/>
                <w:szCs w:val="20"/>
                <w:color w:val="auto"/>
              </w:rPr>
            </w:pPr>
            <w:r>
              <w:rPr>
                <w:rFonts w:ascii="Arial" w:cs="Arial" w:eastAsia="Arial" w:hAnsi="Arial"/>
                <w:sz w:val="16"/>
                <w:szCs w:val="16"/>
                <w:color w:val="auto"/>
              </w:rPr>
              <w:t>strike price, expire</w:t>
            </w:r>
          </w:p>
        </w:tc>
        <w:tc>
          <w:tcPr>
            <w:tcW w:w="6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09"/>
        </w:trPr>
        <w:tc>
          <w:tcPr>
            <w:tcW w:w="1000" w:type="dxa"/>
            <w:vAlign w:val="bottom"/>
            <w:tcBorders>
              <w:left w:val="single" w:sz="8" w:color="CCFFCC"/>
              <w:bottom w:val="single" w:sz="8" w:color="CCFFCC"/>
            </w:tcBorders>
            <w:gridSpan w:val="2"/>
            <w:shd w:val="clear" w:color="auto" w:fill="CCFFCC"/>
          </w:tcPr>
          <w:p>
            <w:pPr>
              <w:ind w:left="200"/>
              <w:spacing w:after="0"/>
              <w:rPr>
                <w:sz w:val="20"/>
                <w:szCs w:val="20"/>
                <w:color w:val="auto"/>
              </w:rPr>
            </w:pPr>
            <w:r>
              <w:rPr>
                <w:rFonts w:ascii="Arial" w:cs="Arial" w:eastAsia="Arial" w:hAnsi="Arial"/>
                <w:sz w:val="16"/>
                <w:szCs w:val="16"/>
                <w:color w:val="auto"/>
                <w:w w:val="97"/>
              </w:rPr>
              <w:t>11/13/2019</w:t>
            </w:r>
          </w:p>
        </w:tc>
        <w:tc>
          <w:tcPr>
            <w:tcW w:w="2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120" w:type="dxa"/>
            <w:vAlign w:val="bottom"/>
            <w:tcBorders>
              <w:left w:val="single" w:sz="8" w:color="CCFFCC"/>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120" w:type="dxa"/>
            <w:vAlign w:val="bottom"/>
            <w:tcBorders>
              <w:left w:val="single" w:sz="8" w:color="CCFFCC"/>
              <w:bottom w:val="single" w:sz="8" w:color="CCFFCC"/>
            </w:tcBorders>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r>
      <w:tr>
        <w:trPr>
          <w:trHeight w:val="199"/>
        </w:trPr>
        <w:tc>
          <w:tcPr>
            <w:tcW w:w="1960" w:type="dxa"/>
            <w:vAlign w:val="bottom"/>
            <w:gridSpan w:val="8"/>
          </w:tcPr>
          <w:p>
            <w:pPr>
              <w:ind w:left="20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2,177,461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500,000</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0.20%</w:t>
            </w:r>
          </w:p>
        </w:tc>
      </w:tr>
      <w:tr>
        <w:trPr>
          <w:trHeight w:val="196"/>
        </w:trPr>
        <w:tc>
          <w:tcPr>
            <w:tcW w:w="1960" w:type="dxa"/>
            <w:vAlign w:val="bottom"/>
            <w:tcBorders>
              <w:left w:val="single" w:sz="8" w:color="CCFFCC"/>
            </w:tcBorders>
            <w:gridSpan w:val="8"/>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The Echo System Corp.</w:t>
            </w:r>
            <w:r>
              <w:rPr>
                <w:rFonts w:ascii="Arial" w:cs="Arial" w:eastAsia="Arial" w:hAnsi="Arial"/>
                <w:sz w:val="22"/>
                <w:szCs w:val="22"/>
                <w:b w:val="1"/>
                <w:bCs w:val="1"/>
                <w:color w:val="auto"/>
                <w:vertAlign w:val="superscript"/>
              </w:rPr>
              <w:t>(2)</w:t>
            </w:r>
          </w:p>
        </w:tc>
        <w:tc>
          <w:tcPr>
            <w:tcW w:w="6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tcBorders>
              <w:top w:val="single" w:sz="8" w:color="auto"/>
            </w:tcBorders>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80" w:type="dxa"/>
            <w:vAlign w:val="bottom"/>
            <w:tcBorders>
              <w:top w:val="single" w:sz="8" w:color="auto"/>
            </w:tcBorders>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480" w:type="dxa"/>
            <w:vAlign w:val="bottom"/>
            <w:tcBorders>
              <w:top w:val="single" w:sz="8" w:color="auto"/>
            </w:tcBorders>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6"/>
              </w:rPr>
              <w:t>Social Analytics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512,365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1,436,404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379,150</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0.15%</w:t>
            </w:r>
          </w:p>
        </w:tc>
      </w:tr>
      <w:tr>
        <w:trPr>
          <w:trHeight w:val="193"/>
        </w:trPr>
        <w:tc>
          <w:tcPr>
            <w:tcW w:w="1960" w:type="dxa"/>
            <w:vAlign w:val="bottom"/>
            <w:tcBorders>
              <w:left w:val="single" w:sz="8" w:color="CCFFCC"/>
            </w:tcBorders>
            <w:gridSpan w:val="8"/>
            <w:shd w:val="clear" w:color="auto" w:fill="CCFFCC"/>
          </w:tcPr>
          <w:p>
            <w:pPr>
              <w:ind w:left="20"/>
              <w:spacing w:after="0"/>
              <w:rPr>
                <w:sz w:val="20"/>
                <w:szCs w:val="20"/>
                <w:color w:val="auto"/>
              </w:rPr>
            </w:pPr>
            <w:r>
              <w:rPr>
                <w:rFonts w:ascii="Arial" w:cs="Arial" w:eastAsia="Arial" w:hAnsi="Arial"/>
                <w:sz w:val="16"/>
                <w:szCs w:val="16"/>
                <w:color w:val="auto"/>
              </w:rPr>
              <w:t>Preferred warrants, $0.20</w:t>
            </w:r>
          </w:p>
        </w:tc>
        <w:tc>
          <w:tcPr>
            <w:tcW w:w="6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68,359</w:t>
            </w: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75,988</w:t>
            </w:r>
          </w:p>
        </w:tc>
        <w:tc>
          <w:tcPr>
            <w:tcW w:w="120" w:type="dxa"/>
            <w:vAlign w:val="bottom"/>
            <w:tcBorders>
              <w:lef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FFCC"/>
            </w:tcBorders>
            <w:shd w:val="clear" w:color="auto" w:fill="CCFFCC"/>
          </w:tcPr>
          <w:p>
            <w:pPr>
              <w:spacing w:after="0"/>
              <w:rPr>
                <w:sz w:val="16"/>
                <w:szCs w:val="16"/>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 %</w:t>
            </w:r>
          </w:p>
        </w:tc>
      </w:tr>
      <w:tr>
        <w:trPr>
          <w:trHeight w:val="203"/>
        </w:trPr>
        <w:tc>
          <w:tcPr>
            <w:tcW w:w="1960" w:type="dxa"/>
            <w:vAlign w:val="bottom"/>
            <w:tcBorders>
              <w:left w:val="single" w:sz="8" w:color="CCFFCC"/>
            </w:tcBorders>
            <w:gridSpan w:val="8"/>
            <w:shd w:val="clear" w:color="auto" w:fill="CCFFCC"/>
          </w:tcPr>
          <w:p>
            <w:pPr>
              <w:ind w:left="200"/>
              <w:spacing w:after="0"/>
              <w:rPr>
                <w:sz w:val="20"/>
                <w:szCs w:val="20"/>
                <w:color w:val="auto"/>
              </w:rPr>
            </w:pPr>
            <w:r>
              <w:rPr>
                <w:rFonts w:ascii="Arial" w:cs="Arial" w:eastAsia="Arial" w:hAnsi="Arial"/>
                <w:sz w:val="16"/>
                <w:szCs w:val="16"/>
                <w:color w:val="auto"/>
              </w:rPr>
              <w:t>strike price, expire</w:t>
            </w:r>
          </w:p>
        </w:tc>
        <w:tc>
          <w:tcPr>
            <w:tcW w:w="6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09"/>
        </w:trPr>
        <w:tc>
          <w:tcPr>
            <w:tcW w:w="1000" w:type="dxa"/>
            <w:vAlign w:val="bottom"/>
            <w:tcBorders>
              <w:left w:val="single" w:sz="8" w:color="CCFFCC"/>
              <w:bottom w:val="single" w:sz="8" w:color="CCFFCC"/>
            </w:tcBorders>
            <w:gridSpan w:val="2"/>
            <w:shd w:val="clear" w:color="auto" w:fill="CCFFCC"/>
          </w:tcPr>
          <w:p>
            <w:pPr>
              <w:ind w:left="200"/>
              <w:spacing w:after="0"/>
              <w:rPr>
                <w:sz w:val="20"/>
                <w:szCs w:val="20"/>
                <w:color w:val="auto"/>
              </w:rPr>
            </w:pPr>
            <w:r>
              <w:rPr>
                <w:rFonts w:ascii="Arial" w:cs="Arial" w:eastAsia="Arial" w:hAnsi="Arial"/>
                <w:sz w:val="16"/>
                <w:szCs w:val="16"/>
                <w:color w:val="auto"/>
                <w:w w:val="97"/>
              </w:rPr>
              <w:t>11/14/2016</w:t>
            </w:r>
          </w:p>
        </w:tc>
        <w:tc>
          <w:tcPr>
            <w:tcW w:w="2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120" w:type="dxa"/>
            <w:vAlign w:val="bottom"/>
            <w:tcBorders>
              <w:left w:val="single" w:sz="8" w:color="CCFFCC"/>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120" w:type="dxa"/>
            <w:vAlign w:val="bottom"/>
            <w:tcBorders>
              <w:left w:val="single" w:sz="8" w:color="CCFFCC"/>
              <w:bottom w:val="single" w:sz="8" w:color="CCFFCC"/>
            </w:tcBorders>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r>
      <w:tr>
        <w:trPr>
          <w:trHeight w:val="199"/>
        </w:trPr>
        <w:tc>
          <w:tcPr>
            <w:tcW w:w="1960" w:type="dxa"/>
            <w:vAlign w:val="bottom"/>
            <w:gridSpan w:val="8"/>
          </w:tcPr>
          <w:p>
            <w:pPr>
              <w:ind w:left="20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1,512,392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379,150</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0.15%</w:t>
            </w:r>
          </w:p>
        </w:tc>
      </w:tr>
      <w:tr>
        <w:trPr>
          <w:trHeight w:val="156"/>
        </w:trPr>
        <w:tc>
          <w:tcPr>
            <w:tcW w:w="1960" w:type="dxa"/>
            <w:vAlign w:val="bottom"/>
            <w:tcBorders>
              <w:left w:val="single" w:sz="8" w:color="CCFFCC"/>
            </w:tcBorders>
            <w:gridSpan w:val="8"/>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NewZoom, Inc. (d/b/a</w:t>
            </w:r>
          </w:p>
        </w:tc>
        <w:tc>
          <w:tcPr>
            <w:tcW w:w="60" w:type="dxa"/>
            <w:vAlign w:val="bottom"/>
            <w:shd w:val="clear" w:color="auto" w:fill="CCFFCC"/>
          </w:tcPr>
          <w:p>
            <w:pPr>
              <w:spacing w:after="0"/>
              <w:rPr>
                <w:sz w:val="13"/>
                <w:szCs w:val="13"/>
                <w:color w:val="auto"/>
              </w:rPr>
            </w:pPr>
          </w:p>
        </w:tc>
        <w:tc>
          <w:tcPr>
            <w:tcW w:w="244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 w:type="dxa"/>
            <w:vAlign w:val="bottom"/>
            <w:tcBorders>
              <w:top w:val="single" w:sz="8" w:color="auto"/>
            </w:tcBorders>
            <w:shd w:val="clear" w:color="auto" w:fill="CCFFCC"/>
          </w:tcPr>
          <w:p>
            <w:pPr>
              <w:spacing w:after="0"/>
              <w:rPr>
                <w:sz w:val="13"/>
                <w:szCs w:val="13"/>
                <w:color w:val="auto"/>
              </w:rPr>
            </w:pPr>
          </w:p>
        </w:tc>
        <w:tc>
          <w:tcPr>
            <w:tcW w:w="800" w:type="dxa"/>
            <w:vAlign w:val="bottom"/>
            <w:tcBorders>
              <w:top w:val="single" w:sz="8" w:color="auto"/>
            </w:tcBorders>
            <w:shd w:val="clear" w:color="auto" w:fill="CCFFCC"/>
          </w:tcPr>
          <w:p>
            <w:pPr>
              <w:spacing w:after="0"/>
              <w:rPr>
                <w:sz w:val="13"/>
                <w:szCs w:val="13"/>
                <w:color w:val="auto"/>
              </w:rPr>
            </w:pPr>
          </w:p>
        </w:tc>
        <w:tc>
          <w:tcPr>
            <w:tcW w:w="120" w:type="dxa"/>
            <w:vAlign w:val="bottom"/>
            <w:tcBorders>
              <w:left w:val="single" w:sz="8" w:color="CCFFCC"/>
            </w:tcBorders>
            <w:shd w:val="clear" w:color="auto" w:fill="CCFFCC"/>
          </w:tcPr>
          <w:p>
            <w:pPr>
              <w:spacing w:after="0"/>
              <w:rPr>
                <w:sz w:val="13"/>
                <w:szCs w:val="13"/>
                <w:color w:val="auto"/>
              </w:rPr>
            </w:pPr>
          </w:p>
        </w:tc>
        <w:tc>
          <w:tcPr>
            <w:tcW w:w="80" w:type="dxa"/>
            <w:vAlign w:val="bottom"/>
            <w:tcBorders>
              <w:top w:val="single" w:sz="8" w:color="auto"/>
            </w:tcBorders>
            <w:shd w:val="clear" w:color="auto" w:fill="CCFFCC"/>
          </w:tcPr>
          <w:p>
            <w:pPr>
              <w:spacing w:after="0"/>
              <w:rPr>
                <w:sz w:val="13"/>
                <w:szCs w:val="13"/>
                <w:color w:val="auto"/>
              </w:rPr>
            </w:pPr>
          </w:p>
        </w:tc>
        <w:tc>
          <w:tcPr>
            <w:tcW w:w="800" w:type="dxa"/>
            <w:vAlign w:val="bottom"/>
            <w:tcBorders>
              <w:top w:val="single" w:sz="8" w:color="auto"/>
            </w:tcBorders>
            <w:shd w:val="clear" w:color="auto" w:fill="CCFFCC"/>
          </w:tcPr>
          <w:p>
            <w:pPr>
              <w:spacing w:after="0"/>
              <w:rPr>
                <w:sz w:val="13"/>
                <w:szCs w:val="13"/>
                <w:color w:val="auto"/>
              </w:rPr>
            </w:pPr>
          </w:p>
        </w:tc>
        <w:tc>
          <w:tcPr>
            <w:tcW w:w="12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183"/>
        </w:trPr>
        <w:tc>
          <w:tcPr>
            <w:tcW w:w="1580" w:type="dxa"/>
            <w:vAlign w:val="bottom"/>
            <w:tcBorders>
              <w:top w:val="single" w:sz="8" w:color="auto"/>
              <w:left w:val="single" w:sz="8" w:color="CCFFCC"/>
              <w:right w:val="single" w:sz="8" w:color="CCFFCC"/>
            </w:tcBorders>
            <w:gridSpan w:val="6"/>
            <w:shd w:val="clear" w:color="auto" w:fill="CCFFCC"/>
          </w:tcPr>
          <w:p>
            <w:pPr>
              <w:ind w:left="200"/>
              <w:spacing w:after="0" w:line="183" w:lineRule="exact"/>
              <w:rPr>
                <w:sz w:val="20"/>
                <w:szCs w:val="20"/>
                <w:color w:val="auto"/>
              </w:rPr>
            </w:pPr>
            <w:r>
              <w:rPr>
                <w:rFonts w:ascii="Arial" w:cs="Arial" w:eastAsia="Arial" w:hAnsi="Arial"/>
                <w:sz w:val="16"/>
                <w:szCs w:val="16"/>
                <w:b w:val="1"/>
                <w:bCs w:val="1"/>
                <w:color w:val="auto"/>
              </w:rPr>
              <w:t>ZoomSystems)</w:t>
            </w:r>
          </w:p>
        </w:tc>
        <w:tc>
          <w:tcPr>
            <w:tcW w:w="380" w:type="dxa"/>
            <w:vAlign w:val="bottom"/>
            <w:tcBorders>
              <w:top w:val="single" w:sz="8" w:color="CCFFCC"/>
            </w:tcBorders>
            <w:gridSpan w:val="2"/>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24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92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80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CCFFCC"/>
              <w:left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80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CCFFCC"/>
              <w:left w:val="single" w:sz="8" w:color="CCFFCC"/>
            </w:tcBorders>
            <w:shd w:val="clear" w:color="auto" w:fill="CCFFCC"/>
          </w:tcPr>
          <w:p>
            <w:pPr>
              <w:spacing w:after="0"/>
              <w:rPr>
                <w:sz w:val="15"/>
                <w:szCs w:val="15"/>
                <w:color w:val="auto"/>
              </w:rPr>
            </w:pPr>
          </w:p>
        </w:tc>
        <w:tc>
          <w:tcPr>
            <w:tcW w:w="48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CCFFCC"/>
            </w:tcBorders>
            <w:shd w:val="clear" w:color="auto" w:fill="CCFFCC"/>
          </w:tcPr>
          <w:p>
            <w:pPr>
              <w:spacing w:after="0"/>
              <w:rPr>
                <w:sz w:val="15"/>
                <w:szCs w:val="15"/>
                <w:color w:val="auto"/>
              </w:rPr>
            </w:pPr>
          </w:p>
        </w:tc>
      </w:tr>
      <w:tr>
        <w:trPr>
          <w:trHeight w:val="21"/>
        </w:trPr>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4"/>
              </w:rPr>
              <w:t>Smart e-tail (Retail)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1,250,000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260,476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262,500</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0.11%</w:t>
            </w:r>
          </w:p>
        </w:tc>
      </w:tr>
      <w:tr>
        <w:trPr>
          <w:trHeight w:val="162"/>
        </w:trPr>
        <w:tc>
          <w:tcPr>
            <w:tcW w:w="1960" w:type="dxa"/>
            <w:vAlign w:val="bottom"/>
            <w:tcBorders>
              <w:left w:val="single" w:sz="8" w:color="CCFFCC"/>
            </w:tcBorders>
            <w:gridSpan w:val="8"/>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Neuron Fuel, Inc.</w:t>
            </w:r>
          </w:p>
        </w:tc>
        <w:tc>
          <w:tcPr>
            <w:tcW w:w="6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89"/>
              </w:rPr>
              <w:t>San Jose, CA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8"/>
          </w:tcPr>
          <w:p>
            <w:pPr>
              <w:ind w:left="20"/>
              <w:spacing w:after="0"/>
              <w:rPr>
                <w:sz w:val="20"/>
                <w:szCs w:val="20"/>
                <w:color w:val="auto"/>
              </w:rPr>
            </w:pPr>
            <w:r>
              <w:rPr>
                <w:rFonts w:ascii="Arial" w:cs="Arial" w:eastAsia="Arial" w:hAnsi="Arial"/>
                <w:sz w:val="16"/>
                <w:szCs w:val="16"/>
                <w:color w:val="auto"/>
                <w:w w:val="94"/>
              </w:rPr>
              <w:t>Preferred shares, Series AAI</w:t>
            </w:r>
          </w:p>
        </w:tc>
        <w:tc>
          <w:tcPr>
            <w:tcW w:w="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2"/>
              </w:rPr>
              <w:t>Computer Software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250,000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262,530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250,000</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0.10%</w:t>
            </w:r>
          </w:p>
        </w:tc>
      </w:tr>
      <w:tr>
        <w:trPr>
          <w:trHeight w:val="162"/>
        </w:trPr>
        <w:tc>
          <w:tcPr>
            <w:tcW w:w="1960" w:type="dxa"/>
            <w:vAlign w:val="bottom"/>
            <w:tcBorders>
              <w:left w:val="single" w:sz="8" w:color="CCFFCC"/>
            </w:tcBorders>
            <w:gridSpan w:val="8"/>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Odesk Corporation</w:t>
            </w:r>
          </w:p>
        </w:tc>
        <w:tc>
          <w:tcPr>
            <w:tcW w:w="6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8"/>
          </w:tcPr>
          <w:p>
            <w:pPr>
              <w:ind w:left="20"/>
              <w:spacing w:after="0"/>
              <w:rPr>
                <w:sz w:val="20"/>
                <w:szCs w:val="20"/>
                <w:color w:val="auto"/>
              </w:rPr>
            </w:pPr>
            <w:r>
              <w:rPr>
                <w:rFonts w:ascii="Arial" w:cs="Arial" w:eastAsia="Arial" w:hAnsi="Arial"/>
                <w:sz w:val="16"/>
                <w:szCs w:val="16"/>
                <w:color w:val="auto"/>
              </w:rPr>
              <w:t>Common Stock</w:t>
            </w:r>
          </w:p>
        </w:tc>
        <w:tc>
          <w:tcPr>
            <w:tcW w:w="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4"/>
              </w:rPr>
              <w:t>Online Workplace Platform</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183,269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180,000</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0.07%</w:t>
            </w:r>
          </w:p>
        </w:tc>
      </w:tr>
      <w:tr>
        <w:trPr>
          <w:trHeight w:val="20"/>
        </w:trPr>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960" w:type="dxa"/>
            <w:vAlign w:val="bottom"/>
            <w:tcBorders>
              <w:left w:val="single" w:sz="8" w:color="CCFFCC"/>
            </w:tcBorders>
            <w:gridSpan w:val="8"/>
            <w:shd w:val="clear" w:color="auto" w:fill="CCFFCC"/>
          </w:tcPr>
          <w:p>
            <w:pPr>
              <w:ind w:left="20"/>
              <w:spacing w:after="0"/>
              <w:rPr>
                <w:sz w:val="20"/>
                <w:szCs w:val="20"/>
                <w:color w:val="auto"/>
              </w:rPr>
            </w:pPr>
            <w:r>
              <w:rPr>
                <w:rFonts w:ascii="Arial" w:cs="Arial" w:eastAsia="Arial" w:hAnsi="Arial"/>
                <w:sz w:val="16"/>
                <w:szCs w:val="16"/>
                <w:b w:val="1"/>
                <w:bCs w:val="1"/>
                <w:color w:val="auto"/>
                <w:w w:val="93"/>
              </w:rPr>
              <w:t>Total Portfolio Investments</w:t>
            </w:r>
          </w:p>
        </w:tc>
        <w:tc>
          <w:tcPr>
            <w:tcW w:w="6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7"/>
              </w:rPr>
              <w:t>245,295,528</w:t>
            </w:r>
          </w:p>
        </w:tc>
        <w:tc>
          <w:tcPr>
            <w:tcW w:w="12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7"/>
              </w:rPr>
              <w:t>244,198,486</w:t>
            </w:r>
          </w:p>
        </w:tc>
        <w:tc>
          <w:tcPr>
            <w:tcW w:w="80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98.23%</w:t>
            </w:r>
          </w:p>
        </w:tc>
      </w:tr>
      <w:tr>
        <w:trPr>
          <w:trHeight w:val="20"/>
        </w:trPr>
        <w:tc>
          <w:tcPr>
            <w:tcW w:w="2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4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1960" w:type="dxa"/>
            <w:vAlign w:val="bottom"/>
            <w:gridSpan w:val="8"/>
          </w:tcPr>
          <w:p>
            <w:pPr>
              <w:ind w:left="20"/>
              <w:spacing w:after="0"/>
              <w:rPr>
                <w:sz w:val="20"/>
                <w:szCs w:val="20"/>
                <w:color w:val="auto"/>
              </w:rPr>
            </w:pPr>
            <w:r>
              <w:rPr>
                <w:rFonts w:ascii="Arial" w:cs="Arial" w:eastAsia="Arial" w:hAnsi="Arial"/>
                <w:sz w:val="16"/>
                <w:szCs w:val="16"/>
                <w:b w:val="1"/>
                <w:bCs w:val="1"/>
                <w:color w:val="auto"/>
              </w:rPr>
              <w:t>Total Investments</w:t>
            </w:r>
          </w:p>
        </w:tc>
        <w:tc>
          <w:tcPr>
            <w:tcW w:w="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245,295,528</w:t>
            </w: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244,198,486</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98.23%</w:t>
            </w:r>
          </w:p>
        </w:tc>
      </w:tr>
      <w:tr>
        <w:trPr>
          <w:trHeight w:val="21"/>
        </w:trPr>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-2348865</wp:posOffset>
            </wp:positionV>
            <wp:extent cx="521398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-1534160</wp:posOffset>
            </wp:positionV>
            <wp:extent cx="521398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-351155</wp:posOffset>
            </wp:positionV>
            <wp:extent cx="521398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440" w:right="539" w:hanging="322"/>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440" w:hanging="367"/>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is income producing.</w:t>
      </w:r>
    </w:p>
    <w:p>
      <w:pPr>
        <w:spacing w:after="0" w:line="117" w:lineRule="exact"/>
        <w:rPr>
          <w:rFonts w:ascii="Arial" w:cs="Arial" w:eastAsia="Arial" w:hAnsi="Arial"/>
          <w:sz w:val="18"/>
          <w:szCs w:val="18"/>
          <w:color w:val="auto"/>
        </w:rPr>
      </w:pPr>
    </w:p>
    <w:p>
      <w:pPr>
        <w:jc w:val="both"/>
        <w:ind w:left="440" w:right="519" w:hanging="367"/>
        <w:spacing w:after="0" w:line="286"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57" w:lineRule="exact"/>
        <w:rPr>
          <w:rFonts w:ascii="Arial" w:cs="Arial" w:eastAsia="Arial" w:hAnsi="Arial"/>
          <w:sz w:val="17"/>
          <w:szCs w:val="17"/>
          <w:color w:val="auto"/>
        </w:rPr>
      </w:pPr>
    </w:p>
    <w:p>
      <w:pPr>
        <w:ind w:left="440" w:right="519" w:hanging="367"/>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GSV Capital Corp.’s investment in Avenues World Holdings LLC is held through its wholly-owned subsidiary GSVC AV Holdings, Inc.</w:t>
      </w:r>
    </w:p>
    <w:p>
      <w:pPr>
        <w:spacing w:after="0" w:line="62" w:lineRule="exact"/>
        <w:rPr>
          <w:rFonts w:ascii="Arial" w:cs="Arial" w:eastAsia="Arial" w:hAnsi="Arial"/>
          <w:sz w:val="18"/>
          <w:szCs w:val="18"/>
          <w:color w:val="auto"/>
        </w:rPr>
      </w:pPr>
    </w:p>
    <w:p>
      <w:pPr>
        <w:ind w:left="440" w:right="539" w:hanging="367"/>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wholly-owned subsidiary GSVC WS Holdings, Inc.</w:t>
      </w:r>
    </w:p>
    <w:p>
      <w:pPr>
        <w:spacing w:after="0" w:line="62" w:lineRule="exact"/>
        <w:rPr>
          <w:rFonts w:ascii="Arial" w:cs="Arial" w:eastAsia="Arial" w:hAnsi="Arial"/>
          <w:sz w:val="18"/>
          <w:szCs w:val="18"/>
          <w:color w:val="auto"/>
        </w:rPr>
      </w:pPr>
    </w:p>
    <w:p>
      <w:pPr>
        <w:ind w:left="440" w:hanging="367"/>
        <w:spacing w:after="0"/>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440" w:right="539" w:hanging="367"/>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GSV Capital Corp.’s investment in NestGSV Silicon Valley, LLC is held through its wholly-owned subsidiary GSVC NG Holdings, Inc.</w:t>
      </w:r>
    </w:p>
    <w:p>
      <w:pPr>
        <w:spacing w:after="0" w:line="62" w:lineRule="exact"/>
        <w:rPr>
          <w:rFonts w:ascii="Arial" w:cs="Arial" w:eastAsia="Arial" w:hAnsi="Arial"/>
          <w:sz w:val="18"/>
          <w:szCs w:val="18"/>
          <w:color w:val="auto"/>
        </w:rPr>
      </w:pPr>
    </w:p>
    <w:p>
      <w:pPr>
        <w:jc w:val="both"/>
        <w:ind w:left="440" w:right="519" w:hanging="367"/>
        <w:spacing w:after="0" w:line="264"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 Qualifying assets must represent at least 70% of GSV Capital Corp.’s total assets at the time of acquisition of any additional non-qualifying assets.</w:t>
      </w:r>
    </w:p>
    <w:p>
      <w:pPr>
        <w:spacing w:after="0" w:line="73" w:lineRule="exact"/>
        <w:rPr>
          <w:rFonts w:ascii="Arial" w:cs="Arial" w:eastAsia="Arial" w:hAnsi="Arial"/>
          <w:sz w:val="18"/>
          <w:szCs w:val="18"/>
          <w:color w:val="auto"/>
        </w:rPr>
      </w:pPr>
    </w:p>
    <w:p>
      <w:pPr>
        <w:jc w:val="both"/>
        <w:ind w:left="440" w:right="519" w:hanging="367"/>
        <w:spacing w:after="0" w:line="259"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12, 2013, Silver Spring Networks, Inc. priced its initial public offering, selling 4,750,000 shares at a price of $17 per share. GSV Capital Corp.’s shares in Silver Spring Networks, Inc. are subject to a lock-up agreement that expires on September 8, 2013. At June 30, 2013, GSV Capital Corp. valued Silver Spring Networks, Inc. based on its June 30, 2013 closing price.</w:t>
      </w:r>
    </w:p>
    <w:p>
      <w:pPr>
        <w:spacing w:after="0" w:line="78" w:lineRule="exact"/>
        <w:rPr>
          <w:rFonts w:ascii="Arial" w:cs="Arial" w:eastAsia="Arial" w:hAnsi="Arial"/>
          <w:sz w:val="18"/>
          <w:szCs w:val="18"/>
          <w:color w:val="auto"/>
        </w:rPr>
      </w:pPr>
    </w:p>
    <w:p>
      <w:pPr>
        <w:ind w:left="440" w:hanging="367"/>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22, 2013, Control4 Corporation completed a 1:5.2 reverse stock split which has been reflected above.</w:t>
      </w:r>
    </w:p>
    <w:p>
      <w:pPr>
        <w:spacing w:after="0" w:line="117" w:lineRule="exact"/>
        <w:rPr>
          <w:sz w:val="20"/>
          <w:szCs w:val="20"/>
          <w:color w:val="auto"/>
        </w:rPr>
      </w:pPr>
    </w:p>
    <w:p>
      <w:pPr>
        <w:ind w:left="2940" w:right="2579" w:hanging="2912"/>
        <w:spacing w:after="0" w:line="936" w:lineRule="auto"/>
        <w:tabs>
          <w:tab w:leader="none" w:pos="438"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On July 31 2013, Grockit, Inc. changed its name to Learnist, Inc. Refer to note 9 for further detail. </w:t>
      </w:r>
      <w:r>
        <w:rPr>
          <w:rFonts w:ascii="Arial" w:cs="Arial" w:eastAsia="Arial" w:hAnsi="Arial"/>
          <w:sz w:val="17"/>
          <w:szCs w:val="17"/>
          <w:i w:val="1"/>
          <w:iCs w:val="1"/>
          <w:color w:val="auto"/>
        </w:rPr>
        <w:t>See Notes to the Consolidated Financial Statements.</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 w:name="page11"/>
    <w:bookmarkEnd w:id="1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left="1720" w:right="1360"/>
        <w:spacing w:after="0" w:line="257" w:lineRule="auto"/>
        <w:rPr>
          <w:sz w:val="20"/>
          <w:szCs w:val="20"/>
          <w:color w:val="auto"/>
        </w:rPr>
      </w:pPr>
      <w:r>
        <w:rPr>
          <w:rFonts w:ascii="Arial" w:cs="Arial" w:eastAsia="Arial" w:hAnsi="Arial"/>
          <w:sz w:val="18"/>
          <w:szCs w:val="18"/>
          <w:b w:val="1"/>
          <w:bCs w:val="1"/>
          <w:color w:val="auto"/>
        </w:rPr>
        <w:t>GSV CAPITAL CORP. AND SUBSIDIARY CONSOLIDATED SCHEDULE OF INVESTMENTS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1"/>
        </w:trPr>
        <w:tc>
          <w:tcPr>
            <w:tcW w:w="1960" w:type="dxa"/>
            <w:vAlign w:val="bottom"/>
            <w:gridSpan w:val="17"/>
          </w:tcPr>
          <w:p>
            <w:pPr>
              <w:ind w:left="20"/>
              <w:spacing w:after="0" w:line="141"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24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2"/>
              </w:rPr>
              <w:t>Shares/Capital</w:t>
            </w:r>
          </w:p>
        </w:tc>
        <w:tc>
          <w:tcPr>
            <w:tcW w:w="100" w:type="dxa"/>
            <w:vAlign w:val="bottom"/>
          </w:tcPr>
          <w:p>
            <w:pPr>
              <w:spacing w:after="0"/>
              <w:rPr>
                <w:sz w:val="12"/>
                <w:szCs w:val="12"/>
                <w:color w:val="auto"/>
              </w:rPr>
            </w:pPr>
          </w:p>
        </w:tc>
        <w:tc>
          <w:tcPr>
            <w:tcW w:w="820" w:type="dxa"/>
            <w:vAlign w:val="bottom"/>
          </w:tcPr>
          <w:p>
            <w:pPr>
              <w:ind w:left="300"/>
              <w:spacing w:after="0" w:line="141"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820" w:type="dxa"/>
            <w:vAlign w:val="bottom"/>
          </w:tcPr>
          <w:p>
            <w:pPr>
              <w:ind w:left="120"/>
              <w:spacing w:after="0" w:line="141" w:lineRule="exact"/>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Contribution</w:t>
            </w: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Twitter,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Social Communication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1,835,600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$31,755,821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$34,876,400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13.81%</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1,235,290</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1,235,000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0.49%</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32,991,111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36,111,400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14.30%</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w w:val="94"/>
              </w:rPr>
              <w:t>Palantir Technologies,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8"/>
              </w:rPr>
              <w:t>Palo Alto,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 Class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Cyber Security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7,145,690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20,051,479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20,150,846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7.98%</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G</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326,797</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1,008,968</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921,568</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0.36%</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21,060,447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21,072,414</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8.34%</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Violin Memory,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5"/>
              </w:rPr>
              <w:t>Mountain View,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Flash Memory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4,800,798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4,800,000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1.90%</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1,666,666</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9"/>
              </w:rPr>
              <w:t>10,018,045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9,999,996</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3.96%</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14,818,843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14,799,996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5.86%</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Dropbox,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Online Storage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760,000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8,641,153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8,360,000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3.31%</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w w:val="94"/>
              </w:rPr>
              <w:t>Preferred shares, Series A-1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552,486</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5,015,333</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6,077,346</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2.41%</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13,656,486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14,437,346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5.72%</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Chegg,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Santa Clara,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Textbook Rental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1,274,193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10,012,543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10,193,544</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4.03%</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F</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4,008,654</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4,000,000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1.58%</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14,021,197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14,193,544</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5.61%</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Avenues World Holdings</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720" w:type="dxa"/>
            <w:vAlign w:val="bottom"/>
            <w:tcBorders>
              <w:top w:val="single" w:sz="8" w:color="auto"/>
            </w:tcBorders>
            <w:gridSpan w:val="13"/>
            <w:shd w:val="clear" w:color="auto" w:fill="CCFFCC"/>
          </w:tcPr>
          <w:p>
            <w:pPr>
              <w:ind w:left="180"/>
              <w:spacing w:after="0" w:line="223" w:lineRule="exact"/>
              <w:rPr>
                <w:sz w:val="20"/>
                <w:szCs w:val="20"/>
                <w:color w:val="auto"/>
              </w:rPr>
            </w:pPr>
            <w:r>
              <w:rPr>
                <w:rFonts w:ascii="Arial" w:cs="Arial" w:eastAsia="Arial" w:hAnsi="Arial"/>
                <w:sz w:val="25"/>
                <w:szCs w:val="25"/>
                <w:b w:val="1"/>
                <w:bCs w:val="1"/>
                <w:color w:val="auto"/>
                <w:vertAlign w:val="subscript"/>
              </w:rPr>
              <w:t>LLC</w:t>
            </w:r>
            <w:r>
              <w:rPr>
                <w:rFonts w:ascii="Arial" w:cs="Arial" w:eastAsia="Arial" w:hAnsi="Arial"/>
                <w:sz w:val="12"/>
                <w:szCs w:val="12"/>
                <w:b w:val="1"/>
                <w:bCs w:val="1"/>
                <w:color w:val="auto"/>
              </w:rPr>
              <w:t>(5)</w:t>
            </w:r>
          </w:p>
        </w:tc>
        <w:tc>
          <w:tcPr>
            <w:tcW w:w="220" w:type="dxa"/>
            <w:vAlign w:val="bottom"/>
            <w:tcBorders>
              <w:top w:val="single" w:sz="8" w:color="CCFFCC"/>
            </w:tcBorders>
            <w:gridSpan w:val="3"/>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92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CCFFCC"/>
              <w:left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CCFFCC"/>
              <w:left w:val="single" w:sz="8" w:color="CCFFCC"/>
            </w:tcBorders>
            <w:shd w:val="clear" w:color="auto" w:fill="CCFFCC"/>
          </w:tcPr>
          <w:p>
            <w:pPr>
              <w:spacing w:after="0"/>
              <w:rPr>
                <w:sz w:val="19"/>
                <w:szCs w:val="19"/>
                <w:color w:val="auto"/>
              </w:rPr>
            </w:pPr>
          </w:p>
        </w:tc>
        <w:tc>
          <w:tcPr>
            <w:tcW w:w="480" w:type="dxa"/>
            <w:vAlign w:val="bottom"/>
            <w:tcBorders>
              <w:top w:val="single" w:sz="8" w:color="CCFFCC"/>
            </w:tcBorders>
            <w:shd w:val="clear" w:color="auto" w:fill="CCFFCC"/>
          </w:tcPr>
          <w:p>
            <w:pPr>
              <w:spacing w:after="0"/>
              <w:rPr>
                <w:sz w:val="19"/>
                <w:szCs w:val="19"/>
                <w:color w:val="auto"/>
              </w:rPr>
            </w:pPr>
          </w:p>
        </w:tc>
        <w:tc>
          <w:tcPr>
            <w:tcW w:w="20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w w:val="97"/>
              </w:rPr>
              <w:t>Preferred shares, Class A-1</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Globally-focused Private School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10,025,123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3.96%</w:t>
            </w:r>
          </w:p>
        </w:tc>
      </w:tr>
      <w:tr>
        <w:trPr>
          <w:trHeight w:val="162"/>
        </w:trPr>
        <w:tc>
          <w:tcPr>
            <w:tcW w:w="1960" w:type="dxa"/>
            <w:vAlign w:val="bottom"/>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Solexel,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rPr>
              <w:t>Milpitas, CA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9"/>
              </w:rPr>
              <w:t>Solar Power</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4,576,659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10,016,559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3.96%</w:t>
            </w:r>
          </w:p>
        </w:tc>
      </w:tr>
      <w:tr>
        <w:trPr>
          <w:trHeight w:val="162"/>
        </w:trPr>
        <w:tc>
          <w:tcPr>
            <w:tcW w:w="1960" w:type="dxa"/>
            <w:vAlign w:val="bottom"/>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2U, Inc. (f/k/a 2tor,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3"/>
              </w:rPr>
              <w:t>Landover, MD</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1,151,802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8,757,599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8,730,659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3.46%</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167,431</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1,273,125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1,269,127</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0.50%</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10,030,724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9,999,786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3.96%</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Kno,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Santa Clara,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6"/>
              </w:rPr>
              <w:t>Digital Textbooks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440,313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2,262,006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2,249,999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0.89%</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w w:val="94"/>
              </w:rPr>
              <w:t>Preferred shares, Series C-1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7,510,334</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7,500,000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2.97%</w:t>
            </w: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214,681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178,850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0.07%</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6"/>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9,987,021</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9,928,849</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3.93%</w:t>
            </w:r>
          </w:p>
        </w:tc>
      </w:tr>
      <w:tr>
        <w:trPr>
          <w:trHeight w:val="196"/>
        </w:trPr>
        <w:tc>
          <w:tcPr>
            <w:tcW w:w="1960" w:type="dxa"/>
            <w:vAlign w:val="bottom"/>
            <w:tcBorders>
              <w:top w:val="single" w:sz="8" w:color="CCFFCC"/>
            </w:tcBorders>
            <w:gridSpan w:val="17"/>
          </w:tcPr>
          <w:p>
            <w:pPr>
              <w:ind w:left="20"/>
              <w:spacing w:after="0" w:line="197" w:lineRule="exact"/>
              <w:rPr>
                <w:sz w:val="20"/>
                <w:szCs w:val="20"/>
                <w:color w:val="auto"/>
              </w:rPr>
            </w:pPr>
            <w:r>
              <w:rPr>
                <w:rFonts w:ascii="Arial" w:cs="Arial" w:eastAsia="Arial" w:hAnsi="Arial"/>
                <w:sz w:val="14"/>
                <w:szCs w:val="14"/>
                <w:b w:val="1"/>
                <w:bCs w:val="1"/>
                <w:color w:val="auto"/>
              </w:rPr>
              <w:t>Facebook, Inc.</w:t>
            </w:r>
            <w:r>
              <w:rPr>
                <w:rFonts w:ascii="Arial" w:cs="Arial" w:eastAsia="Arial" w:hAnsi="Arial"/>
                <w:sz w:val="22"/>
                <w:szCs w:val="22"/>
                <w:b w:val="1"/>
                <w:bCs w:val="1"/>
                <w:color w:val="auto"/>
                <w:vertAlign w:val="superscript"/>
              </w:rPr>
              <w:t>(3)(10)</w:t>
            </w:r>
          </w:p>
        </w:tc>
        <w:tc>
          <w:tcPr>
            <w:tcW w:w="80" w:type="dxa"/>
            <w:vAlign w:val="bottom"/>
            <w:tcBorders>
              <w:top w:val="single" w:sz="8" w:color="CCFFCC"/>
            </w:tcBorders>
          </w:tcPr>
          <w:p>
            <w:pPr>
              <w:spacing w:after="0"/>
              <w:rPr>
                <w:sz w:val="17"/>
                <w:szCs w:val="17"/>
                <w:color w:val="auto"/>
              </w:rPr>
            </w:pPr>
          </w:p>
        </w:tc>
        <w:tc>
          <w:tcPr>
            <w:tcW w:w="2460" w:type="dxa"/>
            <w:vAlign w:val="bottom"/>
            <w:tcBorders>
              <w:top w:val="single" w:sz="8" w:color="CCFFCC"/>
            </w:tcBorders>
          </w:tcPr>
          <w:p>
            <w:pPr>
              <w:jc w:val="center"/>
              <w:spacing w:after="0"/>
              <w:rPr>
                <w:sz w:val="20"/>
                <w:szCs w:val="20"/>
                <w:color w:val="auto"/>
              </w:rPr>
            </w:pPr>
            <w:r>
              <w:rPr>
                <w:rFonts w:ascii="Arial" w:cs="Arial" w:eastAsia="Arial" w:hAnsi="Arial"/>
                <w:sz w:val="16"/>
                <w:szCs w:val="16"/>
                <w:color w:val="auto"/>
                <w:w w:val="94"/>
              </w:rPr>
              <w:t>Menlo Park, CA</w:t>
            </w:r>
          </w:p>
        </w:tc>
        <w:tc>
          <w:tcPr>
            <w:tcW w:w="80" w:type="dxa"/>
            <w:vAlign w:val="bottom"/>
            <w:tcBorders>
              <w:top w:val="single" w:sz="8" w:color="CCFFCC"/>
            </w:tcBorders>
          </w:tcPr>
          <w:p>
            <w:pPr>
              <w:spacing w:after="0"/>
              <w:rPr>
                <w:sz w:val="17"/>
                <w:szCs w:val="17"/>
                <w:color w:val="auto"/>
              </w:rPr>
            </w:pPr>
          </w:p>
        </w:tc>
        <w:tc>
          <w:tcPr>
            <w:tcW w:w="92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Common shares, Class B</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Social Networking</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350,000</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10,472,294</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9,317,000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3.69%</w:t>
            </w:r>
          </w:p>
        </w:tc>
      </w:tr>
      <w:tr>
        <w:trPr>
          <w:trHeight w:val="203"/>
        </w:trPr>
        <w:tc>
          <w:tcPr>
            <w:tcW w:w="1960" w:type="dxa"/>
            <w:vAlign w:val="bottom"/>
            <w:gridSpan w:val="17"/>
          </w:tcPr>
          <w:p>
            <w:pPr>
              <w:ind w:left="20"/>
              <w:spacing w:after="0" w:line="202" w:lineRule="exact"/>
              <w:rPr>
                <w:sz w:val="20"/>
                <w:szCs w:val="20"/>
                <w:color w:val="auto"/>
              </w:rPr>
            </w:pPr>
            <w:r>
              <w:rPr>
                <w:rFonts w:ascii="Arial" w:cs="Arial" w:eastAsia="Arial" w:hAnsi="Arial"/>
                <w:sz w:val="14"/>
                <w:szCs w:val="14"/>
                <w:b w:val="1"/>
                <w:bCs w:val="1"/>
                <w:color w:val="auto"/>
              </w:rPr>
              <w:t>Control4 Corporation</w:t>
            </w:r>
            <w:r>
              <w:rPr>
                <w:rFonts w:ascii="Arial" w:cs="Arial" w:eastAsia="Arial" w:hAnsi="Arial"/>
                <w:sz w:val="23"/>
                <w:szCs w:val="23"/>
                <w:b w:val="1"/>
                <w:bCs w:val="1"/>
                <w:color w:val="auto"/>
                <w:vertAlign w:val="superscript"/>
              </w:rPr>
              <w:t>(14)</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Salt Lake City, UT</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Home Automation</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782,821</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7,011,025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7,123,667</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2.82%</w:t>
            </w:r>
          </w:p>
        </w:tc>
      </w:tr>
      <w:tr>
        <w:trPr>
          <w:trHeight w:val="203"/>
        </w:trPr>
        <w:tc>
          <w:tcPr>
            <w:tcW w:w="1960" w:type="dxa"/>
            <w:vAlign w:val="bottom"/>
            <w:gridSpan w:val="17"/>
          </w:tcPr>
          <w:p>
            <w:pPr>
              <w:ind w:left="20"/>
              <w:spacing w:after="0" w:line="202"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3"/>
                <w:szCs w:val="23"/>
                <w:b w:val="1"/>
                <w:bCs w:val="1"/>
                <w:color w:val="auto"/>
                <w:vertAlign w:val="superscript"/>
              </w:rPr>
              <w:t>(2)</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9"/>
              </w:rPr>
              <w:t>Carrollton, TX</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8"/>
              </w:rPr>
              <w:t>LED Lighting</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20,000,000</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5,023,748</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5,000,000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1.98%</w:t>
            </w:r>
          </w:p>
        </w:tc>
      </w:tr>
      <w:tr>
        <w:trPr>
          <w:trHeight w:val="162"/>
        </w:trPr>
        <w:tc>
          <w:tcPr>
            <w:tcW w:w="1960" w:type="dxa"/>
            <w:vAlign w:val="bottom"/>
            <w:gridSpan w:val="17"/>
          </w:tcPr>
          <w:p>
            <w:pPr>
              <w:ind w:left="20"/>
              <w:spacing w:after="0" w:line="162" w:lineRule="exact"/>
              <w:rPr>
                <w:sz w:val="20"/>
                <w:szCs w:val="20"/>
                <w:color w:val="auto"/>
              </w:rPr>
            </w:pPr>
            <w:r>
              <w:rPr>
                <w:rFonts w:ascii="Arial" w:cs="Arial" w:eastAsia="Arial" w:hAnsi="Arial"/>
                <w:sz w:val="16"/>
                <w:szCs w:val="16"/>
                <w:b w:val="1"/>
                <w:bCs w:val="1"/>
                <w:color w:val="auto"/>
                <w:w w:val="95"/>
              </w:rPr>
              <w:t>Learnist Inc, (f/k/a Grockit,</w:t>
            </w:r>
          </w:p>
        </w:tc>
        <w:tc>
          <w:tcPr>
            <w:tcW w:w="80" w:type="dxa"/>
            <w:vAlign w:val="bottom"/>
          </w:tcPr>
          <w:p>
            <w:pPr>
              <w:spacing w:after="0"/>
              <w:rPr>
                <w:sz w:val="14"/>
                <w:szCs w:val="14"/>
                <w:color w:val="auto"/>
              </w:rPr>
            </w:pPr>
          </w:p>
        </w:tc>
        <w:tc>
          <w:tcPr>
            <w:tcW w:w="2460" w:type="dxa"/>
            <w:vAlign w:val="bottom"/>
          </w:tcPr>
          <w:p>
            <w:pPr>
              <w:jc w:val="center"/>
              <w:spacing w:after="0" w:line="162" w:lineRule="exact"/>
              <w:rPr>
                <w:sz w:val="20"/>
                <w:szCs w:val="20"/>
                <w:color w:val="auto"/>
              </w:rPr>
            </w:pPr>
            <w:r>
              <w:rPr>
                <w:rFonts w:ascii="Arial" w:cs="Arial" w:eastAsia="Arial" w:hAnsi="Arial"/>
                <w:sz w:val="16"/>
                <w:szCs w:val="16"/>
                <w:color w:val="auto"/>
                <w:w w:val="91"/>
              </w:rPr>
              <w:t>San Francisco, CA</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920" w:type="dxa"/>
            <w:vAlign w:val="bottom"/>
            <w:tcBorders>
              <w:top w:val="single" w:sz="8" w:color="auto"/>
            </w:tcBorders>
            <w:gridSpan w:val="15"/>
          </w:tcPr>
          <w:p>
            <w:pPr>
              <w:ind w:left="180"/>
              <w:spacing w:after="0" w:line="223" w:lineRule="exact"/>
              <w:rPr>
                <w:sz w:val="20"/>
                <w:szCs w:val="20"/>
                <w:color w:val="auto"/>
              </w:rPr>
            </w:pPr>
            <w:r>
              <w:rPr>
                <w:rFonts w:ascii="Arial" w:cs="Arial" w:eastAsia="Arial" w:hAnsi="Arial"/>
                <w:sz w:val="25"/>
                <w:szCs w:val="25"/>
                <w:b w:val="1"/>
                <w:bCs w:val="1"/>
                <w:color w:val="auto"/>
                <w:vertAlign w:val="subscript"/>
              </w:rPr>
              <w:t>Inc.)</w:t>
            </w:r>
            <w:r>
              <w:rPr>
                <w:rFonts w:ascii="Arial" w:cs="Arial" w:eastAsia="Arial" w:hAnsi="Arial"/>
                <w:sz w:val="12"/>
                <w:szCs w:val="12"/>
                <w:b w:val="1"/>
                <w:bCs w:val="1"/>
                <w:color w:val="auto"/>
              </w:rPr>
              <w:t>(2)(13)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Online Test Preparation</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2,728,252</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2,005,945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2,373,579</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0.94%</w:t>
            </w: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E</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1,731,501</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1,503,670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1,506,406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0.60%</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6"/>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3,509,615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3,879,985</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1.54%</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-5668010</wp:posOffset>
            </wp:positionV>
            <wp:extent cx="521398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-5136515</wp:posOffset>
            </wp:positionV>
            <wp:extent cx="521398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-4604385</wp:posOffset>
            </wp:positionV>
            <wp:extent cx="521398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-4072890</wp:posOffset>
            </wp:positionV>
            <wp:extent cx="521398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-3541395</wp:posOffset>
            </wp:positionV>
            <wp:extent cx="521398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-2340610</wp:posOffset>
            </wp:positionV>
            <wp:extent cx="521398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-1543050</wp:posOffset>
            </wp:positionV>
            <wp:extent cx="521398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left="1720" w:right="900"/>
        <w:spacing w:after="0" w:line="257" w:lineRule="auto"/>
        <w:rPr>
          <w:sz w:val="20"/>
          <w:szCs w:val="20"/>
          <w:color w:val="auto"/>
        </w:rPr>
      </w:pPr>
      <w:r>
        <w:rPr>
          <w:rFonts w:ascii="Arial" w:cs="Arial" w:eastAsia="Arial" w:hAnsi="Arial"/>
          <w:sz w:val="18"/>
          <w:szCs w:val="18"/>
          <w:b w:val="1"/>
          <w:bCs w:val="1"/>
          <w:color w:val="auto"/>
        </w:rPr>
        <w:t>GSV CAPITAL CORP. AND SUBSIDIARY CONSOLIDATED SCHEDULE OF INVESTMENTS (continued)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41"/>
        </w:trPr>
        <w:tc>
          <w:tcPr>
            <w:tcW w:w="1960" w:type="dxa"/>
            <w:vAlign w:val="bottom"/>
            <w:gridSpan w:val="17"/>
          </w:tcPr>
          <w:p>
            <w:pPr>
              <w:ind w:left="20"/>
              <w:spacing w:after="0" w:line="141"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24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Headquarters/Industry</w:t>
            </w:r>
          </w:p>
        </w:tc>
        <w:tc>
          <w:tcPr>
            <w:tcW w:w="100" w:type="dxa"/>
            <w:vAlign w:val="bottom"/>
          </w:tcPr>
          <w:p>
            <w:pPr>
              <w:spacing w:after="0"/>
              <w:rPr>
                <w:sz w:val="12"/>
                <w:szCs w:val="12"/>
                <w:color w:val="auto"/>
              </w:rPr>
            </w:pPr>
          </w:p>
        </w:tc>
        <w:tc>
          <w:tcPr>
            <w:tcW w:w="920" w:type="dxa"/>
            <w:vAlign w:val="bottom"/>
          </w:tcPr>
          <w:p>
            <w:pPr>
              <w:jc w:val="right"/>
              <w:ind w:right="168"/>
              <w:spacing w:after="0" w:line="141"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80" w:type="dxa"/>
            <w:vAlign w:val="bottom"/>
          </w:tcPr>
          <w:p>
            <w:pPr>
              <w:jc w:val="right"/>
              <w:ind w:right="221"/>
              <w:spacing w:after="0" w:line="141" w:lineRule="exact"/>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880" w:type="dxa"/>
            <w:vAlign w:val="bottom"/>
          </w:tcPr>
          <w:p>
            <w:pPr>
              <w:jc w:val="right"/>
              <w:ind w:right="43"/>
              <w:spacing w:after="0" w:line="141"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 of Net</w:t>
            </w:r>
          </w:p>
        </w:tc>
      </w:tr>
      <w:tr>
        <w:trPr>
          <w:trHeight w:val="171"/>
        </w:trPr>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r>
      <w:tr>
        <w:trPr>
          <w:trHeight w:val="156"/>
        </w:trPr>
        <w:tc>
          <w:tcPr>
            <w:tcW w:w="1960" w:type="dxa"/>
            <w:vAlign w:val="bottom"/>
            <w:tcBorders>
              <w:left w:val="single" w:sz="8" w:color="CCFFCC"/>
            </w:tcBorders>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SugarCRM, Inc.</w:t>
            </w:r>
          </w:p>
        </w:tc>
        <w:tc>
          <w:tcPr>
            <w:tcW w:w="80" w:type="dxa"/>
            <w:vAlign w:val="bottom"/>
            <w:shd w:val="clear" w:color="auto" w:fill="CCFFCC"/>
          </w:tcPr>
          <w:p>
            <w:pPr>
              <w:spacing w:after="0"/>
              <w:rPr>
                <w:sz w:val="13"/>
                <w:szCs w:val="13"/>
                <w:color w:val="auto"/>
              </w:rPr>
            </w:pPr>
          </w:p>
        </w:tc>
        <w:tc>
          <w:tcPr>
            <w:tcW w:w="244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5"/>
              </w:rPr>
              <w:t>Cupertino, CA</w:t>
            </w:r>
          </w:p>
        </w:tc>
        <w:tc>
          <w:tcPr>
            <w:tcW w:w="10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4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1"/>
              </w:rPr>
              <w:t>Customer Relationship Manager</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1,086,047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$ 3,813,378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$ 3,801,165</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1.50%</w:t>
            </w:r>
          </w:p>
        </w:tc>
      </w:tr>
      <w:tr>
        <w:trPr>
          <w:trHeight w:val="162"/>
        </w:trPr>
        <w:tc>
          <w:tcPr>
            <w:tcW w:w="1960" w:type="dxa"/>
            <w:vAlign w:val="bottom"/>
            <w:tcBorders>
              <w:left w:val="single" w:sz="8" w:color="CCFFCC"/>
            </w:tcBorders>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Gilt Groupe, Inc.</w:t>
            </w:r>
          </w:p>
        </w:tc>
        <w:tc>
          <w:tcPr>
            <w:tcW w:w="8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7"/>
              </w:rPr>
              <w:t>New York, NY</w:t>
            </w: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89"/>
              </w:rPr>
              <w:t>e-Commerce Flash Sales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248,600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6,594,346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3,637,329</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1.44%</w:t>
            </w:r>
          </w:p>
        </w:tc>
      </w:tr>
      <w:tr>
        <w:trPr>
          <w:trHeight w:val="203"/>
        </w:trPr>
        <w:tc>
          <w:tcPr>
            <w:tcW w:w="1960" w:type="dxa"/>
            <w:vAlign w:val="bottom"/>
            <w:tcBorders>
              <w:left w:val="single" w:sz="8" w:color="CCFFCC"/>
            </w:tcBorders>
            <w:gridSpan w:val="17"/>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Spotify Technology S.A.</w:t>
            </w:r>
            <w:r>
              <w:rPr>
                <w:rFonts w:ascii="Arial" w:cs="Arial" w:eastAsia="Arial" w:hAnsi="Arial"/>
                <w:sz w:val="23"/>
                <w:szCs w:val="23"/>
                <w:b w:val="1"/>
                <w:bCs w:val="1"/>
                <w:color w:val="auto"/>
                <w:vertAlign w:val="superscript"/>
              </w:rPr>
              <w:t>(10)</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Stockholm, Sweden</w:t>
            </w: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2"/>
              </w:rPr>
              <w:t>Music Streaming Service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3,598,472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3,589,669</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1.42%</w:t>
            </w:r>
          </w:p>
        </w:tc>
      </w:tr>
      <w:tr>
        <w:trPr>
          <w:trHeight w:val="162"/>
        </w:trPr>
        <w:tc>
          <w:tcPr>
            <w:tcW w:w="1960" w:type="dxa"/>
            <w:vAlign w:val="bottom"/>
            <w:tcBorders>
              <w:left w:val="single" w:sz="8" w:color="CCFFCC"/>
            </w:tcBorders>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ZocDoc Inc.</w:t>
            </w:r>
          </w:p>
        </w:tc>
        <w:tc>
          <w:tcPr>
            <w:tcW w:w="8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7"/>
              </w:rPr>
              <w:t>New York, NY</w:t>
            </w: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Online Medical Scheduling</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3,563,178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3,500,000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1.38%</w:t>
            </w:r>
          </w:p>
        </w:tc>
      </w:tr>
      <w:tr>
        <w:trPr>
          <w:trHeight w:val="162"/>
        </w:trPr>
        <w:tc>
          <w:tcPr>
            <w:tcW w:w="1960" w:type="dxa"/>
            <w:vAlign w:val="bottom"/>
            <w:tcBorders>
              <w:left w:val="single" w:sz="8" w:color="CCFFCC"/>
            </w:tcBorders>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w w:val="93"/>
              </w:rPr>
              <w:t>Bloom Energy Corporation</w:t>
            </w:r>
          </w:p>
        </w:tc>
        <w:tc>
          <w:tcPr>
            <w:tcW w:w="8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4"/>
              </w:rPr>
              <w:t>Sunnyvale, CA</w:t>
            </w: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2"/>
              </w:rPr>
              <w:t>Fuel Cell Energy</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201,589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3,855,601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3,225,424</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1.28%</w:t>
            </w:r>
          </w:p>
        </w:tc>
      </w:tr>
      <w:tr>
        <w:trPr>
          <w:trHeight w:val="162"/>
        </w:trPr>
        <w:tc>
          <w:tcPr>
            <w:tcW w:w="1960" w:type="dxa"/>
            <w:vAlign w:val="bottom"/>
            <w:tcBorders>
              <w:left w:val="single" w:sz="8" w:color="CCFFCC"/>
            </w:tcBorders>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w w:val="94"/>
              </w:rPr>
              <w:t>Global Education Learning</w:t>
            </w:r>
          </w:p>
        </w:tc>
        <w:tc>
          <w:tcPr>
            <w:tcW w:w="8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4"/>
              </w:rPr>
              <w:t>Hong Kong</w:t>
            </w: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23"/>
        </w:trPr>
        <w:tc>
          <w:tcPr>
            <w:tcW w:w="1920" w:type="dxa"/>
            <w:vAlign w:val="bottom"/>
            <w:tcBorders>
              <w:top w:val="single" w:sz="8" w:color="auto"/>
              <w:left w:val="single" w:sz="8" w:color="CCFFCC"/>
            </w:tcBorders>
            <w:gridSpan w:val="16"/>
            <w:shd w:val="clear" w:color="auto" w:fill="CCFFCC"/>
          </w:tcPr>
          <w:p>
            <w:pPr>
              <w:ind w:left="200"/>
              <w:spacing w:after="0" w:line="223" w:lineRule="exact"/>
              <w:rPr>
                <w:sz w:val="20"/>
                <w:szCs w:val="20"/>
                <w:color w:val="auto"/>
              </w:rPr>
            </w:pPr>
            <w:r>
              <w:rPr>
                <w:rFonts w:ascii="Arial" w:cs="Arial" w:eastAsia="Arial" w:hAnsi="Arial"/>
                <w:sz w:val="15"/>
                <w:szCs w:val="15"/>
                <w:b w:val="1"/>
                <w:bCs w:val="1"/>
                <w:color w:val="auto"/>
              </w:rPr>
              <w:t>(Holdings) Ltd.</w:t>
            </w:r>
            <w:r>
              <w:rPr>
                <w:rFonts w:ascii="Arial" w:cs="Arial" w:eastAsia="Arial" w:hAnsi="Arial"/>
                <w:sz w:val="25"/>
                <w:szCs w:val="25"/>
                <w:b w:val="1"/>
                <w:bCs w:val="1"/>
                <w:color w:val="auto"/>
                <w:vertAlign w:val="superscript"/>
              </w:rPr>
              <w:t>(2)(10)</w:t>
            </w:r>
          </w:p>
        </w:tc>
        <w:tc>
          <w:tcPr>
            <w:tcW w:w="4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4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92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80" w:type="dxa"/>
            <w:vAlign w:val="bottom"/>
            <w:tcBorders>
              <w:top w:val="single" w:sz="8" w:color="CCFFCC"/>
              <w:right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80" w:type="dxa"/>
            <w:vAlign w:val="bottom"/>
            <w:tcBorders>
              <w:top w:val="single" w:sz="8" w:color="CCFFCC"/>
              <w:right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4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r>
      <w:tr>
        <w:trPr>
          <w:trHeight w:val="21"/>
        </w:trPr>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2"/>
              </w:rPr>
              <w:t>Education Technology</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1,472,175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2,999,998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3,003,237</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1.19%</w:t>
            </w:r>
          </w:p>
        </w:tc>
      </w:tr>
      <w:tr>
        <w:trPr>
          <w:trHeight w:val="162"/>
        </w:trPr>
        <w:tc>
          <w:tcPr>
            <w:tcW w:w="1960" w:type="dxa"/>
            <w:vAlign w:val="bottom"/>
            <w:tcBorders>
              <w:left w:val="single" w:sz="8" w:color="CCFFCC"/>
            </w:tcBorders>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Parchment, Inc.</w:t>
            </w:r>
          </w:p>
        </w:tc>
        <w:tc>
          <w:tcPr>
            <w:tcW w:w="8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2"/>
              </w:rPr>
              <w:t>Scottsdale, AZ</w:t>
            </w: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2"/>
              </w:rPr>
              <w:t>E-Transcript Exchange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2,400,384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3,000,480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1.19%</w:t>
            </w:r>
          </w:p>
        </w:tc>
      </w:tr>
      <w:tr>
        <w:trPr>
          <w:trHeight w:val="203"/>
        </w:trPr>
        <w:tc>
          <w:tcPr>
            <w:tcW w:w="1960" w:type="dxa"/>
            <w:vAlign w:val="bottom"/>
            <w:tcBorders>
              <w:left w:val="single" w:sz="8" w:color="CCFFCC"/>
            </w:tcBorders>
            <w:gridSpan w:val="17"/>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(2)(6)</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7"/>
              </w:rPr>
              <w:t>New York, NY</w:t>
            </w: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Globally-focused Private School</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1.19%</w:t>
            </w:r>
          </w:p>
        </w:tc>
      </w:tr>
      <w:tr>
        <w:trPr>
          <w:trHeight w:val="203"/>
        </w:trPr>
        <w:tc>
          <w:tcPr>
            <w:tcW w:w="1960" w:type="dxa"/>
            <w:vAlign w:val="bottom"/>
            <w:tcBorders>
              <w:left w:val="single" w:sz="8" w:color="CCFFCC"/>
            </w:tcBorders>
            <w:gridSpan w:val="17"/>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3"/>
                <w:szCs w:val="23"/>
                <w:b w:val="1"/>
                <w:bCs w:val="1"/>
                <w:color w:val="auto"/>
                <w:vertAlign w:val="superscript"/>
              </w:rPr>
              <w:t>(2)(7)</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Scottsdale, AZ</w:t>
            </w: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Interactive Learning Platform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3,279,629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2,019,687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2,545,812</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1.01%</w:t>
            </w:r>
          </w:p>
        </w:tc>
      </w:tr>
      <w:tr>
        <w:trPr>
          <w:trHeight w:val="162"/>
        </w:trPr>
        <w:tc>
          <w:tcPr>
            <w:tcW w:w="1960" w:type="dxa"/>
            <w:vAlign w:val="bottom"/>
            <w:tcBorders>
              <w:left w:val="single" w:sz="8" w:color="CCFFCC"/>
            </w:tcBorders>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SharesPost, Inc.</w:t>
            </w:r>
          </w:p>
        </w:tc>
        <w:tc>
          <w:tcPr>
            <w:tcW w:w="8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3"/>
              </w:rPr>
              <w:t>San Bruno, CA</w:t>
            </w: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Online Marketplace (Finance)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1,771,653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2,257,984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2,249,999</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0.89%</w:t>
            </w:r>
          </w:p>
        </w:tc>
      </w:tr>
      <w:tr>
        <w:trPr>
          <w:trHeight w:val="193"/>
        </w:trPr>
        <w:tc>
          <w:tcPr>
            <w:tcW w:w="1960" w:type="dxa"/>
            <w:vAlign w:val="bottom"/>
            <w:tcBorders>
              <w:left w:val="single" w:sz="8" w:color="CCFFCC"/>
            </w:tcBorders>
            <w:gridSpan w:val="17"/>
            <w:shd w:val="clear" w:color="auto" w:fill="CCFFCC"/>
          </w:tcPr>
          <w:p>
            <w:pPr>
              <w:ind w:left="20"/>
              <w:spacing w:after="0"/>
              <w:rPr>
                <w:sz w:val="20"/>
                <w:szCs w:val="20"/>
                <w:color w:val="auto"/>
              </w:rPr>
            </w:pPr>
            <w:r>
              <w:rPr>
                <w:rFonts w:ascii="Arial" w:cs="Arial" w:eastAsia="Arial" w:hAnsi="Arial"/>
                <w:sz w:val="16"/>
                <w:szCs w:val="16"/>
                <w:color w:val="auto"/>
              </w:rPr>
              <w:t>Common warrants, $0.13</w:t>
            </w:r>
          </w:p>
        </w:tc>
        <w:tc>
          <w:tcPr>
            <w:tcW w:w="8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770,934</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23,128</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123,349</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0.05%</w:t>
            </w:r>
          </w:p>
        </w:tc>
      </w:tr>
      <w:tr>
        <w:trPr>
          <w:trHeight w:val="203"/>
        </w:trPr>
        <w:tc>
          <w:tcPr>
            <w:tcW w:w="1960" w:type="dxa"/>
            <w:vAlign w:val="bottom"/>
            <w:tcBorders>
              <w:left w:val="single" w:sz="8" w:color="CCFFCC"/>
            </w:tcBorders>
            <w:gridSpan w:val="17"/>
            <w:shd w:val="clear" w:color="auto" w:fill="CCFFCC"/>
          </w:tcPr>
          <w:p>
            <w:pPr>
              <w:ind w:left="200"/>
              <w:spacing w:after="0"/>
              <w:rPr>
                <w:sz w:val="20"/>
                <w:szCs w:val="20"/>
                <w:color w:val="auto"/>
              </w:rPr>
            </w:pPr>
            <w:r>
              <w:rPr>
                <w:rFonts w:ascii="Arial" w:cs="Arial" w:eastAsia="Arial" w:hAnsi="Arial"/>
                <w:sz w:val="16"/>
                <w:szCs w:val="16"/>
                <w:color w:val="auto"/>
              </w:rPr>
              <w:t>strike price, expire</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09"/>
        </w:trPr>
        <w:tc>
          <w:tcPr>
            <w:tcW w:w="940" w:type="dxa"/>
            <w:vAlign w:val="bottom"/>
            <w:tcBorders>
              <w:left w:val="single" w:sz="8" w:color="CCFFCC"/>
              <w:bottom w:val="single" w:sz="8" w:color="CCFFCC"/>
            </w:tcBorders>
            <w:gridSpan w:val="3"/>
            <w:shd w:val="clear" w:color="auto" w:fill="CCFFCC"/>
          </w:tcPr>
          <w:p>
            <w:pPr>
              <w:ind w:left="200"/>
              <w:spacing w:after="0"/>
              <w:rPr>
                <w:sz w:val="20"/>
                <w:szCs w:val="20"/>
                <w:color w:val="auto"/>
              </w:rPr>
            </w:pPr>
            <w:r>
              <w:rPr>
                <w:rFonts w:ascii="Arial" w:cs="Arial" w:eastAsia="Arial" w:hAnsi="Arial"/>
                <w:sz w:val="16"/>
                <w:szCs w:val="16"/>
                <w:color w:val="auto"/>
              </w:rPr>
              <w:t>6/15/2018</w:t>
            </w: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r>
      <w:tr>
        <w:trPr>
          <w:trHeight w:val="199"/>
        </w:trPr>
        <w:tc>
          <w:tcPr>
            <w:tcW w:w="1960" w:type="dxa"/>
            <w:vAlign w:val="bottom"/>
            <w:gridSpan w:val="17"/>
          </w:tcPr>
          <w:p>
            <w:pPr>
              <w:ind w:left="20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2,281,112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2,373,348</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0.94%</w:t>
            </w:r>
          </w:p>
        </w:tc>
      </w:tr>
      <w:tr>
        <w:trPr>
          <w:trHeight w:val="196"/>
        </w:trPr>
        <w:tc>
          <w:tcPr>
            <w:tcW w:w="1960" w:type="dxa"/>
            <w:vAlign w:val="bottom"/>
            <w:tcBorders>
              <w:left w:val="single" w:sz="8" w:color="CCFFCC"/>
            </w:tcBorders>
            <w:gridSpan w:val="17"/>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Maven Research,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4"/>
              </w:rPr>
              <w:t>Knowledge Networks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49,505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217,206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310,396</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0.12%</w:t>
            </w:r>
          </w:p>
        </w:tc>
      </w:tr>
      <w:tr>
        <w:trPr>
          <w:trHeight w:val="203"/>
        </w:trPr>
        <w:tc>
          <w:tcPr>
            <w:tcW w:w="1960" w:type="dxa"/>
            <w:vAlign w:val="bottom"/>
            <w:tcBorders>
              <w:left w:val="single" w:sz="8" w:color="CCFFCC"/>
            </w:tcBorders>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318,979</w:t>
            </w: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1,999,998</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1,999,998</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0.79%</w:t>
            </w:r>
          </w:p>
        </w:tc>
      </w:tr>
      <w:tr>
        <w:trPr>
          <w:trHeight w:val="20"/>
        </w:trPr>
        <w:tc>
          <w:tcPr>
            <w:tcW w:w="200" w:type="dxa"/>
            <w:vAlign w:val="bottom"/>
            <w:tcBorders>
              <w:left w:val="single" w:sz="8" w:color="CCFFCC"/>
            </w:tcBorders>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1960" w:type="dxa"/>
            <w:vAlign w:val="bottom"/>
            <w:gridSpan w:val="17"/>
          </w:tcPr>
          <w:p>
            <w:pPr>
              <w:ind w:left="20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2,217,204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2,310,394</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0.91%</w:t>
            </w:r>
          </w:p>
        </w:tc>
      </w:tr>
      <w:tr>
        <w:trPr>
          <w:trHeight w:val="196"/>
        </w:trPr>
        <w:tc>
          <w:tcPr>
            <w:tcW w:w="1960" w:type="dxa"/>
            <w:vAlign w:val="bottom"/>
            <w:tcBorders>
              <w:left w:val="single" w:sz="8" w:color="CCFFCC"/>
            </w:tcBorders>
            <w:gridSpan w:val="17"/>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Cambridge, MA</w:t>
            </w: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1"/>
              </w:rPr>
              <w:t>Business Education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1,196,809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2,250,001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2,250,001</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0.89%</w:t>
            </w:r>
          </w:p>
        </w:tc>
      </w:tr>
      <w:tr>
        <w:trPr>
          <w:trHeight w:val="162"/>
        </w:trPr>
        <w:tc>
          <w:tcPr>
            <w:tcW w:w="1960" w:type="dxa"/>
            <w:vAlign w:val="bottom"/>
            <w:tcBorders>
              <w:left w:val="single" w:sz="8" w:color="CCFFCC"/>
            </w:tcBorders>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Starfish Holdings, Inc.</w:t>
            </w:r>
          </w:p>
        </w:tc>
        <w:tc>
          <w:tcPr>
            <w:tcW w:w="8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9"/>
              </w:rPr>
              <w:t>Beverly Hills, CA</w:t>
            </w: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0"/>
        </w:trPr>
        <w:tc>
          <w:tcPr>
            <w:tcW w:w="940" w:type="dxa"/>
            <w:vAlign w:val="bottom"/>
            <w:tcBorders>
              <w:left w:val="single" w:sz="8" w:color="CCFFCC"/>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7"/>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CCFFCC"/>
          </w:tcPr>
          <w:p>
            <w:pPr>
              <w:spacing w:after="0" w:line="20" w:lineRule="exact"/>
              <w:rPr>
                <w:sz w:val="1"/>
                <w:szCs w:val="1"/>
                <w:color w:val="auto"/>
              </w:rPr>
            </w:pPr>
          </w:p>
        </w:tc>
        <w:tc>
          <w:tcPr>
            <w:tcW w:w="240" w:type="dxa"/>
            <w:vAlign w:val="bottom"/>
            <w:gridSpan w:val="2"/>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223"/>
        </w:trPr>
        <w:tc>
          <w:tcPr>
            <w:tcW w:w="1960" w:type="dxa"/>
            <w:vAlign w:val="bottom"/>
            <w:tcBorders>
              <w:left w:val="single" w:sz="8" w:color="CCFFCC"/>
            </w:tcBorders>
            <w:gridSpan w:val="17"/>
            <w:shd w:val="clear" w:color="auto" w:fill="CCFFCC"/>
          </w:tcPr>
          <w:p>
            <w:pPr>
              <w:ind w:left="200"/>
              <w:spacing w:after="0" w:line="223" w:lineRule="exact"/>
              <w:rPr>
                <w:sz w:val="20"/>
                <w:szCs w:val="20"/>
                <w:color w:val="auto"/>
              </w:rPr>
            </w:pPr>
            <w:r>
              <w:rPr>
                <w:rFonts w:ascii="Arial" w:cs="Arial" w:eastAsia="Arial" w:hAnsi="Arial"/>
                <w:sz w:val="15"/>
                <w:szCs w:val="15"/>
                <w:b w:val="1"/>
                <w:bCs w:val="1"/>
                <w:color w:val="auto"/>
                <w:w w:val="97"/>
              </w:rPr>
              <w:t>(d/b/a YourOffers)</w:t>
            </w:r>
            <w:r>
              <w:rPr>
                <w:rFonts w:ascii="Arial" w:cs="Arial" w:eastAsia="Arial" w:hAnsi="Arial"/>
                <w:sz w:val="25"/>
                <w:szCs w:val="25"/>
                <w:b w:val="1"/>
                <w:bCs w:val="1"/>
                <w:color w:val="auto"/>
                <w:w w:val="97"/>
                <w:vertAlign w:val="superscript"/>
              </w:rPr>
              <w:t>(2)(12)</w:t>
            </w:r>
          </w:p>
        </w:tc>
        <w:tc>
          <w:tcPr>
            <w:tcW w:w="80" w:type="dxa"/>
            <w:vAlign w:val="bottom"/>
            <w:shd w:val="clear" w:color="auto" w:fill="CCFFCC"/>
          </w:tcPr>
          <w:p>
            <w:pPr>
              <w:spacing w:after="0"/>
              <w:rPr>
                <w:sz w:val="19"/>
                <w:szCs w:val="19"/>
                <w:color w:val="auto"/>
              </w:rPr>
            </w:pPr>
          </w:p>
        </w:tc>
        <w:tc>
          <w:tcPr>
            <w:tcW w:w="24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80" w:type="dxa"/>
            <w:vAlign w:val="bottom"/>
            <w:tcBorders>
              <w:right w:val="single" w:sz="8" w:color="CCFFCC"/>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80" w:type="dxa"/>
            <w:vAlign w:val="bottom"/>
            <w:tcBorders>
              <w:right w:val="single" w:sz="8" w:color="CCFFCC"/>
            </w:tcBorders>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r>
      <w:tr>
        <w:trPr>
          <w:trHeight w:val="21"/>
        </w:trPr>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5"/>
              </w:rPr>
              <w:t>Marketing Platform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43,878,894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2,012,103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2,193,945</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0.87%</w:t>
            </w:r>
          </w:p>
        </w:tc>
      </w:tr>
      <w:tr>
        <w:trPr>
          <w:trHeight w:val="193"/>
        </w:trPr>
        <w:tc>
          <w:tcPr>
            <w:tcW w:w="1960" w:type="dxa"/>
            <w:vAlign w:val="bottom"/>
            <w:tcBorders>
              <w:left w:val="single" w:sz="8" w:color="CCFFCC"/>
            </w:tcBorders>
            <w:gridSpan w:val="17"/>
            <w:shd w:val="clear" w:color="auto" w:fill="CCFFCC"/>
          </w:tcPr>
          <w:p>
            <w:pPr>
              <w:ind w:left="20"/>
              <w:spacing w:after="0"/>
              <w:rPr>
                <w:sz w:val="20"/>
                <w:szCs w:val="20"/>
                <w:color w:val="auto"/>
              </w:rPr>
            </w:pPr>
            <w:r>
              <w:rPr>
                <w:rFonts w:ascii="Arial" w:cs="Arial" w:eastAsia="Arial" w:hAnsi="Arial"/>
                <w:sz w:val="16"/>
                <w:szCs w:val="16"/>
                <w:color w:val="auto"/>
                <w:w w:val="93"/>
              </w:rPr>
              <w:t>Common warrants, $0.00001</w:t>
            </w:r>
          </w:p>
        </w:tc>
        <w:tc>
          <w:tcPr>
            <w:tcW w:w="8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144,800,351</w:t>
            </w:r>
          </w:p>
        </w:tc>
        <w:tc>
          <w:tcPr>
            <w:tcW w:w="100" w:type="dxa"/>
            <w:vAlign w:val="bottom"/>
            <w:shd w:val="clear" w:color="auto" w:fill="CCFFCC"/>
          </w:tcPr>
          <w:p>
            <w:pPr>
              <w:spacing w:after="0"/>
              <w:rPr>
                <w:sz w:val="16"/>
                <w:szCs w:val="16"/>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1960" w:type="dxa"/>
            <w:vAlign w:val="bottom"/>
            <w:tcBorders>
              <w:left w:val="single" w:sz="8" w:color="CCFFCC"/>
            </w:tcBorders>
            <w:gridSpan w:val="17"/>
            <w:shd w:val="clear" w:color="auto" w:fill="CCFFCC"/>
          </w:tcPr>
          <w:p>
            <w:pPr>
              <w:ind w:left="200"/>
              <w:spacing w:after="0"/>
              <w:rPr>
                <w:sz w:val="20"/>
                <w:szCs w:val="20"/>
                <w:color w:val="auto"/>
              </w:rPr>
            </w:pPr>
            <w:r>
              <w:rPr>
                <w:rFonts w:ascii="Arial" w:cs="Arial" w:eastAsia="Arial" w:hAnsi="Arial"/>
                <w:sz w:val="16"/>
                <w:szCs w:val="16"/>
                <w:color w:val="auto"/>
              </w:rPr>
              <w:t>strike price, expire</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09"/>
        </w:trPr>
        <w:tc>
          <w:tcPr>
            <w:tcW w:w="940" w:type="dxa"/>
            <w:vAlign w:val="bottom"/>
            <w:tcBorders>
              <w:left w:val="single" w:sz="8" w:color="CCFFCC"/>
              <w:bottom w:val="single" w:sz="8" w:color="CCFFCC"/>
            </w:tcBorders>
            <w:gridSpan w:val="3"/>
            <w:shd w:val="clear" w:color="auto" w:fill="CCFFCC"/>
          </w:tcPr>
          <w:p>
            <w:pPr>
              <w:ind w:left="200"/>
              <w:spacing w:after="0"/>
              <w:rPr>
                <w:sz w:val="20"/>
                <w:szCs w:val="20"/>
                <w:color w:val="auto"/>
              </w:rPr>
            </w:pPr>
            <w:r>
              <w:rPr>
                <w:rFonts w:ascii="Arial" w:cs="Arial" w:eastAsia="Arial" w:hAnsi="Arial"/>
                <w:sz w:val="16"/>
                <w:szCs w:val="16"/>
                <w:color w:val="auto"/>
                <w:w w:val="89"/>
              </w:rPr>
              <w:t>11/13/2019</w:t>
            </w: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r>
      <w:tr>
        <w:trPr>
          <w:trHeight w:val="199"/>
        </w:trPr>
        <w:tc>
          <w:tcPr>
            <w:tcW w:w="1960" w:type="dxa"/>
            <w:vAlign w:val="bottom"/>
            <w:gridSpan w:val="17"/>
          </w:tcPr>
          <w:p>
            <w:pPr>
              <w:ind w:left="20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2,012,103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2,193,945</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0.87%</w:t>
            </w:r>
          </w:p>
        </w:tc>
      </w:tr>
      <w:tr>
        <w:trPr>
          <w:trHeight w:val="156"/>
        </w:trPr>
        <w:tc>
          <w:tcPr>
            <w:tcW w:w="1960" w:type="dxa"/>
            <w:vAlign w:val="bottom"/>
            <w:tcBorders>
              <w:left w:val="single" w:sz="8" w:color="CCFFCC"/>
            </w:tcBorders>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TrueCar, Inc.</w:t>
            </w:r>
          </w:p>
        </w:tc>
        <w:tc>
          <w:tcPr>
            <w:tcW w:w="80" w:type="dxa"/>
            <w:vAlign w:val="bottom"/>
            <w:shd w:val="clear" w:color="auto" w:fill="CCFFCC"/>
          </w:tcPr>
          <w:p>
            <w:pPr>
              <w:spacing w:after="0"/>
              <w:rPr>
                <w:sz w:val="13"/>
                <w:szCs w:val="13"/>
                <w:color w:val="auto"/>
              </w:rPr>
            </w:pPr>
          </w:p>
        </w:tc>
        <w:tc>
          <w:tcPr>
            <w:tcW w:w="244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3"/>
              </w:rPr>
              <w:t>Santa Monica, CA</w:t>
            </w:r>
          </w:p>
        </w:tc>
        <w:tc>
          <w:tcPr>
            <w:tcW w:w="10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40" w:type="dxa"/>
            <w:vAlign w:val="bottom"/>
            <w:tcBorders>
              <w:top w:val="single" w:sz="8" w:color="auto"/>
            </w:tcBorders>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Online Marketplace (Cars)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377,358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2,014,863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2,011,318</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0.79%</w:t>
            </w:r>
          </w:p>
        </w:tc>
      </w:tr>
      <w:tr>
        <w:trPr>
          <w:trHeight w:val="162"/>
        </w:trPr>
        <w:tc>
          <w:tcPr>
            <w:tcW w:w="1960" w:type="dxa"/>
            <w:vAlign w:val="bottom"/>
            <w:tcBorders>
              <w:left w:val="single" w:sz="8" w:color="CCFFCC"/>
            </w:tcBorders>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Dataminr, Inc.</w:t>
            </w:r>
          </w:p>
        </w:tc>
        <w:tc>
          <w:tcPr>
            <w:tcW w:w="8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7"/>
              </w:rPr>
              <w:t>New York, NY</w:t>
            </w: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4"/>
              </w:rPr>
              <w:t>Social Media Analytics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904,977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2,060,602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1,999,999</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0.79%</w:t>
            </w:r>
          </w:p>
        </w:tc>
      </w:tr>
      <w:tr>
        <w:trPr>
          <w:trHeight w:val="203"/>
        </w:trPr>
        <w:tc>
          <w:tcPr>
            <w:tcW w:w="1960" w:type="dxa"/>
            <w:vAlign w:val="bottom"/>
            <w:tcBorders>
              <w:left w:val="single" w:sz="8" w:color="CCFFCC"/>
            </w:tcBorders>
            <w:gridSpan w:val="17"/>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CUX, Inc. (d/b/a CorpU)</w:t>
            </w:r>
            <w:r>
              <w:rPr>
                <w:rFonts w:ascii="Arial" w:cs="Arial" w:eastAsia="Arial" w:hAnsi="Arial"/>
                <w:sz w:val="23"/>
                <w:szCs w:val="23"/>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6"/>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1"/>
              </w:rPr>
              <w:t>Corporate Education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246,305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2,006,077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1,999,997</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-2728595</wp:posOffset>
            </wp:positionV>
            <wp:extent cx="521398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-2171700</wp:posOffset>
            </wp:positionV>
            <wp:extent cx="521398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-944880</wp:posOffset>
            </wp:positionV>
            <wp:extent cx="521398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 w:name="page13"/>
    <w:bookmarkEnd w:id="1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left="1720" w:right="900"/>
        <w:spacing w:after="0" w:line="257" w:lineRule="auto"/>
        <w:rPr>
          <w:sz w:val="20"/>
          <w:szCs w:val="20"/>
          <w:color w:val="auto"/>
        </w:rPr>
      </w:pPr>
      <w:r>
        <w:rPr>
          <w:rFonts w:ascii="Arial" w:cs="Arial" w:eastAsia="Arial" w:hAnsi="Arial"/>
          <w:sz w:val="18"/>
          <w:szCs w:val="18"/>
          <w:b w:val="1"/>
          <w:bCs w:val="1"/>
          <w:color w:val="auto"/>
        </w:rPr>
        <w:t>GSV CAPITAL CORP. AND SUBSIDIARY CONSOLIDATED SCHEDULE OF INVESTMENTS (continued)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1"/>
        </w:trPr>
        <w:tc>
          <w:tcPr>
            <w:tcW w:w="1960" w:type="dxa"/>
            <w:vAlign w:val="bottom"/>
            <w:gridSpan w:val="19"/>
          </w:tcPr>
          <w:p>
            <w:pPr>
              <w:ind w:left="20"/>
              <w:spacing w:after="0" w:line="141"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24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92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0"/>
              </w:rPr>
              <w:t>Shares/Capital</w:t>
            </w: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1"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6"/>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Contribution</w:t>
            </w: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196"/>
        </w:trPr>
        <w:tc>
          <w:tcPr>
            <w:tcW w:w="1960" w:type="dxa"/>
            <w:vAlign w:val="bottom"/>
            <w:gridSpan w:val="19"/>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Dailybreak,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6"/>
              </w:rPr>
              <w:t>Boston, MA</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w w:val="94"/>
              </w:rPr>
              <w:t>Preferred shares, Series A-1</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Social Advertising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1,545,181</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$ 2,000,000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$ 1,993,283</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0.79%</w:t>
            </w:r>
          </w:p>
        </w:tc>
      </w:tr>
      <w:tr>
        <w:trPr>
          <w:trHeight w:val="162"/>
        </w:trPr>
        <w:tc>
          <w:tcPr>
            <w:tcW w:w="196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Silver Spring Networks,</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183"/>
        </w:trPr>
        <w:tc>
          <w:tcPr>
            <w:tcW w:w="20" w:type="dxa"/>
            <w:vAlign w:val="bottom"/>
            <w:tcBorders>
              <w:top w:val="single" w:sz="8" w:color="CCFFCC"/>
            </w:tcBorders>
            <w:shd w:val="clear" w:color="auto" w:fill="CCFFCC"/>
          </w:tcPr>
          <w:p>
            <w:pPr>
              <w:spacing w:after="0"/>
              <w:rPr>
                <w:sz w:val="15"/>
                <w:szCs w:val="15"/>
                <w:color w:val="auto"/>
              </w:rPr>
            </w:pPr>
          </w:p>
        </w:tc>
        <w:tc>
          <w:tcPr>
            <w:tcW w:w="1660" w:type="dxa"/>
            <w:vAlign w:val="bottom"/>
            <w:tcBorders>
              <w:top w:val="single" w:sz="8" w:color="auto"/>
            </w:tcBorders>
            <w:gridSpan w:val="16"/>
            <w:shd w:val="clear" w:color="auto" w:fill="CCFFCC"/>
          </w:tcPr>
          <w:p>
            <w:pPr>
              <w:ind w:left="180"/>
              <w:spacing w:after="0" w:line="183" w:lineRule="exact"/>
              <w:rPr>
                <w:sz w:val="20"/>
                <w:szCs w:val="20"/>
                <w:color w:val="auto"/>
              </w:rPr>
            </w:pPr>
            <w:r>
              <w:rPr>
                <w:rFonts w:ascii="Arial" w:cs="Arial" w:eastAsia="Arial" w:hAnsi="Arial"/>
                <w:sz w:val="16"/>
                <w:szCs w:val="16"/>
                <w:b w:val="1"/>
                <w:bCs w:val="1"/>
                <w:color w:val="auto"/>
              </w:rPr>
              <w:t>Inc.</w:t>
            </w:r>
          </w:p>
        </w:tc>
        <w:tc>
          <w:tcPr>
            <w:tcW w:w="280" w:type="dxa"/>
            <w:vAlign w:val="bottom"/>
            <w:tcBorders>
              <w:top w:val="single" w:sz="8" w:color="CCFFCC"/>
            </w:tcBorders>
            <w:gridSpan w:val="2"/>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46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CCFFCC"/>
            </w:tcBorders>
            <w:shd w:val="clear" w:color="auto" w:fill="CCFFCC"/>
          </w:tcPr>
          <w:p>
            <w:pPr>
              <w:spacing w:after="0"/>
              <w:rPr>
                <w:sz w:val="15"/>
                <w:szCs w:val="15"/>
                <w:color w:val="auto"/>
              </w:rPr>
            </w:pPr>
          </w:p>
        </w:tc>
        <w:tc>
          <w:tcPr>
            <w:tcW w:w="76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82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82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440" w:type="dxa"/>
            <w:vAlign w:val="bottom"/>
            <w:tcBorders>
              <w:top w:val="single" w:sz="8" w:color="CCFFCC"/>
            </w:tcBorders>
            <w:shd w:val="clear" w:color="auto" w:fill="CCFFCC"/>
          </w:tcPr>
          <w:p>
            <w:pPr>
              <w:spacing w:after="0"/>
              <w:rPr>
                <w:sz w:val="15"/>
                <w:szCs w:val="15"/>
                <w:color w:val="auto"/>
              </w:rPr>
            </w:pPr>
          </w:p>
        </w:tc>
        <w:tc>
          <w:tcPr>
            <w:tcW w:w="240" w:type="dxa"/>
            <w:vAlign w:val="bottom"/>
            <w:tcBorders>
              <w:top w:val="single" w:sz="8" w:color="CCFFCC"/>
            </w:tcBorders>
            <w:shd w:val="clear" w:color="auto" w:fill="CCFFCC"/>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43"/>
        </w:trPr>
        <w:tc>
          <w:tcPr>
            <w:tcW w:w="1960" w:type="dxa"/>
            <w:vAlign w:val="bottom"/>
            <w:gridSpan w:val="19"/>
          </w:tcPr>
          <w:p>
            <w:pPr>
              <w:ind w:left="20"/>
              <w:spacing w:after="0" w:line="242" w:lineRule="exact"/>
              <w:rPr>
                <w:sz w:val="20"/>
                <w:szCs w:val="20"/>
                <w:color w:val="auto"/>
              </w:rPr>
            </w:pPr>
            <w:r>
              <w:rPr>
                <w:rFonts w:ascii="Arial" w:cs="Arial" w:eastAsia="Arial" w:hAnsi="Arial"/>
                <w:sz w:val="16"/>
                <w:szCs w:val="16"/>
                <w:color w:val="auto"/>
              </w:rPr>
              <w:t>Common shares</w:t>
            </w:r>
            <w:r>
              <w:rPr>
                <w:rFonts w:ascii="Arial" w:cs="Arial" w:eastAsia="Arial" w:hAnsi="Arial"/>
                <w:sz w:val="27"/>
                <w:szCs w:val="27"/>
                <w:color w:val="auto"/>
                <w:vertAlign w:val="superscript"/>
              </w:rPr>
              <w:t>(11)</w:t>
            </w:r>
          </w:p>
        </w:tc>
        <w:tc>
          <w:tcPr>
            <w:tcW w:w="80" w:type="dxa"/>
            <w:vAlign w:val="bottom"/>
          </w:tcPr>
          <w:p>
            <w:pPr>
              <w:spacing w:after="0"/>
              <w:rPr>
                <w:sz w:val="21"/>
                <w:szCs w:val="21"/>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Smart Grid</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510,143</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5,145,271</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1,976,804</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0.78%</w:t>
            </w:r>
          </w:p>
        </w:tc>
      </w:tr>
      <w:tr>
        <w:trPr>
          <w:trHeight w:val="203"/>
        </w:trPr>
        <w:tc>
          <w:tcPr>
            <w:tcW w:w="1960" w:type="dxa"/>
            <w:vAlign w:val="bottom"/>
            <w:gridSpan w:val="19"/>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The Echo System Corp.</w:t>
            </w:r>
            <w:r>
              <w:rPr>
                <w:rFonts w:ascii="Arial" w:cs="Arial" w:eastAsia="Arial" w:hAnsi="Arial"/>
                <w:sz w:val="23"/>
                <w:szCs w:val="23"/>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Social Analytics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512,365</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1,436,404</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1,639,568</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0.65%</w:t>
            </w:r>
          </w:p>
        </w:tc>
      </w:tr>
      <w:tr>
        <w:trPr>
          <w:trHeight w:val="193"/>
        </w:trPr>
        <w:tc>
          <w:tcPr>
            <w:tcW w:w="1960" w:type="dxa"/>
            <w:vAlign w:val="bottom"/>
            <w:gridSpan w:val="19"/>
            <w:shd w:val="clear" w:color="auto" w:fill="CCFFCC"/>
          </w:tcPr>
          <w:p>
            <w:pPr>
              <w:ind w:left="20"/>
              <w:spacing w:after="0"/>
              <w:rPr>
                <w:sz w:val="20"/>
                <w:szCs w:val="20"/>
                <w:color w:val="auto"/>
              </w:rPr>
            </w:pPr>
            <w:r>
              <w:rPr>
                <w:rFonts w:ascii="Arial" w:cs="Arial" w:eastAsia="Arial" w:hAnsi="Arial"/>
                <w:sz w:val="16"/>
                <w:szCs w:val="16"/>
                <w:color w:val="auto"/>
              </w:rPr>
              <w:t>Preferred warrants, $0.20</w:t>
            </w:r>
          </w:p>
        </w:tc>
        <w:tc>
          <w:tcPr>
            <w:tcW w:w="80" w:type="dxa"/>
            <w:vAlign w:val="bottom"/>
            <w:shd w:val="clear" w:color="auto" w:fill="CCFFCC"/>
          </w:tcPr>
          <w:p>
            <w:pPr>
              <w:spacing w:after="0"/>
              <w:rPr>
                <w:sz w:val="16"/>
                <w:szCs w:val="16"/>
                <w:color w:val="auto"/>
              </w:rPr>
            </w:pPr>
          </w:p>
        </w:tc>
        <w:tc>
          <w:tcPr>
            <w:tcW w:w="24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68,359</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75,988</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68,359</w:t>
            </w:r>
          </w:p>
        </w:tc>
        <w:tc>
          <w:tcPr>
            <w:tcW w:w="760" w:type="dxa"/>
            <w:vAlign w:val="bottom"/>
            <w:gridSpan w:val="3"/>
            <w:shd w:val="clear" w:color="auto" w:fill="CCFFCC"/>
          </w:tcPr>
          <w:p>
            <w:pPr>
              <w:jc w:val="center"/>
              <w:ind w:left="59"/>
              <w:spacing w:after="0"/>
              <w:rPr>
                <w:sz w:val="20"/>
                <w:szCs w:val="20"/>
                <w:color w:val="auto"/>
              </w:rPr>
            </w:pPr>
            <w:r>
              <w:rPr>
                <w:rFonts w:ascii="Arial" w:cs="Arial" w:eastAsia="Arial" w:hAnsi="Arial"/>
                <w:sz w:val="16"/>
                <w:szCs w:val="16"/>
                <w:color w:val="auto"/>
                <w:w w:val="92"/>
              </w:rPr>
              <w:t>0.03%</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8"/>
            <w:shd w:val="clear" w:color="auto" w:fill="CCFFCC"/>
          </w:tcPr>
          <w:p>
            <w:pPr>
              <w:ind w:left="180"/>
              <w:spacing w:after="0"/>
              <w:rPr>
                <w:sz w:val="20"/>
                <w:szCs w:val="20"/>
                <w:color w:val="auto"/>
              </w:rPr>
            </w:pPr>
            <w:r>
              <w:rPr>
                <w:rFonts w:ascii="Arial" w:cs="Arial" w:eastAsia="Arial" w:hAnsi="Arial"/>
                <w:sz w:val="16"/>
                <w:szCs w:val="16"/>
                <w:color w:val="auto"/>
              </w:rPr>
              <w:t>strike price, expire</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09"/>
        </w:trPr>
        <w:tc>
          <w:tcPr>
            <w:tcW w:w="980" w:type="dxa"/>
            <w:vAlign w:val="bottom"/>
            <w:tcBorders>
              <w:bottom w:val="single" w:sz="8" w:color="CCFFCC"/>
            </w:tcBorders>
            <w:gridSpan w:val="9"/>
            <w:shd w:val="clear" w:color="auto" w:fill="CCFFCC"/>
          </w:tcPr>
          <w:p>
            <w:pPr>
              <w:ind w:left="200"/>
              <w:spacing w:after="0"/>
              <w:rPr>
                <w:sz w:val="20"/>
                <w:szCs w:val="20"/>
                <w:color w:val="auto"/>
              </w:rPr>
            </w:pPr>
            <w:r>
              <w:rPr>
                <w:rFonts w:ascii="Arial" w:cs="Arial" w:eastAsia="Arial" w:hAnsi="Arial"/>
                <w:sz w:val="16"/>
                <w:szCs w:val="16"/>
                <w:color w:val="auto"/>
                <w:w w:val="94"/>
              </w:rPr>
              <w:t>11/14/2016</w:t>
            </w:r>
          </w:p>
        </w:tc>
        <w:tc>
          <w:tcPr>
            <w:tcW w:w="10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940" w:type="dxa"/>
            <w:vAlign w:val="bottom"/>
            <w:gridSpan w:val="18"/>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1,512,392</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1,707,927</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0.68%</w:t>
            </w:r>
          </w:p>
        </w:tc>
      </w:tr>
      <w:tr>
        <w:trPr>
          <w:trHeight w:val="196"/>
        </w:trPr>
        <w:tc>
          <w:tcPr>
            <w:tcW w:w="1960" w:type="dxa"/>
            <w:vAlign w:val="bottom"/>
            <w:gridSpan w:val="19"/>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AltEgo, LLC</w:t>
            </w:r>
            <w:r>
              <w:rPr>
                <w:rFonts w:ascii="Arial" w:cs="Arial" w:eastAsia="Arial" w:hAnsi="Arial"/>
                <w:sz w:val="22"/>
                <w:szCs w:val="22"/>
                <w:b w:val="1"/>
                <w:bCs w:val="1"/>
                <w:color w:val="auto"/>
                <w:vertAlign w:val="superscript"/>
              </w:rPr>
              <w:t>(2)(8)</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3"/>
              </w:rPr>
              <w:t>Santa Monica, CA</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1960" w:type="dxa"/>
            <w:vAlign w:val="bottom"/>
            <w:gridSpan w:val="19"/>
          </w:tcPr>
          <w:p>
            <w:pPr>
              <w:ind w:left="20"/>
              <w:spacing w:after="0"/>
              <w:rPr>
                <w:sz w:val="20"/>
                <w:szCs w:val="20"/>
                <w:color w:val="auto"/>
              </w:rPr>
            </w:pPr>
            <w:r>
              <w:rPr>
                <w:rFonts w:ascii="Arial" w:cs="Arial" w:eastAsia="Arial" w:hAnsi="Arial"/>
                <w:sz w:val="16"/>
                <w:szCs w:val="16"/>
                <w:color w:val="auto"/>
                <w:w w:val="94"/>
              </w:rPr>
              <w:t>Preferred shares, Series B-2</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Social Media Customer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1,400,000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1,420,406</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1,400,000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0.55%</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8"/>
              </w:rPr>
              <w:t>Acquisition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Platform</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6"/>
        </w:trPr>
        <w:tc>
          <w:tcPr>
            <w:tcW w:w="1960" w:type="dxa"/>
            <w:vAlign w:val="bottom"/>
            <w:gridSpan w:val="19"/>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Zynga, Inc.</w:t>
            </w:r>
            <w:r>
              <w:rPr>
                <w:rFonts w:ascii="Arial" w:cs="Arial" w:eastAsia="Arial" w:hAnsi="Arial"/>
                <w:sz w:val="23"/>
                <w:szCs w:val="23"/>
                <w:b w:val="1"/>
                <w:bCs w:val="1"/>
                <w:color w:val="auto"/>
                <w:vertAlign w:val="superscript"/>
              </w:rPr>
              <w:t>(10)</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Social Gaming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533,333</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3,003,462</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1,258,666</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0.50%</w:t>
            </w:r>
          </w:p>
        </w:tc>
      </w:tr>
      <w:tr>
        <w:trPr>
          <w:trHeight w:val="162"/>
        </w:trPr>
        <w:tc>
          <w:tcPr>
            <w:tcW w:w="196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The rSmart Group,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2"/>
              </w:rPr>
              <w:t>Scottsdale, AZ</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Higher Education Learning</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1,201,923</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1,266,940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1,250,000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0.49%</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Platform</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65"/>
        </w:trPr>
        <w:tc>
          <w:tcPr>
            <w:tcW w:w="1960" w:type="dxa"/>
            <w:vAlign w:val="bottom"/>
            <w:gridSpan w:val="19"/>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S3 Digital Corp. (d/b/a</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5" w:lineRule="exact"/>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80" w:type="dxa"/>
            <w:vAlign w:val="bottom"/>
            <w:tcBorders>
              <w:top w:val="single" w:sz="8" w:color="auto"/>
            </w:tcBorders>
            <w:shd w:val="clear" w:color="auto" w:fill="CCFFCC"/>
          </w:tcPr>
          <w:p>
            <w:pPr>
              <w:spacing w:after="0"/>
              <w:rPr>
                <w:sz w:val="19"/>
                <w:szCs w:val="19"/>
                <w:color w:val="auto"/>
              </w:rPr>
            </w:pPr>
          </w:p>
        </w:tc>
        <w:tc>
          <w:tcPr>
            <w:tcW w:w="1380" w:type="dxa"/>
            <w:vAlign w:val="bottom"/>
            <w:tcBorders>
              <w:top w:val="single" w:sz="8" w:color="auto"/>
            </w:tcBorders>
            <w:gridSpan w:val="13"/>
            <w:shd w:val="clear" w:color="auto" w:fill="CCFFCC"/>
          </w:tcPr>
          <w:p>
            <w:pPr>
              <w:ind w:left="80"/>
              <w:spacing w:after="0" w:line="223" w:lineRule="exact"/>
              <w:rPr>
                <w:sz w:val="20"/>
                <w:szCs w:val="20"/>
                <w:color w:val="auto"/>
              </w:rPr>
            </w:pPr>
            <w:r>
              <w:rPr>
                <w:rFonts w:ascii="Arial" w:cs="Arial" w:eastAsia="Arial" w:hAnsi="Arial"/>
                <w:sz w:val="15"/>
                <w:szCs w:val="15"/>
                <w:b w:val="1"/>
                <w:bCs w:val="1"/>
                <w:color w:val="auto"/>
              </w:rPr>
              <w:t>S3i)</w:t>
            </w:r>
            <w:r>
              <w:rPr>
                <w:rFonts w:ascii="Arial" w:cs="Arial" w:eastAsia="Arial" w:hAnsi="Arial"/>
                <w:sz w:val="25"/>
                <w:szCs w:val="25"/>
                <w:b w:val="1"/>
                <w:bCs w:val="1"/>
                <w:color w:val="auto"/>
                <w:vertAlign w:val="superscript"/>
              </w:rPr>
              <w:t>(2)</w:t>
            </w:r>
          </w:p>
        </w:tc>
        <w:tc>
          <w:tcPr>
            <w:tcW w:w="380" w:type="dxa"/>
            <w:vAlign w:val="bottom"/>
            <w:tcBorders>
              <w:top w:val="single" w:sz="8" w:color="CCFFCC"/>
            </w:tcBorders>
            <w:gridSpan w:val="4"/>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CCFFCC"/>
            </w:tcBorders>
            <w:shd w:val="clear" w:color="auto" w:fill="CCFFCC"/>
          </w:tcPr>
          <w:p>
            <w:pPr>
              <w:spacing w:after="0"/>
              <w:rPr>
                <w:sz w:val="19"/>
                <w:szCs w:val="19"/>
                <w:color w:val="auto"/>
              </w:rPr>
            </w:pPr>
          </w:p>
        </w:tc>
        <w:tc>
          <w:tcPr>
            <w:tcW w:w="76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6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4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w w:val="99"/>
              </w:rPr>
              <w:t>Preferred shares, Class A1</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Sports Analytics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1,033,452</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989,058</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1,033,452</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0.41%</w:t>
            </w:r>
          </w:p>
        </w:tc>
      </w:tr>
      <w:tr>
        <w:trPr>
          <w:trHeight w:val="193"/>
        </w:trPr>
        <w:tc>
          <w:tcPr>
            <w:tcW w:w="1960" w:type="dxa"/>
            <w:vAlign w:val="bottom"/>
            <w:gridSpan w:val="19"/>
            <w:shd w:val="clear" w:color="auto" w:fill="CCFFCC"/>
          </w:tcPr>
          <w:p>
            <w:pPr>
              <w:ind w:left="20"/>
              <w:spacing w:after="0"/>
              <w:rPr>
                <w:sz w:val="20"/>
                <w:szCs w:val="20"/>
                <w:color w:val="auto"/>
              </w:rPr>
            </w:pPr>
            <w:r>
              <w:rPr>
                <w:rFonts w:ascii="Arial" w:cs="Arial" w:eastAsia="Arial" w:hAnsi="Arial"/>
                <w:sz w:val="16"/>
                <w:szCs w:val="16"/>
                <w:color w:val="auto"/>
              </w:rPr>
              <w:t>Preferred warrants, $1.00</w:t>
            </w:r>
          </w:p>
        </w:tc>
        <w:tc>
          <w:tcPr>
            <w:tcW w:w="80" w:type="dxa"/>
            <w:vAlign w:val="bottom"/>
            <w:shd w:val="clear" w:color="auto" w:fill="CCFFCC"/>
          </w:tcPr>
          <w:p>
            <w:pPr>
              <w:spacing w:after="0"/>
              <w:rPr>
                <w:sz w:val="16"/>
                <w:szCs w:val="16"/>
                <w:color w:val="auto"/>
              </w:rPr>
            </w:pPr>
          </w:p>
        </w:tc>
        <w:tc>
          <w:tcPr>
            <w:tcW w:w="24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31,354</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31,354</w:t>
            </w:r>
          </w:p>
        </w:tc>
        <w:tc>
          <w:tcPr>
            <w:tcW w:w="760" w:type="dxa"/>
            <w:vAlign w:val="bottom"/>
            <w:gridSpan w:val="3"/>
            <w:shd w:val="clear" w:color="auto" w:fill="CCFFCC"/>
          </w:tcPr>
          <w:p>
            <w:pPr>
              <w:jc w:val="center"/>
              <w:ind w:left="59"/>
              <w:spacing w:after="0"/>
              <w:rPr>
                <w:sz w:val="20"/>
                <w:szCs w:val="20"/>
                <w:color w:val="auto"/>
              </w:rPr>
            </w:pPr>
            <w:r>
              <w:rPr>
                <w:rFonts w:ascii="Arial" w:cs="Arial" w:eastAsia="Arial" w:hAnsi="Arial"/>
                <w:sz w:val="16"/>
                <w:szCs w:val="16"/>
                <w:color w:val="auto"/>
                <w:w w:val="92"/>
              </w:rPr>
              <w:t>0.01%</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8"/>
            <w:shd w:val="clear" w:color="auto" w:fill="CCFFCC"/>
          </w:tcPr>
          <w:p>
            <w:pPr>
              <w:ind w:left="180"/>
              <w:spacing w:after="0"/>
              <w:rPr>
                <w:sz w:val="20"/>
                <w:szCs w:val="20"/>
                <w:color w:val="auto"/>
              </w:rPr>
            </w:pPr>
            <w:r>
              <w:rPr>
                <w:rFonts w:ascii="Arial" w:cs="Arial" w:eastAsia="Arial" w:hAnsi="Arial"/>
                <w:sz w:val="16"/>
                <w:szCs w:val="16"/>
                <w:color w:val="auto"/>
              </w:rPr>
              <w:t>strike price, expire</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09"/>
        </w:trPr>
        <w:tc>
          <w:tcPr>
            <w:tcW w:w="980" w:type="dxa"/>
            <w:vAlign w:val="bottom"/>
            <w:tcBorders>
              <w:bottom w:val="single" w:sz="8" w:color="CCFFCC"/>
            </w:tcBorders>
            <w:gridSpan w:val="9"/>
            <w:shd w:val="clear" w:color="auto" w:fill="CCFFCC"/>
          </w:tcPr>
          <w:p>
            <w:pPr>
              <w:ind w:left="200"/>
              <w:spacing w:after="0"/>
              <w:rPr>
                <w:sz w:val="20"/>
                <w:szCs w:val="20"/>
                <w:color w:val="auto"/>
              </w:rPr>
            </w:pPr>
            <w:r>
              <w:rPr>
                <w:rFonts w:ascii="Arial" w:cs="Arial" w:eastAsia="Arial" w:hAnsi="Arial"/>
                <w:sz w:val="16"/>
                <w:szCs w:val="16"/>
                <w:color w:val="auto"/>
                <w:w w:val="94"/>
              </w:rPr>
              <w:t>11/21/2017</w:t>
            </w:r>
          </w:p>
        </w:tc>
        <w:tc>
          <w:tcPr>
            <w:tcW w:w="10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940" w:type="dxa"/>
            <w:vAlign w:val="bottom"/>
            <w:gridSpan w:val="18"/>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1,020,412</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1,064,806</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0.42%</w:t>
            </w:r>
          </w:p>
        </w:tc>
      </w:tr>
      <w:tr>
        <w:trPr>
          <w:trHeight w:val="196"/>
        </w:trPr>
        <w:tc>
          <w:tcPr>
            <w:tcW w:w="1960" w:type="dxa"/>
            <w:vAlign w:val="bottom"/>
            <w:gridSpan w:val="19"/>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NestGSV,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1,000,000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1,021,778</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1,000,000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0.40%</w:t>
            </w:r>
          </w:p>
        </w:tc>
      </w:tr>
      <w:tr>
        <w:trPr>
          <w:trHeight w:val="162"/>
        </w:trPr>
        <w:tc>
          <w:tcPr>
            <w:tcW w:w="196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DreamBox Learning,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5"/>
              </w:rPr>
              <w:t>Bellevue, WA</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Education Technology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3,579,610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758,017</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751,718</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0.30%</w:t>
            </w:r>
          </w:p>
        </w:tc>
      </w:tr>
      <w:tr>
        <w:trPr>
          <w:trHeight w:val="203"/>
        </w:trPr>
        <w:tc>
          <w:tcPr>
            <w:tcW w:w="1960" w:type="dxa"/>
            <w:vAlign w:val="bottom"/>
            <w:gridSpan w:val="19"/>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SinoLending Ltd.</w:t>
            </w:r>
            <w:r>
              <w:rPr>
                <w:rFonts w:ascii="Arial" w:cs="Arial" w:eastAsia="Arial" w:hAnsi="Arial"/>
                <w:sz w:val="23"/>
                <w:szCs w:val="23"/>
                <w:b w:val="1"/>
                <w:bCs w:val="1"/>
                <w:color w:val="auto"/>
                <w:vertAlign w:val="superscript"/>
              </w:rPr>
              <w:t>(2)(10)</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Shanghai, China</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Preferred shares, Class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Chinese P2P Lending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6,414,368</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501,998</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500,321</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0.20%</w:t>
            </w:r>
          </w:p>
        </w:tc>
      </w:tr>
      <w:tr>
        <w:trPr>
          <w:trHeight w:val="162"/>
        </w:trPr>
        <w:tc>
          <w:tcPr>
            <w:tcW w:w="196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Ozy Media,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5"/>
              </w:rPr>
              <w:t>Mountain View, CA</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w w:val="89"/>
              </w:rPr>
              <w:t>Preferred shares, Series Seed</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500,000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500,000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0.20%</w:t>
            </w:r>
          </w:p>
        </w:tc>
      </w:tr>
      <w:tr>
        <w:trPr>
          <w:trHeight w:val="162"/>
        </w:trPr>
        <w:tc>
          <w:tcPr>
            <w:tcW w:w="196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NestGSV Silicon Valley,</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640" w:type="dxa"/>
            <w:vAlign w:val="bottom"/>
            <w:tcBorders>
              <w:top w:val="single" w:sz="8" w:color="auto"/>
            </w:tcBorders>
            <w:gridSpan w:val="15"/>
            <w:shd w:val="clear" w:color="auto" w:fill="CCFFCC"/>
          </w:tcPr>
          <w:p>
            <w:pPr>
              <w:ind w:left="180"/>
              <w:spacing w:after="0" w:line="223" w:lineRule="exact"/>
              <w:rPr>
                <w:sz w:val="20"/>
                <w:szCs w:val="20"/>
                <w:color w:val="auto"/>
              </w:rPr>
            </w:pPr>
            <w:r>
              <w:rPr>
                <w:rFonts w:ascii="Arial" w:cs="Arial" w:eastAsia="Arial" w:hAnsi="Arial"/>
                <w:sz w:val="25"/>
                <w:szCs w:val="25"/>
                <w:b w:val="1"/>
                <w:bCs w:val="1"/>
                <w:color w:val="auto"/>
                <w:vertAlign w:val="subscript"/>
              </w:rPr>
              <w:t>LLC</w:t>
            </w:r>
            <w:r>
              <w:rPr>
                <w:rFonts w:ascii="Arial" w:cs="Arial" w:eastAsia="Arial" w:hAnsi="Arial"/>
                <w:sz w:val="12"/>
                <w:szCs w:val="12"/>
                <w:b w:val="1"/>
                <w:bCs w:val="1"/>
                <w:color w:val="auto"/>
              </w:rPr>
              <w:t>(2) (9)</w:t>
            </w:r>
          </w:p>
        </w:tc>
        <w:tc>
          <w:tcPr>
            <w:tcW w:w="300" w:type="dxa"/>
            <w:vAlign w:val="bottom"/>
            <w:tcBorders>
              <w:top w:val="single" w:sz="8" w:color="CCFFCC"/>
            </w:tcBorders>
            <w:gridSpan w:val="3"/>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CCFFCC"/>
            </w:tcBorders>
            <w:shd w:val="clear" w:color="auto" w:fill="CCFFCC"/>
          </w:tcPr>
          <w:p>
            <w:pPr>
              <w:spacing w:after="0"/>
              <w:rPr>
                <w:sz w:val="19"/>
                <w:szCs w:val="19"/>
                <w:color w:val="auto"/>
              </w:rPr>
            </w:pPr>
          </w:p>
        </w:tc>
        <w:tc>
          <w:tcPr>
            <w:tcW w:w="76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6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4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Common membership</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500,000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500,000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0.20%</w:t>
            </w:r>
          </w:p>
        </w:tc>
      </w:tr>
      <w:tr>
        <w:trPr>
          <w:trHeight w:val="209"/>
        </w:trPr>
        <w:tc>
          <w:tcPr>
            <w:tcW w:w="20" w:type="dxa"/>
            <w:vAlign w:val="bottom"/>
          </w:tcPr>
          <w:p>
            <w:pPr>
              <w:spacing w:after="0"/>
              <w:rPr>
                <w:sz w:val="18"/>
                <w:szCs w:val="18"/>
                <w:color w:val="auto"/>
              </w:rPr>
            </w:pPr>
          </w:p>
        </w:tc>
        <w:tc>
          <w:tcPr>
            <w:tcW w:w="1940" w:type="dxa"/>
            <w:vAlign w:val="bottom"/>
            <w:gridSpan w:val="18"/>
          </w:tcPr>
          <w:p>
            <w:pPr>
              <w:ind w:left="180"/>
              <w:spacing w:after="0"/>
              <w:rPr>
                <w:sz w:val="20"/>
                <w:szCs w:val="20"/>
                <w:color w:val="auto"/>
              </w:rPr>
            </w:pPr>
            <w:r>
              <w:rPr>
                <w:rFonts w:ascii="Arial" w:cs="Arial" w:eastAsia="Arial" w:hAnsi="Arial"/>
                <w:sz w:val="16"/>
                <w:szCs w:val="16"/>
                <w:color w:val="auto"/>
              </w:rPr>
              <w:t>interest</w:t>
            </w:r>
          </w:p>
        </w:tc>
        <w:tc>
          <w:tcPr>
            <w:tcW w:w="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6"/>
        </w:trPr>
        <w:tc>
          <w:tcPr>
            <w:tcW w:w="1960" w:type="dxa"/>
            <w:vAlign w:val="bottom"/>
            <w:gridSpan w:val="19"/>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Groupon, Inc.</w:t>
            </w:r>
            <w:r>
              <w:rPr>
                <w:rFonts w:ascii="Arial" w:cs="Arial" w:eastAsia="Arial" w:hAnsi="Arial"/>
                <w:sz w:val="23"/>
                <w:szCs w:val="23"/>
                <w:b w:val="1"/>
                <w:bCs w:val="1"/>
                <w:color w:val="auto"/>
                <w:vertAlign w:val="superscript"/>
              </w:rPr>
              <w:t>(4)(10)</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6"/>
              </w:rPr>
              <w:t>Chicago, IL</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Online Deals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2,128,774</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388,800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0.15%</w:t>
            </w:r>
          </w:p>
        </w:tc>
      </w:tr>
      <w:tr>
        <w:trPr>
          <w:trHeight w:val="203"/>
        </w:trPr>
        <w:tc>
          <w:tcPr>
            <w:tcW w:w="1960" w:type="dxa"/>
            <w:vAlign w:val="bottom"/>
            <w:gridSpan w:val="19"/>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AlwaysOn, Inc.</w:t>
            </w:r>
            <w:r>
              <w:rPr>
                <w:rFonts w:ascii="Arial" w:cs="Arial" w:eastAsia="Arial" w:hAnsi="Arial"/>
                <w:sz w:val="23"/>
                <w:szCs w:val="23"/>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3"/>
              </w:rPr>
              <w:t>Woodside, CA</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1,066,626</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1,027,391</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298,655</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0.12%</w:t>
            </w:r>
          </w:p>
        </w:tc>
      </w:tr>
      <w:tr>
        <w:trPr>
          <w:trHeight w:val="162"/>
        </w:trPr>
        <w:tc>
          <w:tcPr>
            <w:tcW w:w="196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NewZoom, Inc. (d/b/a</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183"/>
        </w:trPr>
        <w:tc>
          <w:tcPr>
            <w:tcW w:w="20" w:type="dxa"/>
            <w:vAlign w:val="bottom"/>
            <w:tcBorders>
              <w:top w:val="single" w:sz="8" w:color="CCFFCC"/>
            </w:tcBorders>
            <w:shd w:val="clear" w:color="auto" w:fill="CCFFCC"/>
          </w:tcPr>
          <w:p>
            <w:pPr>
              <w:spacing w:after="0"/>
              <w:rPr>
                <w:sz w:val="15"/>
                <w:szCs w:val="15"/>
                <w:color w:val="auto"/>
              </w:rPr>
            </w:pPr>
          </w:p>
        </w:tc>
        <w:tc>
          <w:tcPr>
            <w:tcW w:w="1500" w:type="dxa"/>
            <w:vAlign w:val="bottom"/>
            <w:tcBorders>
              <w:top w:val="single" w:sz="8" w:color="auto"/>
            </w:tcBorders>
            <w:gridSpan w:val="13"/>
            <w:shd w:val="clear" w:color="auto" w:fill="CCFFCC"/>
          </w:tcPr>
          <w:p>
            <w:pPr>
              <w:ind w:left="180"/>
              <w:spacing w:after="0" w:line="183" w:lineRule="exact"/>
              <w:rPr>
                <w:sz w:val="20"/>
                <w:szCs w:val="20"/>
                <w:color w:val="auto"/>
              </w:rPr>
            </w:pPr>
            <w:r>
              <w:rPr>
                <w:rFonts w:ascii="Arial" w:cs="Arial" w:eastAsia="Arial" w:hAnsi="Arial"/>
                <w:sz w:val="16"/>
                <w:szCs w:val="16"/>
                <w:b w:val="1"/>
                <w:bCs w:val="1"/>
                <w:color w:val="auto"/>
              </w:rPr>
              <w:t>ZoomSystems)</w:t>
            </w:r>
          </w:p>
        </w:tc>
        <w:tc>
          <w:tcPr>
            <w:tcW w:w="440" w:type="dxa"/>
            <w:vAlign w:val="bottom"/>
            <w:tcBorders>
              <w:top w:val="single" w:sz="8" w:color="CCFFCC"/>
            </w:tcBorders>
            <w:gridSpan w:val="5"/>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46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CCFFCC"/>
            </w:tcBorders>
            <w:shd w:val="clear" w:color="auto" w:fill="CCFFCC"/>
          </w:tcPr>
          <w:p>
            <w:pPr>
              <w:spacing w:after="0"/>
              <w:rPr>
                <w:sz w:val="15"/>
                <w:szCs w:val="15"/>
                <w:color w:val="auto"/>
              </w:rPr>
            </w:pPr>
          </w:p>
        </w:tc>
        <w:tc>
          <w:tcPr>
            <w:tcW w:w="76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82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82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440" w:type="dxa"/>
            <w:vAlign w:val="bottom"/>
            <w:tcBorders>
              <w:top w:val="single" w:sz="8" w:color="CCFFCC"/>
            </w:tcBorders>
            <w:shd w:val="clear" w:color="auto" w:fill="CCFFCC"/>
          </w:tcPr>
          <w:p>
            <w:pPr>
              <w:spacing w:after="0"/>
              <w:rPr>
                <w:sz w:val="15"/>
                <w:szCs w:val="15"/>
                <w:color w:val="auto"/>
              </w:rPr>
            </w:pPr>
          </w:p>
        </w:tc>
        <w:tc>
          <w:tcPr>
            <w:tcW w:w="240" w:type="dxa"/>
            <w:vAlign w:val="bottom"/>
            <w:tcBorders>
              <w:top w:val="single" w:sz="8" w:color="CCFFCC"/>
            </w:tcBorders>
            <w:shd w:val="clear" w:color="auto" w:fill="CCFFCC"/>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Smart e-tail (Retail)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1,250,000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260,476</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250,000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0.10%</w:t>
            </w:r>
          </w:p>
        </w:tc>
      </w:tr>
      <w:tr>
        <w:trPr>
          <w:trHeight w:val="162"/>
        </w:trPr>
        <w:tc>
          <w:tcPr>
            <w:tcW w:w="196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Neuron Fuel,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89"/>
              </w:rPr>
              <w:t>San Jose, CA</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6"/>
        </w:trPr>
        <w:tc>
          <w:tcPr>
            <w:tcW w:w="1960" w:type="dxa"/>
            <w:vAlign w:val="bottom"/>
            <w:gridSpan w:val="19"/>
          </w:tcPr>
          <w:p>
            <w:pPr>
              <w:ind w:left="20"/>
              <w:spacing w:after="0"/>
              <w:rPr>
                <w:sz w:val="20"/>
                <w:szCs w:val="20"/>
                <w:color w:val="auto"/>
              </w:rPr>
            </w:pPr>
            <w:r>
              <w:rPr>
                <w:rFonts w:ascii="Arial" w:cs="Arial" w:eastAsia="Arial" w:hAnsi="Arial"/>
                <w:sz w:val="16"/>
                <w:szCs w:val="16"/>
                <w:color w:val="auto"/>
                <w:w w:val="94"/>
              </w:rPr>
              <w:t>Preferred shares, Series AAI</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Computer Software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262,530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250,000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-5130165</wp:posOffset>
            </wp:positionV>
            <wp:extent cx="521398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-2977515</wp:posOffset>
            </wp:positionV>
            <wp:extent cx="521398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line="257" w:lineRule="auto"/>
        <w:rPr>
          <w:sz w:val="20"/>
          <w:szCs w:val="20"/>
          <w:color w:val="auto"/>
        </w:rPr>
      </w:pPr>
      <w:r>
        <w:rPr>
          <w:rFonts w:ascii="Arial" w:cs="Arial" w:eastAsia="Arial" w:hAnsi="Arial"/>
          <w:sz w:val="18"/>
          <w:szCs w:val="18"/>
          <w:b w:val="1"/>
          <w:bCs w:val="1"/>
          <w:color w:val="auto"/>
        </w:rPr>
        <w:t>GSV CAPITAL CORP. AND SUBSIDIARY CONSOLIDATED SCHEDULE OF INVESTMENTS (continued)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1"/>
        </w:trPr>
        <w:tc>
          <w:tcPr>
            <w:tcW w:w="1960" w:type="dxa"/>
            <w:vAlign w:val="bottom"/>
            <w:gridSpan w:val="6"/>
          </w:tcPr>
          <w:p>
            <w:pPr>
              <w:ind w:left="20"/>
              <w:spacing w:after="0" w:line="141" w:lineRule="exact"/>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2"/>
                <w:szCs w:val="12"/>
                <w:color w:val="auto"/>
              </w:rPr>
            </w:pPr>
          </w:p>
        </w:tc>
        <w:tc>
          <w:tcPr>
            <w:tcW w:w="24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5"/>
              </w:rPr>
              <w:t>Headquarters/Industry</w:t>
            </w:r>
          </w:p>
        </w:tc>
        <w:tc>
          <w:tcPr>
            <w:tcW w:w="80" w:type="dxa"/>
            <w:vAlign w:val="bottom"/>
          </w:tcPr>
          <w:p>
            <w:pPr>
              <w:spacing w:after="0"/>
              <w:rPr>
                <w:sz w:val="12"/>
                <w:szCs w:val="12"/>
                <w:color w:val="auto"/>
              </w:rPr>
            </w:pPr>
          </w:p>
        </w:tc>
        <w:tc>
          <w:tcPr>
            <w:tcW w:w="920" w:type="dxa"/>
            <w:vAlign w:val="bottom"/>
          </w:tcPr>
          <w:p>
            <w:pPr>
              <w:jc w:val="right"/>
              <w:ind w:right="188"/>
              <w:spacing w:after="0" w:line="141"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260"/>
              <w:spacing w:after="0" w:line="141"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1"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r>
      <w:tr>
        <w:trPr>
          <w:trHeight w:val="196"/>
        </w:trPr>
        <w:tc>
          <w:tcPr>
            <w:tcW w:w="1960" w:type="dxa"/>
            <w:vAlign w:val="bottom"/>
            <w:gridSpan w:val="6"/>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Serious Energy, Inc.</w:t>
            </w:r>
            <w:r>
              <w:rPr>
                <w:rFonts w:ascii="Arial" w:cs="Arial" w:eastAsia="Arial" w:hAnsi="Arial"/>
                <w:sz w:val="22"/>
                <w:szCs w:val="22"/>
                <w:b w:val="1"/>
                <w:bCs w:val="1"/>
                <w:color w:val="auto"/>
                <w:vertAlign w:val="superscript"/>
              </w:rPr>
              <w:t>(10)</w:t>
            </w:r>
          </w:p>
        </w:tc>
        <w:tc>
          <w:tcPr>
            <w:tcW w:w="6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Sunnyvale, CA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6"/>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1"/>
              </w:rPr>
              <w:t>Green Materials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178,095</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739,130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1960" w:type="dxa"/>
            <w:vAlign w:val="bottom"/>
            <w:gridSpan w:val="6"/>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Top Hat 430, Inc.</w:t>
            </w:r>
            <w:r>
              <w:rPr>
                <w:rFonts w:ascii="Arial" w:cs="Arial" w:eastAsia="Arial" w:hAnsi="Arial"/>
                <w:sz w:val="23"/>
                <w:szCs w:val="23"/>
                <w:b w:val="1"/>
                <w:bCs w:val="1"/>
                <w:color w:val="auto"/>
                <w:vertAlign w:val="superscript"/>
              </w:rPr>
              <w:t>(2)(10)</w:t>
            </w:r>
          </w:p>
        </w:tc>
        <w:tc>
          <w:tcPr>
            <w:tcW w:w="6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0"/>
              </w:rPr>
              <w:t>Shakopee, MN</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6"/>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Jewelry Retailing Technology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1,844,444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4,167,943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3"/>
        </w:trPr>
        <w:tc>
          <w:tcPr>
            <w:tcW w:w="1960" w:type="dxa"/>
            <w:vAlign w:val="bottom"/>
            <w:gridSpan w:val="6"/>
            <w:shd w:val="clear" w:color="auto" w:fill="CCFFCC"/>
          </w:tcPr>
          <w:p>
            <w:pPr>
              <w:ind w:left="20"/>
              <w:spacing w:after="0"/>
              <w:rPr>
                <w:sz w:val="20"/>
                <w:szCs w:val="20"/>
                <w:color w:val="auto"/>
              </w:rPr>
            </w:pPr>
            <w:r>
              <w:rPr>
                <w:rFonts w:ascii="Arial" w:cs="Arial" w:eastAsia="Arial" w:hAnsi="Arial"/>
                <w:sz w:val="16"/>
                <w:szCs w:val="16"/>
                <w:color w:val="auto"/>
              </w:rPr>
              <w:t>Preferred warrants, $2.25</w:t>
            </w:r>
          </w:p>
        </w:tc>
        <w:tc>
          <w:tcPr>
            <w:tcW w:w="6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13,333</w:t>
            </w:r>
          </w:p>
        </w:tc>
        <w:tc>
          <w:tcPr>
            <w:tcW w:w="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5"/>
            <w:shd w:val="clear" w:color="auto" w:fill="CCFFCC"/>
          </w:tcPr>
          <w:p>
            <w:pPr>
              <w:ind w:left="180"/>
              <w:spacing w:after="0"/>
              <w:rPr>
                <w:sz w:val="20"/>
                <w:szCs w:val="20"/>
                <w:color w:val="auto"/>
              </w:rPr>
            </w:pPr>
            <w:r>
              <w:rPr>
                <w:rFonts w:ascii="Arial" w:cs="Arial" w:eastAsia="Arial" w:hAnsi="Arial"/>
                <w:sz w:val="16"/>
                <w:szCs w:val="16"/>
                <w:color w:val="auto"/>
              </w:rPr>
              <w:t>strike price, expire</w:t>
            </w:r>
          </w:p>
        </w:tc>
        <w:tc>
          <w:tcPr>
            <w:tcW w:w="6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09"/>
        </w:trPr>
        <w:tc>
          <w:tcPr>
            <w:tcW w:w="100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6"/>
                <w:szCs w:val="16"/>
                <w:color w:val="auto"/>
              </w:rPr>
              <w:t>11/2/2017</w:t>
            </w:r>
          </w:p>
        </w:tc>
        <w:tc>
          <w:tcPr>
            <w:tcW w:w="2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940" w:type="dxa"/>
            <w:vAlign w:val="bottom"/>
            <w:gridSpan w:val="5"/>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4,167,943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960" w:type="dxa"/>
            <w:vAlign w:val="bottom"/>
            <w:gridSpan w:val="6"/>
            <w:shd w:val="clear" w:color="auto" w:fill="CCFFCC"/>
          </w:tcPr>
          <w:p>
            <w:pPr>
              <w:ind w:left="20"/>
              <w:spacing w:after="0"/>
              <w:rPr>
                <w:sz w:val="20"/>
                <w:szCs w:val="20"/>
                <w:color w:val="auto"/>
              </w:rPr>
            </w:pPr>
            <w:r>
              <w:rPr>
                <w:rFonts w:ascii="Arial" w:cs="Arial" w:eastAsia="Arial" w:hAnsi="Arial"/>
                <w:sz w:val="16"/>
                <w:szCs w:val="16"/>
                <w:b w:val="1"/>
                <w:bCs w:val="1"/>
                <w:color w:val="auto"/>
                <w:w w:val="93"/>
              </w:rPr>
              <w:t>Total Portfolio Investments</w:t>
            </w:r>
          </w:p>
        </w:tc>
        <w:tc>
          <w:tcPr>
            <w:tcW w:w="6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237,147,735</w:t>
            </w: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87"/>
              </w:rPr>
              <w:t>225,397,085</w:t>
            </w:r>
          </w:p>
        </w:tc>
        <w:tc>
          <w:tcPr>
            <w:tcW w:w="7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89.23%</w:t>
            </w:r>
          </w:p>
        </w:tc>
      </w:tr>
      <w:tr>
        <w:trPr>
          <w:trHeight w:val="196"/>
        </w:trPr>
        <w:tc>
          <w:tcPr>
            <w:tcW w:w="1960" w:type="dxa"/>
            <w:vAlign w:val="bottom"/>
            <w:tcBorders>
              <w:top w:val="single" w:sz="8" w:color="CCFFCC"/>
            </w:tcBorders>
            <w:gridSpan w:val="6"/>
          </w:tcPr>
          <w:p>
            <w:pPr>
              <w:ind w:left="20"/>
              <w:spacing w:after="0" w:line="197" w:lineRule="exact"/>
              <w:rPr>
                <w:sz w:val="20"/>
                <w:szCs w:val="20"/>
                <w:color w:val="auto"/>
              </w:rPr>
            </w:pPr>
            <w:r>
              <w:rPr>
                <w:rFonts w:ascii="Arial" w:cs="Arial" w:eastAsia="Arial" w:hAnsi="Arial"/>
                <w:sz w:val="14"/>
                <w:szCs w:val="14"/>
                <w:b w:val="1"/>
                <w:bCs w:val="1"/>
                <w:color w:val="auto"/>
              </w:rPr>
              <w:t>Money Market Funds</w:t>
            </w:r>
            <w:r>
              <w:rPr>
                <w:rFonts w:ascii="Arial" w:cs="Arial" w:eastAsia="Arial" w:hAnsi="Arial"/>
                <w:sz w:val="22"/>
                <w:szCs w:val="22"/>
                <w:b w:val="1"/>
                <w:bCs w:val="1"/>
                <w:color w:val="auto"/>
                <w:vertAlign w:val="superscript"/>
              </w:rPr>
              <w:t>(1)</w:t>
            </w:r>
          </w:p>
        </w:tc>
        <w:tc>
          <w:tcPr>
            <w:tcW w:w="60" w:type="dxa"/>
            <w:vAlign w:val="bottom"/>
            <w:tcBorders>
              <w:top w:val="single" w:sz="8" w:color="CCFFCC"/>
            </w:tcBorders>
          </w:tcPr>
          <w:p>
            <w:pPr>
              <w:spacing w:after="0"/>
              <w:rPr>
                <w:sz w:val="17"/>
                <w:szCs w:val="17"/>
                <w:color w:val="auto"/>
              </w:rPr>
            </w:pPr>
          </w:p>
        </w:tc>
        <w:tc>
          <w:tcPr>
            <w:tcW w:w="244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920" w:type="dxa"/>
            <w:vAlign w:val="bottom"/>
            <w:tcBorders>
              <w:top w:val="single" w:sz="8" w:color="CCFFCC"/>
            </w:tcBorders>
          </w:tcPr>
          <w:p>
            <w:pPr>
              <w:spacing w:after="0"/>
              <w:rPr>
                <w:sz w:val="17"/>
                <w:szCs w:val="17"/>
                <w:color w:val="auto"/>
              </w:rPr>
            </w:pPr>
          </w:p>
        </w:tc>
        <w:tc>
          <w:tcPr>
            <w:tcW w:w="60" w:type="dxa"/>
            <w:vAlign w:val="bottom"/>
            <w:tcBorders>
              <w:top w:val="single" w:sz="8" w:color="CCFFC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1960" w:type="dxa"/>
            <w:vAlign w:val="bottom"/>
            <w:gridSpan w:val="6"/>
            <w:shd w:val="clear" w:color="auto" w:fill="CCFFCC"/>
          </w:tcPr>
          <w:p>
            <w:pPr>
              <w:ind w:left="20"/>
              <w:spacing w:after="0"/>
              <w:rPr>
                <w:sz w:val="20"/>
                <w:szCs w:val="20"/>
                <w:color w:val="auto"/>
              </w:rPr>
            </w:pPr>
            <w:r>
              <w:rPr>
                <w:rFonts w:ascii="Arial" w:cs="Arial" w:eastAsia="Arial" w:hAnsi="Arial"/>
                <w:sz w:val="16"/>
                <w:szCs w:val="16"/>
                <w:color w:val="auto"/>
              </w:rPr>
              <w:t>Fidelity Institutional Money</w:t>
            </w:r>
          </w:p>
        </w:tc>
        <w:tc>
          <w:tcPr>
            <w:tcW w:w="6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r>
      <w:tr>
        <w:trPr>
          <w:trHeight w:val="212"/>
        </w:trPr>
        <w:tc>
          <w:tcPr>
            <w:tcW w:w="20" w:type="dxa"/>
            <w:vAlign w:val="bottom"/>
            <w:shd w:val="clear" w:color="auto" w:fill="CCFFCC"/>
          </w:tcPr>
          <w:p>
            <w:pPr>
              <w:spacing w:after="0"/>
              <w:rPr>
                <w:sz w:val="18"/>
                <w:szCs w:val="18"/>
                <w:color w:val="auto"/>
              </w:rPr>
            </w:pPr>
          </w:p>
        </w:tc>
        <w:tc>
          <w:tcPr>
            <w:tcW w:w="1940" w:type="dxa"/>
            <w:vAlign w:val="bottom"/>
            <w:gridSpan w:val="5"/>
            <w:shd w:val="clear" w:color="auto" w:fill="CCFFCC"/>
          </w:tcPr>
          <w:p>
            <w:pPr>
              <w:ind w:left="180"/>
              <w:spacing w:after="0"/>
              <w:rPr>
                <w:sz w:val="20"/>
                <w:szCs w:val="20"/>
                <w:color w:val="auto"/>
              </w:rPr>
            </w:pPr>
            <w:r>
              <w:rPr>
                <w:rFonts w:ascii="Arial" w:cs="Arial" w:eastAsia="Arial" w:hAnsi="Arial"/>
                <w:sz w:val="16"/>
                <w:szCs w:val="16"/>
                <w:color w:val="auto"/>
              </w:rPr>
              <w:t>Market Funds</w:t>
            </w:r>
          </w:p>
        </w:tc>
        <w:tc>
          <w:tcPr>
            <w:tcW w:w="60" w:type="dxa"/>
            <w:vAlign w:val="bottom"/>
            <w:shd w:val="clear" w:color="auto" w:fill="CCFFCC"/>
          </w:tcPr>
          <w:p>
            <w:pPr>
              <w:spacing w:after="0"/>
              <w:rPr>
                <w:sz w:val="18"/>
                <w:szCs w:val="18"/>
                <w:color w:val="auto"/>
              </w:rPr>
            </w:pPr>
          </w:p>
        </w:tc>
        <w:tc>
          <w:tcPr>
            <w:tcW w:w="24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940" w:type="dxa"/>
            <w:vAlign w:val="bottom"/>
            <w:gridSpan w:val="5"/>
          </w:tcPr>
          <w:p>
            <w:pPr>
              <w:ind w:left="180"/>
              <w:spacing w:after="0"/>
              <w:rPr>
                <w:sz w:val="20"/>
                <w:szCs w:val="20"/>
                <w:color w:val="auto"/>
              </w:rPr>
            </w:pPr>
            <w:r>
              <w:rPr>
                <w:rFonts w:ascii="Arial" w:cs="Arial" w:eastAsia="Arial" w:hAnsi="Arial"/>
                <w:sz w:val="16"/>
                <w:szCs w:val="16"/>
                <w:color w:val="auto"/>
              </w:rPr>
              <w:t>Money Market Portfolio</w:t>
            </w:r>
          </w:p>
        </w:tc>
        <w:tc>
          <w:tcPr>
            <w:tcW w:w="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8,000,000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8,000,000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8,000,000</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3.17%</w:t>
            </w:r>
          </w:p>
        </w:tc>
      </w:tr>
      <w:tr>
        <w:trPr>
          <w:trHeight w:val="193"/>
        </w:trPr>
        <w:tc>
          <w:tcPr>
            <w:tcW w:w="20" w:type="dxa"/>
            <w:vAlign w:val="bottom"/>
            <w:shd w:val="clear" w:color="auto" w:fill="CCFFCC"/>
          </w:tcPr>
          <w:p>
            <w:pPr>
              <w:spacing w:after="0"/>
              <w:rPr>
                <w:sz w:val="16"/>
                <w:szCs w:val="16"/>
                <w:color w:val="auto"/>
              </w:rPr>
            </w:pPr>
          </w:p>
        </w:tc>
        <w:tc>
          <w:tcPr>
            <w:tcW w:w="1940" w:type="dxa"/>
            <w:vAlign w:val="bottom"/>
            <w:gridSpan w:val="5"/>
            <w:shd w:val="clear" w:color="auto" w:fill="CCFFCC"/>
          </w:tcPr>
          <w:p>
            <w:pPr>
              <w:ind w:left="180"/>
              <w:spacing w:after="0"/>
              <w:rPr>
                <w:sz w:val="20"/>
                <w:szCs w:val="20"/>
                <w:color w:val="auto"/>
              </w:rPr>
            </w:pPr>
            <w:r>
              <w:rPr>
                <w:rFonts w:ascii="Arial" w:cs="Arial" w:eastAsia="Arial" w:hAnsi="Arial"/>
                <w:sz w:val="16"/>
                <w:szCs w:val="16"/>
                <w:color w:val="auto"/>
              </w:rPr>
              <w:t>Prime Money Market</w:t>
            </w:r>
          </w:p>
        </w:tc>
        <w:tc>
          <w:tcPr>
            <w:tcW w:w="6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8,000,000</w:t>
            </w:r>
          </w:p>
        </w:tc>
        <w:tc>
          <w:tcPr>
            <w:tcW w:w="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8,000,000</w:t>
            </w: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8,000,000</w:t>
            </w:r>
          </w:p>
        </w:tc>
        <w:tc>
          <w:tcPr>
            <w:tcW w:w="7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3.17%</w:t>
            </w:r>
          </w:p>
        </w:tc>
      </w:tr>
      <w:tr>
        <w:trPr>
          <w:trHeight w:val="209"/>
        </w:trPr>
        <w:tc>
          <w:tcPr>
            <w:tcW w:w="20" w:type="dxa"/>
            <w:vAlign w:val="bottom"/>
            <w:tcBorders>
              <w:bottom w:val="single" w:sz="8" w:color="CCFFCC"/>
            </w:tcBorders>
            <w:shd w:val="clear" w:color="auto" w:fill="CCFFCC"/>
          </w:tcPr>
          <w:p>
            <w:pPr>
              <w:spacing w:after="0"/>
              <w:rPr>
                <w:sz w:val="18"/>
                <w:szCs w:val="18"/>
                <w:color w:val="auto"/>
              </w:rPr>
            </w:pPr>
          </w:p>
        </w:tc>
        <w:tc>
          <w:tcPr>
            <w:tcW w:w="1940" w:type="dxa"/>
            <w:vAlign w:val="bottom"/>
            <w:tcBorders>
              <w:bottom w:val="single" w:sz="8" w:color="CCFFCC"/>
            </w:tcBorders>
            <w:gridSpan w:val="5"/>
            <w:shd w:val="clear" w:color="auto" w:fill="CCFFCC"/>
          </w:tcPr>
          <w:p>
            <w:pPr>
              <w:ind w:left="360"/>
              <w:spacing w:after="0"/>
              <w:rPr>
                <w:sz w:val="20"/>
                <w:szCs w:val="20"/>
                <w:color w:val="auto"/>
              </w:rPr>
            </w:pPr>
            <w:r>
              <w:rPr>
                <w:rFonts w:ascii="Arial" w:cs="Arial" w:eastAsia="Arial" w:hAnsi="Arial"/>
                <w:sz w:val="16"/>
                <w:szCs w:val="16"/>
                <w:color w:val="auto"/>
              </w:rPr>
              <w:t>Portfolio</w:t>
            </w:r>
          </w:p>
        </w:tc>
        <w:tc>
          <w:tcPr>
            <w:tcW w:w="6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r>
      <w:tr>
        <w:trPr>
          <w:trHeight w:val="199"/>
        </w:trPr>
        <w:tc>
          <w:tcPr>
            <w:tcW w:w="1960" w:type="dxa"/>
            <w:vAlign w:val="bottom"/>
            <w:gridSpan w:val="6"/>
          </w:tcPr>
          <w:p>
            <w:pPr>
              <w:ind w:left="20"/>
              <w:spacing w:after="0"/>
              <w:rPr>
                <w:sz w:val="20"/>
                <w:szCs w:val="20"/>
                <w:color w:val="auto"/>
              </w:rPr>
            </w:pPr>
            <w:r>
              <w:rPr>
                <w:rFonts w:ascii="Arial" w:cs="Arial" w:eastAsia="Arial" w:hAnsi="Arial"/>
                <w:sz w:val="16"/>
                <w:szCs w:val="16"/>
                <w:color w:val="auto"/>
              </w:rPr>
              <w:t>Total Money Market Funds</w:t>
            </w:r>
          </w:p>
        </w:tc>
        <w:tc>
          <w:tcPr>
            <w:tcW w:w="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16,000,000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16,000,000</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6.34%</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1960" w:type="dxa"/>
            <w:vAlign w:val="bottom"/>
            <w:gridSpan w:val="6"/>
            <w:shd w:val="clear" w:color="auto" w:fill="CCFFCC"/>
          </w:tcPr>
          <w:p>
            <w:pPr>
              <w:ind w:left="20"/>
              <w:spacing w:after="0"/>
              <w:rPr>
                <w:sz w:val="20"/>
                <w:szCs w:val="20"/>
                <w:color w:val="auto"/>
              </w:rPr>
            </w:pPr>
            <w:r>
              <w:rPr>
                <w:rFonts w:ascii="Arial" w:cs="Arial" w:eastAsia="Arial" w:hAnsi="Arial"/>
                <w:sz w:val="16"/>
                <w:szCs w:val="16"/>
                <w:b w:val="1"/>
                <w:bCs w:val="1"/>
                <w:color w:val="auto"/>
              </w:rPr>
              <w:t>Total Investments</w:t>
            </w:r>
          </w:p>
        </w:tc>
        <w:tc>
          <w:tcPr>
            <w:tcW w:w="60" w:type="dxa"/>
            <w:vAlign w:val="bottom"/>
            <w:shd w:val="clear" w:color="auto" w:fill="CCFFCC"/>
          </w:tcPr>
          <w:p>
            <w:pPr>
              <w:spacing w:after="0"/>
              <w:rPr>
                <w:sz w:val="20"/>
                <w:szCs w:val="20"/>
                <w:color w:val="auto"/>
              </w:rPr>
            </w:pPr>
          </w:p>
        </w:tc>
        <w:tc>
          <w:tcPr>
            <w:tcW w:w="24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253,147,735</w:t>
            </w:r>
          </w:p>
        </w:tc>
        <w:tc>
          <w:tcPr>
            <w:tcW w:w="40" w:type="dxa"/>
            <w:vAlign w:val="bottom"/>
            <w:shd w:val="clear" w:color="auto" w:fill="CCFFCC"/>
          </w:tcPr>
          <w:p>
            <w:pPr>
              <w:spacing w:after="0"/>
              <w:rPr>
                <w:sz w:val="20"/>
                <w:szCs w:val="20"/>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6"/>
                <w:szCs w:val="16"/>
                <w:u w:val="single" w:color="auto"/>
                <w:color w:val="auto"/>
              </w:rPr>
              <w:t>$</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87"/>
              </w:rPr>
              <w:t>241,397,085</w:t>
            </w:r>
          </w:p>
        </w:tc>
        <w:tc>
          <w:tcPr>
            <w:tcW w:w="7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95.57%</w:t>
            </w:r>
          </w:p>
        </w:tc>
      </w:tr>
      <w:tr>
        <w:trPr>
          <w:trHeight w:val="264"/>
        </w:trPr>
        <w:tc>
          <w:tcPr>
            <w:tcW w:w="20" w:type="dxa"/>
            <w:vAlign w:val="bottom"/>
            <w:tcBorders>
              <w:top w:val="single" w:sz="8" w:color="CCFFCC"/>
            </w:tcBorders>
          </w:tcPr>
          <w:p>
            <w:pPr>
              <w:spacing w:after="0"/>
              <w:rPr>
                <w:sz w:val="22"/>
                <w:szCs w:val="22"/>
                <w:color w:val="auto"/>
              </w:rPr>
            </w:pPr>
          </w:p>
        </w:tc>
        <w:tc>
          <w:tcPr>
            <w:tcW w:w="980" w:type="dxa"/>
            <w:vAlign w:val="bottom"/>
            <w:tcBorders>
              <w:top w:val="single" w:sz="8" w:color="CCFFCC"/>
              <w:bottom w:val="single" w:sz="8" w:color="auto"/>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440" w:type="dxa"/>
            <w:vAlign w:val="bottom"/>
            <w:tcBorders>
              <w:top w:val="single" w:sz="8" w:color="CCFFCC"/>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244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920" w:type="dxa"/>
            <w:vAlign w:val="bottom"/>
            <w:tcBorders>
              <w:top w:val="single" w:sz="8" w:color="CCFFCC"/>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4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4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-1568450</wp:posOffset>
            </wp:positionV>
            <wp:extent cx="521398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-1294130</wp:posOffset>
            </wp:positionV>
            <wp:extent cx="5213985"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-488315</wp:posOffset>
            </wp:positionV>
            <wp:extent cx="521398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440" w:right="539" w:hanging="322"/>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440" w:hanging="367"/>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is income producing.</w:t>
      </w:r>
    </w:p>
    <w:p>
      <w:pPr>
        <w:spacing w:after="0" w:line="117" w:lineRule="exact"/>
        <w:rPr>
          <w:rFonts w:ascii="Arial" w:cs="Arial" w:eastAsia="Arial" w:hAnsi="Arial"/>
          <w:sz w:val="18"/>
          <w:szCs w:val="18"/>
          <w:color w:val="auto"/>
        </w:rPr>
      </w:pPr>
    </w:p>
    <w:p>
      <w:pPr>
        <w:jc w:val="both"/>
        <w:ind w:left="440" w:right="519" w:hanging="367"/>
        <w:spacing w:after="0" w:line="286"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57" w:lineRule="exact"/>
        <w:rPr>
          <w:rFonts w:ascii="Arial" w:cs="Arial" w:eastAsia="Arial" w:hAnsi="Arial"/>
          <w:sz w:val="17"/>
          <w:szCs w:val="17"/>
          <w:color w:val="auto"/>
        </w:rPr>
      </w:pPr>
    </w:p>
    <w:p>
      <w:pPr>
        <w:jc w:val="both"/>
        <w:ind w:left="440" w:right="519" w:hanging="367"/>
        <w:spacing w:after="0" w:line="286"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May 17, 2012, Facebook, Inc. priced its initial public offering, selling 421,233,615 shares at a price of $38.00 per share. GSV Capital Corp.’s shares in Facebook, Inc. are subject to a lock-up agreement that expired on November 14, 2012. At December 31, 2012, GSV Capital Corp. valued Facebook based on its December 31, 2012 closing price.</w:t>
      </w:r>
    </w:p>
    <w:p>
      <w:pPr>
        <w:spacing w:after="0" w:line="57" w:lineRule="exact"/>
        <w:rPr>
          <w:rFonts w:ascii="Arial" w:cs="Arial" w:eastAsia="Arial" w:hAnsi="Arial"/>
          <w:sz w:val="17"/>
          <w:szCs w:val="17"/>
          <w:color w:val="auto"/>
        </w:rPr>
      </w:pPr>
    </w:p>
    <w:p>
      <w:pPr>
        <w:jc w:val="both"/>
        <w:ind w:left="440" w:right="519" w:hanging="367"/>
        <w:spacing w:after="0" w:line="286"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November 8, 2011, Groupon, Inc. priced its initial public offering, selling 35,000,000 shares at a price of $20.00 per share. GSV Capital Corp.’s shares in Groupon, Inc. are subject to a lock-up agreement that expired on June 1, 2012. At December 31, 2012, GSV Capital Corp. valued Groupon, Inc. based on its December 31, 2012 closing price.</w:t>
      </w:r>
    </w:p>
    <w:p>
      <w:pPr>
        <w:spacing w:after="0" w:line="57" w:lineRule="exact"/>
        <w:rPr>
          <w:rFonts w:ascii="Arial" w:cs="Arial" w:eastAsia="Arial" w:hAnsi="Arial"/>
          <w:sz w:val="17"/>
          <w:szCs w:val="17"/>
          <w:color w:val="auto"/>
        </w:rPr>
      </w:pPr>
    </w:p>
    <w:p>
      <w:pPr>
        <w:ind w:left="440" w:right="519" w:hanging="367"/>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GSV Capital Corp.’s investment in Avenues World Holdings LLC is held through its wholly-owned subsidiary GSVC AV Holdings, Inc.</w:t>
      </w:r>
    </w:p>
    <w:p>
      <w:pPr>
        <w:spacing w:after="0" w:line="62" w:lineRule="exact"/>
        <w:rPr>
          <w:rFonts w:ascii="Arial" w:cs="Arial" w:eastAsia="Arial" w:hAnsi="Arial"/>
          <w:sz w:val="18"/>
          <w:szCs w:val="18"/>
          <w:color w:val="auto"/>
        </w:rPr>
      </w:pPr>
    </w:p>
    <w:p>
      <w:pPr>
        <w:ind w:left="440" w:right="539" w:hanging="367"/>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wholly-owned subsidiary GSVC WS Holdings, Inc.</w:t>
      </w:r>
    </w:p>
    <w:p>
      <w:pPr>
        <w:spacing w:after="0" w:line="62" w:lineRule="exact"/>
        <w:rPr>
          <w:rFonts w:ascii="Arial" w:cs="Arial" w:eastAsia="Arial" w:hAnsi="Arial"/>
          <w:sz w:val="18"/>
          <w:szCs w:val="18"/>
          <w:color w:val="auto"/>
        </w:rPr>
      </w:pPr>
    </w:p>
    <w:p>
      <w:pPr>
        <w:ind w:left="440" w:hanging="367"/>
        <w:spacing w:after="0"/>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440" w:hanging="367"/>
        <w:spacing w:after="0"/>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GSV Capital Corp.’s investment in AltEgo, LLC is held through its wholly-owned subsidiary GSVC AE Holdings, Inc.</w:t>
      </w:r>
    </w:p>
    <w:p>
      <w:pPr>
        <w:spacing w:after="0" w:line="128" w:lineRule="exact"/>
        <w:rPr>
          <w:rFonts w:ascii="Arial" w:cs="Arial" w:eastAsia="Arial" w:hAnsi="Arial"/>
          <w:sz w:val="17"/>
          <w:szCs w:val="17"/>
          <w:color w:val="auto"/>
        </w:rPr>
      </w:pPr>
    </w:p>
    <w:p>
      <w:pPr>
        <w:ind w:left="440" w:right="539" w:hanging="367"/>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GSV Capital Corp.’s investment in NestGSV Silicon Valley, LLC is held through its wholly-owned subsidiary GSVC NG Holdings, Inc.</w:t>
      </w:r>
    </w:p>
    <w:p>
      <w:pPr>
        <w:spacing w:after="0" w:line="62" w:lineRule="exact"/>
        <w:rPr>
          <w:sz w:val="20"/>
          <w:szCs w:val="20"/>
          <w:color w:val="auto"/>
        </w:rPr>
      </w:pPr>
    </w:p>
    <w:p>
      <w:pPr>
        <w:jc w:val="both"/>
        <w:ind w:left="440" w:right="519" w:hanging="412"/>
        <w:spacing w:after="0" w:line="26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 Qualifying assets must represent at least 70% of GSV Capital Corp.’s total assets at the time of acquisition of any additional non-qualifying assets.</w:t>
      </w:r>
    </w:p>
    <w:p>
      <w:pPr>
        <w:spacing w:after="0" w:line="73" w:lineRule="exact"/>
        <w:rPr>
          <w:rFonts w:ascii="Arial" w:cs="Arial" w:eastAsia="Arial" w:hAnsi="Arial"/>
          <w:sz w:val="18"/>
          <w:szCs w:val="18"/>
          <w:color w:val="auto"/>
        </w:rPr>
      </w:pPr>
    </w:p>
    <w:p>
      <w:pPr>
        <w:ind w:left="440" w:right="539" w:hanging="412"/>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February 11, 2013, Silver Spring Networks, Inc. conducted a five-for-one reverse stock split of its common stock, which has not been reflected above.</w:t>
      </w: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line="266" w:lineRule="auto"/>
        <w:rPr>
          <w:sz w:val="20"/>
          <w:szCs w:val="20"/>
          <w:color w:val="auto"/>
        </w:rPr>
      </w:pPr>
      <w:r>
        <w:rPr>
          <w:rFonts w:ascii="Arial" w:cs="Arial" w:eastAsia="Arial" w:hAnsi="Arial"/>
          <w:sz w:val="18"/>
          <w:szCs w:val="18"/>
          <w:b w:val="1"/>
          <w:bCs w:val="1"/>
          <w:color w:val="auto"/>
        </w:rPr>
        <w:t>GSV CAPITAL CORP. AND SUBSIDIARY CONSOLIDATED SCHEDULE OF INVESTMENTS (continued) December 31, 2012</w:t>
      </w:r>
    </w:p>
    <w:p>
      <w:pPr>
        <w:spacing w:after="0" w:line="72" w:lineRule="exact"/>
        <w:rPr>
          <w:sz w:val="20"/>
          <w:szCs w:val="20"/>
          <w:color w:val="auto"/>
        </w:rPr>
      </w:pPr>
    </w:p>
    <w:p>
      <w:pPr>
        <w:ind w:left="420" w:right="539" w:hanging="412"/>
        <w:spacing w:after="0" w:line="277"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common warrants held in Starfish Holdings, Inc. (d/b/a YourOffers) is presented separately to in order to be consistent with the presentation in the June 30, 2013 Consolidated Schedule of Investments.</w:t>
      </w:r>
    </w:p>
    <w:p>
      <w:pPr>
        <w:spacing w:after="0" w:line="62" w:lineRule="exact"/>
        <w:rPr>
          <w:rFonts w:ascii="Arial" w:cs="Arial" w:eastAsia="Arial" w:hAnsi="Arial"/>
          <w:sz w:val="18"/>
          <w:szCs w:val="18"/>
          <w:color w:val="auto"/>
        </w:rPr>
      </w:pPr>
    </w:p>
    <w:p>
      <w:pPr>
        <w:ind w:left="420" w:right="539" w:hanging="412"/>
        <w:spacing w:after="0" w:line="342"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July 31 2013, Grockit, Inc. changed its name to Learnist, Inc. The schedule of investments was updated in order to be consistent with the presentation in the June 30, 2013 Consolidated Schedule of Investments. Refer to note 9 for further detail.</w:t>
      </w:r>
    </w:p>
    <w:p>
      <w:pPr>
        <w:spacing w:after="0" w:line="15" w:lineRule="exact"/>
        <w:rPr>
          <w:rFonts w:ascii="Arial" w:cs="Arial" w:eastAsia="Arial" w:hAnsi="Arial"/>
          <w:sz w:val="16"/>
          <w:szCs w:val="16"/>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July 22, 2013, Control4 Corporation completed a 1:5.2 reverse stock split which has been reflected above.</w:t>
      </w:r>
    </w:p>
    <w:p>
      <w:pPr>
        <w:spacing w:after="0" w:line="200" w:lineRule="exact"/>
        <w:rPr>
          <w:sz w:val="20"/>
          <w:szCs w:val="20"/>
          <w:color w:val="auto"/>
        </w:rPr>
      </w:pPr>
    </w:p>
    <w:p>
      <w:pPr>
        <w:spacing w:after="0" w:line="349"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right="297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GSV Capital Corp. (the “Company”, “we”, “our” or “GSV Capital”) was formed in September 2010 as a Maryland corporation structured as an externally managed, non-diversified closed-end management investment company. The Company has elected to be treated as a business development company under the Investment Company Act of 1940, as amended (the “1940 Act”). The Company is managed by GSV Asset Management, LLC (“GSV Asset Management”).</w:t>
      </w:r>
    </w:p>
    <w:p>
      <w:pPr>
        <w:spacing w:after="0" w:line="6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Company’s date of inception is January 6, 2011, which is the date it commenced its development stage activities. The Company’s shares are currently listed on the NASDAQ Capital Market under the symbol “GSVC”. The Company began its investment operations during the second quarter.</w:t>
      </w:r>
    </w:p>
    <w:p>
      <w:pPr>
        <w:spacing w:after="0" w:line="7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April 13, 2012, the Company formed a wholly-owned subsidiary, GSV Capital Lending, LLC (“GCL”), a Delaware limited liability company, which will originate portfolio loan investments within the state of California. An application for a California lender license was submitted by GCL to the California Department of Corporations and GCL is awaiting receipt of its license from the State.</w:t>
      </w:r>
    </w:p>
    <w:p>
      <w:pPr>
        <w:spacing w:after="0" w:line="79"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On November 28, 2012, the Company formed wholly-owned subsidiaries, GSVC AE Holdings, Inc. (“GAE”), GSVC AV Holdings, Inc. (“GAV”), GSVC NG Holdings, Inc. (“GNG”), GSVC SW Holdings, Inc. (“GSW”) and GSVC WS Holdings, Inc. (“GWS”) (collectively the “GSVC Holdings”), all Delaware corporations, to hold portfolio investments.</w:t>
      </w:r>
    </w:p>
    <w:p>
      <w:pPr>
        <w:spacing w:after="0" w:line="7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Company’s investment objective is to maximize our portfolio’s total return, principally by seeking capital gains on our equity investments. The Company invests principally in the equity securities of venture capital-backed and rapidly growing emerging companies. The Company may also invest on an opportunistic basis in select publicly-traded equity securities of rapidly growing companies that otherwise meet its investment criteria.</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February 10, 2012, the Company priced a subsequent follow-on equity offering, selling 6,900,000 of common shares at a price of $15.00 per share, including an exercise in full by the underwriters of their option to purchase an additional 900,000 shares of common stock to cover overallotments. The follow-on equity offering resulted in net proceeds to the Company of approximately $96.2 million.</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May 11, 2012, the Company priced an additional follow-on equity offering, selling 6,900,000 of common shares at a price of $16.25 per share, including an exercise in full by the underwriters of their option to purchase an additional 900,000 shares of common stock to cover overallotments. The follow-on equity offering resulted in net proceeds to the Company of approximately $105.4 million.</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interim consolidated financial statements of the Company are prepared in accordance with accounting principles generally accepted in the United States of America (“GAAP”) for interim financial information and pursuant to the requirements for reporting on Form 10-Q and Regulation S-X. In the opinion of management, all adjustments, all of which were of a normal recurring nature, considered necessary for the fair presentation of financial statements for the interim period have been included. The results of operations for the current period are not necessarily indicative of results that ultimately may be achieved for any other interim period or for the year ending December 31, 2013. The interim unaudited consolidated financial statements and notes hereto should be read in conjunction with the audited financial statements and notes thereto contained in the Company’s Annual Report on Form 10-K for the year ended December 31, 2012.</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accordance with Regulation S-X under the Securities Act of 1933, as amended, and the Securities Exchange Act of 1934, as amended, the Company does not consolidate portfolio company investments. The Company has not consolidated GCL, or GSVC Holdings which hold portfolio investments.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Under Article 6 of Regulation S-X and the American Institute of Certified Public Accountants’ Audit and Accounting Guide for Investment Companies, we are precluded from consolidating any entity other than another investment company or a controlled operating company which provides substantially all of its services and benefits to us. Accordingly, our financial statements include our accounts and the accounts of GCL, our wholly-owned subsidiary. All intercompany balances and transactions have been eliminated in consolidation.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The preparation of consolidated financial statements requires the Company to make a number of significant estimates. These include estimates of fair value of certain assets and liabilities and other estimates that affect the reported amounts of certain assets and liabilities as of the date of the consolidated financial statements and the reported amounts of certain revenues and expenses during the reported period. It is likely that changes in these estimates will occur in the near term. Our estimates are inherently subjective in nature and actual results could differ from our estimates and the differences could be material.</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applies fair value accounting in accordance with GAAP. The Company generally values its assets on a quarterly basis, or more frequently if required under the 1940 Act. Securities for which market quotations are readily available on an exchange are valued at the closing price of such security on the valuation date; however, if they remain subject to lock-up restrictions they are discounted accordingly. The Company may also obtain quotes with respect to certain of its investments from pricing services or brokers or dealers in order to value assets. When doing so, the Company determines whether the quote obtained is sufficient according to GAAP to determine the fair value of the security. If determined adequate, the Company uses the quote obtained.</w:t>
      </w:r>
    </w:p>
    <w:p>
      <w:pPr>
        <w:spacing w:after="0" w:line="81"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Securities for which reliable market quotations are not readily available or for which the pricing source does not provide a valuation or methodology or provides a valuation or methodology that, in the judgment of GSV Asset Management, the Board or the Valuation Committee of the Board (the “Valuation Committee”), does not represent fair value, shall each be valued as follows:</w:t>
      </w:r>
    </w:p>
    <w:p>
      <w:pPr>
        <w:spacing w:after="0" w:line="39" w:lineRule="exact"/>
        <w:rPr>
          <w:sz w:val="20"/>
          <w:szCs w:val="20"/>
          <w:color w:val="auto"/>
        </w:rPr>
      </w:pPr>
    </w:p>
    <w:p>
      <w:pPr>
        <w:ind w:left="540" w:right="539" w:hanging="26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jc w:val="both"/>
        <w:ind w:left="540" w:right="539" w:hanging="262"/>
        <w:spacing w:after="0" w:line="264"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material investments;</w:t>
      </w:r>
    </w:p>
    <w:p>
      <w:pPr>
        <w:spacing w:after="0" w:line="73"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Valuation Committee discusses valuations and recommends the fair value of each investment in the portfolio in good faith based on the input of GSV Asset Management and the independent third-party valuation firm; and,</w:t>
      </w:r>
    </w:p>
    <w:p>
      <w:pPr>
        <w:spacing w:after="0" w:line="62"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then discusses the valuations and determines in good faith the fair value of each investment in the portfolio based upon input of GSV Asset Management, estimates from the independent valuation firm and the recommendations of the Valuation Committee.</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In making our good faith determination of the fair value of investments, we consider valuation methodologies consistent with industry practice. Valuation methods, among other measures and as applicable, may include comparisons to prices from secondary market transactions and recent venture capital financings,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factor to determine the fair value of each investment.</w:t>
      </w:r>
    </w:p>
    <w:p>
      <w:pPr>
        <w:spacing w:after="0" w:line="5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Company will consider the pricing indicated by the external event to corroborate the private equity 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8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market that the Company has the ability to access (examples include active exchange-traded equity securities, exchange-traded derivatives, and most U.S. Government and agency securities).</w:t>
      </w:r>
    </w:p>
    <w:p>
      <w:pPr>
        <w:spacing w:after="0" w:line="68"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either directly or indirectly for substantially the full term of the asset or liability. Level 2 inputs include the following:</w:t>
      </w:r>
    </w:p>
    <w:p>
      <w:pPr>
        <w:spacing w:after="0" w:line="72" w:lineRule="exact"/>
        <w:rPr>
          <w:sz w:val="20"/>
          <w:szCs w:val="20"/>
          <w:color w:val="auto"/>
        </w:rPr>
      </w:pPr>
    </w:p>
    <w:p>
      <w:pPr>
        <w:ind w:left="540" w:hanging="26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(examples include corporate and municipal bonds, which trade infrequently);</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(examples include most over-the-counter derivatives, including foreign exchange forward contracts); and,</w:t>
      </w:r>
    </w:p>
    <w:p>
      <w:pPr>
        <w:spacing w:after="0" w:line="62"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58" w:lineRule="exact"/>
        <w:rPr>
          <w:sz w:val="20"/>
          <w:szCs w:val="20"/>
          <w:color w:val="auto"/>
        </w:rPr>
      </w:pPr>
    </w:p>
    <w:p>
      <w:pPr>
        <w:jc w:val="both"/>
        <w:ind w:left="40" w:right="519" w:firstLine="270"/>
        <w:spacing w:after="0" w:line="261"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both unobservable and significant to the overall fair value measurement. These inputs reflect management’s own assumptions about the assumptions a market participant would use in pricing the asset or liability (examples include certain of our private equity investments).</w:t>
      </w:r>
    </w:p>
    <w:p>
      <w:pPr>
        <w:spacing w:after="0" w:line="76"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liabilities categorized within the Level 3 table set forth in Note 3 may include changes in fair value that are attributable to both observable inputs (Levels 1 and 2) and unobservable inputs (Level 3).</w:t>
      </w:r>
    </w:p>
    <w:p>
      <w:pPr>
        <w:spacing w:after="0" w:line="62"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carrying amounts of our financial instruments, consisting of cash, receivables, accounts payable, and accrued expenses, approximate fair value due to their short-term nature.</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11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We are a non-diversified company within the meaning of the 1940 Act. We classify our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 places its cash with U.S. Bank, N.A. and First Republic Bank, N.A., and at times, cash held in these accounts may exceed the Federal Deposit Insurance Corporation insured limit. The Company may invest a portion of its cash in money market funds, within limitations of the 1940 Act.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Interest income, adjusted for amortization of premium and accretion of discount, is recorded on an accrual basis.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Commissions and other costs associated with an investment transaction, including legal expenses not reimbursed by the issuer, are included in the cost basis of purchases and deducted from the proceeds of sales. The Company makes certain acquisitions on the secondary markets which may involve making deposits to escrow accounts until certain conditions are met including the underlying private company’s right of first</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spacing w:after="0" w:line="259" w:lineRule="auto"/>
        <w:rPr>
          <w:sz w:val="20"/>
          <w:szCs w:val="20"/>
          <w:color w:val="auto"/>
        </w:rPr>
      </w:pPr>
      <w:r>
        <w:rPr>
          <w:rFonts w:ascii="Arial" w:cs="Arial" w:eastAsia="Arial" w:hAnsi="Arial"/>
          <w:sz w:val="18"/>
          <w:szCs w:val="18"/>
          <w:color w:val="auto"/>
        </w:rPr>
        <w:t>refusal. If the underlying private company does not exercise or assign its right of first refusal and all other conditions are met, then the funds in the escrow account are delivered to the seller and the account is closed. These transactions are reflected on the Consolidated Statement of Assets and Liabilities as Escrow deposits. At June 30, 2013 and December 31, 2012, the Company had $0 in Escrow deposits.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Unrealized Appreciation or Depreciation on Investments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Unrealized appreciation or depreciation is calculated as the difference between the fair value of the investment and the cost basis of such investment.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was taxed as a regular corporation (a “C corporation”) under subchapter C of the Internal Revenue Code of 1986, as amended, for its 2012 taxable year. The Company uses the liability method of accounting for income taxes. Deferred tax assets and liabilities are recorded for tax loss carryforwards and temporary differences between the tax basis of assets and liabilities and their reported amounts in the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81"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Beginning with its 2013 taxable year, the Company may elect to be treated as a regulated investment company (“RIC”) under subchapter M of the Internal Revenue Code of 1986, as amended (the “Code”), if management determines that it is in the best interests of the Company to do so and the Company is able to satisfy the requirements under subchapter M of the Code. In order to qualify as a RIC, among other things, the Company is required to distribute to its stockholders on a timely basis at least 90% of investment company taxable income, as defined by the Code, for each year, and meet certain asset diversification requirements on a quarterly basis.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Company will represent obligations of the Company’s investors and will not be reflected in the consolidated financial statements of the Company. Although it is currently its intention to do so, at the present time, the Company cannot assure you whether it will elect to be treated as a RIC for its 2013 taxable year. If it opts not to do so, the Company will continue to be taxed as a C corporation under the Code for its 2013 taxable year.</w:t>
      </w:r>
    </w:p>
    <w:p>
      <w:pPr>
        <w:spacing w:after="0" w:line="65"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Offering costs include legal fees and other costs pertaining to the public offerings. As of June 30, 2013 there were no deferred offering costs. As of December 31, 2012, $738,697 of offering costs were offset against capital proceeds from the secondary offerings on May 11, 2012 and February 10, 2012.</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Basic and diluted earnings (loss) per common share is calculated using the weighted average number of shares outstanding for the period presented.</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right="185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 (continued) </w:t>
      </w:r>
      <w:r>
        <w:rPr>
          <w:rFonts w:ascii="Arial" w:cs="Arial" w:eastAsia="Arial" w:hAnsi="Arial"/>
          <w:sz w:val="18"/>
          <w:szCs w:val="18"/>
          <w:b w:val="1"/>
          <w:bCs w:val="1"/>
          <w:i w:val="1"/>
          <w:iCs w:val="1"/>
          <w:color w:val="auto"/>
        </w:rPr>
        <w:t>Capital Accounts</w:t>
      </w:r>
    </w:p>
    <w:p>
      <w:pPr>
        <w:spacing w:after="0" w:line="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Certain capital accounts including undistributed net investment income, accumulated net realized gain or loss, net unrealized appreciation or depreciation, and paid-in capital in excess of par, are adjusted, at least annually, for permanent differences between book and tax. In addition, the character of income and gains to be distributed is determined in accordance with income tax regulations that may differ from GAAP. GAAP requires that certain components of net assets relating to permanent differences be reclassified between financial and tax reporting. These reclassifications have no effect on the net assets or net asset value per share and are intended to enable the Company’s stockholders to determine the amount of accumulated and undistributed earnings they potentially could receive in the future and on which they could be taxed.</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 PARTY ARRANGEMENTS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Company entered into an investment advisory agreement with GSV Asset Management (the “Advisory Agreement”) in connection with its initial public offering. Pursuant to the Advisory Agreement, GSV Asset Management will be paid a base annual fee of 2% of gross assets,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There were $1,246,378 and $2,529,977 in base management fees and $0 in incentive fees incurred for the three and six months ended June 30, 2013, respectively. There were $1,126,091 and $1,748,017 in base management fees and $0 in incentive fees incurred for the three and six months ended June 30, 2012, respectively.</w:t>
      </w:r>
    </w:p>
    <w:p>
      <w:pPr>
        <w:spacing w:after="0" w:line="70"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As of June 30, 2013, the Company was due $2,606 from GSV Asset Management for reimbursement of expenses paid for by the Company that were the responsibility of GSV Asset Management, and is included in the Consolidated Statement of Assets and Liabilities.</w:t>
      </w:r>
    </w:p>
    <w:p>
      <w:pPr>
        <w:spacing w:after="0" w:line="73"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As of June 30, 2013, the Company owed GSV Asset Management $438,848, of which $415,459 relates to accrued management fees, and $20,783 is for reimbursement of expenses paid for by GSV Asset Management that were the responsibility of the Company, and is included in the Consolidated Statement of Assets and Liabilities.</w:t>
      </w:r>
    </w:p>
    <w:p>
      <w:pPr>
        <w:spacing w:after="0" w:line="7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As of December 31, 2012, the Company was due $5,723 from GSV Asset Management for reimbursement of expenses paid by the Company that were the responsibility of GSV Asset Management, and is included in the Consolidated Statement of Assets and Liabilities.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December 31, 2012, the Company owed GSV Asset Management $51,194 for reimbursements of travel-related expenses.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These are included in the Consolidated Statement of Assets and Liabilities.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21"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The Company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in connection with its initial public offering and ongoing operations. The Company reimburses GSV Capital Service Company an allocable portion of overhead and other expenses in performing its obligations under the Administration Agreement. There were $709,885 and $1,597,869 in such costs incurred under the Administration Agreement for the three and six months ended June 30, 2013, respectively. There were $602,201 and $947,795 in such costs incurred under the Administration Agreement for the three and six months ended June 30, 2012, respectively.</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RELATED PARTY ARRANGEMENTS –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21" w:lineRule="exact"/>
        <w:rPr>
          <w:sz w:val="20"/>
          <w:szCs w:val="20"/>
          <w:color w:val="auto"/>
        </w:rPr>
      </w:pPr>
    </w:p>
    <w:p>
      <w:pPr>
        <w:jc w:val="both"/>
        <w:ind w:left="60" w:right="820" w:firstLine="270"/>
        <w:spacing w:after="0" w:line="279" w:lineRule="auto"/>
        <w:rPr>
          <w:sz w:val="20"/>
          <w:szCs w:val="20"/>
          <w:color w:val="auto"/>
        </w:rPr>
      </w:pPr>
      <w:r>
        <w:rPr>
          <w:rFonts w:ascii="Arial" w:cs="Arial" w:eastAsia="Arial" w:hAnsi="Arial"/>
          <w:sz w:val="17"/>
          <w:szCs w:val="17"/>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w:t>
      </w:r>
    </w:p>
    <w:p>
      <w:pPr>
        <w:spacing w:after="0" w:line="121" w:lineRule="exact"/>
        <w:rPr>
          <w:sz w:val="20"/>
          <w:szCs w:val="20"/>
          <w:color w:val="auto"/>
        </w:rPr>
      </w:pPr>
    </w:p>
    <w:p>
      <w:pPr>
        <w:jc w:val="both"/>
        <w:ind w:left="60" w:right="840" w:firstLine="270"/>
        <w:spacing w:after="0" w:line="259" w:lineRule="auto"/>
        <w:rPr>
          <w:sz w:val="20"/>
          <w:szCs w:val="20"/>
          <w:color w:val="auto"/>
        </w:rPr>
      </w:pPr>
      <w:r>
        <w:rPr>
          <w:rFonts w:ascii="Arial" w:cs="Arial" w:eastAsia="Arial" w:hAnsi="Arial"/>
          <w:sz w:val="18"/>
          <w:szCs w:val="18"/>
          <w:color w:val="auto"/>
        </w:rPr>
        <w:t>At June 30, 2013, the Company had 65 positions in 45 portfolio companies. The total cost and fair value of the 65 positions were $245,295,528 and $244,198,486, respectively. At December 31, 2012, the Company had 61 positions in 47 portfolio companies. The total cost and fair value of the 61 positions were $237,147,735 and $225,397,085, respectively. The composition of our investments as of June 30, 2013 and December 31, 2012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-85725</wp:posOffset>
            </wp:positionV>
            <wp:extent cx="51968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2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June 30, 2013 (Unaudited)</w:t>
            </w:r>
          </w:p>
        </w:tc>
        <w:tc>
          <w:tcPr>
            <w:tcW w:w="16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December 31, 2012</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20" w:type="dxa"/>
            <w:vAlign w:val="bottom"/>
            <w:gridSpan w:val="2"/>
            <w:vMerge w:val="restart"/>
          </w:tcPr>
          <w:p>
            <w:pPr>
              <w:ind w:left="20"/>
              <w:spacing w:after="0"/>
              <w:rPr>
                <w:sz w:val="20"/>
                <w:szCs w:val="20"/>
                <w:color w:val="auto"/>
              </w:rPr>
            </w:pPr>
            <w:r>
              <w:rPr>
                <w:rFonts w:ascii="Arial" w:cs="Arial" w:eastAsia="Arial" w:hAnsi="Arial"/>
                <w:sz w:val="18"/>
                <w:szCs w:val="18"/>
                <w:color w:val="auto"/>
              </w:rPr>
              <w:t>Common Stock</w:t>
            </w: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10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20" w:type="dxa"/>
            <w:vAlign w:val="bottom"/>
            <w:gridSpan w:val="2"/>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$133,060,806</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86"/>
              </w:rPr>
              <w:t>$ 131,423,400</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86"/>
              </w:rPr>
              <w:t>$ 132,833,640</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$ 123,820,141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Preferred Stock</w:t>
            </w:r>
          </w:p>
        </w:tc>
        <w:tc>
          <w:tcPr>
            <w:tcW w:w="10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7"/>
              </w:rPr>
              <w:t>111,604,252</w:t>
            </w:r>
          </w:p>
        </w:tc>
        <w:tc>
          <w:tcPr>
            <w:tcW w:w="12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112,122,234</w:t>
            </w:r>
          </w:p>
        </w:tc>
        <w:tc>
          <w:tcPr>
            <w:tcW w:w="12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103,683,625</w:t>
            </w:r>
          </w:p>
        </w:tc>
        <w:tc>
          <w:tcPr>
            <w:tcW w:w="13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100,853,882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Common Membership Interest</w:t>
            </w:r>
          </w:p>
        </w:tc>
        <w:tc>
          <w:tcPr>
            <w:tcW w:w="1040" w:type="dxa"/>
            <w:vAlign w:val="bottom"/>
          </w:tcPr>
          <w:p>
            <w:pPr>
              <w:jc w:val="right"/>
              <w:spacing w:after="0"/>
              <w:rPr>
                <w:sz w:val="20"/>
                <w:szCs w:val="20"/>
                <w:color w:val="auto"/>
              </w:rPr>
            </w:pPr>
            <w:r>
              <w:rPr>
                <w:rFonts w:ascii="Arial" w:cs="Arial" w:eastAsia="Arial" w:hAnsi="Arial"/>
                <w:sz w:val="18"/>
                <w:szCs w:val="18"/>
                <w:color w:val="auto"/>
              </w:rPr>
              <w:t>500,000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514,084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500,000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Warrants</w:t>
            </w:r>
          </w:p>
        </w:tc>
        <w:tc>
          <w:tcPr>
            <w:tcW w:w="10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130,470</w:t>
            </w:r>
          </w:p>
        </w:tc>
        <w:tc>
          <w:tcPr>
            <w:tcW w:w="16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138,768</w:t>
            </w:r>
          </w:p>
        </w:tc>
        <w:tc>
          <w:tcPr>
            <w:tcW w:w="12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130,470</w:t>
            </w:r>
          </w:p>
        </w:tc>
        <w:tc>
          <w:tcPr>
            <w:tcW w:w="13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223,062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2620" w:type="dxa"/>
            <w:vAlign w:val="bottom"/>
            <w:shd w:val="clear" w:color="auto" w:fill="CCFFCC"/>
          </w:tcPr>
          <w:p>
            <w:pPr>
              <w:spacing w:after="0" w:line="20" w:lineRule="exact"/>
              <w:rPr>
                <w:sz w:val="1"/>
                <w:szCs w:val="1"/>
                <w:color w:val="auto"/>
              </w:rPr>
            </w:pPr>
          </w:p>
        </w:tc>
        <w:tc>
          <w:tcPr>
            <w:tcW w:w="104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6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Total Portfolio Investments</w:t>
            </w: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245,295,528</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244,198,486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237,147,735</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225,397,085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Non-Portfolio Investments</w:t>
            </w:r>
          </w:p>
        </w:tc>
        <w:tc>
          <w:tcPr>
            <w:tcW w:w="10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16,000,000</w:t>
            </w:r>
          </w:p>
        </w:tc>
        <w:tc>
          <w:tcPr>
            <w:tcW w:w="13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16,000,000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2620" w:type="dxa"/>
            <w:vAlign w:val="bottom"/>
            <w:shd w:val="clear" w:color="auto" w:fill="CCFFCC"/>
          </w:tcPr>
          <w:p>
            <w:pPr>
              <w:spacing w:after="0" w:line="20" w:lineRule="exact"/>
              <w:rPr>
                <w:sz w:val="1"/>
                <w:szCs w:val="1"/>
                <w:color w:val="auto"/>
              </w:rPr>
            </w:pPr>
          </w:p>
        </w:tc>
        <w:tc>
          <w:tcPr>
            <w:tcW w:w="104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6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Total Investments</w:t>
            </w:r>
          </w:p>
        </w:tc>
        <w:tc>
          <w:tcPr>
            <w:tcW w:w="104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245,295,528</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86"/>
              </w:rPr>
              <w:t>$ 244,198,486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$ 253,147,735</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$ 241,397,085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8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gridSpan w:val="2"/>
          </w:tcPr>
          <w:p>
            <w:pPr>
              <w:jc w:val="right"/>
              <w:ind w:right="853"/>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26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62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-1088390</wp:posOffset>
            </wp:positionV>
            <wp:extent cx="521398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-805180</wp:posOffset>
            </wp:positionV>
            <wp:extent cx="5213985" cy="180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2" w:name="page23"/>
    <w:bookmarkEnd w:id="2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21" w:lineRule="exact"/>
        <w:rPr>
          <w:sz w:val="20"/>
          <w:szCs w:val="20"/>
          <w:color w:val="auto"/>
        </w:rPr>
      </w:pPr>
    </w:p>
    <w:p>
      <w:pPr>
        <w:jc w:val="both"/>
        <w:ind w:left="60" w:right="519" w:firstLine="270"/>
        <w:spacing w:after="0" w:line="269" w:lineRule="auto"/>
        <w:rPr>
          <w:sz w:val="20"/>
          <w:szCs w:val="20"/>
          <w:color w:val="auto"/>
        </w:rPr>
      </w:pPr>
      <w:r>
        <w:rPr>
          <w:rFonts w:ascii="Arial" w:cs="Arial" w:eastAsia="Arial" w:hAnsi="Arial"/>
          <w:sz w:val="18"/>
          <w:szCs w:val="18"/>
          <w:color w:val="auto"/>
        </w:rPr>
        <w:t>The table below presents the valuation techniques and the nature of significant inputs used to determine the fair values of our Level 3 investments as of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16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16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Range (Average)</w:t>
            </w:r>
          </w:p>
        </w:tc>
      </w:tr>
      <w:tr>
        <w:trPr>
          <w:trHeight w:val="195"/>
        </w:trPr>
        <w:tc>
          <w:tcPr>
            <w:tcW w:w="1800" w:type="dxa"/>
            <w:vAlign w:val="bottom"/>
          </w:tcPr>
          <w:p>
            <w:pPr>
              <w:jc w:val="center"/>
              <w:spacing w:after="0" w:line="195" w:lineRule="exact"/>
              <w:rPr>
                <w:sz w:val="20"/>
                <w:szCs w:val="20"/>
                <w:color w:val="auto"/>
              </w:rPr>
            </w:pPr>
            <w:r>
              <w:rPr>
                <w:rFonts w:ascii="Arial" w:cs="Arial" w:eastAsia="Arial" w:hAnsi="Arial"/>
                <w:sz w:val="18"/>
                <w:szCs w:val="18"/>
                <w:color w:val="auto"/>
                <w:w w:val="92"/>
              </w:rPr>
              <w:t>Common stock in</w:t>
            </w:r>
          </w:p>
        </w:tc>
        <w:tc>
          <w:tcPr>
            <w:tcW w:w="16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w w:val="88"/>
              </w:rPr>
              <w:t>$120,348,928</w:t>
            </w:r>
          </w:p>
        </w:tc>
        <w:tc>
          <w:tcPr>
            <w:tcW w:w="160" w:type="dxa"/>
            <w:vAlign w:val="bottom"/>
          </w:tcPr>
          <w:p>
            <w:pPr>
              <w:spacing w:after="0"/>
              <w:rPr>
                <w:sz w:val="16"/>
                <w:szCs w:val="16"/>
                <w:color w:val="auto"/>
              </w:rPr>
            </w:pPr>
          </w:p>
        </w:tc>
        <w:tc>
          <w:tcPr>
            <w:tcW w:w="1420" w:type="dxa"/>
            <w:vAlign w:val="bottom"/>
          </w:tcPr>
          <w:p>
            <w:pPr>
              <w:jc w:val="center"/>
              <w:spacing w:after="0" w:line="195" w:lineRule="exact"/>
              <w:rPr>
                <w:sz w:val="20"/>
                <w:szCs w:val="20"/>
                <w:color w:val="auto"/>
              </w:rPr>
            </w:pPr>
            <w:r>
              <w:rPr>
                <w:rFonts w:ascii="Arial" w:cs="Arial" w:eastAsia="Arial" w:hAnsi="Arial"/>
                <w:sz w:val="18"/>
                <w:szCs w:val="18"/>
                <w:color w:val="auto"/>
                <w:w w:val="90"/>
              </w:rPr>
              <w:t>Market approach</w:t>
            </w:r>
          </w:p>
        </w:tc>
        <w:tc>
          <w:tcPr>
            <w:tcW w:w="160" w:type="dxa"/>
            <w:vAlign w:val="bottom"/>
          </w:tcPr>
          <w:p>
            <w:pPr>
              <w:spacing w:after="0"/>
              <w:rPr>
                <w:sz w:val="16"/>
                <w:szCs w:val="16"/>
                <w:color w:val="auto"/>
              </w:rPr>
            </w:pPr>
          </w:p>
        </w:tc>
        <w:tc>
          <w:tcPr>
            <w:tcW w:w="1800" w:type="dxa"/>
            <w:vAlign w:val="bottom"/>
          </w:tcPr>
          <w:p>
            <w:pPr>
              <w:jc w:val="center"/>
              <w:spacing w:after="0" w:line="195" w:lineRule="exact"/>
              <w:rPr>
                <w:sz w:val="20"/>
                <w:szCs w:val="20"/>
                <w:color w:val="auto"/>
              </w:rPr>
            </w:pPr>
            <w:r>
              <w:rPr>
                <w:rFonts w:ascii="Arial" w:cs="Arial" w:eastAsia="Arial" w:hAnsi="Arial"/>
                <w:sz w:val="18"/>
                <w:szCs w:val="18"/>
                <w:color w:val="auto"/>
                <w:w w:val="87"/>
              </w:rPr>
              <w:t>Precedent transactions</w:t>
            </w:r>
          </w:p>
        </w:tc>
        <w:tc>
          <w:tcPr>
            <w:tcW w:w="160" w:type="dxa"/>
            <w:vAlign w:val="bottom"/>
          </w:tcPr>
          <w:p>
            <w:pPr>
              <w:spacing w:after="0"/>
              <w:rPr>
                <w:sz w:val="16"/>
                <w:szCs w:val="16"/>
                <w:color w:val="auto"/>
              </w:rPr>
            </w:pPr>
          </w:p>
        </w:tc>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9"/>
              </w:rPr>
              <w:t>N/A</w:t>
            </w: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0"/>
              </w:rPr>
              <w:t>private companies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Income approach</w:t>
            </w: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Revenue multiples</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0.9x – 5.6x (2.6x)</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Revenue growth rate</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15% – 50% (36%)</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(5 year)</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6"/>
              </w:rPr>
              <w:t>EBIT multiples</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12x – 21x (15.5x)</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EBIT margin (5 year)</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15% – 30% (20%)</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Discount rate</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35% – 50% (39%)</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w w:val="99"/>
              </w:rPr>
              <w:t>Scenario analysis</w:t>
            </w: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8"/>
              </w:rPr>
              <w:t>IPO/M&amp;A probability</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50/50% – 90/10%</w:t>
            </w: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0"/>
              </w:rPr>
              <w:t>Preferred stock in</w:t>
            </w: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w w:val="97"/>
              </w:rPr>
              <w:t>112,122,234</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Market approach</w:t>
            </w: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Precedent transactions</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0"/>
              </w:rPr>
              <w:t>private companies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Income approach</w:t>
            </w: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Revenue multiples</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0.8x – 5.4x (2.8x)</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Revenue growth rate</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15% – 50% (42%)</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(5 year)</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6"/>
              </w:rPr>
              <w:t>EBIT multiples</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2.0x – 17.4x (9.7x)</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EBIT margin (5 year)</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5% – 50% (21%)</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Discount rate</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35% – 50% (42%)</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Scenario analysis</w:t>
            </w: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8"/>
              </w:rPr>
              <w:t>IPO/M&amp;A probability</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75/25% – 25/75%</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4"/>
              </w:rPr>
              <w:t>Liquidity preference</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Redemption rights</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backed by real estate</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0"/>
              </w:rPr>
              <w:t>Common membership</w:t>
            </w: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514,084</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Market approach</w:t>
            </w: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Precedent transactions</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1"/>
              </w:rPr>
              <w:t>interest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Income approach</w:t>
            </w: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Revenue multiples</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2.0x – 2.2x (2.1x)</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Revenue growth rate</w:t>
            </w:r>
          </w:p>
        </w:tc>
        <w:tc>
          <w:tcPr>
            <w:tcW w:w="17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0%</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(5 year)</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6"/>
              </w:rPr>
              <w:t>EBIT multiples</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8.6x</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EBIT margin (5 year)</w:t>
            </w:r>
          </w:p>
        </w:tc>
        <w:tc>
          <w:tcPr>
            <w:tcW w:w="172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50%</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Discount rate</w:t>
            </w:r>
          </w:p>
        </w:tc>
        <w:tc>
          <w:tcPr>
            <w:tcW w:w="172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45%</w:t>
            </w: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87"/>
              </w:rPr>
              <w:t>Warrants</w:t>
            </w: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138,768</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Option pricing</w:t>
            </w: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Term to expiration*</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See below</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model</w:t>
            </w: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Stock price*</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See below</w:t>
            </w:r>
          </w:p>
        </w:tc>
      </w:tr>
      <w:tr>
        <w:trPr>
          <w:trHeight w:val="230"/>
        </w:trPr>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Volatility*</w:t>
            </w:r>
          </w:p>
        </w:tc>
        <w:tc>
          <w:tcPr>
            <w:tcW w:w="1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See below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171450</wp:posOffset>
            </wp:positionV>
            <wp:extent cx="6172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SharesPost, Inc. warrants have an estimated term of 3.00 years, a stock price of $0.30 and a volatility of 47%.</w:t>
      </w:r>
    </w:p>
    <w:p>
      <w:pPr>
        <w:spacing w:after="0" w:line="117"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The significant unobservable inputs that may be used in the fair value measurement of the Company’s investments in common stock, preferred stock, and common membership interests for which market quotations are not readily available include: (i) prior or contemporaneous transactions in the equity of the portfolio company, prior or contemporaneous transactions in the equity of comparable companies (“Precedent</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3" w:name="page24"/>
    <w:bookmarkEnd w:id="2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21" w:lineRule="exact"/>
        <w:rPr>
          <w:sz w:val="20"/>
          <w:szCs w:val="20"/>
          <w:color w:val="auto"/>
        </w:rPr>
      </w:pPr>
    </w:p>
    <w:p>
      <w:pPr>
        <w:jc w:val="both"/>
        <w:ind w:left="60" w:right="820"/>
        <w:spacing w:after="0" w:line="272" w:lineRule="auto"/>
        <w:rPr>
          <w:sz w:val="20"/>
          <w:szCs w:val="20"/>
          <w:color w:val="auto"/>
        </w:rPr>
      </w:pPr>
      <w:r>
        <w:rPr>
          <w:rFonts w:ascii="Arial" w:cs="Arial" w:eastAsia="Arial" w:hAnsi="Arial"/>
          <w:sz w:val="17"/>
          <w:szCs w:val="17"/>
          <w:color w:val="auto"/>
        </w:rPr>
        <w:t>Transactions”), (ii) revenue multiples for comparable companies, and earnings before interest, taxes, depreciation multiples (“EBIT”), (collectively, “Multiples”) for comparable companies, (iii) discount rates, revenue growth rates, EBIT margins applied in a discounted cash flow analysis of the portfolio company, and (iv) IPO/M&amp;A probabilities. A change in the assumptions used for Precedent Transactions, Multiples, revenue growth rates, EBIT margins, and IPO/M&amp;A probabilities may indicate a directionally similar change in the fair value of the Company’s investments in common stock, preferred stock, and common membership interests, while a change in the assumptions used for discount rates may indicate a directionally opposite change in the fair value of the Company’s investments in common stock, preferred stock, and common membership interests.</w:t>
      </w:r>
    </w:p>
    <w:p>
      <w:pPr>
        <w:spacing w:after="0" w:line="70" w:lineRule="exact"/>
        <w:rPr>
          <w:sz w:val="20"/>
          <w:szCs w:val="20"/>
          <w:color w:val="auto"/>
        </w:rPr>
      </w:pPr>
    </w:p>
    <w:p>
      <w:pPr>
        <w:jc w:val="both"/>
        <w:ind w:left="60" w:right="820" w:firstLine="270"/>
        <w:spacing w:after="0" w:line="264" w:lineRule="auto"/>
        <w:rPr>
          <w:sz w:val="20"/>
          <w:szCs w:val="20"/>
          <w:color w:val="auto"/>
        </w:rPr>
      </w:pPr>
      <w:r>
        <w:rPr>
          <w:rFonts w:ascii="Arial" w:cs="Arial" w:eastAsia="Arial" w:hAnsi="Arial"/>
          <w:sz w:val="18"/>
          <w:szCs w:val="18"/>
          <w:color w:val="auto"/>
        </w:rPr>
        <w:t>The significant unobservable inputs used in determining the fair value of the warrants are the term to expiration, stock price and volatility. Volatility is based on a combination of implied and historical volatility indications. A higher stock price and a longer time to expiration result in higher values, all else equal.</w:t>
      </w:r>
    </w:p>
    <w:p>
      <w:pPr>
        <w:spacing w:after="0" w:line="73" w:lineRule="exact"/>
        <w:rPr>
          <w:sz w:val="20"/>
          <w:szCs w:val="20"/>
          <w:color w:val="auto"/>
        </w:rPr>
      </w:pPr>
    </w:p>
    <w:p>
      <w:pPr>
        <w:jc w:val="both"/>
        <w:ind w:left="60" w:right="820" w:firstLine="270"/>
        <w:spacing w:after="0" w:line="269" w:lineRule="auto"/>
        <w:rPr>
          <w:sz w:val="20"/>
          <w:szCs w:val="20"/>
          <w:color w:val="auto"/>
        </w:rPr>
      </w:pPr>
      <w:r>
        <w:rPr>
          <w:rFonts w:ascii="Arial" w:cs="Arial" w:eastAsia="Arial" w:hAnsi="Arial"/>
          <w:sz w:val="18"/>
          <w:szCs w:val="18"/>
          <w:color w:val="auto"/>
        </w:rPr>
        <w:t>The fair values of our investments disaggregated into the three levels of the fair value hierarchy based upon the lowest level of significant input used in the valuation as of June 30, 2013 and December 31, 2012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92"/>
              </w:rPr>
              <w:t>As of June 30, 2013 (Unaudited)</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3"/>
              </w:rPr>
              <w:t>Quoted Prices in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4"/>
          </w:tcPr>
          <w:p>
            <w:pPr>
              <w:jc w:val="center"/>
              <w:ind w:right="20"/>
              <w:spacing w:after="0" w:line="160" w:lineRule="exact"/>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3"/>
                <w:szCs w:val="13"/>
                <w:color w:val="auto"/>
              </w:rPr>
            </w:pPr>
          </w:p>
        </w:tc>
        <w:tc>
          <w:tcPr>
            <w:tcW w:w="110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293"/>
              <w:spacing w:after="0" w:line="160" w:lineRule="exact"/>
              <w:rPr>
                <w:sz w:val="20"/>
                <w:szCs w:val="20"/>
                <w:color w:val="auto"/>
              </w:rPr>
            </w:pPr>
            <w:r>
              <w:rPr>
                <w:rFonts w:ascii="Arial" w:cs="Arial" w:eastAsia="Arial" w:hAnsi="Arial"/>
                <w:sz w:val="14"/>
                <w:szCs w:val="14"/>
                <w:b w:val="1"/>
                <w:bCs w:val="1"/>
                <w:color w:val="auto"/>
              </w:rPr>
              <w:t>Total</w:t>
            </w: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gridSpan w:val="2"/>
            <w:vMerge w:val="restart"/>
          </w:tcPr>
          <w:p>
            <w:pPr>
              <w:ind w:left="20"/>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8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8,708,000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2,366,472</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$ 120,348,928</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131,423,400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FFCC"/>
          </w:tcPr>
          <w:p>
            <w:pPr>
              <w:spacing w:after="0"/>
              <w:rPr>
                <w:sz w:val="18"/>
                <w:szCs w:val="18"/>
                <w:color w:val="auto"/>
              </w:rPr>
            </w:pPr>
          </w:p>
        </w:tc>
        <w:tc>
          <w:tcPr>
            <w:tcW w:w="11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FFCC"/>
            </w:tcBorders>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112,122,234</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112,122,234</w:t>
            </w:r>
          </w:p>
        </w:tc>
        <w:tc>
          <w:tcPr>
            <w:tcW w:w="2240" w:type="dxa"/>
            <w:vAlign w:val="bottom"/>
            <w:tcBorders>
              <w:left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Common Membership Interest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514,084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514,084</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FFCC"/>
          </w:tcPr>
          <w:p>
            <w:pPr>
              <w:spacing w:after="0"/>
              <w:rPr>
                <w:sz w:val="18"/>
                <w:szCs w:val="18"/>
                <w:color w:val="auto"/>
              </w:rPr>
            </w:pPr>
          </w:p>
        </w:tc>
        <w:tc>
          <w:tcPr>
            <w:tcW w:w="11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FFCC"/>
            </w:tcBorders>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138,768</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138,768</w:t>
            </w:r>
          </w:p>
        </w:tc>
        <w:tc>
          <w:tcPr>
            <w:tcW w:w="2240" w:type="dxa"/>
            <w:vAlign w:val="bottom"/>
            <w:tcBorders>
              <w:left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22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tcBorders>
              <w:right w:val="single" w:sz="8" w:color="auto"/>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40" w:type="dxa"/>
            <w:vAlign w:val="bottom"/>
            <w:tcBorders>
              <w:left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8,708,000</w:t>
            </w:r>
          </w:p>
        </w:tc>
        <w:tc>
          <w:tcPr>
            <w:tcW w:w="24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2,366,472</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$ 233,124,014</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244,198,486</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As of December 31, 2012</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3"/>
              </w:rPr>
              <w:t>Quoted Prices in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4"/>
          </w:tcPr>
          <w:p>
            <w:pPr>
              <w:jc w:val="center"/>
              <w:spacing w:after="0" w:line="160" w:lineRule="exact"/>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3"/>
                <w:szCs w:val="13"/>
                <w:color w:val="auto"/>
              </w:rPr>
            </w:pPr>
          </w:p>
        </w:tc>
        <w:tc>
          <w:tcPr>
            <w:tcW w:w="110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293"/>
              <w:spacing w:after="0" w:line="160" w:lineRule="exact"/>
              <w:rPr>
                <w:sz w:val="20"/>
                <w:szCs w:val="20"/>
                <w:color w:val="auto"/>
              </w:rPr>
            </w:pPr>
            <w:r>
              <w:rPr>
                <w:rFonts w:ascii="Arial" w:cs="Arial" w:eastAsia="Arial" w:hAnsi="Arial"/>
                <w:sz w:val="14"/>
                <w:szCs w:val="14"/>
                <w:b w:val="1"/>
                <w:bCs w:val="1"/>
                <w:color w:val="auto"/>
              </w:rPr>
              <w:t>Total</w:t>
            </w: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gridSpan w:val="2"/>
            <w:vMerge w:val="restart"/>
          </w:tcPr>
          <w:p>
            <w:pPr>
              <w:ind w:left="20"/>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8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10,964,466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$ 112,855,675</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123,820,141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FFCC"/>
          </w:tcPr>
          <w:p>
            <w:pPr>
              <w:spacing w:after="0"/>
              <w:rPr>
                <w:sz w:val="18"/>
                <w:szCs w:val="18"/>
                <w:color w:val="auto"/>
              </w:rPr>
            </w:pPr>
          </w:p>
        </w:tc>
        <w:tc>
          <w:tcPr>
            <w:tcW w:w="11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FFCC"/>
            </w:tcBorders>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100,853,882</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100,853,882</w:t>
            </w:r>
          </w:p>
        </w:tc>
        <w:tc>
          <w:tcPr>
            <w:tcW w:w="2240" w:type="dxa"/>
            <w:vAlign w:val="bottom"/>
            <w:tcBorders>
              <w:left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16,000,000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Common Membership Interest</w:t>
            </w:r>
          </w:p>
        </w:tc>
        <w:tc>
          <w:tcPr>
            <w:tcW w:w="120" w:type="dxa"/>
            <w:vAlign w:val="bottom"/>
            <w:shd w:val="clear" w:color="auto" w:fill="CCFFCC"/>
          </w:tcPr>
          <w:p>
            <w:pPr>
              <w:spacing w:after="0"/>
              <w:rPr>
                <w:sz w:val="18"/>
                <w:szCs w:val="18"/>
                <w:color w:val="auto"/>
              </w:rPr>
            </w:pPr>
          </w:p>
        </w:tc>
        <w:tc>
          <w:tcPr>
            <w:tcW w:w="11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FFCC"/>
            </w:tcBorders>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500,000</w:t>
            </w:r>
          </w:p>
        </w:tc>
        <w:tc>
          <w:tcPr>
            <w:tcW w:w="2240" w:type="dxa"/>
            <w:vAlign w:val="bottom"/>
            <w:tcBorders>
              <w:left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223,062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223,062</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26,964,466</w:t>
            </w:r>
          </w:p>
        </w:tc>
        <w:tc>
          <w:tcPr>
            <w:tcW w:w="360" w:type="dxa"/>
            <w:vAlign w:val="bottom"/>
            <w:tcBorders>
              <w:lef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$ 214,432,619</w:t>
            </w:r>
          </w:p>
        </w:tc>
        <w:tc>
          <w:tcPr>
            <w:tcW w:w="32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241,397,085</w:t>
            </w:r>
          </w:p>
        </w:tc>
        <w:tc>
          <w:tcPr>
            <w:tcW w:w="2240" w:type="dxa"/>
            <w:vAlign w:val="bottom"/>
            <w:tcBorders>
              <w:left w:val="single" w:sz="8" w:color="CCFFCC"/>
            </w:tcBorders>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800" w:type="dxa"/>
            <w:vAlign w:val="bottom"/>
            <w:tcBorders>
              <w:top w:val="single" w:sz="8" w:color="CCFFCC"/>
            </w:tcBorders>
          </w:tcPr>
          <w:p>
            <w:pPr>
              <w:spacing w:after="0"/>
              <w:rPr>
                <w:sz w:val="24"/>
                <w:szCs w:val="24"/>
                <w:color w:val="auto"/>
              </w:rPr>
            </w:pPr>
          </w:p>
        </w:tc>
        <w:tc>
          <w:tcPr>
            <w:tcW w:w="2280" w:type="dxa"/>
            <w:vAlign w:val="bottom"/>
            <w:tcBorders>
              <w:top w:val="single" w:sz="8" w:color="CCFFC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gridSpan w:val="2"/>
          </w:tcPr>
          <w:p>
            <w:pPr>
              <w:spacing w:after="0"/>
              <w:rPr>
                <w:sz w:val="24"/>
                <w:szCs w:val="24"/>
                <w:color w:val="auto"/>
              </w:rPr>
            </w:pPr>
          </w:p>
        </w:tc>
        <w:tc>
          <w:tcPr>
            <w:tcW w:w="860" w:type="dxa"/>
            <w:vAlign w:val="bottom"/>
            <w:tcBorders>
              <w:top w:val="single" w:sz="8" w:color="auto"/>
            </w:tcBorders>
            <w:gridSpan w:val="2"/>
          </w:tcPr>
          <w:p>
            <w:pPr>
              <w:jc w:val="right"/>
              <w:ind w:right="558"/>
              <w:spacing w:after="0"/>
              <w:rPr>
                <w:sz w:val="20"/>
                <w:szCs w:val="20"/>
                <w:color w:val="auto"/>
              </w:rPr>
            </w:pPr>
            <w:r>
              <w:rPr>
                <w:rFonts w:ascii="Arial" w:cs="Arial" w:eastAsia="Arial" w:hAnsi="Arial"/>
                <w:sz w:val="18"/>
                <w:szCs w:val="18"/>
                <w:color w:val="auto"/>
                <w:w w:val="99"/>
              </w:rPr>
              <w:t>22</w:t>
            </w:r>
          </w:p>
        </w:tc>
        <w:tc>
          <w:tcPr>
            <w:tcW w:w="14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22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-2228850</wp:posOffset>
            </wp:positionV>
            <wp:extent cx="6607810" cy="22421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07810" cy="2242185"/>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4" w:name="page25"/>
    <w:bookmarkEnd w:id="2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aggregate values of Level 3 portfolio investments changed during the six months ended June 30, 2013 and the year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2012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057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15"/>
          </w:tcPr>
          <w:p>
            <w:pPr>
              <w:jc w:val="right"/>
              <w:ind w:right="120"/>
              <w:spacing w:after="0"/>
              <w:rPr>
                <w:sz w:val="20"/>
                <w:szCs w:val="20"/>
                <w:color w:val="auto"/>
              </w:rPr>
            </w:pPr>
            <w:r>
              <w:rPr>
                <w:rFonts w:ascii="Arial" w:cs="Arial" w:eastAsia="Arial" w:hAnsi="Arial"/>
                <w:sz w:val="14"/>
                <w:szCs w:val="14"/>
                <w:b w:val="1"/>
                <w:bCs w:val="1"/>
                <w:color w:val="auto"/>
                <w:w w:val="93"/>
              </w:rPr>
              <w:t>Six months ended June 30, 2013 (Unaudited)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5"/>
          </w:tcPr>
          <w:p>
            <w:pPr>
              <w:jc w:val="right"/>
              <w:ind w:right="148"/>
              <w:spacing w:after="0" w:line="160"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4"/>
          </w:tcPr>
          <w:p>
            <w:pPr>
              <w:jc w:val="right"/>
              <w:ind w:right="320"/>
              <w:spacing w:after="0" w:line="160" w:lineRule="exact"/>
              <w:rPr>
                <w:sz w:val="20"/>
                <w:szCs w:val="20"/>
                <w:color w:val="auto"/>
              </w:rPr>
            </w:pPr>
            <w:r>
              <w:rPr>
                <w:rFonts w:ascii="Arial" w:cs="Arial" w:eastAsia="Arial" w:hAnsi="Arial"/>
                <w:sz w:val="14"/>
                <w:szCs w:val="14"/>
                <w:b w:val="1"/>
                <w:bCs w:val="1"/>
                <w:color w:val="auto"/>
                <w:w w:val="93"/>
              </w:rPr>
              <w:t>Preferred</w:t>
            </w:r>
          </w:p>
        </w:tc>
        <w:tc>
          <w:tcPr>
            <w:tcW w:w="100" w:type="dxa"/>
            <w:vAlign w:val="bottom"/>
          </w:tcPr>
          <w:p>
            <w:pPr>
              <w:spacing w:after="0"/>
              <w:rPr>
                <w:sz w:val="13"/>
                <w:szCs w:val="13"/>
                <w:color w:val="auto"/>
              </w:rPr>
            </w:pPr>
          </w:p>
        </w:tc>
        <w:tc>
          <w:tcPr>
            <w:tcW w:w="660" w:type="dxa"/>
            <w:vAlign w:val="bottom"/>
            <w:gridSpan w:val="4"/>
          </w:tcPr>
          <w:p>
            <w:pPr>
              <w:jc w:val="center"/>
              <w:spacing w:after="0" w:line="160"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860" w:type="dxa"/>
            <w:vAlign w:val="bottom"/>
            <w:gridSpan w:val="4"/>
          </w:tcPr>
          <w:p>
            <w:pPr>
              <w:jc w:val="right"/>
              <w:ind w:right="160"/>
              <w:spacing w:after="0" w:line="160" w:lineRule="exact"/>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480"/>
              <w:spacing w:after="0" w:line="16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Stock</w:t>
            </w:r>
          </w:p>
        </w:tc>
        <w:tc>
          <w:tcPr>
            <w:tcW w:w="7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Membership</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3"/>
            <w:vMerge w:val="restart"/>
          </w:tcPr>
          <w:p>
            <w:pPr>
              <w:ind w:left="20"/>
              <w:spacing w:after="0"/>
              <w:rPr>
                <w:sz w:val="20"/>
                <w:szCs w:val="20"/>
                <w:color w:val="auto"/>
              </w:rPr>
            </w:pPr>
            <w:r>
              <w:rPr>
                <w:rFonts w:ascii="Arial" w:cs="Arial" w:eastAsia="Arial" w:hAnsi="Arial"/>
                <w:sz w:val="18"/>
                <w:szCs w:val="18"/>
                <w:color w:val="auto"/>
                <w:w w:val="95"/>
              </w:rPr>
              <w:t>Fair value as of December 31, 2012</w:t>
            </w:r>
          </w:p>
        </w:tc>
        <w:tc>
          <w:tcPr>
            <w:tcW w:w="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6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w w:val="90"/>
              </w:rPr>
              <w:t>$112,855,675</w:t>
            </w:r>
          </w:p>
        </w:tc>
        <w:tc>
          <w:tcPr>
            <w:tcW w:w="80" w:type="dxa"/>
            <w:vAlign w:val="bottom"/>
          </w:tcPr>
          <w:p>
            <w:pPr>
              <w:spacing w:after="0"/>
              <w:rPr>
                <w:sz w:val="18"/>
                <w:szCs w:val="18"/>
                <w:color w:val="auto"/>
              </w:rPr>
            </w:pPr>
          </w:p>
        </w:tc>
        <w:tc>
          <w:tcPr>
            <w:tcW w:w="1180" w:type="dxa"/>
            <w:vAlign w:val="bottom"/>
            <w:gridSpan w:val="5"/>
          </w:tcPr>
          <w:p>
            <w:pPr>
              <w:jc w:val="right"/>
              <w:ind w:right="160"/>
              <w:spacing w:after="0"/>
              <w:rPr>
                <w:sz w:val="20"/>
                <w:szCs w:val="20"/>
                <w:color w:val="auto"/>
              </w:rPr>
            </w:pPr>
            <w:r>
              <w:rPr>
                <w:rFonts w:ascii="Arial" w:cs="Arial" w:eastAsia="Arial" w:hAnsi="Arial"/>
                <w:sz w:val="18"/>
                <w:szCs w:val="18"/>
                <w:color w:val="auto"/>
                <w:w w:val="90"/>
              </w:rPr>
              <w:t>$100,853,882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8"/>
              </w:rPr>
              <w:t>500,000</w:t>
            </w:r>
          </w:p>
        </w:tc>
        <w:tc>
          <w:tcPr>
            <w:tcW w:w="12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w w:val="90"/>
              </w:rPr>
              <w:t>$223,062</w:t>
            </w:r>
          </w:p>
        </w:tc>
        <w:tc>
          <w:tcPr>
            <w:tcW w:w="1080" w:type="dxa"/>
            <w:vAlign w:val="bottom"/>
            <w:gridSpan w:val="5"/>
          </w:tcPr>
          <w:p>
            <w:pPr>
              <w:jc w:val="right"/>
              <w:ind w:right="80"/>
              <w:spacing w:after="0"/>
              <w:rPr>
                <w:sz w:val="20"/>
                <w:szCs w:val="20"/>
                <w:color w:val="auto"/>
              </w:rPr>
            </w:pPr>
            <w:r>
              <w:rPr>
                <w:rFonts w:ascii="Arial" w:cs="Arial" w:eastAsia="Arial" w:hAnsi="Arial"/>
                <w:sz w:val="18"/>
                <w:szCs w:val="18"/>
                <w:color w:val="auto"/>
                <w:w w:val="88"/>
              </w:rPr>
              <w:t>$214,432,619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Purchases of investments</w:t>
            </w:r>
          </w:p>
        </w:tc>
        <w:tc>
          <w:tcPr>
            <w:tcW w:w="1360" w:type="dxa"/>
            <w:vAlign w:val="bottom"/>
            <w:gridSpan w:val="6"/>
            <w:shd w:val="clear" w:color="auto" w:fill="CCFFCC"/>
          </w:tcPr>
          <w:p>
            <w:pPr>
              <w:jc w:val="right"/>
              <w:spacing w:after="0"/>
              <w:rPr>
                <w:sz w:val="20"/>
                <w:szCs w:val="20"/>
                <w:color w:val="auto"/>
              </w:rPr>
            </w:pPr>
            <w:r>
              <w:rPr>
                <w:rFonts w:ascii="Arial" w:cs="Arial" w:eastAsia="Arial" w:hAnsi="Arial"/>
                <w:sz w:val="18"/>
                <w:szCs w:val="18"/>
                <w:color w:val="auto"/>
              </w:rPr>
              <w:t>4,092,456</w:t>
            </w:r>
          </w:p>
        </w:tc>
        <w:tc>
          <w:tcPr>
            <w:tcW w:w="1260" w:type="dxa"/>
            <w:vAlign w:val="bottom"/>
            <w:tcBorders>
              <w:right w:val="single" w:sz="8" w:color="CCFFCC"/>
            </w:tcBorders>
            <w:gridSpan w:val="6"/>
            <w:shd w:val="clear" w:color="auto" w:fill="CCFFCC"/>
          </w:tcPr>
          <w:p>
            <w:pPr>
              <w:jc w:val="right"/>
              <w:ind w:right="160"/>
              <w:spacing w:after="0"/>
              <w:rPr>
                <w:sz w:val="20"/>
                <w:szCs w:val="20"/>
                <w:color w:val="auto"/>
              </w:rPr>
            </w:pPr>
            <w:r>
              <w:rPr>
                <w:rFonts w:ascii="Arial" w:cs="Arial" w:eastAsia="Arial" w:hAnsi="Arial"/>
                <w:sz w:val="18"/>
                <w:szCs w:val="18"/>
                <w:color w:val="auto"/>
              </w:rPr>
              <w:t>15,515,205</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tcBorders>
              <w:left w:val="single" w:sz="8" w:color="CCFFCC"/>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 w:type="dxa"/>
            <w:vAlign w:val="bottom"/>
            <w:tcBorders>
              <w:left w:val="single" w:sz="8" w:color="CCFFCC"/>
            </w:tcBorders>
            <w:shd w:val="clear" w:color="auto" w:fill="CCFFCC"/>
          </w:tcPr>
          <w:p>
            <w:pPr>
              <w:spacing w:after="0"/>
              <w:rPr>
                <w:sz w:val="18"/>
                <w:szCs w:val="18"/>
                <w:color w:val="auto"/>
              </w:rPr>
            </w:pPr>
          </w:p>
        </w:tc>
        <w:tc>
          <w:tcPr>
            <w:tcW w:w="5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980" w:type="dxa"/>
            <w:vAlign w:val="bottom"/>
            <w:tcBorders>
              <w:left w:val="single" w:sz="8" w:color="CCFFCC"/>
            </w:tcBorders>
            <w:gridSpan w:val="4"/>
            <w:shd w:val="clear" w:color="auto" w:fill="CCFFCC"/>
          </w:tcPr>
          <w:p>
            <w:pPr>
              <w:jc w:val="right"/>
              <w:ind w:right="80"/>
              <w:spacing w:after="0"/>
              <w:rPr>
                <w:sz w:val="20"/>
                <w:szCs w:val="20"/>
                <w:color w:val="auto"/>
              </w:rPr>
            </w:pPr>
            <w:r>
              <w:rPr>
                <w:rFonts w:ascii="Arial" w:cs="Arial" w:eastAsia="Arial" w:hAnsi="Arial"/>
                <w:sz w:val="18"/>
                <w:szCs w:val="18"/>
                <w:color w:val="auto"/>
                <w:w w:val="97"/>
              </w:rPr>
              <w:t>19,607,661</w:t>
            </w:r>
          </w:p>
        </w:tc>
        <w:tc>
          <w:tcPr>
            <w:tcW w:w="100" w:type="dxa"/>
            <w:vAlign w:val="bottom"/>
            <w:tcBorders>
              <w:left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6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Exercises, conversions and</w:t>
            </w:r>
          </w:p>
        </w:tc>
        <w:tc>
          <w:tcPr>
            <w:tcW w:w="1360" w:type="dxa"/>
            <w:vAlign w:val="bottom"/>
            <w:gridSpan w:val="6"/>
          </w:tcPr>
          <w:p>
            <w:pPr>
              <w:jc w:val="right"/>
              <w:spacing w:after="0" w:line="201" w:lineRule="exact"/>
              <w:rPr>
                <w:sz w:val="20"/>
                <w:szCs w:val="20"/>
                <w:color w:val="auto"/>
              </w:rPr>
            </w:pPr>
            <w:r>
              <w:rPr>
                <w:rFonts w:ascii="Arial" w:cs="Arial" w:eastAsia="Arial" w:hAnsi="Arial"/>
                <w:sz w:val="18"/>
                <w:szCs w:val="18"/>
                <w:color w:val="auto"/>
              </w:rPr>
              <w:t>1,999,997</w:t>
            </w:r>
          </w:p>
        </w:tc>
        <w:tc>
          <w:tcPr>
            <w:tcW w:w="1260" w:type="dxa"/>
            <w:vAlign w:val="bottom"/>
            <w:gridSpan w:val="6"/>
          </w:tcPr>
          <w:p>
            <w:pPr>
              <w:jc w:val="right"/>
              <w:ind w:right="100"/>
              <w:spacing w:after="0" w:line="201" w:lineRule="exact"/>
              <w:rPr>
                <w:sz w:val="20"/>
                <w:szCs w:val="20"/>
                <w:color w:val="auto"/>
              </w:rPr>
            </w:pPr>
            <w:r>
              <w:rPr>
                <w:rFonts w:ascii="Arial" w:cs="Arial" w:eastAsia="Arial" w:hAnsi="Arial"/>
                <w:sz w:val="18"/>
                <w:szCs w:val="18"/>
                <w:color w:val="auto"/>
              </w:rPr>
              <w:t>(1,999,997)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180"/>
              <w:spacing w:after="0"/>
              <w:rPr>
                <w:sz w:val="20"/>
                <w:szCs w:val="20"/>
                <w:color w:val="auto"/>
              </w:rPr>
            </w:pPr>
            <w:r>
              <w:rPr>
                <w:rFonts w:ascii="Arial" w:cs="Arial" w:eastAsia="Arial" w:hAnsi="Arial"/>
                <w:sz w:val="18"/>
                <w:szCs w:val="18"/>
                <w:color w:val="auto"/>
              </w:rPr>
              <w:t>assignments</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Sales and settlements</w:t>
            </w:r>
          </w:p>
        </w:tc>
        <w:tc>
          <w:tcPr>
            <w:tcW w:w="1360" w:type="dxa"/>
            <w:vAlign w:val="bottom"/>
            <w:gridSpan w:val="6"/>
            <w:shd w:val="clear" w:color="auto" w:fill="CCFFCC"/>
          </w:tcPr>
          <w:p>
            <w:pPr>
              <w:jc w:val="right"/>
              <w:spacing w:after="0"/>
              <w:rPr>
                <w:sz w:val="20"/>
                <w:szCs w:val="20"/>
                <w:color w:val="auto"/>
              </w:rPr>
            </w:pPr>
            <w:r>
              <w:rPr>
                <w:rFonts w:ascii="Arial" w:cs="Arial" w:eastAsia="Arial" w:hAnsi="Arial"/>
                <w:sz w:val="18"/>
                <w:szCs w:val="18"/>
                <w:color w:val="auto"/>
              </w:rPr>
              <w:t>(739,131)</w:t>
            </w:r>
          </w:p>
        </w:tc>
        <w:tc>
          <w:tcPr>
            <w:tcW w:w="1260" w:type="dxa"/>
            <w:vAlign w:val="bottom"/>
            <w:tcBorders>
              <w:right w:val="single" w:sz="8" w:color="CCFFCC"/>
            </w:tcBorders>
            <w:gridSpan w:val="6"/>
            <w:shd w:val="clear" w:color="auto" w:fill="CCFFCC"/>
          </w:tcPr>
          <w:p>
            <w:pPr>
              <w:jc w:val="right"/>
              <w:ind w:right="100"/>
              <w:spacing w:after="0"/>
              <w:rPr>
                <w:sz w:val="20"/>
                <w:szCs w:val="20"/>
                <w:color w:val="auto"/>
              </w:rPr>
            </w:pPr>
            <w:r>
              <w:rPr>
                <w:rFonts w:ascii="Arial" w:cs="Arial" w:eastAsia="Arial" w:hAnsi="Arial"/>
                <w:sz w:val="18"/>
                <w:szCs w:val="18"/>
                <w:color w:val="auto"/>
              </w:rPr>
              <w:t>(5,588,501)</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tcBorders>
              <w:left w:val="single" w:sz="8" w:color="CCFFCC"/>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 w:type="dxa"/>
            <w:vAlign w:val="bottom"/>
            <w:tcBorders>
              <w:left w:val="single" w:sz="8" w:color="CCFFCC"/>
            </w:tcBorders>
            <w:shd w:val="clear" w:color="auto" w:fill="CCFFCC"/>
          </w:tcPr>
          <w:p>
            <w:pPr>
              <w:spacing w:after="0"/>
              <w:rPr>
                <w:sz w:val="18"/>
                <w:szCs w:val="18"/>
                <w:color w:val="auto"/>
              </w:rPr>
            </w:pPr>
          </w:p>
        </w:tc>
        <w:tc>
          <w:tcPr>
            <w:tcW w:w="5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980" w:type="dxa"/>
            <w:vAlign w:val="bottom"/>
            <w:tcBorders>
              <w:left w:val="single" w:sz="8" w:color="CCFFCC"/>
            </w:tcBorders>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(6,327,632)</w:t>
            </w:r>
          </w:p>
        </w:tc>
        <w:tc>
          <w:tcPr>
            <w:tcW w:w="100" w:type="dxa"/>
            <w:vAlign w:val="bottom"/>
            <w:tcBorders>
              <w:left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3"/>
          </w:tcPr>
          <w:p>
            <w:pPr>
              <w:ind w:left="20"/>
              <w:spacing w:after="0"/>
              <w:rPr>
                <w:sz w:val="20"/>
                <w:szCs w:val="20"/>
                <w:color w:val="auto"/>
              </w:rPr>
            </w:pPr>
            <w:r>
              <w:rPr>
                <w:rFonts w:ascii="Arial" w:cs="Arial" w:eastAsia="Arial" w:hAnsi="Arial"/>
                <w:sz w:val="18"/>
                <w:szCs w:val="18"/>
                <w:color w:val="auto"/>
                <w:w w:val="99"/>
              </w:rPr>
              <w:t>Realized loss included in earnings</w:t>
            </w:r>
          </w:p>
        </w:tc>
        <w:tc>
          <w:tcPr>
            <w:tcW w:w="1360" w:type="dxa"/>
            <w:vAlign w:val="bottom"/>
            <w:gridSpan w:val="6"/>
          </w:tcPr>
          <w:p>
            <w:pPr>
              <w:jc w:val="right"/>
              <w:spacing w:after="0"/>
              <w:rPr>
                <w:sz w:val="20"/>
                <w:szCs w:val="20"/>
                <w:color w:val="auto"/>
              </w:rPr>
            </w:pPr>
            <w:r>
              <w:rPr>
                <w:rFonts w:ascii="Arial" w:cs="Arial" w:eastAsia="Arial" w:hAnsi="Arial"/>
                <w:sz w:val="18"/>
                <w:szCs w:val="18"/>
                <w:color w:val="auto"/>
              </w:rPr>
              <w:t>(739,131)</w:t>
            </w:r>
          </w:p>
        </w:tc>
        <w:tc>
          <w:tcPr>
            <w:tcW w:w="1260" w:type="dxa"/>
            <w:vAlign w:val="bottom"/>
            <w:gridSpan w:val="6"/>
          </w:tcPr>
          <w:p>
            <w:pPr>
              <w:jc w:val="right"/>
              <w:ind w:right="100"/>
              <w:spacing w:after="0"/>
              <w:rPr>
                <w:sz w:val="20"/>
                <w:szCs w:val="20"/>
                <w:color w:val="auto"/>
              </w:rPr>
            </w:pPr>
            <w:r>
              <w:rPr>
                <w:rFonts w:ascii="Arial" w:cs="Arial" w:eastAsia="Arial" w:hAnsi="Arial"/>
                <w:sz w:val="18"/>
                <w:szCs w:val="18"/>
                <w:color w:val="auto"/>
              </w:rPr>
              <w:t>(5,588,501)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(6,327,632)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6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w w:val="99"/>
              </w:rPr>
              <w:t>Change in unrealized depreciation</w:t>
            </w:r>
          </w:p>
        </w:tc>
        <w:tc>
          <w:tcPr>
            <w:tcW w:w="1360" w:type="dxa"/>
            <w:vAlign w:val="bottom"/>
            <w:gridSpan w:val="6"/>
            <w:shd w:val="clear" w:color="auto" w:fill="CCFFCC"/>
          </w:tcPr>
          <w:p>
            <w:pPr>
              <w:jc w:val="right"/>
              <w:spacing w:after="0" w:line="201" w:lineRule="exact"/>
              <w:rPr>
                <w:sz w:val="20"/>
                <w:szCs w:val="20"/>
                <w:color w:val="auto"/>
              </w:rPr>
            </w:pPr>
            <w:r>
              <w:rPr>
                <w:rFonts w:ascii="Arial" w:cs="Arial" w:eastAsia="Arial" w:hAnsi="Arial"/>
                <w:sz w:val="18"/>
                <w:szCs w:val="18"/>
                <w:color w:val="auto"/>
              </w:rPr>
              <w:t>4,470,393</w:t>
            </w:r>
          </w:p>
        </w:tc>
        <w:tc>
          <w:tcPr>
            <w:tcW w:w="80" w:type="dxa"/>
            <w:vAlign w:val="bottom"/>
            <w:tcBorders>
              <w:right w:val="single" w:sz="8" w:color="CCFFCC"/>
            </w:tcBorders>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20" w:type="dxa"/>
            <w:vAlign w:val="bottom"/>
            <w:tcBorders>
              <w:right w:val="single" w:sz="8" w:color="CCFFCC"/>
            </w:tcBorders>
            <w:gridSpan w:val="4"/>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w w:val="92"/>
              </w:rPr>
              <w:t>8,930,146</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tcBorders>
              <w:left w:val="single" w:sz="8" w:color="CCFFCC"/>
            </w:tcBorders>
            <w:gridSpan w:val="3"/>
            <w:shd w:val="clear" w:color="auto" w:fill="CCFFCC"/>
          </w:tcPr>
          <w:p>
            <w:pPr>
              <w:jc w:val="right"/>
              <w:spacing w:after="0" w:line="201" w:lineRule="exact"/>
              <w:rPr>
                <w:sz w:val="20"/>
                <w:szCs w:val="20"/>
                <w:color w:val="auto"/>
              </w:rPr>
            </w:pPr>
            <w:r>
              <w:rPr>
                <w:rFonts w:ascii="Arial" w:cs="Arial" w:eastAsia="Arial" w:hAnsi="Arial"/>
                <w:sz w:val="18"/>
                <w:szCs w:val="18"/>
                <w:color w:val="auto"/>
                <w:w w:val="90"/>
              </w:rPr>
              <w:t>14,084</w:t>
            </w:r>
          </w:p>
        </w:tc>
        <w:tc>
          <w:tcPr>
            <w:tcW w:w="980" w:type="dxa"/>
            <w:vAlign w:val="bottom"/>
            <w:tcBorders>
              <w:left w:val="single" w:sz="8" w:color="CCFFCC"/>
              <w:right w:val="single" w:sz="8" w:color="CCFFCC"/>
            </w:tcBorders>
            <w:gridSpan w:val="5"/>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(84,294)</w:t>
            </w:r>
          </w:p>
        </w:tc>
        <w:tc>
          <w:tcPr>
            <w:tcW w:w="100" w:type="dxa"/>
            <w:vAlign w:val="bottom"/>
            <w:shd w:val="clear" w:color="auto" w:fill="CCFFCC"/>
          </w:tcPr>
          <w:p>
            <w:pPr>
              <w:spacing w:after="0"/>
              <w:rPr>
                <w:sz w:val="17"/>
                <w:szCs w:val="17"/>
                <w:color w:val="auto"/>
              </w:rPr>
            </w:pPr>
          </w:p>
        </w:tc>
        <w:tc>
          <w:tcPr>
            <w:tcW w:w="980" w:type="dxa"/>
            <w:vAlign w:val="bottom"/>
            <w:tcBorders>
              <w:left w:val="single" w:sz="8" w:color="CCFFCC"/>
            </w:tcBorders>
            <w:gridSpan w:val="4"/>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w w:val="97"/>
              </w:rPr>
              <w:t>13,330,329</w:t>
            </w:r>
          </w:p>
        </w:tc>
        <w:tc>
          <w:tcPr>
            <w:tcW w:w="100" w:type="dxa"/>
            <w:vAlign w:val="bottom"/>
            <w:tcBorders>
              <w:left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2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included in earnings</w:t>
            </w:r>
          </w:p>
        </w:tc>
        <w:tc>
          <w:tcPr>
            <w:tcW w:w="280" w:type="dxa"/>
            <w:vAlign w:val="bottom"/>
            <w:shd w:val="clear" w:color="auto" w:fill="CCFFCC"/>
          </w:tcPr>
          <w:p>
            <w:pPr>
              <w:spacing w:after="0"/>
              <w:rPr>
                <w:sz w:val="20"/>
                <w:szCs w:val="20"/>
                <w:color w:val="auto"/>
              </w:rPr>
            </w:pPr>
          </w:p>
        </w:tc>
        <w:tc>
          <w:tcPr>
            <w:tcW w:w="600" w:type="dxa"/>
            <w:vAlign w:val="bottom"/>
            <w:shd w:val="clear" w:color="auto" w:fill="CCFFCC"/>
          </w:tcPr>
          <w:p>
            <w:pPr>
              <w:spacing w:after="0"/>
              <w:rPr>
                <w:sz w:val="20"/>
                <w:szCs w:val="20"/>
                <w:color w:val="auto"/>
              </w:rPr>
            </w:pPr>
          </w:p>
        </w:tc>
        <w:tc>
          <w:tcPr>
            <w:tcW w:w="140" w:type="dxa"/>
            <w:vAlign w:val="bottom"/>
            <w:tcBorders>
              <w:right w:val="single" w:sz="8" w:color="CCFFCC"/>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80" w:type="dxa"/>
            <w:vAlign w:val="bottom"/>
            <w:tcBorders>
              <w:right w:val="single" w:sz="8" w:color="CCFFCC"/>
            </w:tcBorders>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40" w:type="dxa"/>
            <w:vAlign w:val="bottom"/>
            <w:tcBorders>
              <w:right w:val="single" w:sz="8" w:color="CCFFCC"/>
            </w:tcBorders>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180" w:type="dxa"/>
            <w:vAlign w:val="bottom"/>
            <w:tcBorders>
              <w:righ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40" w:type="dxa"/>
            <w:vAlign w:val="bottom"/>
            <w:tcBorders>
              <w:left w:val="single" w:sz="8" w:color="CCFFCC"/>
              <w:righ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 w:type="dxa"/>
            <w:vAlign w:val="bottom"/>
            <w:tcBorders>
              <w:left w:val="single" w:sz="8" w:color="CCFFCC"/>
            </w:tcBorders>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60" w:type="dxa"/>
            <w:vAlign w:val="bottom"/>
            <w:tcBorders>
              <w:righ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tcBorders>
              <w:left w:val="single" w:sz="8" w:color="CCFFCC"/>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0" w:type="dxa"/>
            <w:vAlign w:val="bottom"/>
            <w:tcBorders>
              <w:left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60" w:type="dxa"/>
            <w:vAlign w:val="bottom"/>
            <w:gridSpan w:val="3"/>
          </w:tcPr>
          <w:p>
            <w:pPr>
              <w:ind w:left="20"/>
              <w:spacing w:after="0"/>
              <w:rPr>
                <w:sz w:val="20"/>
                <w:szCs w:val="20"/>
                <w:color w:val="auto"/>
              </w:rPr>
            </w:pPr>
            <w:r>
              <w:rPr>
                <w:rFonts w:ascii="Arial" w:cs="Arial" w:eastAsia="Arial" w:hAnsi="Arial"/>
                <w:sz w:val="18"/>
                <w:szCs w:val="18"/>
                <w:color w:val="auto"/>
              </w:rPr>
              <w:t>Transfer to Level 2</w:t>
            </w:r>
          </w:p>
        </w:tc>
        <w:tc>
          <w:tcPr>
            <w:tcW w:w="28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(1,591,331)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(1,591,331)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Fair Value as of June 30, 2013</w:t>
            </w:r>
          </w:p>
        </w:tc>
        <w:tc>
          <w:tcPr>
            <w:tcW w:w="280" w:type="dxa"/>
            <w:vAlign w:val="bottom"/>
            <w:shd w:val="clear" w:color="auto" w:fill="CCFFCC"/>
          </w:tcPr>
          <w:p>
            <w:pPr>
              <w:spacing w:after="0"/>
              <w:rPr>
                <w:sz w:val="20"/>
                <w:szCs w:val="20"/>
                <w:color w:val="auto"/>
              </w:rPr>
            </w:pPr>
          </w:p>
        </w:tc>
        <w:tc>
          <w:tcPr>
            <w:tcW w:w="1080" w:type="dxa"/>
            <w:vAlign w:val="bottom"/>
            <w:gridSpan w:val="5"/>
            <w:shd w:val="clear" w:color="auto" w:fill="CCFFCC"/>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120,348,928</w:t>
            </w:r>
          </w:p>
        </w:tc>
        <w:tc>
          <w:tcPr>
            <w:tcW w:w="1260" w:type="dxa"/>
            <w:vAlign w:val="bottom"/>
            <w:tcBorders>
              <w:right w:val="single" w:sz="8" w:color="CCFFCC"/>
            </w:tcBorders>
            <w:gridSpan w:val="6"/>
            <w:shd w:val="clear" w:color="auto" w:fill="CCFFCC"/>
          </w:tcPr>
          <w:p>
            <w:pPr>
              <w:jc w:val="right"/>
              <w:ind w:right="1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112,122,234</w:t>
            </w: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4"/>
            <w:shd w:val="clear" w:color="auto" w:fill="CCFFCC"/>
          </w:tcPr>
          <w:p>
            <w:pPr>
              <w:jc w:val="right"/>
              <w:spacing w:after="0"/>
              <w:rPr>
                <w:sz w:val="20"/>
                <w:szCs w:val="20"/>
                <w:color w:val="auto"/>
              </w:rPr>
            </w:pPr>
            <w:r>
              <w:rPr>
                <w:rFonts w:ascii="Arial" w:cs="Arial" w:eastAsia="Arial" w:hAnsi="Arial"/>
                <w:sz w:val="18"/>
                <w:szCs w:val="18"/>
                <w:color w:val="auto"/>
                <w:w w:val="98"/>
              </w:rPr>
              <w:t>514,084</w:t>
            </w:r>
          </w:p>
        </w:tc>
        <w:tc>
          <w:tcPr>
            <w:tcW w:w="980" w:type="dxa"/>
            <w:vAlign w:val="bottom"/>
            <w:tcBorders>
              <w:left w:val="single" w:sz="8" w:color="CCFFCC"/>
              <w:right w:val="single" w:sz="8" w:color="CCFFCC"/>
            </w:tcBorders>
            <w:gridSpan w:val="5"/>
            <w:shd w:val="clear" w:color="auto" w:fill="CCFFCC"/>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138,768</w:t>
            </w:r>
          </w:p>
        </w:tc>
        <w:tc>
          <w:tcPr>
            <w:tcW w:w="1080" w:type="dxa"/>
            <w:vAlign w:val="bottom"/>
            <w:gridSpan w:val="5"/>
            <w:shd w:val="clear" w:color="auto" w:fill="CCFFCC"/>
          </w:tcPr>
          <w:p>
            <w:pPr>
              <w:jc w:val="right"/>
              <w:ind w:right="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233,124,014</w:t>
            </w:r>
          </w:p>
        </w:tc>
        <w:tc>
          <w:tcPr>
            <w:tcW w:w="100" w:type="dxa"/>
            <w:vAlign w:val="bottom"/>
            <w:tcBorders>
              <w:left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left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760" w:type="dxa"/>
            <w:vAlign w:val="bottom"/>
            <w:gridSpan w:val="3"/>
          </w:tcPr>
          <w:p>
            <w:pPr>
              <w:ind w:left="20"/>
              <w:spacing w:after="0" w:line="195" w:lineRule="exact"/>
              <w:rPr>
                <w:sz w:val="20"/>
                <w:szCs w:val="20"/>
                <w:color w:val="auto"/>
              </w:rPr>
            </w:pPr>
            <w:r>
              <w:rPr>
                <w:rFonts w:ascii="Arial" w:cs="Arial" w:eastAsia="Arial" w:hAnsi="Arial"/>
                <w:sz w:val="18"/>
                <w:szCs w:val="18"/>
                <w:color w:val="auto"/>
                <w:w w:val="91"/>
              </w:rPr>
              <w:t>Change in unrealized depreciation on</w:t>
            </w:r>
          </w:p>
        </w:tc>
        <w:tc>
          <w:tcPr>
            <w:tcW w:w="280" w:type="dxa"/>
            <w:vAlign w:val="bottom"/>
          </w:tcPr>
          <w:p>
            <w:pPr>
              <w:spacing w:after="0"/>
              <w:rPr>
                <w:sz w:val="16"/>
                <w:szCs w:val="16"/>
                <w:color w:val="auto"/>
              </w:rPr>
            </w:pPr>
          </w:p>
        </w:tc>
        <w:tc>
          <w:tcPr>
            <w:tcW w:w="1080" w:type="dxa"/>
            <w:vAlign w:val="bottom"/>
            <w:gridSpan w:val="5"/>
          </w:tcPr>
          <w:p>
            <w:pPr>
              <w:jc w:val="right"/>
              <w:spacing w:after="0" w:line="195" w:lineRule="exact"/>
              <w:rPr>
                <w:sz w:val="20"/>
                <w:szCs w:val="20"/>
                <w:color w:val="auto"/>
              </w:rPr>
            </w:pPr>
            <w:r>
              <w:rPr>
                <w:rFonts w:ascii="Arial" w:cs="Arial" w:eastAsia="Arial" w:hAnsi="Arial"/>
                <w:sz w:val="18"/>
                <w:szCs w:val="18"/>
                <w:color w:val="auto"/>
                <w:w w:val="99"/>
              </w:rPr>
              <w:t>$  4,110,655</w:t>
            </w:r>
          </w:p>
        </w:tc>
        <w:tc>
          <w:tcPr>
            <w:tcW w:w="34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gridSpan w:val="4"/>
          </w:tcPr>
          <w:p>
            <w:pPr>
              <w:jc w:val="right"/>
              <w:ind w:right="160"/>
              <w:spacing w:after="0" w:line="195" w:lineRule="exact"/>
              <w:rPr>
                <w:sz w:val="20"/>
                <w:szCs w:val="20"/>
                <w:color w:val="auto"/>
              </w:rPr>
            </w:pPr>
            <w:r>
              <w:rPr>
                <w:rFonts w:ascii="Arial" w:cs="Arial" w:eastAsia="Arial" w:hAnsi="Arial"/>
                <w:sz w:val="18"/>
                <w:szCs w:val="18"/>
                <w:color w:val="auto"/>
                <w:w w:val="92"/>
              </w:rPr>
              <w:t>3,341,645</w:t>
            </w: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6"/>
                <w:szCs w:val="16"/>
                <w:color w:val="auto"/>
              </w:rPr>
            </w:pPr>
          </w:p>
        </w:tc>
        <w:tc>
          <w:tcPr>
            <w:tcW w:w="520" w:type="dxa"/>
            <w:vAlign w:val="bottom"/>
            <w:gridSpan w:val="3"/>
          </w:tcPr>
          <w:p>
            <w:pPr>
              <w:jc w:val="right"/>
              <w:spacing w:after="0" w:line="195" w:lineRule="exact"/>
              <w:rPr>
                <w:sz w:val="20"/>
                <w:szCs w:val="20"/>
                <w:color w:val="auto"/>
              </w:rPr>
            </w:pPr>
            <w:r>
              <w:rPr>
                <w:rFonts w:ascii="Arial" w:cs="Arial" w:eastAsia="Arial" w:hAnsi="Arial"/>
                <w:sz w:val="18"/>
                <w:szCs w:val="18"/>
                <w:color w:val="auto"/>
                <w:w w:val="90"/>
              </w:rPr>
              <w:t>14,084</w:t>
            </w:r>
          </w:p>
        </w:tc>
        <w:tc>
          <w:tcPr>
            <w:tcW w:w="980" w:type="dxa"/>
            <w:vAlign w:val="bottom"/>
            <w:gridSpan w:val="5"/>
          </w:tcPr>
          <w:p>
            <w:pPr>
              <w:jc w:val="right"/>
              <w:ind w:right="100"/>
              <w:spacing w:after="0" w:line="195" w:lineRule="exact"/>
              <w:rPr>
                <w:sz w:val="20"/>
                <w:szCs w:val="20"/>
                <w:color w:val="auto"/>
              </w:rPr>
            </w:pPr>
            <w:r>
              <w:rPr>
                <w:rFonts w:ascii="Arial" w:cs="Arial" w:eastAsia="Arial" w:hAnsi="Arial"/>
                <w:sz w:val="18"/>
                <w:szCs w:val="18"/>
                <w:color w:val="auto"/>
              </w:rPr>
              <w:t>$ (84,294)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4"/>
          </w:tcPr>
          <w:p>
            <w:pPr>
              <w:jc w:val="right"/>
              <w:ind w:right="80"/>
              <w:spacing w:after="0" w:line="195" w:lineRule="exact"/>
              <w:rPr>
                <w:sz w:val="20"/>
                <w:szCs w:val="20"/>
                <w:color w:val="auto"/>
              </w:rPr>
            </w:pPr>
            <w:r>
              <w:rPr>
                <w:rFonts w:ascii="Arial" w:cs="Arial" w:eastAsia="Arial" w:hAnsi="Arial"/>
                <w:sz w:val="18"/>
                <w:szCs w:val="18"/>
                <w:color w:val="auto"/>
              </w:rPr>
              <w:t>7,382,090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80"/>
              <w:spacing w:after="0"/>
              <w:rPr>
                <w:sz w:val="20"/>
                <w:szCs w:val="20"/>
                <w:color w:val="auto"/>
              </w:rPr>
            </w:pPr>
            <w:r>
              <w:rPr>
                <w:rFonts w:ascii="Arial" w:cs="Arial" w:eastAsia="Arial" w:hAnsi="Arial"/>
                <w:sz w:val="18"/>
                <w:szCs w:val="18"/>
                <w:color w:val="auto"/>
                <w:w w:val="92"/>
              </w:rPr>
              <w:t>Level 3 investments still held as of</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180"/>
              <w:spacing w:after="0"/>
              <w:rPr>
                <w:sz w:val="20"/>
                <w:szCs w:val="20"/>
                <w:color w:val="auto"/>
              </w:rPr>
            </w:pPr>
            <w:r>
              <w:rPr>
                <w:rFonts w:ascii="Arial" w:cs="Arial" w:eastAsia="Arial" w:hAnsi="Arial"/>
                <w:sz w:val="18"/>
                <w:szCs w:val="18"/>
                <w:color w:val="auto"/>
              </w:rPr>
              <w:t>June 30, 2013</w:t>
            </w:r>
          </w:p>
        </w:tc>
        <w:tc>
          <w:tcPr>
            <w:tcW w:w="2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Year ended</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79"/>
              </w:rPr>
              <w:t>December 31,</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gridSpan w:val="3"/>
          </w:tcPr>
          <w:p>
            <w:pPr>
              <w:jc w:val="right"/>
              <w:ind w:right="240"/>
              <w:spacing w:after="0" w:line="147"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940" w:type="dxa"/>
            <w:vAlign w:val="bottom"/>
            <w:gridSpan w:val="6"/>
          </w:tcPr>
          <w:p>
            <w:pPr>
              <w:jc w:val="center"/>
              <w:ind w:right="100"/>
              <w:spacing w:after="0" w:line="147" w:lineRule="exact"/>
              <w:rPr>
                <w:sz w:val="20"/>
                <w:szCs w:val="20"/>
                <w:color w:val="auto"/>
              </w:rPr>
            </w:pPr>
            <w:r>
              <w:rPr>
                <w:rFonts w:ascii="Arial" w:cs="Arial" w:eastAsia="Arial" w:hAnsi="Arial"/>
                <w:sz w:val="14"/>
                <w:szCs w:val="14"/>
                <w:b w:val="1"/>
                <w:bCs w:val="1"/>
                <w:color w:val="auto"/>
                <w:w w:val="96"/>
              </w:rPr>
              <w:t>Preferred</w:t>
            </w:r>
          </w:p>
        </w:tc>
        <w:tc>
          <w:tcPr>
            <w:tcW w:w="820" w:type="dxa"/>
            <w:vAlign w:val="bottom"/>
            <w:gridSpan w:val="4"/>
          </w:tcPr>
          <w:p>
            <w:pPr>
              <w:jc w:val="center"/>
              <w:ind w:left="41"/>
              <w:spacing w:after="0" w:line="147" w:lineRule="exact"/>
              <w:rPr>
                <w:sz w:val="20"/>
                <w:szCs w:val="20"/>
                <w:color w:val="auto"/>
              </w:rPr>
            </w:pPr>
            <w:r>
              <w:rPr>
                <w:rFonts w:ascii="Arial" w:cs="Arial" w:eastAsia="Arial" w:hAnsi="Arial"/>
                <w:sz w:val="14"/>
                <w:szCs w:val="14"/>
                <w:b w:val="1"/>
                <w:bCs w:val="1"/>
                <w:color w:val="auto"/>
                <w:w w:val="93"/>
              </w:rPr>
              <w:t>Structured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320"/>
              <w:spacing w:after="0" w:line="14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left="181"/>
              <w:spacing w:after="0" w:line="149" w:lineRule="exact"/>
              <w:rPr>
                <w:sz w:val="20"/>
                <w:szCs w:val="20"/>
                <w:color w:val="auto"/>
              </w:rPr>
            </w:pPr>
            <w:r>
              <w:rPr>
                <w:rFonts w:ascii="Arial" w:cs="Arial" w:eastAsia="Arial" w:hAnsi="Arial"/>
                <w:sz w:val="14"/>
                <w:szCs w:val="14"/>
                <w:b w:val="1"/>
                <w:bCs w:val="1"/>
                <w:color w:val="auto"/>
                <w:w w:val="96"/>
              </w:rPr>
              <w:t>Note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Membership</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3"/>
            <w:vMerge w:val="restart"/>
          </w:tcPr>
          <w:p>
            <w:pPr>
              <w:ind w:left="20"/>
              <w:spacing w:after="0"/>
              <w:rPr>
                <w:sz w:val="20"/>
                <w:szCs w:val="20"/>
                <w:color w:val="auto"/>
              </w:rPr>
            </w:pPr>
            <w:r>
              <w:rPr>
                <w:rFonts w:ascii="Arial" w:cs="Arial" w:eastAsia="Arial" w:hAnsi="Arial"/>
                <w:sz w:val="16"/>
                <w:szCs w:val="16"/>
                <w:color w:val="auto"/>
              </w:rPr>
              <w:t>Fair value as of December 31, 2011</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60" w:type="dxa"/>
            <w:vAlign w:val="bottom"/>
            <w:gridSpan w:val="3"/>
            <w:vMerge w:val="continue"/>
          </w:tcPr>
          <w:p>
            <w:pPr>
              <w:spacing w:after="0"/>
              <w:rPr>
                <w:sz w:val="17"/>
                <w:szCs w:val="17"/>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w w:val="92"/>
              </w:rPr>
              <w:t>$ 40,865,381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6"/>
          </w:tcPr>
          <w:p>
            <w:pPr>
              <w:jc w:val="right"/>
              <w:ind w:right="120"/>
              <w:spacing w:after="0"/>
              <w:rPr>
                <w:sz w:val="20"/>
                <w:szCs w:val="20"/>
                <w:color w:val="auto"/>
              </w:rPr>
            </w:pPr>
            <w:r>
              <w:rPr>
                <w:rFonts w:ascii="Arial" w:cs="Arial" w:eastAsia="Arial" w:hAnsi="Arial"/>
                <w:sz w:val="16"/>
                <w:szCs w:val="16"/>
                <w:color w:val="auto"/>
                <w:w w:val="99"/>
              </w:rPr>
              <w:t>17,453,085</w:t>
            </w:r>
          </w:p>
        </w:tc>
        <w:tc>
          <w:tcPr>
            <w:tcW w:w="820" w:type="dxa"/>
            <w:vAlign w:val="bottom"/>
            <w:gridSpan w:val="4"/>
          </w:tcPr>
          <w:p>
            <w:pPr>
              <w:jc w:val="right"/>
              <w:spacing w:after="0"/>
              <w:rPr>
                <w:sz w:val="20"/>
                <w:szCs w:val="20"/>
                <w:color w:val="auto"/>
              </w:rPr>
            </w:pPr>
            <w:r>
              <w:rPr>
                <w:rFonts w:ascii="Arial" w:cs="Arial" w:eastAsia="Arial" w:hAnsi="Arial"/>
                <w:sz w:val="16"/>
                <w:szCs w:val="16"/>
                <w:color w:val="auto"/>
                <w:w w:val="94"/>
              </w:rPr>
              <w:t>$ 4,500,000</w:t>
            </w:r>
          </w:p>
        </w:tc>
        <w:tc>
          <w:tcPr>
            <w:tcW w:w="14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w w:val="96"/>
              </w:rPr>
              <w:t>$ 71,396</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w w:val="99"/>
              </w:rPr>
              <w:t>62,889,862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Purchases of investments</w:t>
            </w:r>
          </w:p>
        </w:tc>
        <w:tc>
          <w:tcPr>
            <w:tcW w:w="1020" w:type="dxa"/>
            <w:vAlign w:val="bottom"/>
            <w:tcBorders>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86,378,395</w:t>
            </w:r>
          </w:p>
        </w:tc>
        <w:tc>
          <w:tcPr>
            <w:tcW w:w="80" w:type="dxa"/>
            <w:vAlign w:val="bottom"/>
            <w:shd w:val="clear" w:color="auto" w:fill="CCFFCC"/>
          </w:tcPr>
          <w:p>
            <w:pPr>
              <w:spacing w:after="0"/>
              <w:rPr>
                <w:sz w:val="17"/>
                <w:szCs w:val="17"/>
                <w:color w:val="auto"/>
              </w:rPr>
            </w:pPr>
          </w:p>
        </w:tc>
        <w:tc>
          <w:tcPr>
            <w:tcW w:w="940" w:type="dxa"/>
            <w:vAlign w:val="bottom"/>
            <w:tcBorders>
              <w:right w:val="single" w:sz="8" w:color="CCFFCC"/>
            </w:tcBorders>
            <w:gridSpan w:val="6"/>
            <w:shd w:val="clear" w:color="auto" w:fill="CCFFCC"/>
          </w:tcPr>
          <w:p>
            <w:pPr>
              <w:jc w:val="right"/>
              <w:ind w:right="120"/>
              <w:spacing w:after="0"/>
              <w:rPr>
                <w:sz w:val="20"/>
                <w:szCs w:val="20"/>
                <w:color w:val="auto"/>
              </w:rPr>
            </w:pPr>
            <w:r>
              <w:rPr>
                <w:rFonts w:ascii="Arial" w:cs="Arial" w:eastAsia="Arial" w:hAnsi="Arial"/>
                <w:sz w:val="16"/>
                <w:szCs w:val="16"/>
                <w:color w:val="auto"/>
                <w:w w:val="99"/>
              </w:rPr>
              <w:t>85,104,161</w:t>
            </w:r>
          </w:p>
        </w:tc>
        <w:tc>
          <w:tcPr>
            <w:tcW w:w="820" w:type="dxa"/>
            <w:vAlign w:val="bottom"/>
            <w:gridSpan w:val="4"/>
            <w:shd w:val="clear" w:color="auto" w:fill="CCFFCC"/>
          </w:tcPr>
          <w:p>
            <w:pPr>
              <w:jc w:val="right"/>
              <w:spacing w:after="0"/>
              <w:rPr>
                <w:sz w:val="20"/>
                <w:szCs w:val="20"/>
                <w:color w:val="auto"/>
              </w:rPr>
            </w:pPr>
            <w:r>
              <w:rPr>
                <w:rFonts w:ascii="Arial" w:cs="Arial" w:eastAsia="Arial" w:hAnsi="Arial"/>
                <w:sz w:val="16"/>
                <w:szCs w:val="16"/>
                <w:color w:val="auto"/>
              </w:rPr>
              <w:t>854,236</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40" w:type="dxa"/>
            <w:vAlign w:val="bottom"/>
            <w:gridSpan w:val="3"/>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72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6"/>
                <w:szCs w:val="16"/>
                <w:color w:val="auto"/>
              </w:rPr>
              <w:t>31,354</w:t>
            </w:r>
          </w:p>
        </w:tc>
        <w:tc>
          <w:tcPr>
            <w:tcW w:w="10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w w:val="89"/>
              </w:rPr>
              <w:t>172,868,146</w:t>
            </w:r>
          </w:p>
        </w:tc>
        <w:tc>
          <w:tcPr>
            <w:tcW w:w="100" w:type="dxa"/>
            <w:vAlign w:val="bottom"/>
            <w:tcBorders>
              <w:lef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760" w:type="dxa"/>
            <w:vAlign w:val="bottom"/>
            <w:gridSpan w:val="3"/>
          </w:tcPr>
          <w:p>
            <w:pPr>
              <w:ind w:left="20"/>
              <w:spacing w:after="0"/>
              <w:rPr>
                <w:sz w:val="20"/>
                <w:szCs w:val="20"/>
                <w:color w:val="auto"/>
              </w:rPr>
            </w:pPr>
            <w:r>
              <w:rPr>
                <w:rFonts w:ascii="Arial" w:cs="Arial" w:eastAsia="Arial" w:hAnsi="Arial"/>
                <w:sz w:val="16"/>
                <w:szCs w:val="16"/>
                <w:color w:val="auto"/>
              </w:rPr>
              <w:t>Exercises, conversions and</w:t>
            </w:r>
          </w:p>
        </w:tc>
        <w:tc>
          <w:tcPr>
            <w:tcW w:w="2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6"/>
                <w:szCs w:val="16"/>
                <w:color w:val="auto"/>
                <w:w w:val="93"/>
              </w:rPr>
              <w:t>984,067</w:t>
            </w:r>
          </w:p>
        </w:tc>
        <w:tc>
          <w:tcPr>
            <w:tcW w:w="960" w:type="dxa"/>
            <w:vAlign w:val="bottom"/>
            <w:gridSpan w:val="5"/>
          </w:tcPr>
          <w:p>
            <w:pPr>
              <w:jc w:val="right"/>
              <w:spacing w:after="0"/>
              <w:rPr>
                <w:sz w:val="20"/>
                <w:szCs w:val="20"/>
                <w:color w:val="auto"/>
              </w:rPr>
            </w:pPr>
            <w:r>
              <w:rPr>
                <w:rFonts w:ascii="Arial" w:cs="Arial" w:eastAsia="Arial" w:hAnsi="Arial"/>
                <w:sz w:val="16"/>
                <w:szCs w:val="16"/>
                <w:color w:val="auto"/>
              </w:rPr>
              <w:t>(1,006,390)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22,323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40" w:type="dxa"/>
            <w:vAlign w:val="bottom"/>
            <w:gridSpan w:val="2"/>
          </w:tcPr>
          <w:p>
            <w:pPr>
              <w:ind w:left="260"/>
              <w:spacing w:after="0" w:line="254" w:lineRule="exact"/>
              <w:rPr>
                <w:sz w:val="20"/>
                <w:szCs w:val="20"/>
                <w:color w:val="auto"/>
              </w:rPr>
            </w:pPr>
            <w:r>
              <w:rPr>
                <w:rFonts w:ascii="Arial" w:cs="Arial" w:eastAsia="Arial" w:hAnsi="Arial"/>
                <w:sz w:val="16"/>
                <w:szCs w:val="16"/>
                <w:color w:val="auto"/>
              </w:rPr>
              <w:t>assignments</w:t>
            </w:r>
            <w:r>
              <w:rPr>
                <w:rFonts w:ascii="Arial" w:cs="Arial" w:eastAsia="Arial" w:hAnsi="Arial"/>
                <w:sz w:val="27"/>
                <w:szCs w:val="27"/>
                <w:color w:val="auto"/>
                <w:vertAlign w:val="superscript"/>
              </w:rPr>
              <w:t>(1)</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76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Sales and settlements</w:t>
            </w:r>
          </w:p>
        </w:tc>
        <w:tc>
          <w:tcPr>
            <w:tcW w:w="280" w:type="dxa"/>
            <w:vAlign w:val="bottom"/>
            <w:shd w:val="clear" w:color="auto" w:fill="CCFFCC"/>
          </w:tcPr>
          <w:p>
            <w:pPr>
              <w:spacing w:after="0"/>
              <w:rPr>
                <w:sz w:val="17"/>
                <w:szCs w:val="17"/>
                <w:color w:val="auto"/>
              </w:rPr>
            </w:pPr>
          </w:p>
        </w:tc>
        <w:tc>
          <w:tcPr>
            <w:tcW w:w="7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tcBorders>
              <w:right w:val="single" w:sz="8" w:color="CCFFCC"/>
            </w:tcBorders>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3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CCFFCC"/>
            </w:tcBorders>
            <w:gridSpan w:val="5"/>
            <w:shd w:val="clear" w:color="auto" w:fill="CCFFCC"/>
          </w:tcPr>
          <w:p>
            <w:pPr>
              <w:jc w:val="right"/>
              <w:spacing w:after="0"/>
              <w:rPr>
                <w:sz w:val="20"/>
                <w:szCs w:val="20"/>
                <w:color w:val="auto"/>
              </w:rPr>
            </w:pPr>
            <w:r>
              <w:rPr>
                <w:rFonts w:ascii="Arial" w:cs="Arial" w:eastAsia="Arial" w:hAnsi="Arial"/>
                <w:sz w:val="16"/>
                <w:szCs w:val="16"/>
                <w:color w:val="auto"/>
              </w:rPr>
              <w:t>(3,002,665)</w:t>
            </w:r>
          </w:p>
        </w:tc>
        <w:tc>
          <w:tcPr>
            <w:tcW w:w="1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2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FFCC"/>
            </w:tcBorders>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1"/>
                <w:szCs w:val="11"/>
                <w:color w:val="auto"/>
                <w:w w:val="72"/>
              </w:rPr>
              <w:t>—</w:t>
            </w:r>
          </w:p>
        </w:tc>
        <w:tc>
          <w:tcPr>
            <w:tcW w:w="10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(3,002,665)</w:t>
            </w:r>
          </w:p>
        </w:tc>
        <w:tc>
          <w:tcPr>
            <w:tcW w:w="0" w:type="dxa"/>
            <w:vAlign w:val="bottom"/>
          </w:tcPr>
          <w:p>
            <w:pPr>
              <w:spacing w:after="0"/>
              <w:rPr>
                <w:sz w:val="1"/>
                <w:szCs w:val="1"/>
                <w:color w:val="auto"/>
              </w:rPr>
            </w:pPr>
          </w:p>
        </w:tc>
      </w:tr>
      <w:tr>
        <w:trPr>
          <w:trHeight w:val="203"/>
        </w:trPr>
        <w:tc>
          <w:tcPr>
            <w:tcW w:w="2760" w:type="dxa"/>
            <w:vAlign w:val="bottom"/>
            <w:gridSpan w:val="3"/>
          </w:tcPr>
          <w:p>
            <w:pPr>
              <w:ind w:left="20"/>
              <w:spacing w:after="0"/>
              <w:rPr>
                <w:sz w:val="20"/>
                <w:szCs w:val="20"/>
                <w:color w:val="auto"/>
              </w:rPr>
            </w:pPr>
            <w:r>
              <w:rPr>
                <w:rFonts w:ascii="Arial" w:cs="Arial" w:eastAsia="Arial" w:hAnsi="Arial"/>
                <w:sz w:val="16"/>
                <w:szCs w:val="16"/>
                <w:color w:val="auto"/>
              </w:rPr>
              <w:t>Realized loss included in earnings</w:t>
            </w:r>
          </w:p>
        </w:tc>
        <w:tc>
          <w:tcPr>
            <w:tcW w:w="2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5"/>
          </w:tcPr>
          <w:p>
            <w:pPr>
              <w:jc w:val="right"/>
              <w:spacing w:after="0"/>
              <w:rPr>
                <w:sz w:val="20"/>
                <w:szCs w:val="20"/>
                <w:color w:val="auto"/>
              </w:rPr>
            </w:pPr>
            <w:r>
              <w:rPr>
                <w:rFonts w:ascii="Arial" w:cs="Arial" w:eastAsia="Arial" w:hAnsi="Arial"/>
                <w:sz w:val="16"/>
                <w:szCs w:val="16"/>
                <w:color w:val="auto"/>
              </w:rPr>
              <w:t>(1,380,263)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(1,380,263)</w:t>
            </w:r>
          </w:p>
        </w:tc>
        <w:tc>
          <w:tcPr>
            <w:tcW w:w="0" w:type="dxa"/>
            <w:vAlign w:val="bottom"/>
          </w:tcPr>
          <w:p>
            <w:pPr>
              <w:spacing w:after="0"/>
              <w:rPr>
                <w:sz w:val="1"/>
                <w:szCs w:val="1"/>
                <w:color w:val="auto"/>
              </w:rPr>
            </w:pPr>
          </w:p>
        </w:tc>
      </w:tr>
      <w:tr>
        <w:trPr>
          <w:trHeight w:val="193"/>
        </w:trPr>
        <w:tc>
          <w:tcPr>
            <w:tcW w:w="276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Change in unrealized appreciation</w:t>
            </w:r>
          </w:p>
        </w:tc>
        <w:tc>
          <w:tcPr>
            <w:tcW w:w="1020" w:type="dxa"/>
            <w:vAlign w:val="bottom"/>
            <w:tcBorders>
              <w:righ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(5,027,001)</w:t>
            </w:r>
          </w:p>
        </w:tc>
        <w:tc>
          <w:tcPr>
            <w:tcW w:w="80" w:type="dxa"/>
            <w:vAlign w:val="bottom"/>
            <w:shd w:val="clear" w:color="auto" w:fill="CCFFCC"/>
          </w:tcPr>
          <w:p>
            <w:pPr>
              <w:spacing w:after="0"/>
              <w:rPr>
                <w:sz w:val="16"/>
                <w:szCs w:val="16"/>
                <w:color w:val="auto"/>
              </w:rPr>
            </w:pPr>
          </w:p>
        </w:tc>
        <w:tc>
          <w:tcPr>
            <w:tcW w:w="940" w:type="dxa"/>
            <w:vAlign w:val="bottom"/>
            <w:tcBorders>
              <w:right w:val="single" w:sz="8" w:color="CCFFCC"/>
            </w:tcBorders>
            <w:gridSpan w:val="6"/>
            <w:shd w:val="clear" w:color="auto" w:fill="CCFFCC"/>
          </w:tcPr>
          <w:p>
            <w:pPr>
              <w:jc w:val="right"/>
              <w:ind w:right="80"/>
              <w:spacing w:after="0"/>
              <w:rPr>
                <w:sz w:val="20"/>
                <w:szCs w:val="20"/>
                <w:color w:val="auto"/>
              </w:rPr>
            </w:pPr>
            <w:r>
              <w:rPr>
                <w:rFonts w:ascii="Arial" w:cs="Arial" w:eastAsia="Arial" w:hAnsi="Arial"/>
                <w:sz w:val="16"/>
                <w:szCs w:val="16"/>
                <w:color w:val="auto"/>
              </w:rPr>
              <w:t>(2,687,431)</w:t>
            </w:r>
          </w:p>
        </w:tc>
        <w:tc>
          <w:tcPr>
            <w:tcW w:w="820" w:type="dxa"/>
            <w:vAlign w:val="bottom"/>
            <w:gridSpan w:val="4"/>
            <w:shd w:val="clear" w:color="auto" w:fill="CCFFCC"/>
          </w:tcPr>
          <w:p>
            <w:pPr>
              <w:jc w:val="right"/>
              <w:spacing w:after="0"/>
              <w:rPr>
                <w:sz w:val="20"/>
                <w:szCs w:val="20"/>
                <w:color w:val="auto"/>
              </w:rPr>
            </w:pPr>
            <w:r>
              <w:rPr>
                <w:rFonts w:ascii="Arial" w:cs="Arial" w:eastAsia="Arial" w:hAnsi="Arial"/>
                <w:sz w:val="16"/>
                <w:szCs w:val="16"/>
                <w:color w:val="auto"/>
              </w:rPr>
              <w:t>35,082</w:t>
            </w:r>
          </w:p>
        </w:tc>
        <w:tc>
          <w:tcPr>
            <w:tcW w:w="140" w:type="dxa"/>
            <w:vAlign w:val="bottom"/>
            <w:tcBorders>
              <w:left w:val="single" w:sz="8" w:color="CCFFCC"/>
              <w:righ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20" w:type="dxa"/>
            <w:vAlign w:val="bottom"/>
            <w:tcBorders>
              <w:left w:val="single" w:sz="8" w:color="CCFFCC"/>
            </w:tcBorders>
            <w:shd w:val="clear" w:color="auto" w:fill="CCFFCC"/>
          </w:tcPr>
          <w:p>
            <w:pPr>
              <w:spacing w:after="0"/>
              <w:rPr>
                <w:sz w:val="16"/>
                <w:szCs w:val="16"/>
                <w:color w:val="auto"/>
              </w:rPr>
            </w:pPr>
          </w:p>
        </w:tc>
        <w:tc>
          <w:tcPr>
            <w:tcW w:w="2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6"/>
                <w:szCs w:val="16"/>
                <w:color w:val="auto"/>
              </w:rPr>
              <w:t>97,989</w:t>
            </w:r>
          </w:p>
        </w:tc>
        <w:tc>
          <w:tcPr>
            <w:tcW w:w="100" w:type="dxa"/>
            <w:vAlign w:val="bottom"/>
            <w:tcBorders>
              <w:lef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900" w:type="dxa"/>
            <w:vAlign w:val="bottom"/>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(7,581,361)</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74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(depreciation) included in earnings</w:t>
            </w:r>
          </w:p>
        </w:tc>
        <w:tc>
          <w:tcPr>
            <w:tcW w:w="28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tcBorders>
              <w:right w:val="single" w:sz="8" w:color="CCFFCC"/>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tcBorders>
              <w:left w:val="single" w:sz="8" w:color="CCFFCC"/>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 w:type="dxa"/>
            <w:vAlign w:val="bottom"/>
            <w:tcBorders>
              <w:left w:val="single" w:sz="8" w:color="CCFFCC"/>
            </w:tcBorders>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tcBorders>
              <w:lef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tcBorders>
              <w:lef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60" w:type="dxa"/>
            <w:vAlign w:val="bottom"/>
            <w:gridSpan w:val="3"/>
          </w:tcPr>
          <w:p>
            <w:pPr>
              <w:ind w:left="20"/>
              <w:spacing w:after="0"/>
              <w:rPr>
                <w:sz w:val="20"/>
                <w:szCs w:val="20"/>
                <w:color w:val="auto"/>
              </w:rPr>
            </w:pPr>
            <w:r>
              <w:rPr>
                <w:rFonts w:ascii="Arial" w:cs="Arial" w:eastAsia="Arial" w:hAnsi="Arial"/>
                <w:sz w:val="16"/>
                <w:szCs w:val="16"/>
                <w:color w:val="auto"/>
              </w:rPr>
              <w:t>Transfer to Level 2</w:t>
            </w: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(9,361,100)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(9,361,100)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6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Fair Value as of December 31, 2012</w:t>
            </w:r>
          </w:p>
        </w:tc>
        <w:tc>
          <w:tcPr>
            <w:tcW w:w="1020" w:type="dxa"/>
            <w:vAlign w:val="bottom"/>
            <w:tcBorders>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112,855,675</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tcBorders>
              <w:right w:val="single" w:sz="8" w:color="CCFFCC"/>
            </w:tcBorders>
            <w:gridSpan w:val="6"/>
            <w:shd w:val="clear" w:color="auto" w:fill="CCFFCC"/>
          </w:tcPr>
          <w:p>
            <w:pPr>
              <w:jc w:val="right"/>
              <w:ind w:right="120"/>
              <w:spacing w:after="0"/>
              <w:rPr>
                <w:sz w:val="20"/>
                <w:szCs w:val="20"/>
                <w:color w:val="auto"/>
              </w:rPr>
            </w:pPr>
            <w:r>
              <w:rPr>
                <w:rFonts w:ascii="Arial" w:cs="Arial" w:eastAsia="Arial" w:hAnsi="Arial"/>
                <w:sz w:val="16"/>
                <w:szCs w:val="16"/>
                <w:color w:val="auto"/>
                <w:w w:val="89"/>
              </w:rPr>
              <w:t>100,853,882</w:t>
            </w:r>
          </w:p>
        </w:tc>
        <w:tc>
          <w:tcPr>
            <w:tcW w:w="400" w:type="dxa"/>
            <w:vAlign w:val="bottom"/>
            <w:shd w:val="clear" w:color="auto" w:fill="CCFFCC"/>
          </w:tcPr>
          <w:p>
            <w:pPr>
              <w:jc w:val="right"/>
              <w:ind w:right="241"/>
              <w:spacing w:after="0"/>
              <w:rPr>
                <w:sz w:val="20"/>
                <w:szCs w:val="20"/>
                <w:color w:val="auto"/>
              </w:rPr>
            </w:pPr>
            <w:r>
              <w:rPr>
                <w:rFonts w:ascii="Arial" w:cs="Arial" w:eastAsia="Arial" w:hAnsi="Arial"/>
                <w:sz w:val="15"/>
                <w:szCs w:val="15"/>
                <w:color w:val="auto"/>
                <w:w w:val="71"/>
              </w:rPr>
              <w:t>$</w:t>
            </w:r>
          </w:p>
        </w:tc>
        <w:tc>
          <w:tcPr>
            <w:tcW w:w="180" w:type="dxa"/>
            <w:vAlign w:val="bottom"/>
            <w:tcBorders>
              <w:right w:val="single" w:sz="8" w:color="CCFFCC"/>
            </w:tcBorders>
            <w:shd w:val="clear" w:color="auto" w:fill="CCFFCC"/>
          </w:tcPr>
          <w:p>
            <w:pPr>
              <w:spacing w:after="0"/>
              <w:rPr>
                <w:sz w:val="18"/>
                <w:szCs w:val="18"/>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CFFCC"/>
            </w:tcBorders>
            <w:gridSpan w:val="2"/>
            <w:shd w:val="clear" w:color="auto" w:fill="CCFFCC"/>
          </w:tcPr>
          <w:p>
            <w:pPr>
              <w:jc w:val="center"/>
              <w:ind w:left="34"/>
              <w:spacing w:after="0"/>
              <w:rPr>
                <w:sz w:val="20"/>
                <w:szCs w:val="20"/>
                <w:color w:val="auto"/>
              </w:rPr>
            </w:pPr>
            <w:r>
              <w:rPr>
                <w:rFonts w:ascii="Arial" w:cs="Arial" w:eastAsia="Arial" w:hAnsi="Arial"/>
                <w:sz w:val="16"/>
                <w:szCs w:val="16"/>
                <w:color w:val="auto"/>
                <w:w w:val="89"/>
              </w:rPr>
              <w:t>$</w:t>
            </w:r>
          </w:p>
        </w:tc>
        <w:tc>
          <w:tcPr>
            <w:tcW w:w="640" w:type="dxa"/>
            <w:vAlign w:val="bottom"/>
            <w:gridSpan w:val="3"/>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72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223,062</w:t>
            </w:r>
          </w:p>
        </w:tc>
        <w:tc>
          <w:tcPr>
            <w:tcW w:w="1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w w:val="89"/>
              </w:rPr>
              <w:t>214,432,619</w:t>
            </w:r>
          </w:p>
        </w:tc>
        <w:tc>
          <w:tcPr>
            <w:tcW w:w="100" w:type="dxa"/>
            <w:vAlign w:val="bottom"/>
            <w:tcBorders>
              <w:lef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left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60" w:type="dxa"/>
            <w:vAlign w:val="bottom"/>
            <w:gridSpan w:val="3"/>
          </w:tcPr>
          <w:p>
            <w:pPr>
              <w:ind w:left="20"/>
              <w:spacing w:after="0"/>
              <w:rPr>
                <w:sz w:val="20"/>
                <w:szCs w:val="20"/>
                <w:color w:val="auto"/>
              </w:rPr>
            </w:pPr>
            <w:r>
              <w:rPr>
                <w:rFonts w:ascii="Arial" w:cs="Arial" w:eastAsia="Arial" w:hAnsi="Arial"/>
                <w:sz w:val="16"/>
                <w:szCs w:val="16"/>
                <w:color w:val="auto"/>
              </w:rPr>
              <w:t>Change in unrealized appreciation</w:t>
            </w: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w w:val="92"/>
              </w:rPr>
              <w:t>$  (3,919,288)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6"/>
          </w:tcPr>
          <w:p>
            <w:pPr>
              <w:jc w:val="right"/>
              <w:ind w:right="80"/>
              <w:spacing w:after="0"/>
              <w:rPr>
                <w:sz w:val="20"/>
                <w:szCs w:val="20"/>
                <w:color w:val="auto"/>
              </w:rPr>
            </w:pPr>
            <w:r>
              <w:rPr>
                <w:rFonts w:ascii="Arial" w:cs="Arial" w:eastAsia="Arial" w:hAnsi="Arial"/>
                <w:sz w:val="16"/>
                <w:szCs w:val="16"/>
                <w:color w:val="auto"/>
              </w:rPr>
              <w:t>(2,687,431)</w:t>
            </w:r>
          </w:p>
        </w:tc>
        <w:tc>
          <w:tcPr>
            <w:tcW w:w="400" w:type="dxa"/>
            <w:vAlign w:val="bottom"/>
          </w:tcPr>
          <w:p>
            <w:pPr>
              <w:jc w:val="right"/>
              <w:ind w:right="241"/>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center"/>
              <w:ind w:left="34"/>
              <w:spacing w:after="0"/>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$ 97,989</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(6,508,730)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2"/>
          </w:tcPr>
          <w:p>
            <w:pPr>
              <w:ind w:left="180"/>
              <w:spacing w:after="0"/>
              <w:rPr>
                <w:sz w:val="20"/>
                <w:szCs w:val="20"/>
                <w:color w:val="auto"/>
              </w:rPr>
            </w:pPr>
            <w:r>
              <w:rPr>
                <w:rFonts w:ascii="Arial" w:cs="Arial" w:eastAsia="Arial" w:hAnsi="Arial"/>
                <w:sz w:val="16"/>
                <w:szCs w:val="16"/>
                <w:color w:val="auto"/>
                <w:w w:val="95"/>
              </w:rPr>
              <w:t>(depreciation) on Level 3 investments</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2"/>
          </w:tcPr>
          <w:p>
            <w:pPr>
              <w:ind w:left="180"/>
              <w:spacing w:after="0"/>
              <w:rPr>
                <w:sz w:val="20"/>
                <w:szCs w:val="20"/>
                <w:color w:val="auto"/>
              </w:rPr>
            </w:pPr>
            <w:r>
              <w:rPr>
                <w:rFonts w:ascii="Arial" w:cs="Arial" w:eastAsia="Arial" w:hAnsi="Arial"/>
                <w:sz w:val="16"/>
                <w:szCs w:val="16"/>
                <w:color w:val="auto"/>
              </w:rPr>
              <w:t>still held as of December 31, 2012</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-2872105</wp:posOffset>
            </wp:positionV>
            <wp:extent cx="5265420" cy="2684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65420" cy="2684145"/>
                    </a:xfrm>
                    <a:prstGeom prst="rect">
                      <a:avLst/>
                    </a:prstGeom>
                    <a:noFill/>
                  </pic:spPr>
                </pic:pic>
              </a:graphicData>
            </a:graphic>
          </wp:anchor>
        </w:drawing>
      </w:r>
    </w:p>
    <w:p>
      <w:pPr>
        <w:spacing w:after="0" w:line="236" w:lineRule="exact"/>
        <w:rPr>
          <w:sz w:val="20"/>
          <w:szCs w:val="20"/>
          <w:color w:val="auto"/>
        </w:rPr>
      </w:pPr>
    </w:p>
    <w:p>
      <w:pPr>
        <w:jc w:val="both"/>
        <w:ind w:left="300" w:right="519" w:hanging="272"/>
        <w:spacing w:after="0" w:line="286" w:lineRule="auto"/>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During the year ended December 31, 2012, the Company converted its structured notes to preferred shares in AlwaysOn, Inc. and The Echo System Corp., and exercised its warrants for preferred shares in StormWind, LLC. A portion of The Echo System Corp. structured notes attributable to the warrants was reclassified during the same period.</w:t>
      </w:r>
    </w:p>
    <w:p>
      <w:pPr>
        <w:spacing w:after="0" w:line="57"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During the six months ended June 30, 2013, there was one transfer between levels related to our investment in Silver Spring Networks, Inc. Due to a public offering on March 12, 2013; observable inputs became available for our valuation at March 31, 2013. This resulted in a transfer of Silver Springs Networks, Inc. from Level 3 to Level 2. Our shares in Silver Spring Networks, Inc. are presently subject to a lock-up agreement that expires on September 8, 2013. The fair value for Silver Spring was estimated using the close price on a public exchange as of the valuation date, adjusted for a discount due to lack of marketability of 7%</w:t>
      </w:r>
    </w:p>
    <w:p>
      <w:pPr>
        <w:spacing w:after="0" w:line="200" w:lineRule="exact"/>
        <w:rPr>
          <w:sz w:val="20"/>
          <w:szCs w:val="20"/>
          <w:color w:val="auto"/>
        </w:rPr>
      </w:pPr>
    </w:p>
    <w:p>
      <w:pPr>
        <w:spacing w:after="0" w:line="29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5" w:name="page26"/>
    <w:bookmarkEnd w:id="2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that was primarily based on the market price of publicly traded put options with a similar term as the lock-up as of June 30, 2013.</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wrote-off its investments in Top Hat 430, Inc., Serious Energy, Inc., and AltEgo, LLC and recorded a realized loss.</w:t>
      </w:r>
    </w:p>
    <w:p>
      <w:pPr>
        <w:spacing w:after="0" w:line="126" w:lineRule="exact"/>
        <w:rPr>
          <w:sz w:val="20"/>
          <w:szCs w:val="20"/>
          <w:color w:val="auto"/>
        </w:rPr>
      </w:pPr>
    </w:p>
    <w:p>
      <w:pPr>
        <w:jc w:val="both"/>
        <w:ind w:left="60" w:right="519" w:firstLine="270"/>
        <w:spacing w:after="0" w:line="269" w:lineRule="auto"/>
        <w:rPr>
          <w:sz w:val="20"/>
          <w:szCs w:val="20"/>
          <w:color w:val="auto"/>
        </w:rPr>
      </w:pPr>
      <w:r>
        <w:rPr>
          <w:rFonts w:ascii="Arial" w:cs="Arial" w:eastAsia="Arial" w:hAnsi="Arial"/>
          <w:sz w:val="17"/>
          <w:szCs w:val="17"/>
          <w:color w:val="auto"/>
        </w:rPr>
        <w:t>During the year ended December 31, 2012, there were three transfers between levels. Two of these transfers occurred as of June 30, 2012. Due to the expiration of the lock-up agreement on our shares in Groupon, Inc. on June 1, 2012, the closing price on a public exchange on June 29, 2012 was used for our valuation as of June 30, 2012. This resulted in a transfer of Groupon, Inc. from Level 2 to Level 1. At December 31, 2012, Groupon, Inc. was valued using the closing price on a public exchange on December 31, 2012. Due to the initial public offering of Facebook, Inc. on May 17, 2012, observable inputs became available for our valuation as of June 30, 2012. However, our shares in Facebook, Inc. were subject to a lock-up agreement that expired on November 14, 2012. As such, the fair value for Facebook, Inc. was estimated using the closing price on a public exchange as of June 29, 2012, adjusted for a discount due to a lack of marketability of 14% that was primarily based on the market price of publicly traded put options with a similar term as our lock-up as of June 30, 2012. This resulted in a transfer of Facebook, Inc. from Level 3 to Level 2. Due to the expiration of the lock-up agreement on our shares in Facebook, Inc. on November 14, 2012, the closing price on a public exchange on December 31, 2012 was used for our valuation as of December 31, 2012. This resulted in a transfer of Facebook, Inc. from Level 2 to Level 1.</w:t>
      </w:r>
    </w:p>
    <w:p>
      <w:pPr>
        <w:spacing w:after="0" w:line="72"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During the year ended December 31, 2012, the Company recorded a realized loss on our investment in PJB Fund LLC. The note matured and was repaid by transfer of shares of common stock of Zynga, Inc.</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121" w:lineRule="exact"/>
        <w:rPr>
          <w:sz w:val="20"/>
          <w:szCs w:val="20"/>
          <w:color w:val="auto"/>
        </w:rPr>
      </w:pPr>
    </w:p>
    <w:p>
      <w:pPr>
        <w:jc w:val="both"/>
        <w:ind w:left="60" w:right="519" w:firstLine="270"/>
        <w:spacing w:after="0" w:line="262" w:lineRule="auto"/>
        <w:rPr>
          <w:sz w:val="20"/>
          <w:szCs w:val="20"/>
          <w:color w:val="auto"/>
        </w:rPr>
      </w:pPr>
      <w:r>
        <w:rPr>
          <w:rFonts w:ascii="Arial" w:cs="Arial" w:eastAsia="Arial" w:hAnsi="Arial"/>
          <w:sz w:val="18"/>
          <w:szCs w:val="18"/>
          <w:color w:val="auto"/>
        </w:rPr>
        <w:t>We issued 13,800,000 shares of our common stock during the year ended December 31, 2012. No new shares of our common stock were issued during the six months ended June 30, 2013. The proceeds raised, the related underwriting fees, the offering expenses and the prices at which these shares were issued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139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278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Issuances of Common Stock</w:t>
            </w:r>
          </w:p>
        </w:tc>
        <w:tc>
          <w:tcPr>
            <w:tcW w:w="60" w:type="dxa"/>
            <w:vAlign w:val="bottom"/>
          </w:tcPr>
          <w:p>
            <w:pPr>
              <w:spacing w:after="0"/>
              <w:rPr>
                <w:sz w:val="13"/>
                <w:szCs w:val="13"/>
                <w:color w:val="auto"/>
              </w:rPr>
            </w:pPr>
          </w:p>
        </w:tc>
        <w:tc>
          <w:tcPr>
            <w:tcW w:w="1000" w:type="dxa"/>
            <w:vAlign w:val="bottom"/>
          </w:tcPr>
          <w:p>
            <w:pPr>
              <w:jc w:val="right"/>
              <w:ind w:right="88"/>
              <w:spacing w:after="0" w:line="151"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3"/>
                <w:szCs w:val="13"/>
                <w:color w:val="auto"/>
              </w:rPr>
            </w:pPr>
          </w:p>
        </w:tc>
        <w:tc>
          <w:tcPr>
            <w:tcW w:w="104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w w:val="91"/>
              </w:rPr>
              <w:t>Gross Proceeds</w:t>
            </w:r>
          </w:p>
        </w:tc>
        <w:tc>
          <w:tcPr>
            <w:tcW w:w="80" w:type="dxa"/>
            <w:vAlign w:val="bottom"/>
          </w:tcPr>
          <w:p>
            <w:pPr>
              <w:spacing w:after="0"/>
              <w:rPr>
                <w:sz w:val="13"/>
                <w:szCs w:val="13"/>
                <w:color w:val="auto"/>
              </w:rPr>
            </w:pPr>
          </w:p>
        </w:tc>
        <w:tc>
          <w:tcPr>
            <w:tcW w:w="1180" w:type="dxa"/>
            <w:vAlign w:val="bottom"/>
            <w:gridSpan w:val="4"/>
          </w:tcPr>
          <w:p>
            <w:pPr>
              <w:jc w:val="right"/>
              <w:ind w:right="260"/>
              <w:spacing w:after="0" w:line="151" w:lineRule="exact"/>
              <w:rPr>
                <w:sz w:val="20"/>
                <w:szCs w:val="20"/>
                <w:color w:val="auto"/>
              </w:rPr>
            </w:pPr>
            <w:r>
              <w:rPr>
                <w:rFonts w:ascii="Arial" w:cs="Arial" w:eastAsia="Arial" w:hAnsi="Arial"/>
                <w:sz w:val="14"/>
                <w:szCs w:val="14"/>
                <w:b w:val="1"/>
                <w:bCs w:val="1"/>
                <w:color w:val="auto"/>
              </w:rPr>
              <w:t>Underwriting</w:t>
            </w:r>
          </w:p>
        </w:tc>
        <w:tc>
          <w:tcPr>
            <w:tcW w:w="880" w:type="dxa"/>
            <w:vAlign w:val="bottom"/>
          </w:tcPr>
          <w:p>
            <w:pPr>
              <w:jc w:val="right"/>
              <w:ind w:right="156"/>
              <w:spacing w:after="0" w:line="151" w:lineRule="exact"/>
              <w:rPr>
                <w:sz w:val="20"/>
                <w:szCs w:val="20"/>
                <w:color w:val="auto"/>
              </w:rPr>
            </w:pPr>
            <w:r>
              <w:rPr>
                <w:rFonts w:ascii="Arial" w:cs="Arial" w:eastAsia="Arial" w:hAnsi="Arial"/>
                <w:sz w:val="14"/>
                <w:szCs w:val="14"/>
                <w:b w:val="1"/>
                <w:bCs w:val="1"/>
                <w:color w:val="auto"/>
              </w:rPr>
              <w:t>Offering</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175"/>
              <w:spacing w:after="0" w:line="151" w:lineRule="exact"/>
              <w:rPr>
                <w:sz w:val="20"/>
                <w:szCs w:val="20"/>
                <w:color w:val="auto"/>
              </w:rPr>
            </w:pPr>
            <w:r>
              <w:rPr>
                <w:rFonts w:ascii="Arial" w:cs="Arial" w:eastAsia="Arial" w:hAnsi="Arial"/>
                <w:sz w:val="14"/>
                <w:szCs w:val="14"/>
                <w:b w:val="1"/>
                <w:bCs w:val="1"/>
                <w:color w:val="auto"/>
              </w:rPr>
              <w:t>Offering</w:t>
            </w: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Raised</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Fees</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7"/>
              </w:rPr>
              <w:t>Expenses</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Price</w:t>
            </w:r>
          </w:p>
        </w:tc>
      </w:tr>
      <w:tr>
        <w:trPr>
          <w:trHeight w:val="210"/>
        </w:trPr>
        <w:tc>
          <w:tcPr>
            <w:tcW w:w="27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February 28, 2011</w:t>
            </w:r>
          </w:p>
        </w:tc>
        <w:tc>
          <w:tcPr>
            <w:tcW w:w="10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FFCC"/>
          </w:tcPr>
          <w:p>
            <w:pPr>
              <w:ind w:left="60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FFCC"/>
          </w:tcPr>
          <w:p>
            <w:pPr>
              <w:jc w:val="right"/>
              <w:ind w:right="176"/>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35"/>
              <w:spacing w:after="0"/>
              <w:rPr>
                <w:sz w:val="20"/>
                <w:szCs w:val="20"/>
                <w:color w:val="auto"/>
              </w:rPr>
            </w:pPr>
            <w:r>
              <w:rPr>
                <w:rFonts w:ascii="Arial" w:cs="Arial" w:eastAsia="Arial" w:hAnsi="Arial"/>
                <w:sz w:val="18"/>
                <w:szCs w:val="18"/>
                <w:color w:val="auto"/>
              </w:rPr>
              <w:t>15.00</w:t>
            </w:r>
          </w:p>
        </w:tc>
      </w:tr>
      <w:tr>
        <w:trPr>
          <w:trHeight w:val="257"/>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April 28, 2011</w:t>
            </w:r>
          </w:p>
        </w:tc>
        <w:tc>
          <w:tcPr>
            <w:tcW w:w="1060" w:type="dxa"/>
            <w:vAlign w:val="bottom"/>
            <w:gridSpan w:val="2"/>
          </w:tcPr>
          <w:p>
            <w:pPr>
              <w:jc w:val="right"/>
              <w:ind w:right="8"/>
              <w:spacing w:after="0"/>
              <w:rPr>
                <w:sz w:val="20"/>
                <w:szCs w:val="20"/>
                <w:color w:val="auto"/>
              </w:rPr>
            </w:pPr>
            <w:r>
              <w:rPr>
                <w:rFonts w:ascii="Arial" w:cs="Arial" w:eastAsia="Arial" w:hAnsi="Arial"/>
                <w:sz w:val="18"/>
                <w:szCs w:val="18"/>
                <w:color w:val="auto"/>
              </w:rPr>
              <w:t>3,335,000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50,025,000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3,501,750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16"/>
              <w:spacing w:after="0" w:line="256" w:lineRule="exact"/>
              <w:rPr>
                <w:sz w:val="20"/>
                <w:szCs w:val="20"/>
                <w:color w:val="auto"/>
              </w:rPr>
            </w:pPr>
            <w:r>
              <w:rPr>
                <w:rFonts w:ascii="Arial" w:cs="Arial" w:eastAsia="Arial" w:hAnsi="Arial"/>
                <w:sz w:val="18"/>
                <w:szCs w:val="18"/>
                <w:color w:val="auto"/>
                <w:w w:val="85"/>
              </w:rPr>
              <w:t>527,166</w:t>
            </w:r>
            <w:r>
              <w:rPr>
                <w:rFonts w:ascii="Arial" w:cs="Arial" w:eastAsia="Arial" w:hAnsi="Arial"/>
                <w:sz w:val="29"/>
                <w:szCs w:val="29"/>
                <w:color w:val="auto"/>
                <w:w w:val="85"/>
                <w:vertAlign w:val="superscript"/>
              </w:rPr>
              <w:t>(1)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15.00</w:t>
            </w:r>
          </w:p>
        </w:tc>
      </w:tr>
      <w:tr>
        <w:trPr>
          <w:trHeight w:val="257"/>
        </w:trPr>
        <w:tc>
          <w:tcPr>
            <w:tcW w:w="27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September 27, 2011</w:t>
            </w:r>
          </w:p>
        </w:tc>
        <w:tc>
          <w:tcPr>
            <w:tcW w:w="10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2,185,000</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30,917,750</w:t>
            </w:r>
          </w:p>
        </w:tc>
        <w:tc>
          <w:tcPr>
            <w:tcW w:w="8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4"/>
              </w:rPr>
              <w:t>1,267,300</w:t>
            </w:r>
          </w:p>
        </w:tc>
        <w:tc>
          <w:tcPr>
            <w:tcW w:w="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16"/>
              <w:spacing w:after="0" w:line="256" w:lineRule="exact"/>
              <w:rPr>
                <w:sz w:val="20"/>
                <w:szCs w:val="20"/>
                <w:color w:val="auto"/>
              </w:rPr>
            </w:pPr>
            <w:r>
              <w:rPr>
                <w:rFonts w:ascii="Arial" w:cs="Arial" w:eastAsia="Arial" w:hAnsi="Arial"/>
                <w:sz w:val="18"/>
                <w:szCs w:val="18"/>
                <w:color w:val="auto"/>
                <w:w w:val="85"/>
              </w:rPr>
              <w:t>531,122</w:t>
            </w:r>
            <w:r>
              <w:rPr>
                <w:rFonts w:ascii="Arial" w:cs="Arial" w:eastAsia="Arial" w:hAnsi="Arial"/>
                <w:sz w:val="29"/>
                <w:szCs w:val="29"/>
                <w:color w:val="auto"/>
                <w:w w:val="85"/>
                <w:vertAlign w:val="superscript"/>
              </w:rPr>
              <w:t>(2)</w:t>
            </w:r>
          </w:p>
        </w:tc>
        <w:tc>
          <w:tcPr>
            <w:tcW w:w="8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35"/>
              <w:spacing w:after="0"/>
              <w:rPr>
                <w:sz w:val="20"/>
                <w:szCs w:val="20"/>
                <w:color w:val="auto"/>
              </w:rPr>
            </w:pPr>
            <w:r>
              <w:rPr>
                <w:rFonts w:ascii="Arial" w:cs="Arial" w:eastAsia="Arial" w:hAnsi="Arial"/>
                <w:sz w:val="18"/>
                <w:szCs w:val="18"/>
                <w:color w:val="auto"/>
              </w:rPr>
              <w:t>14.15</w:t>
            </w:r>
          </w:p>
        </w:tc>
      </w:tr>
      <w:tr>
        <w:trPr>
          <w:trHeight w:val="216"/>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February 10, 2012</w:t>
            </w:r>
          </w:p>
        </w:tc>
        <w:tc>
          <w:tcPr>
            <w:tcW w:w="1060" w:type="dxa"/>
            <w:vAlign w:val="bottom"/>
            <w:gridSpan w:val="2"/>
          </w:tcPr>
          <w:p>
            <w:pPr>
              <w:jc w:val="right"/>
              <w:ind w:right="8"/>
              <w:spacing w:after="0"/>
              <w:rPr>
                <w:sz w:val="20"/>
                <w:szCs w:val="20"/>
                <w:color w:val="auto"/>
              </w:rPr>
            </w:pPr>
            <w:r>
              <w:rPr>
                <w:rFonts w:ascii="Arial" w:cs="Arial" w:eastAsia="Arial" w:hAnsi="Arial"/>
                <w:sz w:val="18"/>
                <w:szCs w:val="18"/>
                <w:color w:val="auto"/>
              </w:rPr>
              <w:t>6,900,000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103,500,000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7,245,000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76"/>
              <w:spacing w:after="0"/>
              <w:rPr>
                <w:sz w:val="20"/>
                <w:szCs w:val="20"/>
                <w:color w:val="auto"/>
              </w:rPr>
            </w:pPr>
            <w:r>
              <w:rPr>
                <w:rFonts w:ascii="Arial" w:cs="Arial" w:eastAsia="Arial" w:hAnsi="Arial"/>
                <w:sz w:val="18"/>
                <w:szCs w:val="18"/>
                <w:color w:val="auto"/>
                <w:w w:val="92"/>
              </w:rPr>
              <w:t>326,077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15.00</w:t>
            </w:r>
          </w:p>
        </w:tc>
      </w:tr>
      <w:tr>
        <w:trPr>
          <w:trHeight w:val="257"/>
        </w:trPr>
        <w:tc>
          <w:tcPr>
            <w:tcW w:w="27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May 11, 2012</w:t>
            </w:r>
          </w:p>
        </w:tc>
        <w:tc>
          <w:tcPr>
            <w:tcW w:w="10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6,900,000</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112,125,000</w:t>
            </w:r>
          </w:p>
        </w:tc>
        <w:tc>
          <w:tcPr>
            <w:tcW w:w="8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4"/>
              </w:rPr>
              <w:t>6,727,500</w:t>
            </w:r>
          </w:p>
        </w:tc>
        <w:tc>
          <w:tcPr>
            <w:tcW w:w="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16"/>
              <w:spacing w:after="0" w:line="256" w:lineRule="exact"/>
              <w:rPr>
                <w:sz w:val="20"/>
                <w:szCs w:val="20"/>
                <w:color w:val="auto"/>
              </w:rPr>
            </w:pPr>
            <w:r>
              <w:rPr>
                <w:rFonts w:ascii="Arial" w:cs="Arial" w:eastAsia="Arial" w:hAnsi="Arial"/>
                <w:sz w:val="18"/>
                <w:szCs w:val="18"/>
                <w:color w:val="auto"/>
                <w:w w:val="85"/>
              </w:rPr>
              <w:t>412,620</w:t>
            </w:r>
            <w:r>
              <w:rPr>
                <w:rFonts w:ascii="Arial" w:cs="Arial" w:eastAsia="Arial" w:hAnsi="Arial"/>
                <w:sz w:val="29"/>
                <w:szCs w:val="29"/>
                <w:color w:val="auto"/>
                <w:w w:val="85"/>
                <w:vertAlign w:val="superscript"/>
              </w:rPr>
              <w:t>(3)</w:t>
            </w:r>
          </w:p>
        </w:tc>
        <w:tc>
          <w:tcPr>
            <w:tcW w:w="8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35"/>
              <w:spacing w:after="0"/>
              <w:rPr>
                <w:sz w:val="20"/>
                <w:szCs w:val="20"/>
                <w:color w:val="auto"/>
              </w:rPr>
            </w:pPr>
            <w:r>
              <w:rPr>
                <w:rFonts w:ascii="Arial" w:cs="Arial" w:eastAsia="Arial" w:hAnsi="Arial"/>
                <w:sz w:val="18"/>
                <w:szCs w:val="18"/>
                <w:color w:val="auto"/>
              </w:rPr>
              <w:t>16.25</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r>
    </w:tbl>
    <w:p>
      <w:pPr>
        <w:spacing w:after="0" w:line="256" w:lineRule="exact"/>
        <w:rPr>
          <w:sz w:val="20"/>
          <w:szCs w:val="20"/>
          <w:color w:val="auto"/>
        </w:rPr>
      </w:pPr>
    </w:p>
    <w:p>
      <w:pPr>
        <w:ind w:left="300" w:hanging="27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$3,585 of offering expenses that were accrued as of September 30, 2011.</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was reduced by $18,878 after actual expenses for the offering were determined as of December 31, 2011.</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$960 of offering expenses that were accrued as of September 30, 2012.</w:t>
      </w: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6" w:name="page27"/>
    <w:bookmarkEnd w:id="2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NET INCREASE (DECREASE) IN NET ASSETS PER COMMON SHARE</w:t>
      </w:r>
    </w:p>
    <w:p>
      <w:pPr>
        <w:spacing w:after="0" w:line="121" w:lineRule="exact"/>
        <w:rPr>
          <w:sz w:val="20"/>
          <w:szCs w:val="20"/>
          <w:color w:val="auto"/>
        </w:rPr>
      </w:pPr>
    </w:p>
    <w:p>
      <w:pPr>
        <w:jc w:val="both"/>
        <w:ind w:left="60" w:right="840" w:firstLine="270"/>
        <w:spacing w:after="0" w:line="269" w:lineRule="auto"/>
        <w:rPr>
          <w:sz w:val="20"/>
          <w:szCs w:val="20"/>
          <w:color w:val="auto"/>
        </w:rPr>
      </w:pPr>
      <w:r>
        <w:rPr>
          <w:rFonts w:ascii="Arial" w:cs="Arial" w:eastAsia="Arial" w:hAnsi="Arial"/>
          <w:sz w:val="18"/>
          <w:szCs w:val="18"/>
          <w:color w:val="auto"/>
        </w:rPr>
        <w:t>The following information sets forth the computation of net increase (decrease) in net assets resulting from operations per common share for the three and six months ended June 30, 2013, and June 30,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3660" w:type="dxa"/>
            <w:vAlign w:val="bottom"/>
            <w:vMerge w:val="restart"/>
          </w:tcPr>
          <w:p>
            <w:pPr>
              <w:ind w:left="20"/>
              <w:spacing w:after="0"/>
              <w:rPr>
                <w:sz w:val="20"/>
                <w:szCs w:val="20"/>
                <w:color w:val="auto"/>
              </w:rPr>
            </w:pPr>
            <w:r>
              <w:rPr>
                <w:rFonts w:ascii="Arial" w:cs="Arial" w:eastAsia="Arial" w:hAnsi="Arial"/>
                <w:sz w:val="18"/>
                <w:szCs w:val="18"/>
                <w:color w:val="auto"/>
                <w:w w:val="97"/>
              </w:rPr>
              <w:t>Net increase (decrease) in net assets resulting</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60" w:type="dxa"/>
            <w:vAlign w:val="bottom"/>
            <w:vMerge w:val="continue"/>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w w:val="97"/>
              </w:rPr>
              <w:t>3,515,703</w:t>
            </w:r>
          </w:p>
        </w:tc>
        <w:tc>
          <w:tcPr>
            <w:tcW w:w="1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w w:val="93"/>
              </w:rPr>
              <w:t>(5,474,894)</w:t>
            </w:r>
          </w:p>
        </w:tc>
        <w:tc>
          <w:tcPr>
            <w:tcW w:w="16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w w:val="93"/>
              </w:rPr>
              <w:t>(3,975,552)</w:t>
            </w:r>
          </w:p>
        </w:tc>
        <w:tc>
          <w:tcPr>
            <w:tcW w:w="16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w w:val="95"/>
              </w:rPr>
              <w:t>(5,557,957)</w:t>
            </w:r>
          </w:p>
        </w:tc>
        <w:tc>
          <w:tcPr>
            <w:tcW w:w="0" w:type="dxa"/>
            <w:vAlign w:val="bottom"/>
          </w:tcPr>
          <w:p>
            <w:pPr>
              <w:spacing w:after="0"/>
              <w:rPr>
                <w:sz w:val="1"/>
                <w:szCs w:val="1"/>
                <w:color w:val="auto"/>
              </w:rPr>
            </w:pPr>
          </w:p>
        </w:tc>
      </w:tr>
      <w:tr>
        <w:trPr>
          <w:trHeight w:val="230"/>
        </w:trPr>
        <w:tc>
          <w:tcPr>
            <w:tcW w:w="3660" w:type="dxa"/>
            <w:vAlign w:val="bottom"/>
          </w:tcPr>
          <w:p>
            <w:pPr>
              <w:ind w:left="200"/>
              <w:spacing w:after="0"/>
              <w:rPr>
                <w:sz w:val="20"/>
                <w:szCs w:val="20"/>
                <w:color w:val="auto"/>
              </w:rPr>
            </w:pPr>
            <w:r>
              <w:rPr>
                <w:rFonts w:ascii="Arial" w:cs="Arial" w:eastAsia="Arial" w:hAnsi="Arial"/>
                <w:sz w:val="18"/>
                <w:szCs w:val="18"/>
                <w:color w:val="auto"/>
              </w:rPr>
              <w:t>from operations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Weighted average common shares</w:t>
            </w:r>
          </w:p>
        </w:tc>
        <w:tc>
          <w:tcPr>
            <w:tcW w:w="10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6"/>
              </w:rPr>
              <w:t>19,320,100</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16,287,133</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19,320,100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0"/>
              </w:rPr>
              <w:t>12,837,133</w:t>
            </w:r>
          </w:p>
        </w:tc>
        <w:tc>
          <w:tcPr>
            <w:tcW w:w="0" w:type="dxa"/>
            <w:vAlign w:val="bottom"/>
          </w:tcPr>
          <w:p>
            <w:pPr>
              <w:spacing w:after="0"/>
              <w:rPr>
                <w:sz w:val="1"/>
                <w:szCs w:val="1"/>
                <w:color w:val="auto"/>
              </w:rPr>
            </w:pPr>
          </w:p>
        </w:tc>
      </w:tr>
      <w:tr>
        <w:trPr>
          <w:trHeight w:val="20"/>
        </w:trPr>
        <w:tc>
          <w:tcPr>
            <w:tcW w:w="36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8"/>
                <w:szCs w:val="18"/>
                <w:color w:val="auto"/>
                <w:w w:val="98"/>
              </w:rPr>
              <w:t>Basic and diluted earnings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LEGAL CONTINGENCIES</w:t>
      </w:r>
    </w:p>
    <w:p>
      <w:pPr>
        <w:spacing w:after="0" w:line="121" w:lineRule="exact"/>
        <w:rPr>
          <w:sz w:val="20"/>
          <w:szCs w:val="20"/>
          <w:color w:val="auto"/>
        </w:rPr>
      </w:pPr>
    </w:p>
    <w:p>
      <w:pPr>
        <w:jc w:val="both"/>
        <w:ind w:left="60" w:right="820" w:firstLine="270"/>
        <w:spacing w:after="0" w:line="286" w:lineRule="auto"/>
        <w:rPr>
          <w:sz w:val="20"/>
          <w:szCs w:val="20"/>
          <w:color w:val="auto"/>
        </w:rPr>
      </w:pPr>
      <w:r>
        <w:rPr>
          <w:rFonts w:ascii="Arial" w:cs="Arial" w:eastAsia="Arial" w:hAnsi="Arial"/>
          <w:sz w:val="17"/>
          <w:szCs w:val="17"/>
          <w:color w:val="auto"/>
        </w:rPr>
        <w:t>The Company is currently not subject to any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Three months ended</w:t>
            </w:r>
          </w:p>
        </w:tc>
        <w:tc>
          <w:tcPr>
            <w:tcW w:w="2180" w:type="dxa"/>
            <w:vAlign w:val="bottom"/>
          </w:tcPr>
          <w:p>
            <w:pPr>
              <w:spacing w:after="0"/>
              <w:rPr>
                <w:sz w:val="14"/>
                <w:szCs w:val="14"/>
                <w:color w:val="auto"/>
              </w:rPr>
            </w:pPr>
          </w:p>
        </w:tc>
      </w:tr>
      <w:tr>
        <w:trPr>
          <w:trHeight w:val="171"/>
        </w:trPr>
        <w:tc>
          <w:tcPr>
            <w:tcW w:w="8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June 30, 2013</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June 30, 2012</w:t>
            </w:r>
          </w:p>
        </w:tc>
        <w:tc>
          <w:tcPr>
            <w:tcW w:w="2180" w:type="dxa"/>
            <w:vAlign w:val="bottom"/>
          </w:tcPr>
          <w:p>
            <w:pPr>
              <w:spacing w:after="0"/>
              <w:rPr>
                <w:sz w:val="14"/>
                <w:szCs w:val="14"/>
                <w:color w:val="auto"/>
              </w:rPr>
            </w:pPr>
          </w:p>
        </w:tc>
      </w:tr>
      <w:tr>
        <w:trPr>
          <w:trHeight w:val="210"/>
        </w:trPr>
        <w:tc>
          <w:tcPr>
            <w:tcW w:w="450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Net asset value at beginning of period</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12.69</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13.47</w:t>
            </w:r>
          </w:p>
        </w:tc>
        <w:tc>
          <w:tcPr>
            <w:tcW w:w="2180" w:type="dxa"/>
            <w:vAlign w:val="bottom"/>
          </w:tcPr>
          <w:p>
            <w:pPr>
              <w:spacing w:after="0"/>
              <w:rPr>
                <w:sz w:val="18"/>
                <w:szCs w:val="18"/>
                <w:color w:val="auto"/>
              </w:rPr>
            </w:pPr>
          </w:p>
        </w:tc>
      </w:tr>
      <w:tr>
        <w:trPr>
          <w:trHeight w:val="257"/>
        </w:trPr>
        <w:tc>
          <w:tcPr>
            <w:tcW w:w="45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Issuance of common shares</w:t>
            </w:r>
          </w:p>
        </w:tc>
        <w:tc>
          <w:tcPr>
            <w:tcW w:w="160" w:type="dxa"/>
            <w:vAlign w:val="bottom"/>
            <w:shd w:val="clear" w:color="auto" w:fill="CCFFCC"/>
          </w:tcPr>
          <w:p>
            <w:pPr>
              <w:spacing w:after="0"/>
              <w:rPr>
                <w:sz w:val="22"/>
                <w:szCs w:val="22"/>
                <w:color w:val="auto"/>
              </w:rPr>
            </w:pPr>
          </w:p>
        </w:tc>
        <w:tc>
          <w:tcPr>
            <w:tcW w:w="156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640" w:type="dxa"/>
            <w:vAlign w:val="bottom"/>
            <w:gridSpan w:val="2"/>
            <w:shd w:val="clear" w:color="auto" w:fill="CCFFCC"/>
          </w:tcPr>
          <w:p>
            <w:pPr>
              <w:jc w:val="right"/>
              <w:ind w:right="380"/>
              <w:spacing w:after="0" w:line="256" w:lineRule="exact"/>
              <w:rPr>
                <w:sz w:val="20"/>
                <w:szCs w:val="20"/>
                <w:color w:val="auto"/>
              </w:rPr>
            </w:pPr>
            <w:r>
              <w:rPr>
                <w:rFonts w:ascii="Arial" w:cs="Arial" w:eastAsia="Arial" w:hAnsi="Arial"/>
                <w:sz w:val="18"/>
                <w:szCs w:val="18"/>
                <w:color w:val="auto"/>
              </w:rPr>
              <w:t>0.99</w:t>
            </w:r>
            <w:r>
              <w:rPr>
                <w:rFonts w:ascii="Arial" w:cs="Arial" w:eastAsia="Arial" w:hAnsi="Arial"/>
                <w:sz w:val="29"/>
                <w:szCs w:val="29"/>
                <w:color w:val="auto"/>
                <w:vertAlign w:val="superscript"/>
              </w:rPr>
              <w:t>(3)</w:t>
            </w:r>
          </w:p>
        </w:tc>
        <w:tc>
          <w:tcPr>
            <w:tcW w:w="2180" w:type="dxa"/>
            <w:vAlign w:val="bottom"/>
          </w:tcPr>
          <w:p>
            <w:pPr>
              <w:spacing w:after="0"/>
              <w:rPr>
                <w:sz w:val="22"/>
                <w:szCs w:val="22"/>
                <w:color w:val="auto"/>
              </w:rPr>
            </w:pPr>
          </w:p>
        </w:tc>
      </w:tr>
      <w:tr>
        <w:trPr>
          <w:trHeight w:val="257"/>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Underwriters’ discount</w:t>
            </w:r>
          </w:p>
        </w:tc>
        <w:tc>
          <w:tcPr>
            <w:tcW w:w="160" w:type="dxa"/>
            <w:vAlign w:val="bottom"/>
          </w:tcPr>
          <w:p>
            <w:pPr>
              <w:spacing w:after="0"/>
              <w:rPr>
                <w:sz w:val="22"/>
                <w:szCs w:val="22"/>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jc w:val="right"/>
              <w:ind w:right="320"/>
              <w:spacing w:after="0" w:line="256" w:lineRule="exact"/>
              <w:rPr>
                <w:sz w:val="20"/>
                <w:szCs w:val="20"/>
                <w:color w:val="auto"/>
              </w:rPr>
            </w:pPr>
            <w:r>
              <w:rPr>
                <w:rFonts w:ascii="Arial" w:cs="Arial" w:eastAsia="Arial" w:hAnsi="Arial"/>
                <w:sz w:val="18"/>
                <w:szCs w:val="18"/>
                <w:color w:val="auto"/>
              </w:rPr>
              <w:t>(0.35)</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5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Offering costs</w:t>
            </w:r>
          </w:p>
        </w:tc>
        <w:tc>
          <w:tcPr>
            <w:tcW w:w="160" w:type="dxa"/>
            <w:vAlign w:val="bottom"/>
            <w:shd w:val="clear" w:color="auto" w:fill="CCFFCC"/>
          </w:tcPr>
          <w:p>
            <w:pPr>
              <w:spacing w:after="0"/>
              <w:rPr>
                <w:sz w:val="22"/>
                <w:szCs w:val="22"/>
                <w:color w:val="auto"/>
              </w:rPr>
            </w:pPr>
          </w:p>
        </w:tc>
        <w:tc>
          <w:tcPr>
            <w:tcW w:w="156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640" w:type="dxa"/>
            <w:vAlign w:val="bottom"/>
            <w:gridSpan w:val="2"/>
            <w:shd w:val="clear" w:color="auto" w:fill="CCFFCC"/>
          </w:tcPr>
          <w:p>
            <w:pPr>
              <w:jc w:val="right"/>
              <w:ind w:right="320"/>
              <w:spacing w:after="0" w:line="256" w:lineRule="exact"/>
              <w:rPr>
                <w:sz w:val="20"/>
                <w:szCs w:val="20"/>
                <w:color w:val="auto"/>
              </w:rPr>
            </w:pPr>
            <w:r>
              <w:rPr>
                <w:rFonts w:ascii="Arial" w:cs="Arial" w:eastAsia="Arial" w:hAnsi="Arial"/>
                <w:sz w:val="18"/>
                <w:szCs w:val="18"/>
                <w:color w:val="auto"/>
              </w:rPr>
              <w:t>(0.02)</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Net investment loss</w:t>
            </w:r>
          </w:p>
        </w:tc>
        <w:tc>
          <w:tcPr>
            <w:tcW w:w="160" w:type="dxa"/>
            <w:vAlign w:val="bottom"/>
          </w:tcPr>
          <w:p>
            <w:pPr>
              <w:spacing w:after="0"/>
              <w:rPr>
                <w:sz w:val="22"/>
                <w:szCs w:val="22"/>
                <w:color w:val="auto"/>
              </w:rPr>
            </w:pPr>
          </w:p>
        </w:tc>
        <w:tc>
          <w:tcPr>
            <w:tcW w:w="1560" w:type="dxa"/>
            <w:vAlign w:val="bottom"/>
            <w:gridSpan w:val="2"/>
          </w:tcPr>
          <w:p>
            <w:pPr>
              <w:jc w:val="right"/>
              <w:ind w:right="300"/>
              <w:spacing w:after="0" w:line="256" w:lineRule="exact"/>
              <w:rPr>
                <w:sz w:val="20"/>
                <w:szCs w:val="20"/>
                <w:color w:val="auto"/>
              </w:rPr>
            </w:pPr>
            <w:r>
              <w:rPr>
                <w:rFonts w:ascii="Arial" w:cs="Arial" w:eastAsia="Arial" w:hAnsi="Arial"/>
                <w:sz w:val="18"/>
                <w:szCs w:val="18"/>
                <w:color w:val="auto"/>
              </w:rPr>
              <w:t>(0.12)</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jc w:val="right"/>
              <w:ind w:right="320"/>
              <w:spacing w:after="0" w:line="256" w:lineRule="exact"/>
              <w:rPr>
                <w:sz w:val="20"/>
                <w:szCs w:val="20"/>
                <w:color w:val="auto"/>
              </w:rPr>
            </w:pPr>
            <w:r>
              <w:rPr>
                <w:rFonts w:ascii="Arial" w:cs="Arial" w:eastAsia="Arial" w:hAnsi="Arial"/>
                <w:sz w:val="18"/>
                <w:szCs w:val="18"/>
                <w:color w:val="auto"/>
              </w:rPr>
              <w:t>(0.13)</w:t>
            </w:r>
            <w:r>
              <w:rPr>
                <w:rFonts w:ascii="Arial" w:cs="Arial" w:eastAsia="Arial" w:hAnsi="Arial"/>
                <w:sz w:val="29"/>
                <w:szCs w:val="29"/>
                <w:color w:val="auto"/>
                <w:vertAlign w:val="superscript"/>
              </w:rPr>
              <w:t>(1)</w:t>
            </w:r>
          </w:p>
        </w:tc>
        <w:tc>
          <w:tcPr>
            <w:tcW w:w="2180" w:type="dxa"/>
            <w:vAlign w:val="bottom"/>
          </w:tcPr>
          <w:p>
            <w:pPr>
              <w:spacing w:after="0"/>
              <w:rPr>
                <w:sz w:val="22"/>
                <w:szCs w:val="22"/>
                <w:color w:val="auto"/>
              </w:rPr>
            </w:pPr>
          </w:p>
        </w:tc>
      </w:tr>
      <w:tr>
        <w:trPr>
          <w:trHeight w:val="257"/>
        </w:trPr>
        <w:tc>
          <w:tcPr>
            <w:tcW w:w="45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Realized loss</w:t>
            </w:r>
          </w:p>
        </w:tc>
        <w:tc>
          <w:tcPr>
            <w:tcW w:w="160" w:type="dxa"/>
            <w:vAlign w:val="bottom"/>
            <w:shd w:val="clear" w:color="auto" w:fill="CCFFCC"/>
          </w:tcPr>
          <w:p>
            <w:pPr>
              <w:spacing w:after="0"/>
              <w:rPr>
                <w:sz w:val="22"/>
                <w:szCs w:val="22"/>
                <w:color w:val="auto"/>
              </w:rPr>
            </w:pPr>
          </w:p>
        </w:tc>
        <w:tc>
          <w:tcPr>
            <w:tcW w:w="1560" w:type="dxa"/>
            <w:vAlign w:val="bottom"/>
            <w:gridSpan w:val="2"/>
            <w:shd w:val="clear" w:color="auto" w:fill="CCFFCC"/>
          </w:tcPr>
          <w:p>
            <w:pPr>
              <w:jc w:val="right"/>
              <w:ind w:right="300"/>
              <w:spacing w:after="0" w:line="256" w:lineRule="exact"/>
              <w:rPr>
                <w:sz w:val="20"/>
                <w:szCs w:val="20"/>
                <w:color w:val="auto"/>
              </w:rPr>
            </w:pPr>
            <w:r>
              <w:rPr>
                <w:rFonts w:ascii="Arial" w:cs="Arial" w:eastAsia="Arial" w:hAnsi="Arial"/>
                <w:sz w:val="18"/>
                <w:szCs w:val="18"/>
                <w:color w:val="auto"/>
              </w:rPr>
              <w:t>(0.33)</w:t>
            </w:r>
            <w:r>
              <w:rPr>
                <w:rFonts w:ascii="Arial" w:cs="Arial" w:eastAsia="Arial" w:hAnsi="Arial"/>
                <w:sz w:val="29"/>
                <w:szCs w:val="29"/>
                <w:color w:val="auto"/>
                <w:vertAlign w:val="superscript"/>
              </w:rPr>
              <w:t>(1)</w:t>
            </w:r>
          </w:p>
        </w:tc>
        <w:tc>
          <w:tcPr>
            <w:tcW w:w="1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640" w:type="dxa"/>
            <w:vAlign w:val="bottom"/>
            <w:gridSpan w:val="2"/>
            <w:shd w:val="clear" w:color="auto" w:fill="CCFFCC"/>
          </w:tcPr>
          <w:p>
            <w:pPr>
              <w:jc w:val="right"/>
              <w:ind w:right="320"/>
              <w:spacing w:after="0" w:line="256" w:lineRule="exact"/>
              <w:rPr>
                <w:sz w:val="20"/>
                <w:szCs w:val="20"/>
                <w:color w:val="auto"/>
              </w:rPr>
            </w:pPr>
            <w:r>
              <w:rPr>
                <w:rFonts w:ascii="Arial" w:cs="Arial" w:eastAsia="Arial" w:hAnsi="Arial"/>
                <w:sz w:val="18"/>
                <w:szCs w:val="18"/>
                <w:color w:val="auto"/>
              </w:rPr>
              <w:t>(0.07)</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Change in unrealized appreciation (depreciation)</w:t>
            </w:r>
          </w:p>
        </w:tc>
        <w:tc>
          <w:tcPr>
            <w:tcW w:w="160" w:type="dxa"/>
            <w:vAlign w:val="bottom"/>
          </w:tcPr>
          <w:p>
            <w:pPr>
              <w:spacing w:after="0"/>
              <w:rPr>
                <w:sz w:val="22"/>
                <w:szCs w:val="22"/>
                <w:color w:val="auto"/>
              </w:rPr>
            </w:pPr>
          </w:p>
        </w:tc>
        <w:tc>
          <w:tcPr>
            <w:tcW w:w="1560" w:type="dxa"/>
            <w:vAlign w:val="bottom"/>
            <w:gridSpan w:val="2"/>
          </w:tcPr>
          <w:p>
            <w:pPr>
              <w:jc w:val="right"/>
              <w:ind w:right="360"/>
              <w:spacing w:after="0" w:line="256" w:lineRule="exact"/>
              <w:rPr>
                <w:sz w:val="20"/>
                <w:szCs w:val="20"/>
                <w:color w:val="auto"/>
              </w:rPr>
            </w:pPr>
            <w:r>
              <w:rPr>
                <w:rFonts w:ascii="Arial" w:cs="Arial" w:eastAsia="Arial" w:hAnsi="Arial"/>
                <w:sz w:val="18"/>
                <w:szCs w:val="18"/>
                <w:color w:val="auto"/>
              </w:rPr>
              <w:t>0.63</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jc w:val="right"/>
              <w:ind w:right="320"/>
              <w:spacing w:after="0" w:line="256" w:lineRule="exact"/>
              <w:rPr>
                <w:sz w:val="20"/>
                <w:szCs w:val="20"/>
                <w:color w:val="auto"/>
              </w:rPr>
            </w:pPr>
            <w:r>
              <w:rPr>
                <w:rFonts w:ascii="Arial" w:cs="Arial" w:eastAsia="Arial" w:hAnsi="Arial"/>
                <w:sz w:val="18"/>
                <w:szCs w:val="18"/>
                <w:color w:val="auto"/>
              </w:rPr>
              <w:t>(0.08)</w:t>
            </w:r>
            <w:r>
              <w:rPr>
                <w:rFonts w:ascii="Arial" w:cs="Arial" w:eastAsia="Arial" w:hAnsi="Arial"/>
                <w:sz w:val="29"/>
                <w:szCs w:val="29"/>
                <w:color w:val="auto"/>
                <w:vertAlign w:val="superscript"/>
              </w:rPr>
              <w:t>(6)</w:t>
            </w:r>
          </w:p>
        </w:tc>
        <w:tc>
          <w:tcPr>
            <w:tcW w:w="2180" w:type="dxa"/>
            <w:vAlign w:val="bottom"/>
          </w:tcPr>
          <w:p>
            <w:pPr>
              <w:spacing w:after="0"/>
              <w:rPr>
                <w:sz w:val="22"/>
                <w:szCs w:val="22"/>
                <w:color w:val="auto"/>
              </w:rPr>
            </w:pPr>
          </w:p>
        </w:tc>
      </w:tr>
      <w:tr>
        <w:trPr>
          <w:trHeight w:val="20"/>
        </w:trPr>
        <w:tc>
          <w:tcPr>
            <w:tcW w:w="8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30"/>
        </w:trPr>
        <w:tc>
          <w:tcPr>
            <w:tcW w:w="45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asset value at end of period</w:t>
            </w:r>
          </w:p>
        </w:tc>
        <w:tc>
          <w:tcPr>
            <w:tcW w:w="160" w:type="dxa"/>
            <w:vAlign w:val="bottom"/>
            <w:shd w:val="clear" w:color="auto" w:fill="CCFFCC"/>
          </w:tcPr>
          <w:p>
            <w:pPr>
              <w:jc w:val="right"/>
              <w:ind w:right="2"/>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12.87</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FFCC"/>
          </w:tcPr>
          <w:p>
            <w:pPr>
              <w:jc w:val="right"/>
              <w:ind w:right="560"/>
              <w:spacing w:after="0"/>
              <w:rPr>
                <w:sz w:val="20"/>
                <w:szCs w:val="20"/>
                <w:color w:val="auto"/>
              </w:rPr>
            </w:pPr>
            <w:r>
              <w:rPr>
                <w:rFonts w:ascii="Arial" w:cs="Arial" w:eastAsia="Arial" w:hAnsi="Arial"/>
                <w:sz w:val="18"/>
                <w:szCs w:val="18"/>
                <w:color w:val="auto"/>
              </w:rPr>
              <w:t>13.81</w:t>
            </w:r>
          </w:p>
        </w:tc>
        <w:tc>
          <w:tcPr>
            <w:tcW w:w="2180" w:type="dxa"/>
            <w:vAlign w:val="bottom"/>
          </w:tcPr>
          <w:p>
            <w:pPr>
              <w:spacing w:after="0"/>
              <w:rPr>
                <w:sz w:val="20"/>
                <w:szCs w:val="20"/>
                <w:color w:val="auto"/>
              </w:rPr>
            </w:pPr>
          </w:p>
        </w:tc>
      </w:tr>
      <w:tr>
        <w:trPr>
          <w:trHeight w:val="20"/>
        </w:trPr>
        <w:tc>
          <w:tcPr>
            <w:tcW w:w="800" w:type="dxa"/>
            <w:vAlign w:val="bottom"/>
            <w:tcBorders>
              <w:top w:val="single" w:sz="8" w:color="CCFFCC"/>
            </w:tcBorders>
            <w:shd w:val="clear" w:color="auto" w:fill="CCFFCC"/>
          </w:tcPr>
          <w:p>
            <w:pPr>
              <w:spacing w:after="0" w:line="20" w:lineRule="exact"/>
              <w:rPr>
                <w:sz w:val="1"/>
                <w:szCs w:val="1"/>
                <w:color w:val="auto"/>
              </w:rPr>
            </w:pPr>
          </w:p>
        </w:tc>
        <w:tc>
          <w:tcPr>
            <w:tcW w:w="37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7.86</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9.30</w:t>
            </w:r>
          </w:p>
        </w:tc>
        <w:tc>
          <w:tcPr>
            <w:tcW w:w="2180" w:type="dxa"/>
            <w:vAlign w:val="bottom"/>
          </w:tcPr>
          <w:p>
            <w:pPr>
              <w:spacing w:after="0"/>
              <w:rPr>
                <w:sz w:val="18"/>
                <w:szCs w:val="18"/>
                <w:color w:val="auto"/>
              </w:rPr>
            </w:pPr>
          </w:p>
        </w:tc>
      </w:tr>
      <w:tr>
        <w:trPr>
          <w:trHeight w:val="257"/>
        </w:trPr>
        <w:tc>
          <w:tcPr>
            <w:tcW w:w="45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return based on market value</w:t>
            </w:r>
          </w:p>
        </w:tc>
        <w:tc>
          <w:tcPr>
            <w:tcW w:w="160" w:type="dxa"/>
            <w:vAlign w:val="bottom"/>
            <w:shd w:val="clear" w:color="auto" w:fill="CCFFCC"/>
          </w:tcPr>
          <w:p>
            <w:pPr>
              <w:spacing w:after="0"/>
              <w:rPr>
                <w:sz w:val="22"/>
                <w:szCs w:val="22"/>
                <w:color w:val="auto"/>
              </w:rPr>
            </w:pPr>
          </w:p>
        </w:tc>
        <w:tc>
          <w:tcPr>
            <w:tcW w:w="1560" w:type="dxa"/>
            <w:vAlign w:val="bottom"/>
            <w:gridSpan w:val="2"/>
            <w:shd w:val="clear" w:color="auto" w:fill="CCFFCC"/>
          </w:tcPr>
          <w:p>
            <w:pPr>
              <w:jc w:val="right"/>
              <w:ind w:right="140"/>
              <w:spacing w:after="0" w:line="256" w:lineRule="exact"/>
              <w:rPr>
                <w:sz w:val="20"/>
                <w:szCs w:val="20"/>
                <w:color w:val="auto"/>
              </w:rPr>
            </w:pPr>
            <w:r>
              <w:rPr>
                <w:rFonts w:ascii="Arial" w:cs="Arial" w:eastAsia="Arial" w:hAnsi="Arial"/>
                <w:sz w:val="18"/>
                <w:szCs w:val="18"/>
                <w:color w:val="auto"/>
              </w:rPr>
              <w:t>(4.84)%</w:t>
            </w:r>
            <w:r>
              <w:rPr>
                <w:rFonts w:ascii="Arial" w:cs="Arial" w:eastAsia="Arial" w:hAnsi="Arial"/>
                <w:sz w:val="29"/>
                <w:szCs w:val="29"/>
                <w:color w:val="auto"/>
                <w:vertAlign w:val="superscript"/>
              </w:rPr>
              <w:t>(7)</w:t>
            </w:r>
          </w:p>
        </w:tc>
        <w:tc>
          <w:tcPr>
            <w:tcW w:w="1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640" w:type="dxa"/>
            <w:vAlign w:val="bottom"/>
            <w:gridSpan w:val="2"/>
            <w:shd w:val="clear" w:color="auto" w:fill="CCFFCC"/>
          </w:tcPr>
          <w:p>
            <w:pPr>
              <w:jc w:val="right"/>
              <w:ind w:right="180"/>
              <w:spacing w:after="0" w:line="256" w:lineRule="exact"/>
              <w:rPr>
                <w:sz w:val="20"/>
                <w:szCs w:val="20"/>
                <w:color w:val="auto"/>
              </w:rPr>
            </w:pPr>
            <w:r>
              <w:rPr>
                <w:rFonts w:ascii="Arial" w:cs="Arial" w:eastAsia="Arial" w:hAnsi="Arial"/>
                <w:sz w:val="18"/>
                <w:szCs w:val="18"/>
                <w:color w:val="auto"/>
              </w:rPr>
              <w:t>(50.27)%</w:t>
            </w:r>
            <w:r>
              <w:rPr>
                <w:rFonts w:ascii="Arial" w:cs="Arial" w:eastAsia="Arial" w:hAnsi="Arial"/>
                <w:sz w:val="29"/>
                <w:szCs w:val="29"/>
                <w:color w:val="auto"/>
                <w:vertAlign w:val="superscript"/>
              </w:rPr>
              <w:t>(7)</w:t>
            </w:r>
          </w:p>
        </w:tc>
        <w:tc>
          <w:tcPr>
            <w:tcW w:w="2180" w:type="dxa"/>
            <w:vAlign w:val="bottom"/>
          </w:tcPr>
          <w:p>
            <w:pPr>
              <w:spacing w:after="0"/>
              <w:rPr>
                <w:sz w:val="22"/>
                <w:szCs w:val="22"/>
                <w:color w:val="auto"/>
              </w:rPr>
            </w:pPr>
          </w:p>
        </w:tc>
      </w:tr>
      <w:tr>
        <w:trPr>
          <w:trHeight w:val="257"/>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Total return based on net asset value</w:t>
            </w:r>
          </w:p>
        </w:tc>
        <w:tc>
          <w:tcPr>
            <w:tcW w:w="160" w:type="dxa"/>
            <w:vAlign w:val="bottom"/>
          </w:tcPr>
          <w:p>
            <w:pPr>
              <w:spacing w:after="0"/>
              <w:rPr>
                <w:sz w:val="22"/>
                <w:szCs w:val="22"/>
                <w:color w:val="auto"/>
              </w:rPr>
            </w:pPr>
          </w:p>
        </w:tc>
        <w:tc>
          <w:tcPr>
            <w:tcW w:w="156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1.42%</w:t>
            </w:r>
            <w:r>
              <w:rPr>
                <w:rFonts w:ascii="Arial" w:cs="Arial" w:eastAsia="Arial" w:hAnsi="Arial"/>
                <w:sz w:val="29"/>
                <w:szCs w:val="29"/>
                <w:color w:val="auto"/>
                <w:vertAlign w:val="superscript"/>
              </w:rPr>
              <w:t>(7)</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jc w:val="right"/>
              <w:ind w:right="240"/>
              <w:spacing w:after="0" w:line="256" w:lineRule="exact"/>
              <w:rPr>
                <w:sz w:val="20"/>
                <w:szCs w:val="20"/>
                <w:color w:val="auto"/>
              </w:rPr>
            </w:pPr>
            <w:r>
              <w:rPr>
                <w:rFonts w:ascii="Arial" w:cs="Arial" w:eastAsia="Arial" w:hAnsi="Arial"/>
                <w:sz w:val="18"/>
                <w:szCs w:val="18"/>
                <w:color w:val="auto"/>
              </w:rPr>
              <w:t>2.52%</w:t>
            </w:r>
            <w:r>
              <w:rPr>
                <w:rFonts w:ascii="Arial" w:cs="Arial" w:eastAsia="Arial" w:hAnsi="Arial"/>
                <w:sz w:val="29"/>
                <w:szCs w:val="29"/>
                <w:color w:val="auto"/>
                <w:vertAlign w:val="superscript"/>
              </w:rPr>
              <w:t>(7)</w:t>
            </w:r>
          </w:p>
        </w:tc>
        <w:tc>
          <w:tcPr>
            <w:tcW w:w="2180" w:type="dxa"/>
            <w:vAlign w:val="bottom"/>
          </w:tcPr>
          <w:p>
            <w:pPr>
              <w:spacing w:after="0"/>
              <w:rPr>
                <w:sz w:val="22"/>
                <w:szCs w:val="22"/>
                <w:color w:val="auto"/>
              </w:rPr>
            </w:pPr>
          </w:p>
        </w:tc>
      </w:tr>
      <w:tr>
        <w:trPr>
          <w:trHeight w:val="216"/>
        </w:trPr>
        <w:tc>
          <w:tcPr>
            <w:tcW w:w="45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Shares outstanding at end of period</w:t>
            </w:r>
          </w:p>
        </w:tc>
        <w:tc>
          <w:tcPr>
            <w:tcW w:w="16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19,320,100</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560"/>
              <w:spacing w:after="0"/>
              <w:rPr>
                <w:sz w:val="20"/>
                <w:szCs w:val="20"/>
                <w:color w:val="auto"/>
              </w:rPr>
            </w:pPr>
            <w:r>
              <w:rPr>
                <w:rFonts w:ascii="Arial" w:cs="Arial" w:eastAsia="Arial" w:hAnsi="Arial"/>
                <w:sz w:val="18"/>
                <w:szCs w:val="18"/>
                <w:color w:val="auto"/>
              </w:rPr>
              <w:t>19,320,100</w:t>
            </w:r>
          </w:p>
        </w:tc>
        <w:tc>
          <w:tcPr>
            <w:tcW w:w="2180" w:type="dxa"/>
            <w:vAlign w:val="bottom"/>
          </w:tcPr>
          <w:p>
            <w:pPr>
              <w:spacing w:after="0"/>
              <w:rPr>
                <w:sz w:val="18"/>
                <w:szCs w:val="18"/>
                <w:color w:val="auto"/>
              </w:rPr>
            </w:pP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5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assets at end of period</w:t>
            </w:r>
          </w:p>
        </w:tc>
        <w:tc>
          <w:tcPr>
            <w:tcW w:w="160" w:type="dxa"/>
            <w:vAlign w:val="bottom"/>
            <w:shd w:val="clear" w:color="auto" w:fill="CCFFCC"/>
          </w:tcPr>
          <w:p>
            <w:pPr>
              <w:jc w:val="right"/>
              <w:ind w:right="2"/>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w w:val="99"/>
              </w:rPr>
              <w:t>248,607,249</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FFCC"/>
          </w:tcPr>
          <w:p>
            <w:pPr>
              <w:jc w:val="right"/>
              <w:ind w:right="560"/>
              <w:spacing w:after="0"/>
              <w:rPr>
                <w:sz w:val="20"/>
                <w:szCs w:val="20"/>
                <w:color w:val="auto"/>
              </w:rPr>
            </w:pPr>
            <w:r>
              <w:rPr>
                <w:rFonts w:ascii="Arial" w:cs="Arial" w:eastAsia="Arial" w:hAnsi="Arial"/>
                <w:sz w:val="18"/>
                <w:szCs w:val="18"/>
                <w:color w:val="auto"/>
              </w:rPr>
              <w:t>266,860,054</w:t>
            </w:r>
          </w:p>
        </w:tc>
        <w:tc>
          <w:tcPr>
            <w:tcW w:w="2180" w:type="dxa"/>
            <w:vAlign w:val="bottom"/>
          </w:tcPr>
          <w:p>
            <w:pPr>
              <w:spacing w:after="0"/>
              <w:rPr>
                <w:sz w:val="18"/>
                <w:szCs w:val="18"/>
                <w:color w:val="auto"/>
              </w:rPr>
            </w:pP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Average net assets</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244,629,431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201,571,697</w:t>
            </w:r>
          </w:p>
        </w:tc>
        <w:tc>
          <w:tcPr>
            <w:tcW w:w="2180" w:type="dxa"/>
            <w:vAlign w:val="bottom"/>
          </w:tcPr>
          <w:p>
            <w:pPr>
              <w:spacing w:after="0"/>
              <w:rPr>
                <w:sz w:val="18"/>
                <w:szCs w:val="18"/>
                <w:color w:val="auto"/>
              </w:rPr>
            </w:pPr>
          </w:p>
        </w:tc>
      </w:tr>
      <w:tr>
        <w:trPr>
          <w:trHeight w:val="205"/>
        </w:trPr>
        <w:tc>
          <w:tcPr>
            <w:tcW w:w="4500" w:type="dxa"/>
            <w:vAlign w:val="bottom"/>
            <w:gridSpan w:val="2"/>
            <w:shd w:val="clear" w:color="auto" w:fill="CCFFCC"/>
          </w:tcPr>
          <w:p>
            <w:pPr>
              <w:ind w:left="20"/>
              <w:spacing w:after="0" w:line="206" w:lineRule="exact"/>
              <w:rPr>
                <w:sz w:val="20"/>
                <w:szCs w:val="20"/>
                <w:color w:val="auto"/>
              </w:rPr>
            </w:pPr>
            <w:r>
              <w:rPr>
                <w:rFonts w:ascii="Arial" w:cs="Arial" w:eastAsia="Arial" w:hAnsi="Arial"/>
                <w:sz w:val="18"/>
                <w:szCs w:val="18"/>
                <w:color w:val="auto"/>
                <w:w w:val="92"/>
              </w:rPr>
              <w:t>Annualized ratio of gross operating expenses to average net</w:t>
            </w:r>
          </w:p>
        </w:tc>
        <w:tc>
          <w:tcPr>
            <w:tcW w:w="160" w:type="dxa"/>
            <w:vAlign w:val="bottom"/>
            <w:shd w:val="clear" w:color="auto" w:fill="CCFFCC"/>
          </w:tcPr>
          <w:p>
            <w:pPr>
              <w:spacing w:after="0"/>
              <w:rPr>
                <w:sz w:val="17"/>
                <w:szCs w:val="17"/>
                <w:color w:val="auto"/>
              </w:rPr>
            </w:pPr>
          </w:p>
        </w:tc>
        <w:tc>
          <w:tcPr>
            <w:tcW w:w="1560" w:type="dxa"/>
            <w:vAlign w:val="bottom"/>
            <w:gridSpan w:val="2"/>
            <w:shd w:val="clear" w:color="auto" w:fill="CCFFCC"/>
          </w:tcPr>
          <w:p>
            <w:pPr>
              <w:jc w:val="right"/>
              <w:ind w:right="380"/>
              <w:spacing w:after="0" w:line="206" w:lineRule="exact"/>
              <w:rPr>
                <w:sz w:val="20"/>
                <w:szCs w:val="20"/>
                <w:color w:val="auto"/>
              </w:rPr>
            </w:pPr>
            <w:r>
              <w:rPr>
                <w:rFonts w:ascii="Arial" w:cs="Arial" w:eastAsia="Arial" w:hAnsi="Arial"/>
                <w:sz w:val="18"/>
                <w:szCs w:val="18"/>
                <w:color w:val="auto"/>
              </w:rPr>
              <w:t>3.98%</w:t>
            </w:r>
          </w:p>
        </w:tc>
        <w:tc>
          <w:tcPr>
            <w:tcW w:w="1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640" w:type="dxa"/>
            <w:vAlign w:val="bottom"/>
            <w:gridSpan w:val="2"/>
            <w:shd w:val="clear" w:color="auto" w:fill="CCFFCC"/>
          </w:tcPr>
          <w:p>
            <w:pPr>
              <w:jc w:val="right"/>
              <w:ind w:right="420"/>
              <w:spacing w:after="0" w:line="206" w:lineRule="exact"/>
              <w:rPr>
                <w:sz w:val="20"/>
                <w:szCs w:val="20"/>
                <w:color w:val="auto"/>
              </w:rPr>
            </w:pPr>
            <w:r>
              <w:rPr>
                <w:rFonts w:ascii="Arial" w:cs="Arial" w:eastAsia="Arial" w:hAnsi="Arial"/>
                <w:sz w:val="18"/>
                <w:szCs w:val="18"/>
                <w:color w:val="auto"/>
              </w:rPr>
              <w:t>4.36%</w:t>
            </w:r>
          </w:p>
        </w:tc>
        <w:tc>
          <w:tcPr>
            <w:tcW w:w="2180" w:type="dxa"/>
            <w:vAlign w:val="bottom"/>
          </w:tcPr>
          <w:p>
            <w:pPr>
              <w:spacing w:after="0"/>
              <w:rPr>
                <w:sz w:val="17"/>
                <w:szCs w:val="17"/>
                <w:color w:val="auto"/>
              </w:rPr>
            </w:pPr>
          </w:p>
        </w:tc>
      </w:tr>
      <w:tr>
        <w:trPr>
          <w:trHeight w:val="267"/>
        </w:trPr>
        <w:tc>
          <w:tcPr>
            <w:tcW w:w="4500" w:type="dxa"/>
            <w:vAlign w:val="bottom"/>
            <w:gridSpan w:val="2"/>
            <w:shd w:val="clear" w:color="auto" w:fill="CCFFCC"/>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160" w:type="dxa"/>
            <w:vAlign w:val="bottom"/>
            <w:shd w:val="clear" w:color="auto" w:fill="CCFFCC"/>
          </w:tcPr>
          <w:p>
            <w:pPr>
              <w:spacing w:after="0"/>
              <w:rPr>
                <w:sz w:val="23"/>
                <w:szCs w:val="23"/>
                <w:color w:val="auto"/>
              </w:rPr>
            </w:pPr>
          </w:p>
        </w:tc>
        <w:tc>
          <w:tcPr>
            <w:tcW w:w="1020" w:type="dxa"/>
            <w:vAlign w:val="bottom"/>
            <w:shd w:val="clear" w:color="auto" w:fill="CCFFCC"/>
          </w:tcPr>
          <w:p>
            <w:pPr>
              <w:spacing w:after="0"/>
              <w:rPr>
                <w:sz w:val="23"/>
                <w:szCs w:val="23"/>
                <w:color w:val="auto"/>
              </w:rPr>
            </w:pPr>
          </w:p>
        </w:tc>
        <w:tc>
          <w:tcPr>
            <w:tcW w:w="54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080" w:type="dxa"/>
            <w:vAlign w:val="bottom"/>
            <w:shd w:val="clear" w:color="auto" w:fill="CCFFCC"/>
          </w:tcPr>
          <w:p>
            <w:pPr>
              <w:spacing w:after="0"/>
              <w:rPr>
                <w:sz w:val="23"/>
                <w:szCs w:val="23"/>
                <w:color w:val="auto"/>
              </w:rPr>
            </w:pPr>
          </w:p>
        </w:tc>
        <w:tc>
          <w:tcPr>
            <w:tcW w:w="560" w:type="dxa"/>
            <w:vAlign w:val="bottom"/>
            <w:shd w:val="clear" w:color="auto" w:fill="CCFFCC"/>
          </w:tcPr>
          <w:p>
            <w:pPr>
              <w:spacing w:after="0"/>
              <w:rPr>
                <w:sz w:val="23"/>
                <w:szCs w:val="23"/>
                <w:color w:val="auto"/>
              </w:rPr>
            </w:pPr>
          </w:p>
        </w:tc>
        <w:tc>
          <w:tcPr>
            <w:tcW w:w="2180" w:type="dxa"/>
            <w:vAlign w:val="bottom"/>
          </w:tcPr>
          <w:p>
            <w:pPr>
              <w:spacing w:after="0"/>
              <w:rPr>
                <w:sz w:val="23"/>
                <w:szCs w:val="23"/>
                <w:color w:val="auto"/>
              </w:rPr>
            </w:pPr>
          </w:p>
        </w:tc>
      </w:tr>
      <w:tr>
        <w:trPr>
          <w:trHeight w:val="205"/>
        </w:trPr>
        <w:tc>
          <w:tcPr>
            <w:tcW w:w="4500" w:type="dxa"/>
            <w:vAlign w:val="bottom"/>
            <w:gridSpan w:val="2"/>
          </w:tcPr>
          <w:p>
            <w:pPr>
              <w:ind w:left="20"/>
              <w:spacing w:after="0" w:line="206" w:lineRule="exact"/>
              <w:rPr>
                <w:sz w:val="20"/>
                <w:szCs w:val="20"/>
                <w:color w:val="auto"/>
              </w:rPr>
            </w:pPr>
            <w:r>
              <w:rPr>
                <w:rFonts w:ascii="Arial" w:cs="Arial" w:eastAsia="Arial" w:hAnsi="Arial"/>
                <w:sz w:val="18"/>
                <w:szCs w:val="18"/>
                <w:color w:val="auto"/>
                <w:w w:val="96"/>
              </w:rPr>
              <w:t>Annualized ratio of net operating expenses to average net</w:t>
            </w:r>
          </w:p>
        </w:tc>
        <w:tc>
          <w:tcPr>
            <w:tcW w:w="160" w:type="dxa"/>
            <w:vAlign w:val="bottom"/>
          </w:tcPr>
          <w:p>
            <w:pPr>
              <w:spacing w:after="0"/>
              <w:rPr>
                <w:sz w:val="17"/>
                <w:szCs w:val="17"/>
                <w:color w:val="auto"/>
              </w:rPr>
            </w:pPr>
          </w:p>
        </w:tc>
        <w:tc>
          <w:tcPr>
            <w:tcW w:w="1560" w:type="dxa"/>
            <w:vAlign w:val="bottom"/>
            <w:gridSpan w:val="2"/>
          </w:tcPr>
          <w:p>
            <w:pPr>
              <w:jc w:val="right"/>
              <w:ind w:right="380"/>
              <w:spacing w:after="0" w:line="206" w:lineRule="exact"/>
              <w:rPr>
                <w:sz w:val="20"/>
                <w:szCs w:val="20"/>
                <w:color w:val="auto"/>
              </w:rPr>
            </w:pPr>
            <w:r>
              <w:rPr>
                <w:rFonts w:ascii="Arial" w:cs="Arial" w:eastAsia="Arial" w:hAnsi="Arial"/>
                <w:sz w:val="18"/>
                <w:szCs w:val="18"/>
                <w:color w:val="auto"/>
              </w:rPr>
              <w:t>3.98%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420"/>
              <w:spacing w:after="0" w:line="206" w:lineRule="exact"/>
              <w:rPr>
                <w:sz w:val="20"/>
                <w:szCs w:val="20"/>
                <w:color w:val="auto"/>
              </w:rPr>
            </w:pPr>
            <w:r>
              <w:rPr>
                <w:rFonts w:ascii="Arial" w:cs="Arial" w:eastAsia="Arial" w:hAnsi="Arial"/>
                <w:sz w:val="18"/>
                <w:szCs w:val="18"/>
                <w:color w:val="auto"/>
              </w:rPr>
              <w:t>4.36%</w:t>
            </w:r>
          </w:p>
        </w:tc>
        <w:tc>
          <w:tcPr>
            <w:tcW w:w="2180" w:type="dxa"/>
            <w:vAlign w:val="bottom"/>
          </w:tcPr>
          <w:p>
            <w:pPr>
              <w:spacing w:after="0"/>
              <w:rPr>
                <w:sz w:val="17"/>
                <w:szCs w:val="17"/>
                <w:color w:val="auto"/>
              </w:rPr>
            </w:pPr>
          </w:p>
        </w:tc>
      </w:tr>
      <w:tr>
        <w:trPr>
          <w:trHeight w:val="267"/>
        </w:trPr>
        <w:tc>
          <w:tcPr>
            <w:tcW w:w="4500" w:type="dxa"/>
            <w:vAlign w:val="bottom"/>
            <w:gridSpan w:val="2"/>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205"/>
        </w:trPr>
        <w:tc>
          <w:tcPr>
            <w:tcW w:w="4500" w:type="dxa"/>
            <w:vAlign w:val="bottom"/>
            <w:gridSpan w:val="2"/>
            <w:shd w:val="clear" w:color="auto" w:fill="CCFFCC"/>
          </w:tcPr>
          <w:p>
            <w:pPr>
              <w:ind w:left="20"/>
              <w:spacing w:after="0" w:line="206" w:lineRule="exact"/>
              <w:rPr>
                <w:sz w:val="20"/>
                <w:szCs w:val="20"/>
                <w:color w:val="auto"/>
              </w:rPr>
            </w:pPr>
            <w:r>
              <w:rPr>
                <w:rFonts w:ascii="Arial" w:cs="Arial" w:eastAsia="Arial" w:hAnsi="Arial"/>
                <w:sz w:val="18"/>
                <w:szCs w:val="18"/>
                <w:color w:val="auto"/>
                <w:w w:val="98"/>
              </w:rPr>
              <w:t>Annualized ratio of net investment income to average net</w:t>
            </w:r>
          </w:p>
        </w:tc>
        <w:tc>
          <w:tcPr>
            <w:tcW w:w="160" w:type="dxa"/>
            <w:vAlign w:val="bottom"/>
            <w:shd w:val="clear" w:color="auto" w:fill="CCFFCC"/>
          </w:tcPr>
          <w:p>
            <w:pPr>
              <w:spacing w:after="0"/>
              <w:rPr>
                <w:sz w:val="17"/>
                <w:szCs w:val="17"/>
                <w:color w:val="auto"/>
              </w:rPr>
            </w:pPr>
          </w:p>
        </w:tc>
        <w:tc>
          <w:tcPr>
            <w:tcW w:w="1560" w:type="dxa"/>
            <w:vAlign w:val="bottom"/>
            <w:gridSpan w:val="2"/>
            <w:shd w:val="clear" w:color="auto" w:fill="CCFFCC"/>
          </w:tcPr>
          <w:p>
            <w:pPr>
              <w:jc w:val="right"/>
              <w:ind w:right="320"/>
              <w:spacing w:after="0" w:line="206" w:lineRule="exact"/>
              <w:rPr>
                <w:sz w:val="20"/>
                <w:szCs w:val="20"/>
                <w:color w:val="auto"/>
              </w:rPr>
            </w:pPr>
            <w:r>
              <w:rPr>
                <w:rFonts w:ascii="Arial" w:cs="Arial" w:eastAsia="Arial" w:hAnsi="Arial"/>
                <w:sz w:val="18"/>
                <w:szCs w:val="18"/>
                <w:color w:val="auto"/>
              </w:rPr>
              <w:t>(3.96)%</w:t>
            </w:r>
          </w:p>
        </w:tc>
        <w:tc>
          <w:tcPr>
            <w:tcW w:w="1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640" w:type="dxa"/>
            <w:vAlign w:val="bottom"/>
            <w:gridSpan w:val="2"/>
            <w:shd w:val="clear" w:color="auto" w:fill="CCFFCC"/>
          </w:tcPr>
          <w:p>
            <w:pPr>
              <w:jc w:val="right"/>
              <w:ind w:right="360"/>
              <w:spacing w:after="0" w:line="206" w:lineRule="exact"/>
              <w:rPr>
                <w:sz w:val="20"/>
                <w:szCs w:val="20"/>
                <w:color w:val="auto"/>
              </w:rPr>
            </w:pPr>
            <w:r>
              <w:rPr>
                <w:rFonts w:ascii="Arial" w:cs="Arial" w:eastAsia="Arial" w:hAnsi="Arial"/>
                <w:sz w:val="18"/>
                <w:szCs w:val="18"/>
                <w:color w:val="auto"/>
              </w:rPr>
              <w:t>(4.14)%</w:t>
            </w:r>
          </w:p>
        </w:tc>
        <w:tc>
          <w:tcPr>
            <w:tcW w:w="2180" w:type="dxa"/>
            <w:vAlign w:val="bottom"/>
          </w:tcPr>
          <w:p>
            <w:pPr>
              <w:spacing w:after="0"/>
              <w:rPr>
                <w:sz w:val="17"/>
                <w:szCs w:val="17"/>
                <w:color w:val="auto"/>
              </w:rPr>
            </w:pPr>
          </w:p>
        </w:tc>
      </w:tr>
      <w:tr>
        <w:trPr>
          <w:trHeight w:val="267"/>
        </w:trPr>
        <w:tc>
          <w:tcPr>
            <w:tcW w:w="4500" w:type="dxa"/>
            <w:vAlign w:val="bottom"/>
            <w:gridSpan w:val="2"/>
            <w:shd w:val="clear" w:color="auto" w:fill="CCFFCC"/>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160" w:type="dxa"/>
            <w:vAlign w:val="bottom"/>
            <w:shd w:val="clear" w:color="auto" w:fill="CCFFCC"/>
          </w:tcPr>
          <w:p>
            <w:pPr>
              <w:spacing w:after="0"/>
              <w:rPr>
                <w:sz w:val="23"/>
                <w:szCs w:val="23"/>
                <w:color w:val="auto"/>
              </w:rPr>
            </w:pPr>
          </w:p>
        </w:tc>
        <w:tc>
          <w:tcPr>
            <w:tcW w:w="1020" w:type="dxa"/>
            <w:vAlign w:val="bottom"/>
            <w:shd w:val="clear" w:color="auto" w:fill="CCFFCC"/>
          </w:tcPr>
          <w:p>
            <w:pPr>
              <w:spacing w:after="0"/>
              <w:rPr>
                <w:sz w:val="23"/>
                <w:szCs w:val="23"/>
                <w:color w:val="auto"/>
              </w:rPr>
            </w:pPr>
          </w:p>
        </w:tc>
        <w:tc>
          <w:tcPr>
            <w:tcW w:w="54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080" w:type="dxa"/>
            <w:vAlign w:val="bottom"/>
            <w:shd w:val="clear" w:color="auto" w:fill="CCFFCC"/>
          </w:tcPr>
          <w:p>
            <w:pPr>
              <w:spacing w:after="0"/>
              <w:rPr>
                <w:sz w:val="23"/>
                <w:szCs w:val="23"/>
                <w:color w:val="auto"/>
              </w:rPr>
            </w:pPr>
          </w:p>
        </w:tc>
        <w:tc>
          <w:tcPr>
            <w:tcW w:w="560" w:type="dxa"/>
            <w:vAlign w:val="bottom"/>
            <w:shd w:val="clear" w:color="auto" w:fill="CCFFCC"/>
          </w:tcPr>
          <w:p>
            <w:pPr>
              <w:spacing w:after="0"/>
              <w:rPr>
                <w:sz w:val="23"/>
                <w:szCs w:val="23"/>
                <w:color w:val="auto"/>
              </w:rPr>
            </w:pPr>
          </w:p>
        </w:tc>
        <w:tc>
          <w:tcPr>
            <w:tcW w:w="2180" w:type="dxa"/>
            <w:vAlign w:val="bottom"/>
          </w:tcPr>
          <w:p>
            <w:pPr>
              <w:spacing w:after="0"/>
              <w:rPr>
                <w:sz w:val="23"/>
                <w:szCs w:val="23"/>
                <w:color w:val="auto"/>
              </w:rPr>
            </w:pPr>
          </w:p>
        </w:tc>
      </w:tr>
      <w:tr>
        <w:trPr>
          <w:trHeight w:val="770"/>
        </w:trPr>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180" w:type="dxa"/>
            <w:vAlign w:val="bottom"/>
            <w:gridSpan w:val="2"/>
          </w:tcPr>
          <w:p>
            <w:pPr>
              <w:jc w:val="right"/>
              <w:ind w:right="833"/>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7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7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-2572385</wp:posOffset>
            </wp:positionV>
            <wp:extent cx="521398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7" w:name="page28"/>
    <w:bookmarkEnd w:id="2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Six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Six months ended</w:t>
            </w:r>
          </w:p>
        </w:tc>
        <w:tc>
          <w:tcPr>
            <w:tcW w:w="2180" w:type="dxa"/>
            <w:vAlign w:val="bottom"/>
          </w:tcPr>
          <w:p>
            <w:pPr>
              <w:spacing w:after="0"/>
              <w:rPr>
                <w:sz w:val="14"/>
                <w:szCs w:val="14"/>
                <w:color w:val="auto"/>
              </w:rPr>
            </w:pPr>
          </w:p>
        </w:tc>
      </w:tr>
      <w:tr>
        <w:trPr>
          <w:trHeight w:val="171"/>
        </w:trPr>
        <w:tc>
          <w:tcPr>
            <w:tcW w:w="8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2"/>
              </w:rPr>
              <w:t>June 30, 2013</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June 30, 2012</w:t>
            </w:r>
          </w:p>
        </w:tc>
        <w:tc>
          <w:tcPr>
            <w:tcW w:w="2180" w:type="dxa"/>
            <w:vAlign w:val="bottom"/>
          </w:tcPr>
          <w:p>
            <w:pPr>
              <w:spacing w:after="0"/>
              <w:rPr>
                <w:sz w:val="14"/>
                <w:szCs w:val="14"/>
                <w:color w:val="auto"/>
              </w:rPr>
            </w:pPr>
          </w:p>
        </w:tc>
      </w:tr>
      <w:tr>
        <w:trPr>
          <w:trHeight w:val="210"/>
        </w:trPr>
        <w:tc>
          <w:tcPr>
            <w:tcW w:w="450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580" w:type="dxa"/>
            <w:vAlign w:val="bottom"/>
            <w:tcBorders>
              <w:left w:val="single" w:sz="8" w:color="CCFFCC"/>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Net asset value at beginning of period</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13.07</w:t>
            </w:r>
          </w:p>
        </w:tc>
        <w:tc>
          <w:tcPr>
            <w:tcW w:w="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12.95</w:t>
            </w:r>
          </w:p>
        </w:tc>
        <w:tc>
          <w:tcPr>
            <w:tcW w:w="2180" w:type="dxa"/>
            <w:vAlign w:val="bottom"/>
          </w:tcPr>
          <w:p>
            <w:pPr>
              <w:spacing w:after="0"/>
              <w:rPr>
                <w:sz w:val="18"/>
                <w:szCs w:val="18"/>
                <w:color w:val="auto"/>
              </w:rPr>
            </w:pPr>
          </w:p>
        </w:tc>
      </w:tr>
      <w:tr>
        <w:trPr>
          <w:trHeight w:val="257"/>
        </w:trPr>
        <w:tc>
          <w:tcPr>
            <w:tcW w:w="450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Issuance of common shares</w:t>
            </w:r>
          </w:p>
        </w:tc>
        <w:tc>
          <w:tcPr>
            <w:tcW w:w="260" w:type="dxa"/>
            <w:vAlign w:val="bottom"/>
            <w:shd w:val="clear" w:color="auto" w:fill="CCFFCC"/>
          </w:tcPr>
          <w:p>
            <w:pPr>
              <w:spacing w:after="0"/>
              <w:rPr>
                <w:sz w:val="22"/>
                <w:szCs w:val="22"/>
                <w:color w:val="auto"/>
              </w:rPr>
            </w:pPr>
          </w:p>
        </w:tc>
        <w:tc>
          <w:tcPr>
            <w:tcW w:w="1460" w:type="dxa"/>
            <w:vAlign w:val="bottom"/>
            <w:gridSpan w:val="3"/>
            <w:shd w:val="clear" w:color="auto" w:fill="CCFFCC"/>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640" w:type="dxa"/>
            <w:vAlign w:val="bottom"/>
            <w:gridSpan w:val="3"/>
            <w:shd w:val="clear" w:color="auto" w:fill="CCFFCC"/>
          </w:tcPr>
          <w:p>
            <w:pPr>
              <w:jc w:val="right"/>
              <w:ind w:right="380"/>
              <w:spacing w:after="0" w:line="256" w:lineRule="exact"/>
              <w:rPr>
                <w:sz w:val="20"/>
                <w:szCs w:val="20"/>
                <w:color w:val="auto"/>
              </w:rPr>
            </w:pPr>
            <w:r>
              <w:rPr>
                <w:rFonts w:ascii="Arial" w:cs="Arial" w:eastAsia="Arial" w:hAnsi="Arial"/>
                <w:sz w:val="18"/>
                <w:szCs w:val="18"/>
                <w:color w:val="auto"/>
              </w:rPr>
              <w:t>1.91</w:t>
            </w:r>
            <w:r>
              <w:rPr>
                <w:rFonts w:ascii="Arial" w:cs="Arial" w:eastAsia="Arial" w:hAnsi="Arial"/>
                <w:sz w:val="29"/>
                <w:szCs w:val="29"/>
                <w:color w:val="auto"/>
                <w:vertAlign w:val="superscript"/>
              </w:rPr>
              <w:t>(3)</w:t>
            </w:r>
          </w:p>
        </w:tc>
        <w:tc>
          <w:tcPr>
            <w:tcW w:w="2180" w:type="dxa"/>
            <w:vAlign w:val="bottom"/>
          </w:tcPr>
          <w:p>
            <w:pPr>
              <w:spacing w:after="0"/>
              <w:rPr>
                <w:sz w:val="22"/>
                <w:szCs w:val="22"/>
                <w:color w:val="auto"/>
              </w:rPr>
            </w:pPr>
          </w:p>
        </w:tc>
      </w:tr>
      <w:tr>
        <w:trPr>
          <w:trHeight w:val="257"/>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Underwriters’ discount</w:t>
            </w:r>
          </w:p>
        </w:tc>
        <w:tc>
          <w:tcPr>
            <w:tcW w:w="260" w:type="dxa"/>
            <w:vAlign w:val="bottom"/>
          </w:tcPr>
          <w:p>
            <w:pPr>
              <w:spacing w:after="0"/>
              <w:rPr>
                <w:sz w:val="22"/>
                <w:szCs w:val="22"/>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3"/>
          </w:tcPr>
          <w:p>
            <w:pPr>
              <w:jc w:val="right"/>
              <w:ind w:right="320"/>
              <w:spacing w:after="0" w:line="256" w:lineRule="exact"/>
              <w:rPr>
                <w:sz w:val="20"/>
                <w:szCs w:val="20"/>
                <w:color w:val="auto"/>
              </w:rPr>
            </w:pPr>
            <w:r>
              <w:rPr>
                <w:rFonts w:ascii="Arial" w:cs="Arial" w:eastAsia="Arial" w:hAnsi="Arial"/>
                <w:sz w:val="18"/>
                <w:szCs w:val="18"/>
                <w:color w:val="auto"/>
              </w:rPr>
              <w:t>(0.72)</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50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Offering costs</w:t>
            </w:r>
          </w:p>
        </w:tc>
        <w:tc>
          <w:tcPr>
            <w:tcW w:w="260" w:type="dxa"/>
            <w:vAlign w:val="bottom"/>
            <w:shd w:val="clear" w:color="auto" w:fill="CCFFCC"/>
          </w:tcPr>
          <w:p>
            <w:pPr>
              <w:spacing w:after="0"/>
              <w:rPr>
                <w:sz w:val="22"/>
                <w:szCs w:val="22"/>
                <w:color w:val="auto"/>
              </w:rPr>
            </w:pPr>
          </w:p>
        </w:tc>
        <w:tc>
          <w:tcPr>
            <w:tcW w:w="1460" w:type="dxa"/>
            <w:vAlign w:val="bottom"/>
            <w:gridSpan w:val="3"/>
            <w:shd w:val="clear" w:color="auto" w:fill="CCFFCC"/>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640" w:type="dxa"/>
            <w:vAlign w:val="bottom"/>
            <w:gridSpan w:val="3"/>
            <w:shd w:val="clear" w:color="auto" w:fill="CCFFCC"/>
          </w:tcPr>
          <w:p>
            <w:pPr>
              <w:jc w:val="right"/>
              <w:ind w:right="320"/>
              <w:spacing w:after="0" w:line="256" w:lineRule="exact"/>
              <w:rPr>
                <w:sz w:val="20"/>
                <w:szCs w:val="20"/>
                <w:color w:val="auto"/>
              </w:rPr>
            </w:pPr>
            <w:r>
              <w:rPr>
                <w:rFonts w:ascii="Arial" w:cs="Arial" w:eastAsia="Arial" w:hAnsi="Arial"/>
                <w:sz w:val="18"/>
                <w:szCs w:val="18"/>
                <w:color w:val="auto"/>
              </w:rPr>
              <w:t>(0.04)</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Net investment loss</w:t>
            </w:r>
          </w:p>
        </w:tc>
        <w:tc>
          <w:tcPr>
            <w:tcW w:w="260" w:type="dxa"/>
            <w:vAlign w:val="bottom"/>
          </w:tcPr>
          <w:p>
            <w:pPr>
              <w:spacing w:after="0"/>
              <w:rPr>
                <w:sz w:val="22"/>
                <w:szCs w:val="22"/>
                <w:color w:val="auto"/>
              </w:rPr>
            </w:pPr>
          </w:p>
        </w:tc>
        <w:tc>
          <w:tcPr>
            <w:tcW w:w="1440" w:type="dxa"/>
            <w:vAlign w:val="bottom"/>
            <w:gridSpan w:val="2"/>
          </w:tcPr>
          <w:p>
            <w:pPr>
              <w:jc w:val="right"/>
              <w:ind w:right="280"/>
              <w:spacing w:after="0" w:line="256" w:lineRule="exact"/>
              <w:rPr>
                <w:sz w:val="20"/>
                <w:szCs w:val="20"/>
                <w:color w:val="auto"/>
              </w:rPr>
            </w:pPr>
            <w:r>
              <w:rPr>
                <w:rFonts w:ascii="Arial" w:cs="Arial" w:eastAsia="Arial" w:hAnsi="Arial"/>
                <w:sz w:val="18"/>
                <w:szCs w:val="18"/>
                <w:color w:val="auto"/>
              </w:rPr>
              <w:t>(0.25)</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3"/>
          </w:tcPr>
          <w:p>
            <w:pPr>
              <w:jc w:val="right"/>
              <w:ind w:right="320"/>
              <w:spacing w:after="0" w:line="256" w:lineRule="exact"/>
              <w:rPr>
                <w:sz w:val="20"/>
                <w:szCs w:val="20"/>
                <w:color w:val="auto"/>
              </w:rPr>
            </w:pPr>
            <w:r>
              <w:rPr>
                <w:rFonts w:ascii="Arial" w:cs="Arial" w:eastAsia="Arial" w:hAnsi="Arial"/>
                <w:sz w:val="18"/>
                <w:szCs w:val="18"/>
                <w:color w:val="auto"/>
              </w:rPr>
              <w:t>(0.16)</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50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Realized loss</w:t>
            </w:r>
          </w:p>
        </w:tc>
        <w:tc>
          <w:tcPr>
            <w:tcW w:w="260" w:type="dxa"/>
            <w:vAlign w:val="bottom"/>
            <w:shd w:val="clear" w:color="auto" w:fill="CCFFCC"/>
          </w:tcPr>
          <w:p>
            <w:pPr>
              <w:spacing w:after="0"/>
              <w:rPr>
                <w:sz w:val="22"/>
                <w:szCs w:val="22"/>
                <w:color w:val="auto"/>
              </w:rPr>
            </w:pPr>
          </w:p>
        </w:tc>
        <w:tc>
          <w:tcPr>
            <w:tcW w:w="1440" w:type="dxa"/>
            <w:vAlign w:val="bottom"/>
            <w:gridSpan w:val="2"/>
            <w:shd w:val="clear" w:color="auto" w:fill="CCFFCC"/>
          </w:tcPr>
          <w:p>
            <w:pPr>
              <w:jc w:val="right"/>
              <w:ind w:right="280"/>
              <w:spacing w:after="0" w:line="256" w:lineRule="exact"/>
              <w:rPr>
                <w:sz w:val="20"/>
                <w:szCs w:val="20"/>
                <w:color w:val="auto"/>
              </w:rPr>
            </w:pPr>
            <w:r>
              <w:rPr>
                <w:rFonts w:ascii="Arial" w:cs="Arial" w:eastAsia="Arial" w:hAnsi="Arial"/>
                <w:sz w:val="18"/>
                <w:szCs w:val="18"/>
                <w:color w:val="auto"/>
              </w:rPr>
              <w:t>(0.50)</w:t>
            </w:r>
            <w:r>
              <w:rPr>
                <w:rFonts w:ascii="Arial" w:cs="Arial" w:eastAsia="Arial" w:hAnsi="Arial"/>
                <w:sz w:val="29"/>
                <w:szCs w:val="29"/>
                <w:color w:val="auto"/>
                <w:vertAlign w:val="superscript"/>
              </w:rPr>
              <w:t>(1)</w:t>
            </w:r>
          </w:p>
        </w:tc>
        <w:tc>
          <w:tcPr>
            <w:tcW w:w="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640" w:type="dxa"/>
            <w:vAlign w:val="bottom"/>
            <w:gridSpan w:val="3"/>
            <w:shd w:val="clear" w:color="auto" w:fill="CCFFCC"/>
          </w:tcPr>
          <w:p>
            <w:pPr>
              <w:jc w:val="right"/>
              <w:ind w:right="320"/>
              <w:spacing w:after="0" w:line="256" w:lineRule="exact"/>
              <w:rPr>
                <w:sz w:val="20"/>
                <w:szCs w:val="20"/>
                <w:color w:val="auto"/>
              </w:rPr>
            </w:pPr>
            <w:r>
              <w:rPr>
                <w:rFonts w:ascii="Arial" w:cs="Arial" w:eastAsia="Arial" w:hAnsi="Arial"/>
                <w:sz w:val="18"/>
                <w:szCs w:val="18"/>
                <w:color w:val="auto"/>
              </w:rPr>
              <w:t>(0.07)</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Change in unrealized appreciation (depreciation)</w:t>
            </w:r>
          </w:p>
        </w:tc>
        <w:tc>
          <w:tcPr>
            <w:tcW w:w="260" w:type="dxa"/>
            <w:vAlign w:val="bottom"/>
          </w:tcPr>
          <w:p>
            <w:pPr>
              <w:spacing w:after="0"/>
              <w:rPr>
                <w:sz w:val="22"/>
                <w:szCs w:val="22"/>
                <w:color w:val="auto"/>
              </w:rPr>
            </w:pPr>
          </w:p>
        </w:tc>
        <w:tc>
          <w:tcPr>
            <w:tcW w:w="1440" w:type="dxa"/>
            <w:vAlign w:val="bottom"/>
            <w:gridSpan w:val="2"/>
          </w:tcPr>
          <w:p>
            <w:pPr>
              <w:jc w:val="right"/>
              <w:ind w:right="340"/>
              <w:spacing w:after="0" w:line="256" w:lineRule="exact"/>
              <w:rPr>
                <w:sz w:val="20"/>
                <w:szCs w:val="20"/>
                <w:color w:val="auto"/>
              </w:rPr>
            </w:pPr>
            <w:r>
              <w:rPr>
                <w:rFonts w:ascii="Arial" w:cs="Arial" w:eastAsia="Arial" w:hAnsi="Arial"/>
                <w:sz w:val="18"/>
                <w:szCs w:val="18"/>
                <w:color w:val="auto"/>
              </w:rPr>
              <w:t>0.55</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3"/>
          </w:tcPr>
          <w:p>
            <w:pPr>
              <w:jc w:val="right"/>
              <w:ind w:right="320"/>
              <w:spacing w:after="0" w:line="256" w:lineRule="exact"/>
              <w:rPr>
                <w:sz w:val="20"/>
                <w:szCs w:val="20"/>
                <w:color w:val="auto"/>
              </w:rPr>
            </w:pPr>
            <w:r>
              <w:rPr>
                <w:rFonts w:ascii="Arial" w:cs="Arial" w:eastAsia="Arial" w:hAnsi="Arial"/>
                <w:sz w:val="18"/>
                <w:szCs w:val="18"/>
                <w:color w:val="auto"/>
              </w:rPr>
              <w:t>(0.06)</w:t>
            </w:r>
            <w:r>
              <w:rPr>
                <w:rFonts w:ascii="Arial" w:cs="Arial" w:eastAsia="Arial" w:hAnsi="Arial"/>
                <w:sz w:val="29"/>
                <w:szCs w:val="29"/>
                <w:color w:val="auto"/>
                <w:vertAlign w:val="superscript"/>
              </w:rPr>
              <w:t>(6)</w:t>
            </w:r>
          </w:p>
        </w:tc>
        <w:tc>
          <w:tcPr>
            <w:tcW w:w="2180" w:type="dxa"/>
            <w:vAlign w:val="bottom"/>
          </w:tcPr>
          <w:p>
            <w:pPr>
              <w:spacing w:after="0"/>
              <w:rPr>
                <w:sz w:val="22"/>
                <w:szCs w:val="22"/>
                <w:color w:val="auto"/>
              </w:rPr>
            </w:pPr>
          </w:p>
        </w:tc>
      </w:tr>
      <w:tr>
        <w:trPr>
          <w:trHeight w:val="20"/>
        </w:trPr>
        <w:tc>
          <w:tcPr>
            <w:tcW w:w="8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30"/>
        </w:trPr>
        <w:tc>
          <w:tcPr>
            <w:tcW w:w="450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Net asset value at end of period</w:t>
            </w:r>
          </w:p>
        </w:tc>
        <w:tc>
          <w:tcPr>
            <w:tcW w:w="260" w:type="dxa"/>
            <w:vAlign w:val="bottom"/>
            <w:shd w:val="clear" w:color="auto" w:fill="CCFFCC"/>
          </w:tcPr>
          <w:p>
            <w:pPr>
              <w:jc w:val="right"/>
              <w:ind w:right="103"/>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FFCC"/>
          </w:tcPr>
          <w:p>
            <w:pPr>
              <w:jc w:val="right"/>
              <w:ind w:right="520"/>
              <w:spacing w:after="0"/>
              <w:rPr>
                <w:sz w:val="20"/>
                <w:szCs w:val="20"/>
                <w:color w:val="auto"/>
              </w:rPr>
            </w:pPr>
            <w:r>
              <w:rPr>
                <w:rFonts w:ascii="Arial" w:cs="Arial" w:eastAsia="Arial" w:hAnsi="Arial"/>
                <w:sz w:val="18"/>
                <w:szCs w:val="18"/>
                <w:color w:val="auto"/>
              </w:rPr>
              <w:t>12.87</w:t>
            </w:r>
          </w:p>
        </w:tc>
        <w:tc>
          <w:tcPr>
            <w:tcW w:w="20" w:type="dxa"/>
            <w:vAlign w:val="bottom"/>
            <w:shd w:val="clear" w:color="auto" w:fill="CCFFCC"/>
          </w:tcPr>
          <w:p>
            <w:pPr>
              <w:spacing w:after="0"/>
              <w:rPr>
                <w:sz w:val="20"/>
                <w:szCs w:val="20"/>
                <w:color w:val="auto"/>
              </w:rPr>
            </w:pP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FFCC"/>
          </w:tcPr>
          <w:p>
            <w:pPr>
              <w:jc w:val="right"/>
              <w:ind w:right="560"/>
              <w:spacing w:after="0"/>
              <w:rPr>
                <w:sz w:val="20"/>
                <w:szCs w:val="20"/>
                <w:color w:val="auto"/>
              </w:rPr>
            </w:pPr>
            <w:r>
              <w:rPr>
                <w:rFonts w:ascii="Arial" w:cs="Arial" w:eastAsia="Arial" w:hAnsi="Arial"/>
                <w:sz w:val="18"/>
                <w:szCs w:val="18"/>
                <w:color w:val="auto"/>
              </w:rPr>
              <w:t>13.81</w:t>
            </w:r>
          </w:p>
        </w:tc>
        <w:tc>
          <w:tcPr>
            <w:tcW w:w="2180" w:type="dxa"/>
            <w:vAlign w:val="bottom"/>
          </w:tcPr>
          <w:p>
            <w:pPr>
              <w:spacing w:after="0"/>
              <w:rPr>
                <w:sz w:val="20"/>
                <w:szCs w:val="20"/>
                <w:color w:val="auto"/>
              </w:rPr>
            </w:pPr>
          </w:p>
        </w:tc>
      </w:tr>
      <w:tr>
        <w:trPr>
          <w:trHeight w:val="20"/>
        </w:trPr>
        <w:tc>
          <w:tcPr>
            <w:tcW w:w="800" w:type="dxa"/>
            <w:vAlign w:val="bottom"/>
            <w:tcBorders>
              <w:top w:val="single" w:sz="8" w:color="CCFFCC"/>
            </w:tcBorders>
            <w:shd w:val="clear" w:color="auto" w:fill="CCFFCC"/>
          </w:tcPr>
          <w:p>
            <w:pPr>
              <w:spacing w:after="0" w:line="20" w:lineRule="exact"/>
              <w:rPr>
                <w:sz w:val="1"/>
                <w:szCs w:val="1"/>
                <w:color w:val="auto"/>
              </w:rPr>
            </w:pPr>
          </w:p>
        </w:tc>
        <w:tc>
          <w:tcPr>
            <w:tcW w:w="37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CCFFCC"/>
              <w:left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9.30</w:t>
            </w:r>
          </w:p>
        </w:tc>
        <w:tc>
          <w:tcPr>
            <w:tcW w:w="2180" w:type="dxa"/>
            <w:vAlign w:val="bottom"/>
          </w:tcPr>
          <w:p>
            <w:pPr>
              <w:spacing w:after="0"/>
              <w:rPr>
                <w:sz w:val="18"/>
                <w:szCs w:val="18"/>
                <w:color w:val="auto"/>
              </w:rPr>
            </w:pPr>
          </w:p>
        </w:tc>
      </w:tr>
      <w:tr>
        <w:trPr>
          <w:trHeight w:val="257"/>
        </w:trPr>
        <w:tc>
          <w:tcPr>
            <w:tcW w:w="450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Total return based on market value</w:t>
            </w:r>
          </w:p>
        </w:tc>
        <w:tc>
          <w:tcPr>
            <w:tcW w:w="260" w:type="dxa"/>
            <w:vAlign w:val="bottom"/>
            <w:shd w:val="clear" w:color="auto" w:fill="CCFFCC"/>
          </w:tcPr>
          <w:p>
            <w:pPr>
              <w:spacing w:after="0"/>
              <w:rPr>
                <w:sz w:val="22"/>
                <w:szCs w:val="22"/>
                <w:color w:val="auto"/>
              </w:rPr>
            </w:pPr>
          </w:p>
        </w:tc>
        <w:tc>
          <w:tcPr>
            <w:tcW w:w="1440" w:type="dxa"/>
            <w:vAlign w:val="bottom"/>
            <w:gridSpan w:val="2"/>
            <w:shd w:val="clear" w:color="auto" w:fill="CCFFCC"/>
          </w:tcPr>
          <w:p>
            <w:pPr>
              <w:jc w:val="right"/>
              <w:ind w:right="120"/>
              <w:spacing w:after="0" w:line="256" w:lineRule="exact"/>
              <w:rPr>
                <w:sz w:val="20"/>
                <w:szCs w:val="20"/>
                <w:color w:val="auto"/>
              </w:rPr>
            </w:pPr>
            <w:r>
              <w:rPr>
                <w:rFonts w:ascii="Arial" w:cs="Arial" w:eastAsia="Arial" w:hAnsi="Arial"/>
                <w:sz w:val="18"/>
                <w:szCs w:val="18"/>
                <w:color w:val="auto"/>
              </w:rPr>
              <w:t>(6.76)%</w:t>
            </w:r>
            <w:r>
              <w:rPr>
                <w:rFonts w:ascii="Arial" w:cs="Arial" w:eastAsia="Arial" w:hAnsi="Arial"/>
                <w:sz w:val="29"/>
                <w:szCs w:val="29"/>
                <w:color w:val="auto"/>
                <w:vertAlign w:val="superscript"/>
              </w:rPr>
              <w:t>(7)</w:t>
            </w:r>
          </w:p>
        </w:tc>
        <w:tc>
          <w:tcPr>
            <w:tcW w:w="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640" w:type="dxa"/>
            <w:vAlign w:val="bottom"/>
            <w:gridSpan w:val="3"/>
            <w:shd w:val="clear" w:color="auto" w:fill="CCFFCC"/>
          </w:tcPr>
          <w:p>
            <w:pPr>
              <w:jc w:val="right"/>
              <w:ind w:right="180"/>
              <w:spacing w:after="0" w:line="256" w:lineRule="exact"/>
              <w:rPr>
                <w:sz w:val="20"/>
                <w:szCs w:val="20"/>
                <w:color w:val="auto"/>
              </w:rPr>
            </w:pPr>
            <w:r>
              <w:rPr>
                <w:rFonts w:ascii="Arial" w:cs="Arial" w:eastAsia="Arial" w:hAnsi="Arial"/>
                <w:sz w:val="18"/>
                <w:szCs w:val="18"/>
                <w:color w:val="auto"/>
              </w:rPr>
              <w:t>(33.33)%</w:t>
            </w:r>
            <w:r>
              <w:rPr>
                <w:rFonts w:ascii="Arial" w:cs="Arial" w:eastAsia="Arial" w:hAnsi="Arial"/>
                <w:sz w:val="29"/>
                <w:szCs w:val="29"/>
                <w:color w:val="auto"/>
                <w:vertAlign w:val="superscript"/>
              </w:rPr>
              <w:t>(7)</w:t>
            </w:r>
          </w:p>
        </w:tc>
        <w:tc>
          <w:tcPr>
            <w:tcW w:w="2180" w:type="dxa"/>
            <w:vAlign w:val="bottom"/>
          </w:tcPr>
          <w:p>
            <w:pPr>
              <w:spacing w:after="0"/>
              <w:rPr>
                <w:sz w:val="22"/>
                <w:szCs w:val="22"/>
                <w:color w:val="auto"/>
              </w:rPr>
            </w:pPr>
          </w:p>
        </w:tc>
      </w:tr>
      <w:tr>
        <w:trPr>
          <w:trHeight w:val="257"/>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Total return based on net asset value</w:t>
            </w:r>
          </w:p>
        </w:tc>
        <w:tc>
          <w:tcPr>
            <w:tcW w:w="260" w:type="dxa"/>
            <w:vAlign w:val="bottom"/>
          </w:tcPr>
          <w:p>
            <w:pPr>
              <w:spacing w:after="0"/>
              <w:rPr>
                <w:sz w:val="22"/>
                <w:szCs w:val="22"/>
                <w:color w:val="auto"/>
              </w:rPr>
            </w:pPr>
          </w:p>
        </w:tc>
        <w:tc>
          <w:tcPr>
            <w:tcW w:w="1440" w:type="dxa"/>
            <w:vAlign w:val="bottom"/>
            <w:gridSpan w:val="2"/>
          </w:tcPr>
          <w:p>
            <w:pPr>
              <w:jc w:val="right"/>
              <w:ind w:right="120"/>
              <w:spacing w:after="0" w:line="256" w:lineRule="exact"/>
              <w:rPr>
                <w:sz w:val="20"/>
                <w:szCs w:val="20"/>
                <w:color w:val="auto"/>
              </w:rPr>
            </w:pPr>
            <w:r>
              <w:rPr>
                <w:rFonts w:ascii="Arial" w:cs="Arial" w:eastAsia="Arial" w:hAnsi="Arial"/>
                <w:sz w:val="18"/>
                <w:szCs w:val="18"/>
                <w:color w:val="auto"/>
              </w:rPr>
              <w:t>(1.53)%</w:t>
            </w:r>
            <w:r>
              <w:rPr>
                <w:rFonts w:ascii="Arial" w:cs="Arial" w:eastAsia="Arial" w:hAnsi="Arial"/>
                <w:sz w:val="29"/>
                <w:szCs w:val="29"/>
                <w:color w:val="auto"/>
                <w:vertAlign w:val="superscript"/>
              </w:rPr>
              <w:t>(7)</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3"/>
          </w:tcPr>
          <w:p>
            <w:pPr>
              <w:jc w:val="right"/>
              <w:ind w:right="240"/>
              <w:spacing w:after="0" w:line="256" w:lineRule="exact"/>
              <w:rPr>
                <w:sz w:val="20"/>
                <w:szCs w:val="20"/>
                <w:color w:val="auto"/>
              </w:rPr>
            </w:pPr>
            <w:r>
              <w:rPr>
                <w:rFonts w:ascii="Arial" w:cs="Arial" w:eastAsia="Arial" w:hAnsi="Arial"/>
                <w:sz w:val="18"/>
                <w:szCs w:val="18"/>
                <w:color w:val="auto"/>
              </w:rPr>
              <w:t>6.64%</w:t>
            </w:r>
            <w:r>
              <w:rPr>
                <w:rFonts w:ascii="Arial" w:cs="Arial" w:eastAsia="Arial" w:hAnsi="Arial"/>
                <w:sz w:val="29"/>
                <w:szCs w:val="29"/>
                <w:color w:val="auto"/>
                <w:vertAlign w:val="superscript"/>
              </w:rPr>
              <w:t>(7)</w:t>
            </w:r>
          </w:p>
        </w:tc>
        <w:tc>
          <w:tcPr>
            <w:tcW w:w="2180" w:type="dxa"/>
            <w:vAlign w:val="bottom"/>
          </w:tcPr>
          <w:p>
            <w:pPr>
              <w:spacing w:after="0"/>
              <w:rPr>
                <w:sz w:val="22"/>
                <w:szCs w:val="22"/>
                <w:color w:val="auto"/>
              </w:rPr>
            </w:pPr>
          </w:p>
        </w:tc>
      </w:tr>
      <w:tr>
        <w:trPr>
          <w:trHeight w:val="216"/>
        </w:trPr>
        <w:tc>
          <w:tcPr>
            <w:tcW w:w="450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Shares outstanding at end of period</w:t>
            </w:r>
          </w:p>
        </w:tc>
        <w:tc>
          <w:tcPr>
            <w:tcW w:w="2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520"/>
              <w:spacing w:after="0"/>
              <w:rPr>
                <w:sz w:val="20"/>
                <w:szCs w:val="20"/>
                <w:color w:val="auto"/>
              </w:rPr>
            </w:pPr>
            <w:r>
              <w:rPr>
                <w:rFonts w:ascii="Arial" w:cs="Arial" w:eastAsia="Arial" w:hAnsi="Arial"/>
                <w:sz w:val="18"/>
                <w:szCs w:val="18"/>
                <w:color w:val="auto"/>
                <w:w w:val="99"/>
              </w:rPr>
              <w:t>19,320,100</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40" w:type="dxa"/>
            <w:vAlign w:val="bottom"/>
            <w:gridSpan w:val="3"/>
            <w:shd w:val="clear" w:color="auto" w:fill="CCFFCC"/>
          </w:tcPr>
          <w:p>
            <w:pPr>
              <w:jc w:val="right"/>
              <w:ind w:right="560"/>
              <w:spacing w:after="0"/>
              <w:rPr>
                <w:sz w:val="20"/>
                <w:szCs w:val="20"/>
                <w:color w:val="auto"/>
              </w:rPr>
            </w:pPr>
            <w:r>
              <w:rPr>
                <w:rFonts w:ascii="Arial" w:cs="Arial" w:eastAsia="Arial" w:hAnsi="Arial"/>
                <w:sz w:val="18"/>
                <w:szCs w:val="18"/>
                <w:color w:val="auto"/>
              </w:rPr>
              <w:t>19,320,100</w:t>
            </w:r>
          </w:p>
        </w:tc>
        <w:tc>
          <w:tcPr>
            <w:tcW w:w="2180" w:type="dxa"/>
            <w:vAlign w:val="bottom"/>
          </w:tcPr>
          <w:p>
            <w:pPr>
              <w:spacing w:after="0"/>
              <w:rPr>
                <w:sz w:val="18"/>
                <w:szCs w:val="18"/>
                <w:color w:val="auto"/>
              </w:rPr>
            </w:pP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50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Net assets at end of period</w:t>
            </w:r>
          </w:p>
        </w:tc>
        <w:tc>
          <w:tcPr>
            <w:tcW w:w="260" w:type="dxa"/>
            <w:vAlign w:val="bottom"/>
            <w:shd w:val="clear" w:color="auto" w:fill="CCFFCC"/>
          </w:tcPr>
          <w:p>
            <w:pPr>
              <w:jc w:val="right"/>
              <w:ind w:right="103"/>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FFCC"/>
          </w:tcPr>
          <w:p>
            <w:pPr>
              <w:jc w:val="right"/>
              <w:ind w:right="520"/>
              <w:spacing w:after="0"/>
              <w:rPr>
                <w:sz w:val="20"/>
                <w:szCs w:val="20"/>
                <w:color w:val="auto"/>
              </w:rPr>
            </w:pPr>
            <w:r>
              <w:rPr>
                <w:rFonts w:ascii="Arial" w:cs="Arial" w:eastAsia="Arial" w:hAnsi="Arial"/>
                <w:sz w:val="18"/>
                <w:szCs w:val="18"/>
                <w:color w:val="auto"/>
                <w:w w:val="89"/>
              </w:rPr>
              <w:t>248,607,249</w:t>
            </w:r>
          </w:p>
        </w:tc>
        <w:tc>
          <w:tcPr>
            <w:tcW w:w="20" w:type="dxa"/>
            <w:vAlign w:val="bottom"/>
            <w:shd w:val="clear" w:color="auto" w:fill="CCFFCC"/>
          </w:tcPr>
          <w:p>
            <w:pPr>
              <w:spacing w:after="0"/>
              <w:rPr>
                <w:sz w:val="18"/>
                <w:szCs w:val="18"/>
                <w:color w:val="auto"/>
              </w:rPr>
            </w:pP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FFCC"/>
          </w:tcPr>
          <w:p>
            <w:pPr>
              <w:jc w:val="right"/>
              <w:ind w:right="560"/>
              <w:spacing w:after="0"/>
              <w:rPr>
                <w:sz w:val="20"/>
                <w:szCs w:val="20"/>
                <w:color w:val="auto"/>
              </w:rPr>
            </w:pPr>
            <w:r>
              <w:rPr>
                <w:rFonts w:ascii="Arial" w:cs="Arial" w:eastAsia="Arial" w:hAnsi="Arial"/>
                <w:sz w:val="18"/>
                <w:szCs w:val="18"/>
                <w:color w:val="auto"/>
              </w:rPr>
              <w:t>266,860,054</w:t>
            </w:r>
          </w:p>
        </w:tc>
        <w:tc>
          <w:tcPr>
            <w:tcW w:w="2180" w:type="dxa"/>
            <w:vAlign w:val="bottom"/>
          </w:tcPr>
          <w:p>
            <w:pPr>
              <w:spacing w:after="0"/>
              <w:rPr>
                <w:sz w:val="18"/>
                <w:szCs w:val="18"/>
                <w:color w:val="auto"/>
              </w:rPr>
            </w:pP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Average net assets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248,710,453</w:t>
            </w:r>
          </w:p>
        </w:tc>
        <w:tc>
          <w:tcPr>
            <w:tcW w:w="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153,430,875</w:t>
            </w:r>
          </w:p>
        </w:tc>
        <w:tc>
          <w:tcPr>
            <w:tcW w:w="2180" w:type="dxa"/>
            <w:vAlign w:val="bottom"/>
          </w:tcPr>
          <w:p>
            <w:pPr>
              <w:spacing w:after="0"/>
              <w:rPr>
                <w:sz w:val="18"/>
                <w:szCs w:val="18"/>
                <w:color w:val="auto"/>
              </w:rPr>
            </w:pPr>
          </w:p>
        </w:tc>
      </w:tr>
      <w:tr>
        <w:trPr>
          <w:trHeight w:val="205"/>
        </w:trPr>
        <w:tc>
          <w:tcPr>
            <w:tcW w:w="4500" w:type="dxa"/>
            <w:vAlign w:val="bottom"/>
            <w:tcBorders>
              <w:right w:val="single" w:sz="8" w:color="CCFFCC"/>
            </w:tcBorders>
            <w:gridSpan w:val="2"/>
            <w:shd w:val="clear" w:color="auto" w:fill="CCFFCC"/>
          </w:tcPr>
          <w:p>
            <w:pPr>
              <w:ind w:left="20"/>
              <w:spacing w:after="0" w:line="206" w:lineRule="exact"/>
              <w:rPr>
                <w:sz w:val="20"/>
                <w:szCs w:val="20"/>
                <w:color w:val="auto"/>
              </w:rPr>
            </w:pPr>
            <w:r>
              <w:rPr>
                <w:rFonts w:ascii="Arial" w:cs="Arial" w:eastAsia="Arial" w:hAnsi="Arial"/>
                <w:sz w:val="18"/>
                <w:szCs w:val="18"/>
                <w:color w:val="auto"/>
                <w:w w:val="92"/>
              </w:rPr>
              <w:t>Annualized ratio of gross operating expenses to average net</w:t>
            </w:r>
          </w:p>
        </w:tc>
        <w:tc>
          <w:tcPr>
            <w:tcW w:w="260" w:type="dxa"/>
            <w:vAlign w:val="bottom"/>
            <w:shd w:val="clear" w:color="auto" w:fill="CCFFCC"/>
          </w:tcPr>
          <w:p>
            <w:pPr>
              <w:spacing w:after="0"/>
              <w:rPr>
                <w:sz w:val="17"/>
                <w:szCs w:val="17"/>
                <w:color w:val="auto"/>
              </w:rPr>
            </w:pPr>
          </w:p>
        </w:tc>
        <w:tc>
          <w:tcPr>
            <w:tcW w:w="1440" w:type="dxa"/>
            <w:vAlign w:val="bottom"/>
            <w:gridSpan w:val="2"/>
            <w:shd w:val="clear" w:color="auto" w:fill="CCFFCC"/>
          </w:tcPr>
          <w:p>
            <w:pPr>
              <w:jc w:val="right"/>
              <w:ind w:right="360"/>
              <w:spacing w:after="0" w:line="206" w:lineRule="exact"/>
              <w:rPr>
                <w:sz w:val="20"/>
                <w:szCs w:val="20"/>
                <w:color w:val="auto"/>
              </w:rPr>
            </w:pPr>
            <w:r>
              <w:rPr>
                <w:rFonts w:ascii="Arial" w:cs="Arial" w:eastAsia="Arial" w:hAnsi="Arial"/>
                <w:sz w:val="18"/>
                <w:szCs w:val="18"/>
                <w:color w:val="auto"/>
              </w:rPr>
              <w:t>4.03%</w:t>
            </w: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640" w:type="dxa"/>
            <w:vAlign w:val="bottom"/>
            <w:gridSpan w:val="3"/>
            <w:shd w:val="clear" w:color="auto" w:fill="CCFFCC"/>
          </w:tcPr>
          <w:p>
            <w:pPr>
              <w:jc w:val="right"/>
              <w:ind w:right="420"/>
              <w:spacing w:after="0" w:line="206" w:lineRule="exact"/>
              <w:rPr>
                <w:sz w:val="20"/>
                <w:szCs w:val="20"/>
                <w:color w:val="auto"/>
              </w:rPr>
            </w:pPr>
            <w:r>
              <w:rPr>
                <w:rFonts w:ascii="Arial" w:cs="Arial" w:eastAsia="Arial" w:hAnsi="Arial"/>
                <w:sz w:val="18"/>
                <w:szCs w:val="18"/>
                <w:color w:val="auto"/>
              </w:rPr>
              <w:t>4.45%</w:t>
            </w:r>
          </w:p>
        </w:tc>
        <w:tc>
          <w:tcPr>
            <w:tcW w:w="2180" w:type="dxa"/>
            <w:vAlign w:val="bottom"/>
          </w:tcPr>
          <w:p>
            <w:pPr>
              <w:spacing w:after="0"/>
              <w:rPr>
                <w:sz w:val="17"/>
                <w:szCs w:val="17"/>
                <w:color w:val="auto"/>
              </w:rPr>
            </w:pPr>
          </w:p>
        </w:tc>
      </w:tr>
      <w:tr>
        <w:trPr>
          <w:trHeight w:val="267"/>
        </w:trPr>
        <w:tc>
          <w:tcPr>
            <w:tcW w:w="4500" w:type="dxa"/>
            <w:vAlign w:val="bottom"/>
            <w:tcBorders>
              <w:right w:val="single" w:sz="8" w:color="CCFFCC"/>
            </w:tcBorders>
            <w:gridSpan w:val="2"/>
            <w:shd w:val="clear" w:color="auto" w:fill="CCFFCC"/>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26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580" w:type="dxa"/>
            <w:vAlign w:val="bottom"/>
            <w:tcBorders>
              <w:left w:val="single" w:sz="8" w:color="CCFFCC"/>
            </w:tcBorders>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9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560" w:type="dxa"/>
            <w:vAlign w:val="bottom"/>
            <w:shd w:val="clear" w:color="auto" w:fill="CCFFCC"/>
          </w:tcPr>
          <w:p>
            <w:pPr>
              <w:spacing w:after="0"/>
              <w:rPr>
                <w:sz w:val="23"/>
                <w:szCs w:val="23"/>
                <w:color w:val="auto"/>
              </w:rPr>
            </w:pPr>
          </w:p>
        </w:tc>
        <w:tc>
          <w:tcPr>
            <w:tcW w:w="2180" w:type="dxa"/>
            <w:vAlign w:val="bottom"/>
          </w:tcPr>
          <w:p>
            <w:pPr>
              <w:spacing w:after="0"/>
              <w:rPr>
                <w:sz w:val="23"/>
                <w:szCs w:val="23"/>
                <w:color w:val="auto"/>
              </w:rPr>
            </w:pPr>
          </w:p>
        </w:tc>
      </w:tr>
      <w:tr>
        <w:trPr>
          <w:trHeight w:val="205"/>
        </w:trPr>
        <w:tc>
          <w:tcPr>
            <w:tcW w:w="4500" w:type="dxa"/>
            <w:vAlign w:val="bottom"/>
            <w:gridSpan w:val="2"/>
          </w:tcPr>
          <w:p>
            <w:pPr>
              <w:ind w:left="20"/>
              <w:spacing w:after="0" w:line="206" w:lineRule="exact"/>
              <w:rPr>
                <w:sz w:val="20"/>
                <w:szCs w:val="20"/>
                <w:color w:val="auto"/>
              </w:rPr>
            </w:pPr>
            <w:r>
              <w:rPr>
                <w:rFonts w:ascii="Arial" w:cs="Arial" w:eastAsia="Arial" w:hAnsi="Arial"/>
                <w:sz w:val="18"/>
                <w:szCs w:val="18"/>
                <w:color w:val="auto"/>
                <w:w w:val="96"/>
              </w:rPr>
              <w:t>Annualized ratio of net operating expenses to average net</w:t>
            </w:r>
          </w:p>
        </w:tc>
        <w:tc>
          <w:tcPr>
            <w:tcW w:w="260" w:type="dxa"/>
            <w:vAlign w:val="bottom"/>
          </w:tcPr>
          <w:p>
            <w:pPr>
              <w:spacing w:after="0"/>
              <w:rPr>
                <w:sz w:val="17"/>
                <w:szCs w:val="17"/>
                <w:color w:val="auto"/>
              </w:rPr>
            </w:pPr>
          </w:p>
        </w:tc>
        <w:tc>
          <w:tcPr>
            <w:tcW w:w="1440" w:type="dxa"/>
            <w:vAlign w:val="bottom"/>
            <w:gridSpan w:val="2"/>
          </w:tcPr>
          <w:p>
            <w:pPr>
              <w:jc w:val="right"/>
              <w:ind w:right="360"/>
              <w:spacing w:after="0" w:line="206" w:lineRule="exact"/>
              <w:rPr>
                <w:sz w:val="20"/>
                <w:szCs w:val="20"/>
                <w:color w:val="auto"/>
              </w:rPr>
            </w:pPr>
            <w:r>
              <w:rPr>
                <w:rFonts w:ascii="Arial" w:cs="Arial" w:eastAsia="Arial" w:hAnsi="Arial"/>
                <w:sz w:val="18"/>
                <w:szCs w:val="18"/>
                <w:color w:val="auto"/>
              </w:rPr>
              <w:t>4.03%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3"/>
          </w:tcPr>
          <w:p>
            <w:pPr>
              <w:jc w:val="right"/>
              <w:ind w:right="420"/>
              <w:spacing w:after="0" w:line="206" w:lineRule="exact"/>
              <w:rPr>
                <w:sz w:val="20"/>
                <w:szCs w:val="20"/>
                <w:color w:val="auto"/>
              </w:rPr>
            </w:pPr>
            <w:r>
              <w:rPr>
                <w:rFonts w:ascii="Arial" w:cs="Arial" w:eastAsia="Arial" w:hAnsi="Arial"/>
                <w:sz w:val="18"/>
                <w:szCs w:val="18"/>
                <w:color w:val="auto"/>
              </w:rPr>
              <w:t>4.45%</w:t>
            </w:r>
          </w:p>
        </w:tc>
        <w:tc>
          <w:tcPr>
            <w:tcW w:w="2180" w:type="dxa"/>
            <w:vAlign w:val="bottom"/>
          </w:tcPr>
          <w:p>
            <w:pPr>
              <w:spacing w:after="0"/>
              <w:rPr>
                <w:sz w:val="17"/>
                <w:szCs w:val="17"/>
                <w:color w:val="auto"/>
              </w:rPr>
            </w:pPr>
          </w:p>
        </w:tc>
      </w:tr>
      <w:tr>
        <w:trPr>
          <w:trHeight w:val="267"/>
        </w:trPr>
        <w:tc>
          <w:tcPr>
            <w:tcW w:w="4500" w:type="dxa"/>
            <w:vAlign w:val="bottom"/>
            <w:gridSpan w:val="2"/>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205"/>
        </w:trPr>
        <w:tc>
          <w:tcPr>
            <w:tcW w:w="4500" w:type="dxa"/>
            <w:vAlign w:val="bottom"/>
            <w:tcBorders>
              <w:right w:val="single" w:sz="8" w:color="CCFFCC"/>
            </w:tcBorders>
            <w:gridSpan w:val="2"/>
            <w:shd w:val="clear" w:color="auto" w:fill="CCFFCC"/>
          </w:tcPr>
          <w:p>
            <w:pPr>
              <w:ind w:left="20"/>
              <w:spacing w:after="0" w:line="206" w:lineRule="exact"/>
              <w:rPr>
                <w:sz w:val="20"/>
                <w:szCs w:val="20"/>
                <w:color w:val="auto"/>
              </w:rPr>
            </w:pPr>
            <w:r>
              <w:rPr>
                <w:rFonts w:ascii="Arial" w:cs="Arial" w:eastAsia="Arial" w:hAnsi="Arial"/>
                <w:sz w:val="18"/>
                <w:szCs w:val="18"/>
                <w:color w:val="auto"/>
                <w:w w:val="97"/>
              </w:rPr>
              <w:t>Annualized ratio of net investment income to average net</w:t>
            </w:r>
          </w:p>
        </w:tc>
        <w:tc>
          <w:tcPr>
            <w:tcW w:w="260" w:type="dxa"/>
            <w:vAlign w:val="bottom"/>
            <w:shd w:val="clear" w:color="auto" w:fill="CCFFCC"/>
          </w:tcPr>
          <w:p>
            <w:pPr>
              <w:spacing w:after="0"/>
              <w:rPr>
                <w:sz w:val="17"/>
                <w:szCs w:val="17"/>
                <w:color w:val="auto"/>
              </w:rPr>
            </w:pPr>
          </w:p>
        </w:tc>
        <w:tc>
          <w:tcPr>
            <w:tcW w:w="1440" w:type="dxa"/>
            <w:vAlign w:val="bottom"/>
            <w:gridSpan w:val="2"/>
            <w:shd w:val="clear" w:color="auto" w:fill="CCFFCC"/>
          </w:tcPr>
          <w:p>
            <w:pPr>
              <w:jc w:val="right"/>
              <w:ind w:right="300"/>
              <w:spacing w:after="0" w:line="206" w:lineRule="exact"/>
              <w:rPr>
                <w:sz w:val="20"/>
                <w:szCs w:val="20"/>
                <w:color w:val="auto"/>
              </w:rPr>
            </w:pPr>
            <w:r>
              <w:rPr>
                <w:rFonts w:ascii="Arial" w:cs="Arial" w:eastAsia="Arial" w:hAnsi="Arial"/>
                <w:sz w:val="18"/>
                <w:szCs w:val="18"/>
                <w:color w:val="auto"/>
              </w:rPr>
              <w:t>(4.02)%</w:t>
            </w: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640" w:type="dxa"/>
            <w:vAlign w:val="bottom"/>
            <w:gridSpan w:val="3"/>
            <w:shd w:val="clear" w:color="auto" w:fill="CCFFCC"/>
          </w:tcPr>
          <w:p>
            <w:pPr>
              <w:jc w:val="right"/>
              <w:ind w:right="360"/>
              <w:spacing w:after="0" w:line="206" w:lineRule="exact"/>
              <w:rPr>
                <w:sz w:val="20"/>
                <w:szCs w:val="20"/>
                <w:color w:val="auto"/>
              </w:rPr>
            </w:pPr>
            <w:r>
              <w:rPr>
                <w:rFonts w:ascii="Arial" w:cs="Arial" w:eastAsia="Arial" w:hAnsi="Arial"/>
                <w:sz w:val="18"/>
                <w:szCs w:val="18"/>
                <w:color w:val="auto"/>
              </w:rPr>
              <w:t>(4.15)%</w:t>
            </w:r>
          </w:p>
        </w:tc>
        <w:tc>
          <w:tcPr>
            <w:tcW w:w="2180" w:type="dxa"/>
            <w:vAlign w:val="bottom"/>
          </w:tcPr>
          <w:p>
            <w:pPr>
              <w:spacing w:after="0"/>
              <w:rPr>
                <w:sz w:val="17"/>
                <w:szCs w:val="17"/>
                <w:color w:val="auto"/>
              </w:rPr>
            </w:pPr>
          </w:p>
        </w:tc>
      </w:tr>
      <w:tr>
        <w:trPr>
          <w:trHeight w:val="267"/>
        </w:trPr>
        <w:tc>
          <w:tcPr>
            <w:tcW w:w="4500" w:type="dxa"/>
            <w:vAlign w:val="bottom"/>
            <w:tcBorders>
              <w:right w:val="single" w:sz="8" w:color="CCFFCC"/>
            </w:tcBorders>
            <w:gridSpan w:val="2"/>
            <w:shd w:val="clear" w:color="auto" w:fill="CCFFCC"/>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26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580" w:type="dxa"/>
            <w:vAlign w:val="bottom"/>
            <w:tcBorders>
              <w:left w:val="single" w:sz="8" w:color="CCFFCC"/>
            </w:tcBorders>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9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560" w:type="dxa"/>
            <w:vAlign w:val="bottom"/>
            <w:shd w:val="clear" w:color="auto" w:fill="CCFFCC"/>
          </w:tcPr>
          <w:p>
            <w:pPr>
              <w:spacing w:after="0"/>
              <w:rPr>
                <w:sz w:val="23"/>
                <w:szCs w:val="23"/>
                <w:color w:val="auto"/>
              </w:rPr>
            </w:pPr>
          </w:p>
        </w:tc>
        <w:tc>
          <w:tcPr>
            <w:tcW w:w="2180" w:type="dxa"/>
            <w:vAlign w:val="bottom"/>
          </w:tcPr>
          <w:p>
            <w:pPr>
              <w:spacing w:after="0"/>
              <w:rPr>
                <w:sz w:val="23"/>
                <w:szCs w:val="23"/>
                <w:color w:val="auto"/>
              </w:rPr>
            </w:pPr>
          </w:p>
        </w:tc>
      </w:tr>
      <w:tr>
        <w:trPr>
          <w:trHeight w:val="166"/>
        </w:trPr>
        <w:tc>
          <w:tcPr>
            <w:tcW w:w="8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For the period from</w:t>
            </w:r>
          </w:p>
        </w:tc>
        <w:tc>
          <w:tcPr>
            <w:tcW w:w="218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December 31, 2012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January 6, 2011</w:t>
            </w:r>
          </w:p>
        </w:tc>
        <w:tc>
          <w:tcPr>
            <w:tcW w:w="218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(date of inception) to</w:t>
            </w:r>
          </w:p>
        </w:tc>
        <w:tc>
          <w:tcPr>
            <w:tcW w:w="2180" w:type="dxa"/>
            <w:vAlign w:val="bottom"/>
          </w:tcPr>
          <w:p>
            <w:pPr>
              <w:spacing w:after="0"/>
              <w:rPr>
                <w:sz w:val="12"/>
                <w:szCs w:val="12"/>
                <w:color w:val="auto"/>
              </w:rPr>
            </w:pPr>
          </w:p>
        </w:tc>
      </w:tr>
      <w:tr>
        <w:trPr>
          <w:trHeight w:val="171"/>
        </w:trPr>
        <w:tc>
          <w:tcPr>
            <w:tcW w:w="8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2011</w:t>
            </w:r>
          </w:p>
        </w:tc>
        <w:tc>
          <w:tcPr>
            <w:tcW w:w="2180" w:type="dxa"/>
            <w:vAlign w:val="bottom"/>
          </w:tcPr>
          <w:p>
            <w:pPr>
              <w:spacing w:after="0"/>
              <w:rPr>
                <w:sz w:val="14"/>
                <w:szCs w:val="14"/>
                <w:color w:val="auto"/>
              </w:rPr>
            </w:pPr>
          </w:p>
        </w:tc>
      </w:tr>
      <w:tr>
        <w:trPr>
          <w:trHeight w:val="210"/>
        </w:trPr>
        <w:tc>
          <w:tcPr>
            <w:tcW w:w="450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580" w:type="dxa"/>
            <w:vAlign w:val="bottom"/>
            <w:tcBorders>
              <w:left w:val="single" w:sz="8" w:color="CCFFCC"/>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Net asset value at beginning of period</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12.95</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r>
      <w:tr>
        <w:trPr>
          <w:trHeight w:val="257"/>
        </w:trPr>
        <w:tc>
          <w:tcPr>
            <w:tcW w:w="450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Issuance of common shares</w:t>
            </w:r>
          </w:p>
        </w:tc>
        <w:tc>
          <w:tcPr>
            <w:tcW w:w="260" w:type="dxa"/>
            <w:vAlign w:val="bottom"/>
            <w:shd w:val="clear" w:color="auto" w:fill="CCFFCC"/>
          </w:tcPr>
          <w:p>
            <w:pPr>
              <w:spacing w:after="0"/>
              <w:rPr>
                <w:sz w:val="22"/>
                <w:szCs w:val="22"/>
                <w:color w:val="auto"/>
              </w:rPr>
            </w:pPr>
          </w:p>
        </w:tc>
        <w:tc>
          <w:tcPr>
            <w:tcW w:w="1440" w:type="dxa"/>
            <w:vAlign w:val="bottom"/>
            <w:gridSpan w:val="2"/>
            <w:shd w:val="clear" w:color="auto" w:fill="CCFFCC"/>
          </w:tcPr>
          <w:p>
            <w:pPr>
              <w:jc w:val="right"/>
              <w:ind w:right="400"/>
              <w:spacing w:after="0" w:line="256" w:lineRule="exact"/>
              <w:rPr>
                <w:sz w:val="20"/>
                <w:szCs w:val="20"/>
                <w:color w:val="auto"/>
              </w:rPr>
            </w:pPr>
            <w:r>
              <w:rPr>
                <w:rFonts w:ascii="Arial" w:cs="Arial" w:eastAsia="Arial" w:hAnsi="Arial"/>
                <w:sz w:val="18"/>
                <w:szCs w:val="18"/>
                <w:color w:val="auto"/>
              </w:rPr>
              <w:t>1.91</w:t>
            </w:r>
            <w:r>
              <w:rPr>
                <w:rFonts w:ascii="Arial" w:cs="Arial" w:eastAsia="Arial" w:hAnsi="Arial"/>
                <w:sz w:val="29"/>
                <w:szCs w:val="29"/>
                <w:color w:val="auto"/>
                <w:vertAlign w:val="superscript"/>
              </w:rPr>
              <w:t>(4)</w:t>
            </w:r>
          </w:p>
        </w:tc>
        <w:tc>
          <w:tcPr>
            <w:tcW w:w="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640" w:type="dxa"/>
            <w:vAlign w:val="bottom"/>
            <w:gridSpan w:val="3"/>
            <w:shd w:val="clear" w:color="auto" w:fill="CCFFCC"/>
          </w:tcPr>
          <w:p>
            <w:pPr>
              <w:jc w:val="right"/>
              <w:ind w:right="500"/>
              <w:spacing w:after="0" w:line="256" w:lineRule="exact"/>
              <w:rPr>
                <w:sz w:val="20"/>
                <w:szCs w:val="20"/>
                <w:color w:val="auto"/>
              </w:rPr>
            </w:pPr>
            <w:r>
              <w:rPr>
                <w:rFonts w:ascii="Arial" w:cs="Arial" w:eastAsia="Arial" w:hAnsi="Arial"/>
                <w:sz w:val="18"/>
                <w:szCs w:val="18"/>
                <w:color w:val="auto"/>
              </w:rPr>
              <w:t>14.67</w:t>
            </w:r>
            <w:r>
              <w:rPr>
                <w:rFonts w:ascii="Arial" w:cs="Arial" w:eastAsia="Arial" w:hAnsi="Arial"/>
                <w:sz w:val="29"/>
                <w:szCs w:val="29"/>
                <w:color w:val="auto"/>
                <w:vertAlign w:val="superscript"/>
              </w:rPr>
              <w:t>(5)</w:t>
            </w:r>
          </w:p>
        </w:tc>
        <w:tc>
          <w:tcPr>
            <w:tcW w:w="2180" w:type="dxa"/>
            <w:vAlign w:val="bottom"/>
          </w:tcPr>
          <w:p>
            <w:pPr>
              <w:spacing w:after="0"/>
              <w:rPr>
                <w:sz w:val="22"/>
                <w:szCs w:val="22"/>
                <w:color w:val="auto"/>
              </w:rPr>
            </w:pPr>
          </w:p>
        </w:tc>
      </w:tr>
      <w:tr>
        <w:trPr>
          <w:trHeight w:val="257"/>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Underwriters’ discount</w:t>
            </w:r>
          </w:p>
        </w:tc>
        <w:tc>
          <w:tcPr>
            <w:tcW w:w="260" w:type="dxa"/>
            <w:vAlign w:val="bottom"/>
          </w:tcPr>
          <w:p>
            <w:pPr>
              <w:spacing w:after="0"/>
              <w:rPr>
                <w:sz w:val="22"/>
                <w:szCs w:val="22"/>
                <w:color w:val="auto"/>
              </w:rPr>
            </w:pPr>
          </w:p>
        </w:tc>
        <w:tc>
          <w:tcPr>
            <w:tcW w:w="1440" w:type="dxa"/>
            <w:vAlign w:val="bottom"/>
            <w:gridSpan w:val="2"/>
          </w:tcPr>
          <w:p>
            <w:pPr>
              <w:jc w:val="right"/>
              <w:ind w:right="340"/>
              <w:spacing w:after="0" w:line="256" w:lineRule="exact"/>
              <w:rPr>
                <w:sz w:val="20"/>
                <w:szCs w:val="20"/>
                <w:color w:val="auto"/>
              </w:rPr>
            </w:pPr>
            <w:r>
              <w:rPr>
                <w:rFonts w:ascii="Arial" w:cs="Arial" w:eastAsia="Arial" w:hAnsi="Arial"/>
                <w:sz w:val="18"/>
                <w:szCs w:val="18"/>
                <w:color w:val="auto"/>
              </w:rPr>
              <w:t>(0.72)</w:t>
            </w:r>
            <w:r>
              <w:rPr>
                <w:rFonts w:ascii="Arial" w:cs="Arial" w:eastAsia="Arial" w:hAnsi="Arial"/>
                <w:sz w:val="29"/>
                <w:szCs w:val="29"/>
                <w:color w:val="auto"/>
                <w:vertAlign w:val="superscript"/>
              </w:rPr>
              <w:t>(2)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3"/>
          </w:tcPr>
          <w:p>
            <w:pPr>
              <w:jc w:val="right"/>
              <w:ind w:right="440"/>
              <w:spacing w:after="0" w:line="256" w:lineRule="exact"/>
              <w:rPr>
                <w:sz w:val="20"/>
                <w:szCs w:val="20"/>
                <w:color w:val="auto"/>
              </w:rPr>
            </w:pPr>
            <w:r>
              <w:rPr>
                <w:rFonts w:ascii="Arial" w:cs="Arial" w:eastAsia="Arial" w:hAnsi="Arial"/>
                <w:sz w:val="18"/>
                <w:szCs w:val="18"/>
                <w:color w:val="auto"/>
              </w:rPr>
              <w:t>(0.86)</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50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Offering costs</w:t>
            </w:r>
          </w:p>
        </w:tc>
        <w:tc>
          <w:tcPr>
            <w:tcW w:w="260" w:type="dxa"/>
            <w:vAlign w:val="bottom"/>
            <w:shd w:val="clear" w:color="auto" w:fill="CCFFCC"/>
          </w:tcPr>
          <w:p>
            <w:pPr>
              <w:spacing w:after="0"/>
              <w:rPr>
                <w:sz w:val="22"/>
                <w:szCs w:val="22"/>
                <w:color w:val="auto"/>
              </w:rPr>
            </w:pPr>
          </w:p>
        </w:tc>
        <w:tc>
          <w:tcPr>
            <w:tcW w:w="1440" w:type="dxa"/>
            <w:vAlign w:val="bottom"/>
            <w:gridSpan w:val="2"/>
            <w:shd w:val="clear" w:color="auto" w:fill="CCFFCC"/>
          </w:tcPr>
          <w:p>
            <w:pPr>
              <w:jc w:val="right"/>
              <w:ind w:right="340"/>
              <w:spacing w:after="0" w:line="256" w:lineRule="exact"/>
              <w:rPr>
                <w:sz w:val="20"/>
                <w:szCs w:val="20"/>
                <w:color w:val="auto"/>
              </w:rPr>
            </w:pPr>
            <w:r>
              <w:rPr>
                <w:rFonts w:ascii="Arial" w:cs="Arial" w:eastAsia="Arial" w:hAnsi="Arial"/>
                <w:sz w:val="18"/>
                <w:szCs w:val="18"/>
                <w:color w:val="auto"/>
              </w:rPr>
              <w:t>(0.04)</w:t>
            </w:r>
            <w:r>
              <w:rPr>
                <w:rFonts w:ascii="Arial" w:cs="Arial" w:eastAsia="Arial" w:hAnsi="Arial"/>
                <w:sz w:val="29"/>
                <w:szCs w:val="29"/>
                <w:color w:val="auto"/>
                <w:vertAlign w:val="superscript"/>
              </w:rPr>
              <w:t>(2)</w:t>
            </w:r>
          </w:p>
        </w:tc>
        <w:tc>
          <w:tcPr>
            <w:tcW w:w="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640" w:type="dxa"/>
            <w:vAlign w:val="bottom"/>
            <w:gridSpan w:val="3"/>
            <w:shd w:val="clear" w:color="auto" w:fill="CCFFCC"/>
          </w:tcPr>
          <w:p>
            <w:pPr>
              <w:jc w:val="right"/>
              <w:ind w:right="440"/>
              <w:spacing w:after="0" w:line="256"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Net investment loss</w:t>
            </w:r>
          </w:p>
        </w:tc>
        <w:tc>
          <w:tcPr>
            <w:tcW w:w="260" w:type="dxa"/>
            <w:vAlign w:val="bottom"/>
          </w:tcPr>
          <w:p>
            <w:pPr>
              <w:spacing w:after="0"/>
              <w:rPr>
                <w:sz w:val="22"/>
                <w:szCs w:val="22"/>
                <w:color w:val="auto"/>
              </w:rPr>
            </w:pPr>
          </w:p>
        </w:tc>
        <w:tc>
          <w:tcPr>
            <w:tcW w:w="1440" w:type="dxa"/>
            <w:vAlign w:val="bottom"/>
            <w:gridSpan w:val="2"/>
          </w:tcPr>
          <w:p>
            <w:pPr>
              <w:jc w:val="right"/>
              <w:ind w:right="340"/>
              <w:spacing w:after="0" w:line="256" w:lineRule="exact"/>
              <w:rPr>
                <w:sz w:val="20"/>
                <w:szCs w:val="20"/>
                <w:color w:val="auto"/>
              </w:rPr>
            </w:pPr>
            <w:r>
              <w:rPr>
                <w:rFonts w:ascii="Arial" w:cs="Arial" w:eastAsia="Arial" w:hAnsi="Arial"/>
                <w:sz w:val="18"/>
                <w:szCs w:val="18"/>
                <w:color w:val="auto"/>
              </w:rPr>
              <w:t>(0.51)</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3"/>
          </w:tcPr>
          <w:p>
            <w:pPr>
              <w:jc w:val="right"/>
              <w:ind w:right="440"/>
              <w:spacing w:after="0" w:line="256" w:lineRule="exact"/>
              <w:rPr>
                <w:sz w:val="20"/>
                <w:szCs w:val="20"/>
                <w:color w:val="auto"/>
              </w:rPr>
            </w:pPr>
            <w:r>
              <w:rPr>
                <w:rFonts w:ascii="Arial" w:cs="Arial" w:eastAsia="Arial" w:hAnsi="Arial"/>
                <w:sz w:val="18"/>
                <w:szCs w:val="18"/>
                <w:color w:val="auto"/>
              </w:rPr>
              <w:t>(0.37)</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50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Realized loss</w:t>
            </w:r>
          </w:p>
        </w:tc>
        <w:tc>
          <w:tcPr>
            <w:tcW w:w="260" w:type="dxa"/>
            <w:vAlign w:val="bottom"/>
            <w:shd w:val="clear" w:color="auto" w:fill="CCFFCC"/>
          </w:tcPr>
          <w:p>
            <w:pPr>
              <w:spacing w:after="0"/>
              <w:rPr>
                <w:sz w:val="22"/>
                <w:szCs w:val="22"/>
                <w:color w:val="auto"/>
              </w:rPr>
            </w:pPr>
          </w:p>
        </w:tc>
        <w:tc>
          <w:tcPr>
            <w:tcW w:w="1440" w:type="dxa"/>
            <w:vAlign w:val="bottom"/>
            <w:gridSpan w:val="2"/>
            <w:shd w:val="clear" w:color="auto" w:fill="CCFFCC"/>
          </w:tcPr>
          <w:p>
            <w:pPr>
              <w:jc w:val="right"/>
              <w:ind w:right="340"/>
              <w:spacing w:after="0" w:line="256" w:lineRule="exact"/>
              <w:rPr>
                <w:sz w:val="20"/>
                <w:szCs w:val="20"/>
                <w:color w:val="auto"/>
              </w:rPr>
            </w:pPr>
            <w:r>
              <w:rPr>
                <w:rFonts w:ascii="Arial" w:cs="Arial" w:eastAsia="Arial" w:hAnsi="Arial"/>
                <w:sz w:val="18"/>
                <w:szCs w:val="18"/>
                <w:color w:val="auto"/>
              </w:rPr>
              <w:t>(0.09)</w:t>
            </w:r>
            <w:r>
              <w:rPr>
                <w:rFonts w:ascii="Arial" w:cs="Arial" w:eastAsia="Arial" w:hAnsi="Arial"/>
                <w:sz w:val="29"/>
                <w:szCs w:val="29"/>
                <w:color w:val="auto"/>
                <w:vertAlign w:val="superscript"/>
              </w:rPr>
              <w:t>(1)</w:t>
            </w:r>
          </w:p>
        </w:tc>
        <w:tc>
          <w:tcPr>
            <w:tcW w:w="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640" w:type="dxa"/>
            <w:vAlign w:val="bottom"/>
            <w:gridSpan w:val="3"/>
            <w:shd w:val="clear" w:color="auto" w:fill="CCFFCC"/>
          </w:tcPr>
          <w:p>
            <w:pPr>
              <w:jc w:val="right"/>
              <w:ind w:right="5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(2)</w:t>
            </w:r>
          </w:p>
        </w:tc>
        <w:tc>
          <w:tcPr>
            <w:tcW w:w="2180" w:type="dxa"/>
            <w:vAlign w:val="bottom"/>
          </w:tcPr>
          <w:p>
            <w:pPr>
              <w:spacing w:after="0"/>
              <w:rPr>
                <w:sz w:val="22"/>
                <w:szCs w:val="22"/>
                <w:color w:val="auto"/>
              </w:rPr>
            </w:pPr>
          </w:p>
        </w:tc>
      </w:tr>
      <w:tr>
        <w:trPr>
          <w:trHeight w:val="257"/>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Change in unrealized depreciation</w:t>
            </w:r>
          </w:p>
        </w:tc>
        <w:tc>
          <w:tcPr>
            <w:tcW w:w="260" w:type="dxa"/>
            <w:vAlign w:val="bottom"/>
          </w:tcPr>
          <w:p>
            <w:pPr>
              <w:spacing w:after="0"/>
              <w:rPr>
                <w:sz w:val="22"/>
                <w:szCs w:val="22"/>
                <w:color w:val="auto"/>
              </w:rPr>
            </w:pPr>
          </w:p>
        </w:tc>
        <w:tc>
          <w:tcPr>
            <w:tcW w:w="1440" w:type="dxa"/>
            <w:vAlign w:val="bottom"/>
            <w:gridSpan w:val="2"/>
          </w:tcPr>
          <w:p>
            <w:pPr>
              <w:jc w:val="right"/>
              <w:ind w:right="340"/>
              <w:spacing w:after="0" w:line="256" w:lineRule="exact"/>
              <w:rPr>
                <w:sz w:val="20"/>
                <w:szCs w:val="20"/>
                <w:color w:val="auto"/>
              </w:rPr>
            </w:pPr>
            <w:r>
              <w:rPr>
                <w:rFonts w:ascii="Arial" w:cs="Arial" w:eastAsia="Arial" w:hAnsi="Arial"/>
                <w:sz w:val="18"/>
                <w:szCs w:val="18"/>
                <w:color w:val="auto"/>
              </w:rPr>
              <w:t>(0.43)</w:t>
            </w:r>
            <w:r>
              <w:rPr>
                <w:rFonts w:ascii="Arial" w:cs="Arial" w:eastAsia="Arial" w:hAnsi="Arial"/>
                <w:sz w:val="29"/>
                <w:szCs w:val="29"/>
                <w:color w:val="auto"/>
                <w:vertAlign w:val="superscript"/>
              </w:rPr>
              <w:t>(6)</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3"/>
          </w:tcPr>
          <w:p>
            <w:pPr>
              <w:jc w:val="right"/>
              <w:ind w:right="440"/>
              <w:spacing w:after="0" w:line="256" w:lineRule="exact"/>
              <w:rPr>
                <w:sz w:val="20"/>
                <w:szCs w:val="20"/>
                <w:color w:val="auto"/>
              </w:rPr>
            </w:pPr>
            <w:r>
              <w:rPr>
                <w:rFonts w:ascii="Arial" w:cs="Arial" w:eastAsia="Arial" w:hAnsi="Arial"/>
                <w:sz w:val="18"/>
                <w:szCs w:val="18"/>
                <w:color w:val="auto"/>
              </w:rPr>
              <w:t>(0.30)</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0"/>
        </w:trPr>
        <w:tc>
          <w:tcPr>
            <w:tcW w:w="800" w:type="dxa"/>
            <w:vAlign w:val="bottom"/>
          </w:tcPr>
          <w:p>
            <w:pPr>
              <w:spacing w:after="0" w:line="20" w:lineRule="exact"/>
              <w:rPr>
                <w:sz w:val="1"/>
                <w:szCs w:val="1"/>
                <w:color w:val="auto"/>
              </w:rPr>
            </w:pPr>
          </w:p>
        </w:tc>
        <w:tc>
          <w:tcPr>
            <w:tcW w:w="37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30"/>
        </w:trPr>
        <w:tc>
          <w:tcPr>
            <w:tcW w:w="450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Net asset value at end of period</w:t>
            </w:r>
          </w:p>
        </w:tc>
        <w:tc>
          <w:tcPr>
            <w:tcW w:w="260" w:type="dxa"/>
            <w:vAlign w:val="bottom"/>
            <w:shd w:val="clear" w:color="auto" w:fill="CCFFCC"/>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13.07</w:t>
            </w:r>
          </w:p>
        </w:tc>
        <w:tc>
          <w:tcPr>
            <w:tcW w:w="580" w:type="dxa"/>
            <w:vAlign w:val="bottom"/>
            <w:tcBorders>
              <w:left w:val="single" w:sz="8" w:color="CCFFCC"/>
            </w:tcBorders>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12.95</w:t>
            </w:r>
          </w:p>
        </w:tc>
        <w:tc>
          <w:tcPr>
            <w:tcW w:w="56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20"/>
        </w:trPr>
        <w:tc>
          <w:tcPr>
            <w:tcW w:w="800" w:type="dxa"/>
            <w:vAlign w:val="bottom"/>
            <w:tcBorders>
              <w:top w:val="single" w:sz="8" w:color="CCFFCC"/>
            </w:tcBorders>
            <w:shd w:val="clear" w:color="auto" w:fill="CCFFCC"/>
          </w:tcPr>
          <w:p>
            <w:pPr>
              <w:spacing w:after="0" w:line="20" w:lineRule="exact"/>
              <w:rPr>
                <w:sz w:val="1"/>
                <w:szCs w:val="1"/>
                <w:color w:val="auto"/>
              </w:rPr>
            </w:pPr>
          </w:p>
        </w:tc>
        <w:tc>
          <w:tcPr>
            <w:tcW w:w="370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13.95</w:t>
            </w:r>
          </w:p>
        </w:tc>
        <w:tc>
          <w:tcPr>
            <w:tcW w:w="5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57"/>
        </w:trPr>
        <w:tc>
          <w:tcPr>
            <w:tcW w:w="450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Total return based on market value</w:t>
            </w:r>
          </w:p>
        </w:tc>
        <w:tc>
          <w:tcPr>
            <w:tcW w:w="260" w:type="dxa"/>
            <w:vAlign w:val="bottom"/>
            <w:shd w:val="clear" w:color="auto" w:fill="CCFFCC"/>
          </w:tcPr>
          <w:p>
            <w:pPr>
              <w:spacing w:after="0"/>
              <w:rPr>
                <w:sz w:val="22"/>
                <w:szCs w:val="22"/>
                <w:color w:val="auto"/>
              </w:rPr>
            </w:pPr>
          </w:p>
        </w:tc>
        <w:tc>
          <w:tcPr>
            <w:tcW w:w="1440" w:type="dxa"/>
            <w:vAlign w:val="bottom"/>
            <w:gridSpan w:val="2"/>
            <w:shd w:val="clear" w:color="auto" w:fill="CCFFCC"/>
          </w:tcPr>
          <w:p>
            <w:pPr>
              <w:jc w:val="right"/>
              <w:ind w:right="180"/>
              <w:spacing w:after="0" w:line="256" w:lineRule="exact"/>
              <w:rPr>
                <w:sz w:val="20"/>
                <w:szCs w:val="20"/>
                <w:color w:val="auto"/>
              </w:rPr>
            </w:pPr>
            <w:r>
              <w:rPr>
                <w:rFonts w:ascii="Arial" w:cs="Arial" w:eastAsia="Arial" w:hAnsi="Arial"/>
                <w:sz w:val="18"/>
                <w:szCs w:val="18"/>
                <w:color w:val="auto"/>
              </w:rPr>
              <w:t>(39.57)%</w:t>
            </w:r>
            <w:r>
              <w:rPr>
                <w:rFonts w:ascii="Arial" w:cs="Arial" w:eastAsia="Arial" w:hAnsi="Arial"/>
                <w:sz w:val="29"/>
                <w:szCs w:val="29"/>
                <w:color w:val="auto"/>
                <w:vertAlign w:val="superscript"/>
              </w:rPr>
              <w:t>(8)</w:t>
            </w:r>
          </w:p>
        </w:tc>
        <w:tc>
          <w:tcPr>
            <w:tcW w:w="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640" w:type="dxa"/>
            <w:vAlign w:val="bottom"/>
            <w:gridSpan w:val="3"/>
            <w:shd w:val="clear" w:color="auto" w:fill="CCFFCC"/>
          </w:tcPr>
          <w:p>
            <w:pPr>
              <w:jc w:val="right"/>
              <w:ind w:right="280"/>
              <w:spacing w:after="0" w:line="256" w:lineRule="exact"/>
              <w:rPr>
                <w:sz w:val="20"/>
                <w:szCs w:val="20"/>
                <w:color w:val="auto"/>
              </w:rPr>
            </w:pPr>
            <w:r>
              <w:rPr>
                <w:rFonts w:ascii="Arial" w:cs="Arial" w:eastAsia="Arial" w:hAnsi="Arial"/>
                <w:sz w:val="18"/>
                <w:szCs w:val="18"/>
                <w:color w:val="auto"/>
              </w:rPr>
              <w:t>(7.00)%</w:t>
            </w:r>
            <w:r>
              <w:rPr>
                <w:rFonts w:ascii="Arial" w:cs="Arial" w:eastAsia="Arial" w:hAnsi="Arial"/>
                <w:sz w:val="29"/>
                <w:szCs w:val="29"/>
                <w:color w:val="auto"/>
                <w:vertAlign w:val="superscript"/>
              </w:rPr>
              <w:t>(8)</w:t>
            </w:r>
          </w:p>
        </w:tc>
        <w:tc>
          <w:tcPr>
            <w:tcW w:w="2180" w:type="dxa"/>
            <w:vAlign w:val="bottom"/>
          </w:tcPr>
          <w:p>
            <w:pPr>
              <w:spacing w:after="0"/>
              <w:rPr>
                <w:sz w:val="22"/>
                <w:szCs w:val="22"/>
                <w:color w:val="auto"/>
              </w:rPr>
            </w:pPr>
          </w:p>
        </w:tc>
      </w:tr>
      <w:tr>
        <w:trPr>
          <w:trHeight w:val="257"/>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Total return based on net asset value</w:t>
            </w:r>
          </w:p>
        </w:tc>
        <w:tc>
          <w:tcPr>
            <w:tcW w:w="260" w:type="dxa"/>
            <w:vAlign w:val="bottom"/>
          </w:tcPr>
          <w:p>
            <w:pPr>
              <w:spacing w:after="0"/>
              <w:rPr>
                <w:sz w:val="22"/>
                <w:szCs w:val="22"/>
                <w:color w:val="auto"/>
              </w:rPr>
            </w:pPr>
          </w:p>
        </w:tc>
        <w:tc>
          <w:tcPr>
            <w:tcW w:w="1440" w:type="dxa"/>
            <w:vAlign w:val="bottom"/>
            <w:gridSpan w:val="2"/>
          </w:tcPr>
          <w:p>
            <w:pPr>
              <w:jc w:val="right"/>
              <w:ind w:right="240"/>
              <w:spacing w:after="0" w:line="256" w:lineRule="exact"/>
              <w:rPr>
                <w:sz w:val="20"/>
                <w:szCs w:val="20"/>
                <w:color w:val="auto"/>
              </w:rPr>
            </w:pPr>
            <w:r>
              <w:rPr>
                <w:rFonts w:ascii="Arial" w:cs="Arial" w:eastAsia="Arial" w:hAnsi="Arial"/>
                <w:sz w:val="18"/>
                <w:szCs w:val="18"/>
                <w:color w:val="auto"/>
              </w:rPr>
              <w:t>0.93%</w:t>
            </w:r>
            <w:r>
              <w:rPr>
                <w:rFonts w:ascii="Arial" w:cs="Arial" w:eastAsia="Arial" w:hAnsi="Arial"/>
                <w:sz w:val="29"/>
                <w:szCs w:val="29"/>
                <w:color w:val="auto"/>
                <w:vertAlign w:val="superscript"/>
              </w:rPr>
              <w:t>(8)</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3"/>
          </w:tcPr>
          <w:p>
            <w:pPr>
              <w:jc w:val="right"/>
              <w:ind w:right="280"/>
              <w:spacing w:after="0" w:line="256" w:lineRule="exact"/>
              <w:rPr>
                <w:sz w:val="20"/>
                <w:szCs w:val="20"/>
                <w:color w:val="auto"/>
              </w:rPr>
            </w:pPr>
            <w:r>
              <w:rPr>
                <w:rFonts w:ascii="Arial" w:cs="Arial" w:eastAsia="Arial" w:hAnsi="Arial"/>
                <w:sz w:val="18"/>
                <w:szCs w:val="18"/>
                <w:color w:val="auto"/>
              </w:rPr>
              <w:t>(13.67)%</w:t>
            </w:r>
            <w:r>
              <w:rPr>
                <w:rFonts w:ascii="Arial" w:cs="Arial" w:eastAsia="Arial" w:hAnsi="Arial"/>
                <w:sz w:val="29"/>
                <w:szCs w:val="29"/>
                <w:color w:val="auto"/>
                <w:vertAlign w:val="superscript"/>
              </w:rPr>
              <w:t>(8)</w:t>
            </w:r>
          </w:p>
        </w:tc>
        <w:tc>
          <w:tcPr>
            <w:tcW w:w="2180" w:type="dxa"/>
            <w:vAlign w:val="bottom"/>
          </w:tcPr>
          <w:p>
            <w:pPr>
              <w:spacing w:after="0"/>
              <w:rPr>
                <w:sz w:val="22"/>
                <w:szCs w:val="22"/>
                <w:color w:val="auto"/>
              </w:rPr>
            </w:pPr>
          </w:p>
        </w:tc>
      </w:tr>
      <w:tr>
        <w:trPr>
          <w:trHeight w:val="216"/>
        </w:trPr>
        <w:tc>
          <w:tcPr>
            <w:tcW w:w="450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Shares outstanding at end of period</w:t>
            </w:r>
          </w:p>
        </w:tc>
        <w:tc>
          <w:tcPr>
            <w:tcW w:w="2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19,320,100</w:t>
            </w:r>
          </w:p>
        </w:tc>
        <w:tc>
          <w:tcPr>
            <w:tcW w:w="580" w:type="dxa"/>
            <w:vAlign w:val="bottom"/>
            <w:tcBorders>
              <w:left w:val="single" w:sz="8" w:color="CCFFCC"/>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5,520,100</w:t>
            </w:r>
          </w:p>
        </w:tc>
        <w:tc>
          <w:tcPr>
            <w:tcW w:w="56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783"/>
        </w:trPr>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7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7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-5024755</wp:posOffset>
            </wp:positionV>
            <wp:extent cx="521398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-1268730</wp:posOffset>
            </wp:positionV>
            <wp:extent cx="521398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-3155315</wp:posOffset>
            </wp:positionV>
            <wp:extent cx="52057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8" w:name="page29"/>
    <w:bookmarkEnd w:id="2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ind w:left="60"/>
              <w:spacing w:after="0"/>
              <w:rPr>
                <w:sz w:val="20"/>
                <w:szCs w:val="20"/>
                <w:color w:val="auto"/>
              </w:rPr>
            </w:pPr>
            <w:r>
              <w:rPr>
                <w:rFonts w:ascii="Arial" w:cs="Arial" w:eastAsia="Arial" w:hAnsi="Arial"/>
                <w:sz w:val="18"/>
                <w:szCs w:val="18"/>
                <w:b w:val="1"/>
                <w:bCs w:val="1"/>
                <w:color w:val="auto"/>
              </w:rPr>
              <w:t>NOTE 7 — FINANCIAL HIGHLIGHTS – (continued)</w:t>
            </w:r>
          </w:p>
        </w:tc>
        <w:tc>
          <w:tcPr>
            <w:tcW w:w="180" w:type="dxa"/>
            <w:vAlign w:val="bottom"/>
          </w:tcPr>
          <w:p>
            <w:pPr>
              <w:spacing w:after="0"/>
              <w:rPr>
                <w:sz w:val="20"/>
                <w:szCs w:val="20"/>
                <w:color w:val="auto"/>
              </w:rPr>
            </w:pPr>
          </w:p>
        </w:tc>
        <w:tc>
          <w:tcPr>
            <w:tcW w:w="15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4"/>
              </w:rPr>
              <w:t>For the period from</w:t>
            </w:r>
          </w:p>
        </w:tc>
        <w:tc>
          <w:tcPr>
            <w:tcW w:w="0" w:type="dxa"/>
            <w:vAlign w:val="bottom"/>
          </w:tcPr>
          <w:p>
            <w:pPr>
              <w:spacing w:after="0"/>
              <w:rPr>
                <w:sz w:val="1"/>
                <w:szCs w:val="1"/>
                <w:color w:val="auto"/>
              </w:rPr>
            </w:pPr>
          </w:p>
        </w:tc>
      </w:tr>
      <w:tr>
        <w:trPr>
          <w:trHeight w:val="58"/>
        </w:trPr>
        <w:tc>
          <w:tcPr>
            <w:tcW w:w="4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w w:val="98"/>
              </w:rPr>
              <w:t>December 31, 2012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January 6, 2011</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2"/>
              </w:rPr>
              <w:t>(date of inception) to</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210"/>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1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Net assets at end of period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ind w:right="275"/>
              <w:spacing w:after="0"/>
              <w:rPr>
                <w:sz w:val="20"/>
                <w:szCs w:val="20"/>
                <w:color w:val="auto"/>
              </w:rPr>
            </w:pPr>
            <w:r>
              <w:rPr>
                <w:rFonts w:ascii="Arial" w:cs="Arial" w:eastAsia="Arial" w:hAnsi="Arial"/>
                <w:sz w:val="18"/>
                <w:szCs w:val="18"/>
                <w:color w:val="auto"/>
              </w:rPr>
              <w:t>252,582,801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58"/>
              <w:spacing w:after="0"/>
              <w:rPr>
                <w:sz w:val="20"/>
                <w:szCs w:val="20"/>
                <w:color w:val="auto"/>
              </w:rPr>
            </w:pPr>
            <w:r>
              <w:rPr>
                <w:rFonts w:ascii="Arial" w:cs="Arial" w:eastAsia="Arial" w:hAnsi="Arial"/>
                <w:sz w:val="18"/>
                <w:szCs w:val="18"/>
                <w:color w:val="auto"/>
              </w:rPr>
              <w:t>71,503,248</w:t>
            </w:r>
          </w:p>
        </w:tc>
        <w:tc>
          <w:tcPr>
            <w:tcW w:w="0" w:type="dxa"/>
            <w:vAlign w:val="bottom"/>
          </w:tcPr>
          <w:p>
            <w:pPr>
              <w:spacing w:after="0"/>
              <w:rPr>
                <w:sz w:val="1"/>
                <w:szCs w:val="1"/>
                <w:color w:val="auto"/>
              </w:rPr>
            </w:pPr>
          </w:p>
        </w:tc>
      </w:tr>
      <w:tr>
        <w:trPr>
          <w:trHeight w:val="216"/>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Average net assets</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FFCC"/>
          </w:tcPr>
          <w:p>
            <w:pPr>
              <w:jc w:val="right"/>
              <w:ind w:right="275"/>
              <w:spacing w:after="0"/>
              <w:rPr>
                <w:sz w:val="20"/>
                <w:szCs w:val="20"/>
                <w:color w:val="auto"/>
              </w:rPr>
            </w:pPr>
            <w:r>
              <w:rPr>
                <w:rFonts w:ascii="Arial" w:cs="Arial" w:eastAsia="Arial" w:hAnsi="Arial"/>
                <w:sz w:val="18"/>
                <w:szCs w:val="18"/>
                <w:color w:val="auto"/>
              </w:rPr>
              <w:t>208,050,344</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FFCC"/>
          </w:tcPr>
          <w:p>
            <w:pPr>
              <w:jc w:val="right"/>
              <w:ind w:right="358"/>
              <w:spacing w:after="0"/>
              <w:rPr>
                <w:sz w:val="20"/>
                <w:szCs w:val="20"/>
                <w:color w:val="auto"/>
              </w:rPr>
            </w:pPr>
            <w:r>
              <w:rPr>
                <w:rFonts w:ascii="Arial" w:cs="Arial" w:eastAsia="Arial" w:hAnsi="Arial"/>
                <w:sz w:val="18"/>
                <w:szCs w:val="18"/>
                <w:color w:val="auto"/>
              </w:rPr>
              <w:t>44,532,523</w:t>
            </w:r>
          </w:p>
        </w:tc>
        <w:tc>
          <w:tcPr>
            <w:tcW w:w="0" w:type="dxa"/>
            <w:vAlign w:val="bottom"/>
          </w:tcPr>
          <w:p>
            <w:pPr>
              <w:spacing w:after="0"/>
              <w:rPr>
                <w:sz w:val="1"/>
                <w:szCs w:val="1"/>
                <w:color w:val="auto"/>
              </w:rPr>
            </w:pPr>
          </w:p>
        </w:tc>
      </w:tr>
      <w:tr>
        <w:trPr>
          <w:trHeight w:val="205"/>
        </w:trPr>
        <w:tc>
          <w:tcPr>
            <w:tcW w:w="4500" w:type="dxa"/>
            <w:vAlign w:val="bottom"/>
          </w:tcPr>
          <w:p>
            <w:pPr>
              <w:ind w:left="20"/>
              <w:spacing w:after="0" w:line="206" w:lineRule="exact"/>
              <w:rPr>
                <w:sz w:val="20"/>
                <w:szCs w:val="20"/>
                <w:color w:val="auto"/>
              </w:rPr>
            </w:pPr>
            <w:r>
              <w:rPr>
                <w:rFonts w:ascii="Arial" w:cs="Arial" w:eastAsia="Arial" w:hAnsi="Arial"/>
                <w:sz w:val="18"/>
                <w:szCs w:val="18"/>
                <w:color w:val="auto"/>
                <w:w w:val="92"/>
              </w:rPr>
              <w:t>Annualized ratio of gross operating expenses to average net</w:t>
            </w:r>
          </w:p>
        </w:tc>
        <w:tc>
          <w:tcPr>
            <w:tcW w:w="180" w:type="dxa"/>
            <w:vAlign w:val="bottom"/>
          </w:tcPr>
          <w:p>
            <w:pPr>
              <w:spacing w:after="0"/>
              <w:rPr>
                <w:sz w:val="17"/>
                <w:szCs w:val="17"/>
                <w:color w:val="auto"/>
              </w:rPr>
            </w:pPr>
          </w:p>
        </w:tc>
        <w:tc>
          <w:tcPr>
            <w:tcW w:w="1540" w:type="dxa"/>
            <w:vAlign w:val="bottom"/>
          </w:tcPr>
          <w:p>
            <w:pPr>
              <w:jc w:val="right"/>
              <w:ind w:right="115"/>
              <w:spacing w:after="0" w:line="206" w:lineRule="exact"/>
              <w:rPr>
                <w:sz w:val="20"/>
                <w:szCs w:val="20"/>
                <w:color w:val="auto"/>
              </w:rPr>
            </w:pPr>
            <w:r>
              <w:rPr>
                <w:rFonts w:ascii="Arial" w:cs="Arial" w:eastAsia="Arial" w:hAnsi="Arial"/>
                <w:sz w:val="18"/>
                <w:szCs w:val="18"/>
                <w:color w:val="auto"/>
              </w:rPr>
              <w:t>4.10%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218"/>
              <w:spacing w:after="0" w:line="206" w:lineRule="exact"/>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67"/>
        </w:trPr>
        <w:tc>
          <w:tcPr>
            <w:tcW w:w="4500" w:type="dxa"/>
            <w:vAlign w:val="bottom"/>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(9)</w:t>
            </w: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500" w:type="dxa"/>
            <w:vAlign w:val="bottom"/>
            <w:shd w:val="clear" w:color="auto" w:fill="CCFFCC"/>
          </w:tcPr>
          <w:p>
            <w:pPr>
              <w:ind w:left="20"/>
              <w:spacing w:after="0" w:line="206" w:lineRule="exact"/>
              <w:rPr>
                <w:sz w:val="20"/>
                <w:szCs w:val="20"/>
                <w:color w:val="auto"/>
              </w:rPr>
            </w:pPr>
            <w:r>
              <w:rPr>
                <w:rFonts w:ascii="Arial" w:cs="Arial" w:eastAsia="Arial" w:hAnsi="Arial"/>
                <w:sz w:val="18"/>
                <w:szCs w:val="18"/>
                <w:color w:val="auto"/>
                <w:w w:val="96"/>
              </w:rPr>
              <w:t>Annualized ratio of net operating expenses to average net</w:t>
            </w:r>
          </w:p>
        </w:tc>
        <w:tc>
          <w:tcPr>
            <w:tcW w:w="180" w:type="dxa"/>
            <w:vAlign w:val="bottom"/>
            <w:shd w:val="clear" w:color="auto" w:fill="CCFFCC"/>
          </w:tcPr>
          <w:p>
            <w:pPr>
              <w:spacing w:after="0"/>
              <w:rPr>
                <w:sz w:val="17"/>
                <w:szCs w:val="17"/>
                <w:color w:val="auto"/>
              </w:rPr>
            </w:pPr>
          </w:p>
        </w:tc>
        <w:tc>
          <w:tcPr>
            <w:tcW w:w="1540" w:type="dxa"/>
            <w:vAlign w:val="bottom"/>
            <w:shd w:val="clear" w:color="auto" w:fill="CCFFCC"/>
          </w:tcPr>
          <w:p>
            <w:pPr>
              <w:jc w:val="right"/>
              <w:ind w:right="115"/>
              <w:spacing w:after="0" w:line="206" w:lineRule="exact"/>
              <w:rPr>
                <w:sz w:val="20"/>
                <w:szCs w:val="20"/>
                <w:color w:val="auto"/>
              </w:rPr>
            </w:pPr>
            <w:r>
              <w:rPr>
                <w:rFonts w:ascii="Arial" w:cs="Arial" w:eastAsia="Arial" w:hAnsi="Arial"/>
                <w:sz w:val="18"/>
                <w:szCs w:val="18"/>
                <w:color w:val="auto"/>
              </w:rPr>
              <w:t>4.10%</w:t>
            </w:r>
          </w:p>
        </w:tc>
        <w:tc>
          <w:tcPr>
            <w:tcW w:w="1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640" w:type="dxa"/>
            <w:vAlign w:val="bottom"/>
            <w:shd w:val="clear" w:color="auto" w:fill="CCFFCC"/>
          </w:tcPr>
          <w:p>
            <w:pPr>
              <w:jc w:val="right"/>
              <w:ind w:right="218"/>
              <w:spacing w:after="0" w:line="206" w:lineRule="exact"/>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67"/>
        </w:trPr>
        <w:tc>
          <w:tcPr>
            <w:tcW w:w="4500" w:type="dxa"/>
            <w:vAlign w:val="bottom"/>
            <w:shd w:val="clear" w:color="auto" w:fill="CCFFCC"/>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(9)</w:t>
            </w:r>
          </w:p>
        </w:tc>
        <w:tc>
          <w:tcPr>
            <w:tcW w:w="180" w:type="dxa"/>
            <w:vAlign w:val="bottom"/>
            <w:shd w:val="clear" w:color="auto" w:fill="CCFFCC"/>
          </w:tcPr>
          <w:p>
            <w:pPr>
              <w:spacing w:after="0"/>
              <w:rPr>
                <w:sz w:val="23"/>
                <w:szCs w:val="23"/>
                <w:color w:val="auto"/>
              </w:rPr>
            </w:pPr>
          </w:p>
        </w:tc>
        <w:tc>
          <w:tcPr>
            <w:tcW w:w="154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64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500" w:type="dxa"/>
            <w:vAlign w:val="bottom"/>
          </w:tcPr>
          <w:p>
            <w:pPr>
              <w:ind w:left="20"/>
              <w:spacing w:after="0" w:line="206" w:lineRule="exact"/>
              <w:rPr>
                <w:sz w:val="20"/>
                <w:szCs w:val="20"/>
                <w:color w:val="auto"/>
              </w:rPr>
            </w:pPr>
            <w:r>
              <w:rPr>
                <w:rFonts w:ascii="Arial" w:cs="Arial" w:eastAsia="Arial" w:hAnsi="Arial"/>
                <w:sz w:val="18"/>
                <w:szCs w:val="18"/>
                <w:color w:val="auto"/>
                <w:w w:val="98"/>
              </w:rPr>
              <w:t>Annualized ratio of net investment income to average net</w:t>
            </w:r>
          </w:p>
        </w:tc>
        <w:tc>
          <w:tcPr>
            <w:tcW w:w="180" w:type="dxa"/>
            <w:vAlign w:val="bottom"/>
          </w:tcPr>
          <w:p>
            <w:pPr>
              <w:spacing w:after="0"/>
              <w:rPr>
                <w:sz w:val="17"/>
                <w:szCs w:val="17"/>
                <w:color w:val="auto"/>
              </w:rPr>
            </w:pPr>
          </w:p>
        </w:tc>
        <w:tc>
          <w:tcPr>
            <w:tcW w:w="1540" w:type="dxa"/>
            <w:vAlign w:val="bottom"/>
          </w:tcPr>
          <w:p>
            <w:pPr>
              <w:jc w:val="right"/>
              <w:ind w:right="55"/>
              <w:spacing w:after="0" w:line="206" w:lineRule="exact"/>
              <w:rPr>
                <w:sz w:val="20"/>
                <w:szCs w:val="20"/>
                <w:color w:val="auto"/>
              </w:rPr>
            </w:pPr>
            <w:r>
              <w:rPr>
                <w:rFonts w:ascii="Arial" w:cs="Arial" w:eastAsia="Arial" w:hAnsi="Arial"/>
                <w:sz w:val="18"/>
                <w:szCs w:val="18"/>
                <w:color w:val="auto"/>
              </w:rPr>
              <w:t>(3.98)%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158"/>
              <w:spacing w:after="0" w:line="206" w:lineRule="exact"/>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390"/>
        </w:trPr>
        <w:tc>
          <w:tcPr>
            <w:tcW w:w="4500" w:type="dxa"/>
            <w:vAlign w:val="bottom"/>
          </w:tcPr>
          <w:p>
            <w:pPr>
              <w:ind w:left="200"/>
              <w:spacing w:after="0"/>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(9)</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-1878330</wp:posOffset>
            </wp:positionV>
            <wp:extent cx="52139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93345</wp:posOffset>
            </wp:positionV>
            <wp:extent cx="6172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300" w:hanging="27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weighted average number of shares outstanding for the period.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shares outstanding at end of period.</w:t>
      </w:r>
    </w:p>
    <w:p>
      <w:pPr>
        <w:spacing w:after="0" w:line="117"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 of common shares for the three months ended June 30, 2012 is based on the change in net asset value from the secondary offering on May 11, 2012. Issuance of common shares for the six months ended June 30, 2012 is based on the change in net asset value from the secondary offerings on February 10, 2012 and May 11, 2012.</w:t>
      </w:r>
    </w:p>
    <w:p>
      <w:pPr>
        <w:spacing w:after="0" w:line="73"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 of common shares for the year ended December 31, 2012 is based on the change in net asset value from the secondary offerings on February 10, 2012 and May 11, 2012.</w:t>
      </w:r>
    </w:p>
    <w:p>
      <w:pPr>
        <w:spacing w:after="0" w:line="62" w:lineRule="exact"/>
        <w:rPr>
          <w:rFonts w:ascii="Arial" w:cs="Arial" w:eastAsia="Arial" w:hAnsi="Arial"/>
          <w:sz w:val="18"/>
          <w:szCs w:val="18"/>
          <w:color w:val="auto"/>
        </w:rPr>
      </w:pPr>
    </w:p>
    <w:p>
      <w:pPr>
        <w:ind w:left="300" w:right="519" w:hanging="272"/>
        <w:spacing w:after="0" w:line="277"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 of common shares for the period from January 6, 2011 (date of inception) to December 31, 2011 is based on the weighted average offering price for the shares issued during the period.</w:t>
      </w:r>
    </w:p>
    <w:p>
      <w:pPr>
        <w:spacing w:after="0" w:line="62"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certain per share data based on the weighted average basic shares outstanding during the period and certain per share data based on the shares outstanding as of a period end or transaction date.</w:t>
      </w:r>
    </w:p>
    <w:p>
      <w:pPr>
        <w:spacing w:after="0" w:line="73" w:lineRule="exact"/>
        <w:rPr>
          <w:rFonts w:ascii="Arial" w:cs="Arial" w:eastAsia="Arial" w:hAnsi="Arial"/>
          <w:sz w:val="18"/>
          <w:szCs w:val="18"/>
          <w:color w:val="auto"/>
        </w:rPr>
      </w:pPr>
    </w:p>
    <w:p>
      <w:pPr>
        <w:jc w:val="both"/>
        <w:ind w:left="300" w:right="519" w:hanging="272"/>
        <w:spacing w:after="0" w:line="293" w:lineRule="auto"/>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 and the issuance of common shares in the period. The percentage returns noted above are based on the increase in our net asset value attributable to issuances of our common stock at a premium to our net asset value per share, rather than investment returns. Such issuances of our common stock at a premium to net asset value per share are not typical, and may not occur in the future. The total returns are not annualized.</w:t>
      </w:r>
    </w:p>
    <w:p>
      <w:pPr>
        <w:spacing w:after="0" w:line="56" w:lineRule="exact"/>
        <w:rPr>
          <w:rFonts w:ascii="Arial" w:cs="Arial" w:eastAsia="Arial" w:hAnsi="Arial"/>
          <w:sz w:val="16"/>
          <w:szCs w:val="16"/>
          <w:color w:val="auto"/>
        </w:rPr>
      </w:pPr>
    </w:p>
    <w:p>
      <w:pPr>
        <w:jc w:val="both"/>
        <w:ind w:left="300" w:right="519" w:hanging="272"/>
        <w:spacing w:after="0" w:line="259"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assuming an investment at the initial public offering price of $15.00 per share. Total return based on net asset value is based upon the change in net asset value per share between the opening and ending net asset values per share and the issuance of common shares in the period. The total returns are not annualized.</w:t>
      </w:r>
    </w:p>
    <w:p>
      <w:pPr>
        <w:spacing w:after="0" w:line="78" w:lineRule="exact"/>
        <w:rPr>
          <w:rFonts w:ascii="Arial" w:cs="Arial" w:eastAsia="Arial" w:hAnsi="Arial"/>
          <w:sz w:val="18"/>
          <w:szCs w:val="18"/>
          <w:color w:val="auto"/>
        </w:rPr>
      </w:pPr>
    </w:p>
    <w:p>
      <w:pPr>
        <w:jc w:val="both"/>
        <w:ind w:left="300" w:right="519" w:hanging="272"/>
        <w:spacing w:after="0" w:line="272" w:lineRule="auto"/>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Financial Highlights for periods of less than one year are annualized and the ratios of operating expenses to average net assets and net investment loss to average net assets are adjusted accordingly. Non-recurring expenses were not annualized. For the year-end December 31, 2012, and for the period from January 6, 2011 (date of inception) to December 31, 2011, the Company incurred $0, and $198,831 of organizational expenses, respectively, which were deemed to be non-recurring. For the period from January 6, 2011 (date of inception) to December 31, 2011, average net assets were calculated starting from the issuance of 100 shares on February 28, 2011. Because the ratios are calculated for the Company’s common stock taken as a whole, an individual investor’s ratios may vary from these ratios.</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was taxed as a C corporation and subject to federal and state corporation income taxes for its 2012 taxable year. The GSVC Holdings, which are taxed as C corporations, are not consolidated into the Company for financial reporting and income tax filing purposes. These subsidiaries hold certain pass-through companies in connection with the Company’s proposed qualification as a RIC beginning with its 2013 taxable year. The Company recorded no current income tax expense or benefit during the year ended December 31, 2012 since it had net operating loss carry-forwards from prior years and a net operating loss for the 2012 tax year.</w:t>
      </w:r>
    </w:p>
    <w:p>
      <w:pPr>
        <w:spacing w:after="0" w:line="85"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The Company recorded no deferred income tax expense or benefit for the year ended December 31, 2012 since it provided a full valuation allowance for deferred tax assets, which consisted primarily of net operating losses and temporary differences based on realized losses and unrealized depreciation of investments for financial statement purposes.</w:t>
      </w:r>
    </w:p>
    <w:p>
      <w:pPr>
        <w:spacing w:after="0" w:line="5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For federal and state purposes, a portion of the Company’s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79"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The Company has provided a full valuation allowance for its deferred tax assets due to uncertainty of generating sufficient capital gains or taxable income in future periods to realize these assets. Beginning with its 2013 taxable year, the Company may elect to be treated as a RIC if it is in the best interests of the Company and the Company is able to satisfy the requirements under subchapter M of the Internal Revenue Code. As a RIC, the Company generally will not pay corporate-level U.S. federal income taxes on any net ordinary income or capital gains that the Company distributes to its stockholders as dividends and claims dividends paid deductions to compute taxable income. Accordingly, the Company would no longer provide deferred taxes nor associated valuation allowance. A RIC will not be eligible to utilize net operating losses. However, the net operating losses may become available should the Company not elect to be taxed as a RIC for 2013 or subsequently fails to qualify as a RIC and become a C corporation in the future.</w:t>
      </w:r>
    </w:p>
    <w:p>
      <w:pPr>
        <w:spacing w:after="0" w:line="89" w:lineRule="exact"/>
        <w:rPr>
          <w:sz w:val="20"/>
          <w:szCs w:val="20"/>
          <w:color w:val="auto"/>
        </w:rPr>
      </w:pPr>
    </w:p>
    <w:p>
      <w:pPr>
        <w:jc w:val="both"/>
        <w:ind w:left="40" w:right="539" w:firstLine="270"/>
        <w:spacing w:after="0" w:line="255" w:lineRule="auto"/>
        <w:rPr>
          <w:sz w:val="20"/>
          <w:szCs w:val="20"/>
          <w:color w:val="auto"/>
        </w:rPr>
      </w:pPr>
      <w:r>
        <w:rPr>
          <w:rFonts w:ascii="Arial" w:cs="Arial" w:eastAsia="Arial" w:hAnsi="Arial"/>
          <w:sz w:val="18"/>
          <w:szCs w:val="18"/>
          <w:color w:val="auto"/>
        </w:rPr>
        <w:t>In addition to meeting other requirements, the Company must generally distribute at least 90% of its investment company taxable income to qualify for the special treatment accorded to a RIC and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85"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color w:val="auto"/>
        </w:rPr>
        <w:t>The Company did not have any material changes in unrecognized tax benefits as of the period presented herein. The Company identified its major tax jurisdictions as U.S. federal and California. The Company is not aware of any tax positions for which it is reasonably possible that the total amount of unrecognized tax benefits will change significantly in the next 12 months.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SUBSEQUENT EVENTS</w:t>
      </w:r>
    </w:p>
    <w:p>
      <w:pPr>
        <w:spacing w:after="0" w:line="12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On July 12, 2013, July 15, 2013, and July 24, 2013, the Company sold a total of 175,000 shares of its investment in Facebook, Inc. in three transactions for $1,282,663, $657,521, and $3,133,395, respectively. The Company continues to hold 175,000 shares of Facebook, Inc.</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Subsequent to June 30, 2013, the Company closed on investments of $1.9 million, plus transaction costs as follows: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SUBSEQUENT EVENTS – (continued)</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Company closed on an investment of $600,000, plus transaction costs, in NestGSV, Inc., an Incubator company, on July 15, 2013.</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Company closed on an investment of $1,099,997, plus transaction costs, in Dataminr, Inc., a Social Media Analytics company, on July 26, 2013.</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July 31, 2013, Grockit, Inc. sold its test preparation business and related assets, including the Grockit name, to Kaplan.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Concurrently, Grockit, Inc. changed its name to Learnist Inc.</w:t>
      </w:r>
    </w:p>
    <w:p>
      <w:pPr>
        <w:spacing w:after="0" w:line="10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Company closed on an investment of $225,000, plus transaction costs, in Kno, Inc., a Digital Textbooks Company, on August 1, 2013.</w:t>
      </w:r>
    </w:p>
    <w:p>
      <w:pPr>
        <w:spacing w:after="0" w:line="62"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August 2, 2013, Control4 Corporation priced its initial public offering, selling 4,000,000 shares at a price of $16 per share. The underwriters retain an option to purchase up to an additional 600,000 shares from Control4 Corporation at the public offering price, less the underwriting discount, for 30 days after the date of the prospectus. GSV Capital Corp.’s shares in Control4 Corporation are subject to a lock-up agreement.</w:t>
      </w:r>
    </w:p>
    <w:p>
      <w:pPr>
        <w:spacing w:after="0" w:line="79"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The Company is presently in the final stages of negotiations with respect to a handful of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Subsequent to June 30, 2013, the Company has not made any such escrow deposits.</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40" w:right="2559" w:hanging="39"/>
        <w:spacing w:after="0" w:line="39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GSV Capital,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85"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forward looking statements contained in this quarterly report on Form 10-Q involve risks and uncertainties, including statements as to:</w:t>
      </w:r>
    </w:p>
    <w:p>
      <w:pPr>
        <w:spacing w:after="0" w:line="62" w:lineRule="exact"/>
        <w:rPr>
          <w:sz w:val="20"/>
          <w:szCs w:val="20"/>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539"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opt to use leverage as part of our investment strategy, and</w:t>
      </w:r>
    </w:p>
    <w:p>
      <w:pPr>
        <w:spacing w:after="0" w:line="62"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quarterly report on Form 10-Q and in our filings with the SEC.</w:t>
      </w:r>
    </w:p>
    <w:p>
      <w:pPr>
        <w:spacing w:after="0" w:line="6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this quarterly report on Form 10-Q. You should not place undue reliance on these forward-looking statements, which apply only as of the date of this quarterly report on Form 10-Q.</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included in the annual report on Form 10-K for the year ended December 31, 2012 and this quarterly report on Form 10-Q.</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We are an externally managed, non-diversified closed-end management investment company that has elected to be treated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 capital-backed emerging companies. We acquire our investments through secondary marketplaces for private companies, negotiations with selling stockholders and direct investments with prospective portfolio companies. We may also invest on an opportunistic basis in select publicly-traded equity securities or certain non-U.S. companies that otherwise meet our investment criteria. Our investment activities are managed by GSV Asset Management, and GSV Capital Service Company provides the administrative services necessary for us to operate.</w:t>
      </w:r>
    </w:p>
    <w:p>
      <w:pPr>
        <w:spacing w:after="0" w:line="7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Our investment philosophy is premised on a disciplined approach of identifying high-growth emerging companies across several key industry themes which may include, among others, social mobile, cloud computing, and big data, internet commerce, green technology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evaluates have financial backing from top tier venture capital funds or other financial or strategic sponsors.</w:t>
      </w:r>
    </w:p>
    <w:p>
      <w:pPr>
        <w:spacing w:after="0" w:line="81"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We used substantially all of the net proceeds of our initial public offering and follow-on offerings for the above purposes.</w:t>
      </w:r>
    </w:p>
    <w:p>
      <w:pPr>
        <w:spacing w:after="0" w:line="79"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On April 28, 2011, we priced our initial public offering of 3,335,000 shares of our common stock at the offering price of $15.00 per share. The initial public offering closed on May 3, 2011, resulting in net proceeds to GSV Capital Corp. of approximately $46.5 million. On September 26, 2011, we priced a follow-on equity offering of 2,185,000 shares of our common stock at an offering price $14.15 per share. The follow-on equity offering included the full exercise of the underwriters’ option to purchase an additional 285,000 shares of our common stock, resulting in net proceeds to GSV Capital Corp. of approximately $29.6 million. On February 10, 2012, we priced a subsequent follow-on equity offering of 6,900,000 shares of our common stock at an offering price of $15.00 per share. The follow-on equity offering included the full exercise of the underwriters’ option to purchase an additional 900,000 shares of our common stock, resulting in net proceeds to GSV Capital Corp. of approximately $96.2 million. On May 11, 2012, we priced an additional follow-on equity offering of 6,900,000 shares of our common stock at an offering price of $16.25 per share. The follow-on offering included the full exercise of the underwriters’ option to purchase an additional 900,000 shares of our common stock, resulting in net proceeds to GSV Capital Corp. of approximately $105.4 million. Our shares are currently listed on the NASDAQ Capital Market under the symbol “GSVC”.</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The fair value of our investments can be expected to fluctuate in future periods due to changes in our investments and changes in the fair value of the investments. The investments made during the six months ended June 30, 2013 include:</w:t>
      </w:r>
    </w:p>
    <w:p>
      <w:pPr>
        <w:spacing w:after="0" w:line="38"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Company closed on an investment of $1,499,999, plus transaction costs, in SugarCRM Inc., a customer relationship management company, on January 16, 2013.</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Company closed on an investment of $200,000, plus transaction costs, in AlwaysOn, Inc., a social media company, on February 4, 2013.</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Company closed on an investment of $517,244, plus transaction costs, in CUX, Inc. (d/b/a CorpU), a corporate education company, on February 25, 2013.</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Company closed on an investment of $200,000, plus transaction costs, in AlwaysOn, Inc., a social media company, on February 28, 2013.</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Company closed on an investment of $1,000,000, plus transaction costs, in Fullbridge, Inc., a business education company, on March 22, 2013.</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Company closed on an investment of $1,379,294, plus transaction costs, in SugarCRM, Inc., a customer relationship management company, on April 1, 2013.</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Company closed on an investment of $1,733,923, plus transaction costs, in ZocDoc Inc., an online medical scheduling company, on April 4, 2013.</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Company closed on an investment of $24,999, plus transaction costs, in AlwaysOn, Inc., a social media company, on April 26, 2013.</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Company closed on an investment of $750,000, plus transaction costs, in AliphCom, Inc. (d/b/a Jawbone), an audio electronics company, on May 17, 2013.</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Company closed on an investment of $175,000, plus transaction costs, in AlwaysOn, Inc., a social media company, on May 24, 2013.</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Company closed on an investment of $258,619, plus transaction costs, in CUX, Inc. (d/b/a CorpU), a corporate education company, on May 31, 2013.</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Company closed on an investment of $430,950, plus transaction costs, in Dailybreak, Inc., a social advertising company, on May 31, 2013.</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Company closed on an investment of $1,000,000, plus transaction costs, in Solexel, Inc., a solar power company, on June 6, 2013.</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Company closed on an investment of $180,000, plus transaction costs, in oDesk Corporation, an online marketplace company, on June 11, 2013.</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Company closed on an investment of $9,999,999, plus transaction costs, in Coursera Inc., an online education company, on June 18, 2013.</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fair value, as of June 30, 2013, of all of our portfolio investments was $244,198,486. We also held $4,634,110 in unrestricted cash on June 30, 2013.</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June 30, 2013 and 2012</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For the three months ended June 30, 2013, we had investment income of $15,723, or $0.00 per share, which consisted of $0 of interest income from our portfolio investments and $15,723 of dividend income primarily from our CUX, Inc preferred shares as well as our money market investments.</w:t>
      </w:r>
    </w:p>
    <w:p>
      <w:pPr>
        <w:spacing w:after="0" w:line="73" w:lineRule="exact"/>
        <w:rPr>
          <w:sz w:val="20"/>
          <w:szCs w:val="20"/>
          <w:color w:val="auto"/>
        </w:rPr>
      </w:pPr>
    </w:p>
    <w:p>
      <w:pPr>
        <w:jc w:val="both"/>
        <w:ind w:left="40" w:right="539" w:firstLine="270"/>
        <w:spacing w:after="0" w:line="342" w:lineRule="auto"/>
        <w:rPr>
          <w:sz w:val="20"/>
          <w:szCs w:val="20"/>
          <w:color w:val="auto"/>
        </w:rPr>
      </w:pPr>
      <w:r>
        <w:rPr>
          <w:rFonts w:ascii="Arial" w:cs="Arial" w:eastAsia="Arial" w:hAnsi="Arial"/>
          <w:sz w:val="16"/>
          <w:szCs w:val="16"/>
          <w:color w:val="auto"/>
        </w:rPr>
        <w:t>For the three months ended June 30, 2012, we had investment income of $110,354, or $0.01 per share, which consisted of $102,883 of interest income from our portfolio investments and $7,471 of dividend income from our money market investments.</w:t>
      </w:r>
    </w:p>
    <w:p>
      <w:pPr>
        <w:spacing w:after="0" w:line="16"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The decrease in investment income for the three months ended June 30, 2013 relative to the three months ended June 30, 2012 was primarily due to us no longer carrying fixed income investments during the three months ended June 30, 2013.</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For the three months ended June 30, 2013, we had $2,402,634 in total operating expenses consisting primarily of investment management fees and administration fees, in addition to legal, audit and consulting fees. The investment advisory fee for the three months ended June 30, 2013, was $1,246,378, representing the</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color w:val="auto"/>
        </w:rPr>
        <w:t>base management fee as provided in our investment advisory agreement. Costs incurred under our administration agreement for the three months ended June 30, 2013, were $709,885. Professional fees, consisting of legal, valuation, audit and consulting fees, were $220,978 for the three months ended June 30, 2013.</w:t>
      </w:r>
    </w:p>
    <w:p>
      <w:pPr>
        <w:spacing w:after="0" w:line="73"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For the three months ended June 30, 2012, we had $2,190,473 in total operating expenses consisting primarily of investment management fees and administration fees, in addition to legal, audit and consulting fees. The investment advisory fee for the three months ended June 30, 2012, was $1,126,091, representing the base management fee as provided in our investment advisory agreement. Costs incurred under our administration agreement for the three months ended June 30, 2012, were $602,201. Professional fees, consisting of legal, valuation, audit and consulting fees, were approximately $222,561 for the three months ended June 30, 2012.</w:t>
      </w:r>
    </w:p>
    <w:p>
      <w:pPr>
        <w:spacing w:after="0" w:line="85"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The increase in total operating expenses for the three months ended June 30, 2013 relative to the three months ended June 30, 2012 was mostly due to an increase in management fees as well as administration fees incurred. These fees increased due to an increase in our gross and net asset values during the same periods, which impact the fees incurred. Refer to note 2 for further details regarding the calculations of these fees.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Increase (Decrease) in Net Assets</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For the three months ended June 30, 2013, we had a net change in unrealized appreciation of $12,230,246, or $0.63 per share, resulting from appreciation of our investments, including our investments in Palantir Technologies, Inc., Twitter, Inc. and Dataminr, Inc., as well as the reclassification of the losses on our investments in Top Hat 430, Inc., Serious Energy, Inc., and AltEgo, LLC from unrealized loss to realized loss on investments. Net realized loss was $6,327,632, or $0.33 per share during the three months ended June 30, 2013 as a result of the write-off of our investments in Top Hat 430, Inc., Serious Energy, Inc., and AltEgo, LLC. Net investment loss was $2,386,911, or $0.12 per share, for the three months ended June 30, 2013, resulting primarily from operating expenses incurred during the quarter. Net increase in net assets resulting from operations was $3,515,703, or $0.18 per share, for the three months ended June 30, 2013.</w:t>
      </w:r>
    </w:p>
    <w:p>
      <w:pPr>
        <w:spacing w:after="0" w:line="7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For the three months ended June 30, 2012, we had a net change in unrealized depreciation of $2,014,512, or $0.12 per share. The change in unrealized depreciation is primarily a result of our investment in Facebook, Inc. We had a net realized loss of $1,380,263, or $0.08 per share, for the three months ended June 30, 2012, resulting from our investment in PJB Fund LLC, which resulted from fluctuating share prices of Zynga, Inc. Net investment loss was $2,080,119, or $0.13 per share, for the three months ended June 30, 2012, resulting primarily from operating expenses incurred during the quarter. Net decrease in net assets resulting from operations was $5,474,894, or $0.34 per share, for the three months ended June 30, 2012.</w:t>
      </w:r>
    </w:p>
    <w:p>
      <w:pPr>
        <w:spacing w:after="0" w:line="70"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per share figures noted above are based on a weighted-average of 19,320,100 and 16,287,133 shares outstanding for the three months ended June 30, 2013 and 2012, respectively.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six months ended June 30, 2013 and 2012</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For the six months ended June 30, 2013, we had investment income of $20,258, or $0.00 per share, which consisted of $0 of interest income from our portfolio investments and $20,258 of dividend income primarily from our CUX, Inc preferred shares as well as our money market investments.</w:t>
      </w:r>
    </w:p>
    <w:p>
      <w:pPr>
        <w:spacing w:after="0" w:line="73"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For the six months ended June 30, 2012, we had investment income of $228,159, or $0.02 per share, which consisted of $214,984 of interest income from our portfolio investments and $13,175 of dividend income from our money market investments.</w:t>
      </w:r>
    </w:p>
    <w:p>
      <w:pPr>
        <w:spacing w:after="0" w:line="16"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The decrease in investment income for the six months ended June 30, 2013 relative to the six months ended June 30, 2012 was primarily due to us no longer carrying fixed income investments during the six months ended June 30, 2013.</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For the six months ended June 30, 2013, we had $4,974,894 in total operating expenses consisting primarily of investment management fees and administration fees, in addition to legal, audit and consulting</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color w:val="auto"/>
        </w:rPr>
        <w:t>fees. The investment advisory fee for the six months ended June 30, 2013, was $2,529,977, representing the base management fee as provided in our investment advisory agreement. Our base management fee was significantly higher than during the same period in 2012 as a result of the increase in our gross assets. Costs incurred under our administration agreement for the six months ended June 30, 2013, were $1,597,869. Professional fees, consisting of legal, valuation, audit and consulting fees, were $457,864 for the six months ended June 30, 2013.</w:t>
      </w:r>
    </w:p>
    <w:p>
      <w:pPr>
        <w:spacing w:after="0" w:line="8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For the six months ended June 30, 2012, we had $3,402,280 in total operating expenses consisting primarily of investment management fees and administration fees, in addition to legal, audit and consulting fees. The investment advisory fee for the six months ended June 30, 2012, was $1,748,017, representing the base management fee as provided in our investment advisory agreement. Costs incurred under our administration agreement for the six months ended June 30, 2012, were $947,795. Professional fees, consisting of legal, valuation, audit and consulting fees, were approximately $354,406 for the six months ended June 30, 2012.</w:t>
      </w:r>
    </w:p>
    <w:p>
      <w:pPr>
        <w:spacing w:after="0" w:line="85"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increase in total operating expenses for the six months ended June 30, 2013 relative to the six months ended June 30, 2012 was mostly due to an increase in management fees as well as administration fees incurred. These fees increased due to an increase in our gross and net asset values during the same periods, which impact the fees incurred. Refer to note 2 for further details regarding the calculations of these fees.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Increase (Decrease) in Net Assets</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For the six months ended June 30, 2013, we had a net change in unrealized appreciation of $10,653,608, or $0.55 per share, resulting from appreciation of our investments, including our investments in Palantir Technologies, Inc., Twitter, Inc., Stormwind, LLC, and Dataminr, Inc., as well as the reclassification of the losses on our investments in Top Hat 430, Inc., Serious Energy, Inc., and AltEgo, LLC from unrealized loss to realized loss on investments. Net realized loss was $9,674,524, or $0.50 per share, and resulted from sales of investments in Zynga, Inc. and Groupon Inc., as well as the write-off of our investments in Top Hat 430, Inc., Serious Energy, Inc., and AltEgo, LLC. Net investment loss was $4,954,636, or $0.26 per share, for the six months ended June 30, 2013, resulting primarily from operating expenses incurred during the quarter. Net decrease in net assets resulting from operations was $3,975,552, or $0.21 per share, for the six months ended June 30, 2013.</w:t>
      </w:r>
    </w:p>
    <w:p>
      <w:pPr>
        <w:spacing w:after="0" w:line="7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For the six months ended June 30, 2012, we had a net change in unrealized depreciation of $1,003,317, or $0.08 per share. The change in unrealized depreciation is primarily a result of our investment in Facebook, Inc. We had a net realized loss of $1,380,519, or $0.11 per share, resulting primarily from our investment in PJB Fund LLC, which resulted from fluctuating share prices of Zynga, Inc. Net investment loss was $3,174,121, or $0.25 per share, for the six months ended June 30, 2012, resulting primarily from operating expenses incurred during the period. Net decrease in net assets resulting from operations was $5,557,957, or $0.43 per share, for the six months ended June 30, 2012.</w:t>
      </w:r>
    </w:p>
    <w:p>
      <w:pPr>
        <w:spacing w:after="0" w:line="85"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per share figures noted above are based on a weighted-average of 19,320,100 and 12,837,133 shares outstanding for the six months ended June 30, 2013 and 2012, respectively.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At June 30, 2013, we had investments in 45 portfolio companies with costs totaling $245,295,528, and cash in the amount of $4,634,110.</w:t>
      </w:r>
    </w:p>
    <w:p>
      <w:pPr>
        <w:spacing w:after="0" w:line="62"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On February 10, 2012, we priced a follow-on equity offering of 6,900,000 shares of our common stock at an offering price of $15.00 per share. The follow-on equity offering included the full exercise of the underwriters’ option to purchase an additional 900,000 share of our common stock, resulting in net proceeds to GSV Capital Corp. of approximately $96.2 million. On May 11, 2012, we priced a subsequent follow-on equity offering of 6,900,000 shares of our common stock at an offering price of $16.25 per share. The follow-on equity offering included the full exercise of the underwriters’ option to purchase an additional 900,000 share of our common stock, resulting in net proceeds to GSV Capital Corp. of approximately $105.4 million. Our shares are currently listed on the NASDAQ Capital Market under the symbol “GSVC”.</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Our primary use of cash is to make investments and to pay our operating expenses. We used substantially all of the proceeds of the offerings to invest in portfolio companies as of June 30, 2013, except for amounts retained for purposes of funding our ongoing expenses.</w:t>
      </w:r>
    </w:p>
    <w:p>
      <w:pPr>
        <w:spacing w:after="0" w:line="73"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Our current policy is to maintain cash reserves in an amount sufficient to pay our operating expenses, including investment management fees, incentive fees and costs incurred under the administration agreement, for approximately two years. For a description of the investment advisory and administration services we receive, see “Related Party Transactions and Certain Relationships”. We incurred approximately $1,246,378 and $2,529,977 in investment management fees and $709,885 and $1,597,869 in costs incurred under the administration agreement for the three and six months ended June 30, 2013, respectively. We incurred approximately $1,126,091 and $1,748,017 in investment management fees and $602,201 and $947,795 in costs incurred under the administration agreement for the three and six months ended June 30, 2012, respectively.</w:t>
      </w:r>
    </w:p>
    <w:p>
      <w:pPr>
        <w:spacing w:after="0" w:line="59"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As of June 30, 2013, the fair value of our portfolio investments was equal to the cost of the investments, net of unrealized depreciation representing transaction costs and any fair value adjustments. Fair value adjustments may include subsequent financing rounds, discounts due to lack of marketability, senior management changes or any other developments that factor into our valuations. The fair value of our investments can be expected to fluctuate in future periods due to changes in our investments and changes in the fair value of the investments.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As of June 30, 2013, we had no off-balance sheet arrangements, including any risk management of commodity pricing or other hedging practices. However, we may employ hedging and other risk management techniques in the future.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1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timing and amount of our dividends, if any, will be determined by our board of directors. Any dividends to our stockholders will be declared out of assets legally available for distribution. 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However, if there are earnings or realized capital gains to be distributed, we intend to declare and pay a dividend at least annually.</w:t>
      </w:r>
    </w:p>
    <w:p>
      <w:pPr>
        <w:spacing w:after="0" w:line="57"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During the taxable year ended December 31, 2012, we were taxed as a C Corporation subject to federal and state corporate income taxes, however we may elect to be treated as a RIC under Subchapter M of the Code, beginning with our 2013 taxable year if management determines that it is in the best interests of the Company and the Company is able to satisfy the requirements to be treated as a RIC. To obtain and maintain RIC tax treatment, we must, among other things, distribute at least 90% of our ordinary income and realized net short-term capital gains in excess of realized net long-term capital losses, if any, for each taxable year. In addition,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Although we currently intend to distribute realized net capital gains (</w:t>
      </w:r>
      <w:r>
        <w:rPr>
          <w:rFonts w:ascii="Arial" w:cs="Arial" w:eastAsia="Arial" w:hAnsi="Arial"/>
          <w:sz w:val="16"/>
          <w:szCs w:val="16"/>
          <w:i w:val="1"/>
          <w:iCs w:val="1"/>
          <w:color w:val="auto"/>
        </w:rPr>
        <w:t>i.e.</w:t>
      </w:r>
      <w:r>
        <w:rPr>
          <w:rFonts w:ascii="Arial" w:cs="Arial" w:eastAsia="Arial" w:hAnsi="Arial"/>
          <w:sz w:val="16"/>
          <w:szCs w:val="16"/>
          <w:color w:val="auto"/>
        </w:rPr>
        <w:t>, net long-term capital gains in excess of net short-term capital losses), if any, at least annually, we may in the future decide to retain such capital gains for investment but designate the retained net capital gain as a “deemed distribution”. If this happens, you will be treated as if you received an actual distribution of the capital gains we retain and reinvested the net after-tax proceeds in us. You also may be eligible to claim a tax credit (or, in certain circumstances, a tax refund) equal to your allocable share of the tax we paid on the capital gains deemed distributed to you. See “Material U.S. Federal Income Tax Considerations.” There is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 In addition, although it is currently its intention to do so, at the present time, the Company</w:t>
      </w:r>
    </w:p>
    <w:p>
      <w:pPr>
        <w:spacing w:after="0" w:line="200" w:lineRule="exact"/>
        <w:rPr>
          <w:sz w:val="20"/>
          <w:szCs w:val="20"/>
          <w:color w:val="auto"/>
        </w:rPr>
      </w:pPr>
    </w:p>
    <w:p>
      <w:pPr>
        <w:spacing w:after="0" w:line="31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cannot assure you whether it will elect to be treated as a RIC for its 2013 taxable year. If it opts not to do so, the Company will continue to be taxed as a C corporation under the Code for its 2013 taxable year.</w:t>
      </w:r>
    </w:p>
    <w:p>
      <w:pPr>
        <w:spacing w:after="0" w:line="62"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automatically reinvested in additional shares of common stock unless the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although no cash distribution has been made.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had no borrowings outstanding as of June 30, 2013.</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We entered into an investment advisory agreement with GSV Asset Management (the “Advisory Agreement”) in connection with our initial public offering. Pursuant to the Advisory Agreement, GSV Asset Management will be paid a base annual fee of 2.00% of gross assets, and an annual incentive fee equal to the lesser of (i) 20% of the GSV Capital’s realized capital gains during each calendar year, if any, calculated on an investment-by-investment basis, subject to a non-compounded preferred return, or “hurdle,” and a ``catch-up” feature, and (ii) 20% of the GSV Capital’s realized capital gains, if any, on a cumulative basis from inception through the end of each calendar year, computed net of all realized capital losses and unrealized capital depreciation on a cumulative basis, less the aggregate amount of any previously paid incentive fees. GSV Asset Management earned $1,246,378 and $2,529,977 in base management fees and $0 in incentive fees for the three and six months ended June 30, 2013, respectively. GSV Asset Management earned $1,126,091 and $1,748,017 in base fees and $0 in incentive fees for the three and six months ended June 30, 2012, respectively.</w:t>
      </w:r>
    </w:p>
    <w:p>
      <w:pPr>
        <w:spacing w:after="0" w:line="70"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As of June 30, 2013, we were owed $2,606 from GSV Asset Management for reimbursement of expenses paid for by us that were the responsibility of GSV Asset Management.</w:t>
      </w:r>
    </w:p>
    <w:p>
      <w:pPr>
        <w:spacing w:after="0" w:line="62"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In addition as of June 30, 2013, we owed GSV Asset Management $438,848, of which $415,459 relates to accrued management fees, and $20,783 is for reimbursement of expenses paid for by GSV Asset Management that were the responsibility of the Company.</w:t>
      </w:r>
    </w:p>
    <w:p>
      <w:pPr>
        <w:spacing w:after="0" w:line="7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As of June 30, 2012, we were owed $5,901 from GSV Asset Management for reimbursement of legal fees paid for by us that were the responsibility of GSV Asset Management.</w:t>
      </w:r>
    </w:p>
    <w:p>
      <w:pPr>
        <w:spacing w:after="0" w:line="62"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In addition as of June 30, 2012, we owed GSV Asset Management $17,159 for reimbursement of travel-related and other expenses. We owed certain officers and directors $12,717 in reimbursements for travel-related and other expenses.</w:t>
      </w:r>
    </w:p>
    <w:p>
      <w:pPr>
        <w:spacing w:after="0" w:line="38"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We entered into an Administration Agreement with GSV Capital Service Company (the “Administration Agreement”) to provide administrative services, including furnishing us with office facilities, equipment, clerical, bookkeeping services and other administrative services, in connection with our initial public offering. We reimburse GSV Capital Service Company an allocable portion of overhead and other expenses in performing its obligations under the Administration Agreement. There were $709,885 and $1,597,869 in such costs incurred under the Administration Agreement for the three and six months ended June 30, 2013, and June 30, 2012 respectively. There were $602,201 and $947,795 in such costs incurred under the Administration Agreement for the three and six months ended June 30, 2012, respectively.</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84"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In April 2012, in connection with our investment in Top Hat, Inc., Cherry Tree &amp; Associates, LLC, an investment banking firm, received a fee of approximately $259,000 for its representation of Top Hat, Inc. Mark Moe, who is the brother of our Chief Executive Officer, Michael Moe, served as a Managing Director of Cherry Tree &amp; Associates, LLC, and may therefore be deemed to have had an indirect material interest in such transaction. In February 2013, Mark Moe joined NestGSV, Inc., one of our portfolio companies, as a Vice President of Business Development, Global Expansion.</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Investments at Fair Value</w:t>
      </w:r>
    </w:p>
    <w:p>
      <w:pPr>
        <w:spacing w:after="0" w:line="117" w:lineRule="exact"/>
        <w:rPr>
          <w:sz w:val="20"/>
          <w:szCs w:val="20"/>
          <w:color w:val="auto"/>
        </w:rPr>
      </w:pPr>
    </w:p>
    <w:p>
      <w:pPr>
        <w:jc w:val="both"/>
        <w:ind w:left="40" w:right="539" w:firstLine="270"/>
        <w:spacing w:after="0" w:line="271" w:lineRule="auto"/>
        <w:rPr>
          <w:sz w:val="20"/>
          <w:szCs w:val="20"/>
          <w:color w:val="auto"/>
        </w:rPr>
      </w:pPr>
      <w:r>
        <w:rPr>
          <w:rFonts w:ascii="Arial" w:cs="Arial" w:eastAsia="Arial" w:hAnsi="Arial"/>
          <w:sz w:val="17"/>
          <w:szCs w:val="17"/>
          <w:color w:val="auto"/>
        </w:rPr>
        <w:t>We carry our investments at fair value, as determined in good faith by our board of directors, in accordance with GAAP. Fair value is the price that one would receive upon selling an investment or pay to transfer a liability in an orderly transaction between market participants at the measurement date in the principal or most advantageous market for the investment or liability. GAAP emphasizes that valuation techniques should maximize the use of observable market inputs and minimize the use of unobservable inputs. Observable inputs are based on market data obtained from sources independent of the entity and should not be limited to information that is only available to the entity making the fair value determination, or to a small group of users. Observable market inputs should be readily available to participants in that market. In addition, observable market inputs should include a level of transparency that is reliable and verifiable.</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GAAP fair value measurement guidance classifies the inputs used to measure these fair values into the following hierarchy:</w:t>
      </w:r>
    </w:p>
    <w:p>
      <w:pPr>
        <w:spacing w:after="0" w:line="136" w:lineRule="exact"/>
        <w:rPr>
          <w:sz w:val="20"/>
          <w:szCs w:val="20"/>
          <w:color w:val="auto"/>
        </w:rPr>
      </w:pPr>
    </w:p>
    <w:p>
      <w:pPr>
        <w:jc w:val="both"/>
        <w:ind w:left="40" w:right="51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market that we have the ability to access.</w:t>
      </w:r>
    </w:p>
    <w:p>
      <w:pPr>
        <w:spacing w:after="0" w:line="54"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either directly or indirectly for substantially the full term of the asset or liability. Level 2 inputs include the following:</w:t>
      </w:r>
    </w:p>
    <w:p>
      <w:pPr>
        <w:spacing w:after="0" w:line="72" w:lineRule="exact"/>
        <w:rPr>
          <w:sz w:val="20"/>
          <w:szCs w:val="20"/>
          <w:color w:val="auto"/>
        </w:rPr>
      </w:pPr>
    </w:p>
    <w:p>
      <w:pPr>
        <w:ind w:left="540" w:hanging="26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and</w:t>
      </w:r>
    </w:p>
    <w:p>
      <w:pPr>
        <w:spacing w:after="0" w:line="117"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58"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both unobservable and significant to the overall fair value measurement. These inputs reflect management’s own assumptions about the assumptions a market participant would use in pricing the asset or liability.</w:t>
      </w:r>
    </w:p>
    <w:p>
      <w:pPr>
        <w:spacing w:after="0" w:line="7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An asset’s categorization within the valuation hierarchy is based upon the lowest level of input that is significant to the fair value measurement.</w:t>
      </w:r>
    </w:p>
    <w:p>
      <w:pPr>
        <w:spacing w:after="0" w:line="62"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are valued at fair value as determined in good faith by our board of directors.</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connection with that determination, portfolio company valuations are prepared using the most currently available data. As appropriate, we obtain updates on each portfolio company’s financial performance, including information such as economic and industry trends, new product development, and other operational issues.</w:t>
      </w:r>
    </w:p>
    <w:p>
      <w:pPr>
        <w:spacing w:after="0" w:line="73"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In making our good faith determination of the fair value of investments, we consider valuation methodologies consistent with industry practice, including but not limited to (i) publicly available information regarding the valuation of the securities based on recent sales in comparable transactions of private companies, (ii) when management believes there are comparable companies that are publicly traded, a review of these publicly traded companies and applicable market multiples of their equity securities and, (iii) an income approach that estimates value based on the expectation of future cash flows that an asset or business will generate.</w:t>
      </w:r>
    </w:p>
    <w:p>
      <w:pPr>
        <w:spacing w:after="0" w:line="5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We engage independent valuation firms to perform valuations of our investments that are not publicly traded or for which there are no readily available market quotations. We also engage independent valuation firms to perform valuations of any securities that trade on private secondary markets, but are not otherwise publicly traded, where there is a lack of appreciable trading or a wide disparity in recently reported trades. We consider the independent valuations, among other factors, in making our fair value determinations.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was taxed as a regular corporation (a “C corporation”) under subchapter C of the Internal Revenue Code of 1986, as amended, for its 2012 taxable year. The Company uses the liability method of accounting for income taxes. Deferred tax assets and liabilities are recorded for tax loss carryforwards and temporary differences between the tax basis of assets and liabilities and their reported amounts in the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81"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Beginning with its 2013 taxable year, the Company may elect to be treated as a regulated investment company (“RIC”) under subchapter M of the Internal Revenue Code of 1986, as amended (the “Code”), if management determines that it is in the best interests of the Company to do so and the Company is able to satisfy the requirements under subchapter M of the Code. In order to qualify as a RIC, among other things, the Company is required to distribute to its stockholders on a timely basis at least 90% of investment company taxable income, as defined by the Code, for each year, and to meet certain asset diversification requirements on a quarterly basis.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Company will represent obligations of the Company’s investors and will not be reflected in the consolidated financial statements of the Company. Although it is currently its intention to do so, at the present time, the Company cannot assure you whether it will elect to be treated as a RIC for its 2013 taxable year. If it opts not to do so, the Company will continue to be taxed as a C corporation under the Code for its 2013 taxable year.</w:t>
      </w:r>
    </w:p>
    <w:p>
      <w:pPr>
        <w:spacing w:after="0" w:line="65"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The Company did not have any unrecognized tax benefits as of the period presented herein. The Company identified its major tax jurisdictions as U.S. federal and California, and is not aware of any tax positions for which it is reasonably possible that the total amount of unrecognized tax benefits will change materially in the next 12 months.</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On July 12, 2013, July 15, 2013, and July 24, 2013, the Company sold a total of 175,000 shares of its investment in Facebook, Inc. in three transactions for $1,282,663, $657,521, and $3,133,395, respectively. The Company continues to hold 175,000 shares of Facebook, Inc.</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Subsequent to June 30, 2013, the Company closed on investments of $1.9 million, plus transaction costs as follows: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Company closed on an investment of $600,000, plus transaction costs, in NestGSV, Inc., an Incubator company, on July 15, 2013.</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Company closed on an investment of $1,099,997, plus transaction costs, in Dataminr, Inc., a Social Media Analytics company, on July 26, 2013.</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July 31, 2013, Grockit, Inc. sold its test preparation business and related assets, including the Grockit name, to Kaplan.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Concurrently, Grockit, Inc. changed its name to Learnist Inc.</w:t>
      </w:r>
    </w:p>
    <w:p>
      <w:pPr>
        <w:spacing w:after="0" w:line="10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Company closed on an investment of $225,000, plus transaction costs, in Kno, Inc., a Digital Textbooks Company, on August 1, 2013.</w:t>
      </w:r>
    </w:p>
    <w:p>
      <w:pPr>
        <w:spacing w:after="0" w:line="62"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August 2, 2013, Control4 Corporation priced its initial public offering, selling 4,000,000 shares at a price of $16 per share. The underwriters retain an option to purchase up to an additional 600,000 shares from Control4 Corporation at the public offering price, less the underwriting discount, for 30 days after the date of the prospectus. GSV Capital Corp.’s shares in Control4 Corporation are subject to a lock-up agreement.</w:t>
      </w:r>
    </w:p>
    <w:p>
      <w:pPr>
        <w:spacing w:after="0" w:line="79"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The Company is presently in the final stages of negotiations with respect to a handful of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Subsequent to June 30, 2013, the Company has not made any such escrow deposits.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We are subject to financial market risks, which could include, to the extent we utilize leverage, changes in interest rates. As we invest primarily in equity rather than debt instruments, we would not expect fluctuations in interest rates to directly impact our return on our portfolio investments, and therefore do not consider a Change in interest rates to be a significant although any significant change in market interest rates could potentially have an indirect effect on the business, financial condition and results of operations of the portfolio companies in which we invest.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As of June 30, 2013, we, including our Chief Executive Officer and Chief Financial Officer, evaluated the effectiveness of the design and operation of our disclosure controls and procedures (as defined in Rule 13a-15(e) under the Securities Exchange Act of 1934).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6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quarter ended June 30, 2013 that have materially affected, or are reasonably likely to materially affect, our internal control over financial reporting.</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None of us, our investment adviser or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Item 1A. Risk Factors in our Annual Report on Form 10-K for the fiscal year ended December 31, 2012, which could materially affect our business, financial condition and/or operating results. The risks described in our Annual Report on Form 10-K are not the only risks facing our company. Additional risks and uncertainties not currently known to us or that we currently deem to be immaterial also may materially and adversely affect our business, financial condition and/or operating results. With the exception of the risk factors set forth below, there have been no material changes during the six months ended June 30, 2013 to the risk factors discussed in Item 1A. Risk Factors in our Annual Report on Form 10-K for the year ended December 31, 2012.</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Investments</w:t>
      </w:r>
    </w:p>
    <w:p>
      <w:pPr>
        <w:spacing w:after="0" w:line="158" w:lineRule="exact"/>
        <w:rPr>
          <w:sz w:val="20"/>
          <w:szCs w:val="20"/>
          <w:color w:val="auto"/>
        </w:rPr>
      </w:pPr>
    </w:p>
    <w:p>
      <w:pPr>
        <w:jc w:val="both"/>
        <w:ind w:left="40" w:right="539"/>
        <w:spacing w:after="0" w:line="282" w:lineRule="auto"/>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 and limit the flexibility of our investment policies.</w:t>
      </w:r>
    </w:p>
    <w:p>
      <w:pPr>
        <w:spacing w:after="0" w:line="58"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We have entered into an Investment Advisory Agreement with GSV Asset Management. GSV Asset Management is controlled by Michael T. Moe, our president, chief executive officer and chairman of our board of directors and Stephen D. Bard, our chief financial officer, chief compliance officer, treasurer and corporate secretary. Messrs. Moe and Bard, as principals of GSV Asset Management, collectively manage the business and internal affairs of GSV Asset Management. In addition, GSV Capital Service Company provides us with office facilities and administrative services pursuant to an Administration Agreement. Mr. Moe is the managing member of and controls GSV Capital Service Company.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58"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such as, for example, the management of GSV X Fund by GSV Asset Management.</w:t>
      </w:r>
    </w:p>
    <w:p>
      <w:pPr>
        <w:spacing w:after="0" w:line="46"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While the investment focus of each of these entities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GSV Capital and the other funds that are currently or in the future may be managed by GSV Asset Management, to the extent it does identify such opportunities, GSV Asset Management has established an allocation policy to ensure that GSV Capital has priority over such other funds. Our board of directors will monitor on a quarterly basis any such allocation of investment opportunities between GSV Capital and any such other funds.</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 of us or our stockholder and may result in actual or perceived conflicts of interest.</w:t>
      </w:r>
    </w:p>
    <w:p>
      <w:pPr>
        <w:spacing w:after="0" w:line="64"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will review these procedures on an annual basis.</w:t>
      </w:r>
    </w:p>
    <w:p>
      <w:pPr>
        <w:spacing w:after="0" w:line="70"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We have also adopted a Code of Ethics which applies to, among others, our senior officers, including our chief executive officer and chief financial officer, as well as all of our officers, directors and employees. Our officers and directors also remain subject to the fiduciary obligations imposed by both the 1940 Act and applicable state corporate law.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 In accordance with Item 404, related parties generally include our directors and executive officers, any nominees for director, any immediate family member of a director or executive officer or nominee for director, and any other person sharing the household of such director, executive officer or nominee for director.</w:t>
      </w:r>
    </w:p>
    <w:p>
      <w:pPr>
        <w:spacing w:after="0" w:line="75"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Finally, we pay GSV Capital Service Company our allocable portion of overhead and other expenses incurred by GSV Capital Service Company in performing its obligations under the Administration Agreement, including a portion of the rent and the compensation of our chief financial officer and chief compliance officer and any administrative support personnel, which creates conflicts of interest that our board of directors must monitor.</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Investors in any future offerings may incur immediate and substantial dilution.</w:t>
      </w:r>
    </w:p>
    <w:p>
      <w:pPr>
        <w:spacing w:after="0" w:line="121" w:lineRule="exact"/>
        <w:rPr>
          <w:sz w:val="20"/>
          <w:szCs w:val="20"/>
          <w:color w:val="auto"/>
        </w:rPr>
      </w:pPr>
    </w:p>
    <w:p>
      <w:pPr>
        <w:jc w:val="both"/>
        <w:ind w:left="40" w:right="539" w:firstLine="270"/>
        <w:spacing w:after="0" w:line="276" w:lineRule="auto"/>
        <w:rPr>
          <w:sz w:val="20"/>
          <w:szCs w:val="20"/>
          <w:color w:val="auto"/>
        </w:rPr>
      </w:pPr>
      <w:r>
        <w:rPr>
          <w:rFonts w:ascii="Arial" w:cs="Arial" w:eastAsia="Arial" w:hAnsi="Arial"/>
          <w:sz w:val="17"/>
          <w:szCs w:val="17"/>
          <w:color w:val="auto"/>
        </w:rPr>
        <w:t>Commissions and discounts payable to any underwriters, together with our organizational expense and other expenses of any future offering, may reduce the net proceeds of any such offering available for us to invest. As of June 30, 2013 our net asset value was $248,607,249, or $12.87 per share. Depending upon the public offering price, and after deducting the underwriting discounts and commissions and the related offering expenses payable by us, in connection with any future offering, investors in any such offering may be subject to an immediate and substantial dilution.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-70485</wp:posOffset>
            </wp:positionV>
            <wp:extent cx="51796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ind w:left="4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Amendment and Restatement*</w:t>
      </w:r>
    </w:p>
    <w:p>
      <w:pPr>
        <w:spacing w:after="0" w:line="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Articles of Amendment**</w:t>
      </w:r>
    </w:p>
    <w:p>
      <w:pPr>
        <w:spacing w:after="0" w:line="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Bylaws*</w:t>
      </w:r>
    </w:p>
    <w:p>
      <w:pPr>
        <w:spacing w:after="0" w:line="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Common Stock Certificate*</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Dividend Reinvestment Plan*</w:t>
      </w:r>
    </w:p>
    <w:p>
      <w:pPr>
        <w:spacing w:after="0" w:line="9" w:lineRule="exact"/>
        <w:rPr>
          <w:sz w:val="20"/>
          <w:szCs w:val="20"/>
          <w:color w:val="auto"/>
        </w:rPr>
      </w:pPr>
    </w:p>
    <w:p>
      <w:pPr>
        <w:ind w:left="700" w:right="2199" w:hanging="701"/>
        <w:spacing w:after="0" w:line="250" w:lineRule="auto"/>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Investment Advisory Agreement by and between Registrant and GSV Asset Management, LLC ***</w:t>
      </w:r>
    </w:p>
    <w:p>
      <w:pPr>
        <w:spacing w:after="0" w:line="1" w:lineRule="exact"/>
        <w:rPr>
          <w:sz w:val="20"/>
          <w:szCs w:val="20"/>
          <w:color w:val="auto"/>
        </w:rPr>
      </w:pPr>
    </w:p>
    <w:p>
      <w:pPr>
        <w:ind w:left="700" w:right="1919" w:hanging="701"/>
        <w:spacing w:after="0" w:line="250" w:lineRule="auto"/>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Administration Agreement by and between Registrant and GSV Capital Service Company, LLC ***</w:t>
      </w:r>
    </w:p>
    <w:p>
      <w:pPr>
        <w:spacing w:after="0" w:line="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Indemnification Agreement by and between Registrant and each of its directors*</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Custody Agreement by and between Registrant and U.S. Bank National Association*</w:t>
      </w:r>
    </w:p>
    <w:p>
      <w:pPr>
        <w:spacing w:after="0" w:line="9" w:lineRule="exact"/>
        <w:rPr>
          <w:sz w:val="20"/>
          <w:szCs w:val="20"/>
          <w:color w:val="auto"/>
        </w:rPr>
      </w:pPr>
    </w:p>
    <w:p>
      <w:pPr>
        <w:ind w:left="700" w:right="2379" w:hanging="701"/>
        <w:spacing w:after="0" w:line="250" w:lineRule="auto"/>
        <w:tabs>
          <w:tab w:leader="none" w:pos="6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Trademark License Agreement by and between Registrant and GSV Asset Management, LLC**</w:t>
      </w:r>
    </w:p>
    <w:p>
      <w:pPr>
        <w:spacing w:after="0" w:line="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 of the Securities Exchange Act of</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1934, as amended.</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 of the Securities Exchange Act of</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1934, as amended.</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172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80" w:right="519" w:hanging="272"/>
        <w:spacing w:after="0" w:line="277" w:lineRule="auto"/>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in connection with Current Report on Form 8-K (File No. 814-00852) filed on June 1, 2011.</w:t>
      </w:r>
    </w:p>
    <w:p>
      <w:pPr>
        <w:spacing w:after="0" w:line="117" w:lineRule="exact"/>
        <w:rPr>
          <w:sz w:val="20"/>
          <w:szCs w:val="20"/>
          <w:color w:val="auto"/>
        </w:rPr>
      </w:pPr>
    </w:p>
    <w:p>
      <w:pPr>
        <w:ind w:left="280" w:right="539" w:hanging="269"/>
        <w:spacing w:after="0" w:line="277" w:lineRule="auto"/>
        <w:rPr>
          <w:sz w:val="20"/>
          <w:szCs w:val="20"/>
          <w:color w:val="auto"/>
        </w:rPr>
      </w:pPr>
      <w:r>
        <w:rPr>
          <w:rFonts w:ascii="Arial" w:cs="Arial" w:eastAsia="Arial" w:hAnsi="Arial"/>
          <w:sz w:val="18"/>
          <w:szCs w:val="18"/>
          <w:color w:val="auto"/>
        </w:rPr>
        <w:t>***Previously filed in connection with Annual Report for the fiscal year ended December 31, 2012 on Form 10-K (File No. 814-00852), filed on March 14, 2013.</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40" w:right="82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80" w:type="dxa"/>
            <w:vAlign w:val="bottom"/>
            <w:gridSpan w:val="3"/>
          </w:tcPr>
          <w:p>
            <w:pPr>
              <w:ind w:left="720"/>
              <w:spacing w:after="0"/>
              <w:rPr>
                <w:sz w:val="20"/>
                <w:szCs w:val="20"/>
                <w:color w:val="auto"/>
              </w:rPr>
            </w:pPr>
            <w:r>
              <w:rPr>
                <w:rFonts w:ascii="Arial" w:cs="Arial" w:eastAsia="Arial" w:hAnsi="Arial"/>
                <w:sz w:val="18"/>
                <w:szCs w:val="18"/>
                <w:b w:val="1"/>
                <w:bCs w:val="1"/>
                <w:color w:val="auto"/>
              </w:rPr>
              <w:t>GSV CAPITAL CORP.</w:t>
            </w:r>
          </w:p>
        </w:tc>
      </w:tr>
      <w:tr>
        <w:trPr>
          <w:trHeight w:val="234"/>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Date: August 9, 2013</w:t>
            </w:r>
          </w:p>
        </w:tc>
        <w:tc>
          <w:tcPr>
            <w:tcW w:w="8080" w:type="dxa"/>
            <w:vAlign w:val="bottom"/>
            <w:gridSpan w:val="3"/>
          </w:tcPr>
          <w:p>
            <w:pPr>
              <w:ind w:left="164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Michael T. Moe</w:t>
            </w:r>
          </w:p>
        </w:tc>
      </w:tr>
      <w:tr>
        <w:trPr>
          <w:trHeight w:val="195"/>
        </w:trPr>
        <w:tc>
          <w:tcPr>
            <w:tcW w:w="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T. Moe</w:t>
            </w:r>
          </w:p>
        </w:tc>
        <w:tc>
          <w:tcPr>
            <w:tcW w:w="218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 Chairman of</w:t>
            </w:r>
          </w:p>
        </w:tc>
      </w:tr>
      <w:tr>
        <w:trPr>
          <w:trHeight w:val="216"/>
        </w:trPr>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the Board of Directors</w:t>
            </w:r>
          </w:p>
        </w:tc>
      </w:tr>
      <w:tr>
        <w:trPr>
          <w:trHeight w:val="212"/>
        </w:trPr>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4"/>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Date: August 9, 2013</w:t>
            </w:r>
          </w:p>
        </w:tc>
        <w:tc>
          <w:tcPr>
            <w:tcW w:w="8080" w:type="dxa"/>
            <w:vAlign w:val="bottom"/>
            <w:gridSpan w:val="3"/>
          </w:tcPr>
          <w:p>
            <w:pPr>
              <w:ind w:left="164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Stephen D. Bard</w:t>
            </w:r>
          </w:p>
        </w:tc>
      </w:tr>
      <w:tr>
        <w:trPr>
          <w:trHeight w:val="195"/>
        </w:trPr>
        <w:tc>
          <w:tcPr>
            <w:tcW w:w="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Stephen D. Bard</w:t>
            </w:r>
          </w:p>
        </w:tc>
        <w:tc>
          <w:tcPr>
            <w:tcW w:w="218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230"/>
        </w:trPr>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0"/>
        </w:trPr>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900" w:type="dxa"/>
            <w:vAlign w:val="bottom"/>
            <w:gridSpan w:val="2"/>
          </w:tcPr>
          <w:p>
            <w:pPr>
              <w:jc w:val="right"/>
              <w:ind w:right="3370"/>
              <w:spacing w:after="0"/>
              <w:rPr>
                <w:sz w:val="20"/>
                <w:szCs w:val="20"/>
                <w:color w:val="auto"/>
              </w:rPr>
            </w:pPr>
            <w:r>
              <w:rPr>
                <w:rFonts w:ascii="Arial" w:cs="Arial" w:eastAsia="Arial" w:hAnsi="Arial"/>
                <w:sz w:val="18"/>
                <w:szCs w:val="18"/>
                <w:color w:val="auto"/>
              </w:rPr>
              <w:t>43</w:t>
            </w:r>
          </w:p>
        </w:tc>
        <w:tc>
          <w:tcPr>
            <w:tcW w:w="2180" w:type="dxa"/>
            <w:vAlign w:val="bottom"/>
          </w:tcPr>
          <w:p>
            <w:pPr>
              <w:spacing w:after="0"/>
              <w:rPr>
                <w:sz w:val="24"/>
                <w:szCs w:val="24"/>
                <w:color w:val="auto"/>
              </w:rPr>
            </w:pPr>
          </w:p>
        </w:tc>
      </w:tr>
      <w:tr>
        <w:trPr>
          <w:trHeight w:val="162"/>
        </w:trPr>
        <w:tc>
          <w:tcPr>
            <w:tcW w:w="780" w:type="dxa"/>
            <w:vAlign w:val="bottom"/>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39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780" w:type="dxa"/>
            <w:vAlign w:val="bottom"/>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39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6567170</wp:posOffset>
            </wp:positionH>
            <wp:positionV relativeFrom="paragraph">
              <wp:posOffset>-46355</wp:posOffset>
            </wp:positionV>
            <wp:extent cx="34290"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-46355</wp:posOffset>
            </wp:positionV>
            <wp:extent cx="34290" cy="59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-1954530</wp:posOffset>
            </wp:positionV>
            <wp:extent cx="51796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ectPr>
          <w:pgSz w:w="11900" w:h="16838" w:orient="portrait"/>
          <w:cols w:equalWidth="0" w:num="1">
            <w:col w:w="10380"/>
          </w:cols>
          <w:pgMar w:left="380" w:top="792" w:right="1139" w:bottom="1440" w:gutter="0" w:footer="0" w:header="0"/>
        </w:sectPr>
      </w:pPr>
    </w:p>
    <w:bookmarkStart w:id="45" w:name="page46"/>
    <w:bookmarkEnd w:id="45"/>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Michael T. Moe, certify that:</w:t>
      </w:r>
    </w:p>
    <w:p>
      <w:pPr>
        <w:spacing w:after="0" w:line="117" w:lineRule="exact"/>
        <w:rPr>
          <w:sz w:val="20"/>
          <w:szCs w:val="20"/>
          <w:color w:val="auto"/>
        </w:rPr>
      </w:pPr>
    </w:p>
    <w:p>
      <w:pPr>
        <w:ind w:left="540" w:hanging="26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539" w:hanging="262"/>
        <w:spacing w:after="0" w:line="26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820" w:right="539" w:hanging="272"/>
        <w:spacing w:after="0" w:line="312" w:lineRule="auto"/>
        <w:tabs>
          <w:tab w:leader="none" w:pos="8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jc w:val="both"/>
        <w:ind w:left="820" w:right="519" w:hanging="272"/>
        <w:spacing w:after="0" w:line="264" w:lineRule="auto"/>
        <w:tabs>
          <w:tab w:leader="none" w:pos="8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sz w:val="20"/>
          <w:szCs w:val="20"/>
          <w:color w:val="auto"/>
        </w:rPr>
      </w:pPr>
    </w:p>
    <w:p>
      <w:pPr>
        <w:jc w:val="both"/>
        <w:ind w:left="540" w:right="519" w:hanging="262"/>
        <w:spacing w:after="0" w:line="264"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820" w:right="519" w:hanging="272"/>
        <w:spacing w:after="0" w:line="264" w:lineRule="auto"/>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519" w:hanging="272"/>
        <w:spacing w:after="0" w:line="277" w:lineRule="auto"/>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9,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14605</wp:posOffset>
            </wp:positionV>
            <wp:extent cx="133794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447675</wp:posOffset>
            </wp:positionV>
            <wp:extent cx="6114415" cy="59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46" w:name="page47"/>
    <w:bookmarkEnd w:id="46"/>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Stephen D. Bard, certify that:</w:t>
      </w:r>
    </w:p>
    <w:p>
      <w:pPr>
        <w:spacing w:after="0" w:line="117" w:lineRule="exact"/>
        <w:rPr>
          <w:sz w:val="20"/>
          <w:szCs w:val="20"/>
          <w:color w:val="auto"/>
        </w:rPr>
      </w:pPr>
    </w:p>
    <w:p>
      <w:pPr>
        <w:ind w:left="540" w:hanging="26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539" w:hanging="262"/>
        <w:spacing w:after="0" w:line="26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820" w:right="539" w:hanging="272"/>
        <w:spacing w:after="0" w:line="312" w:lineRule="auto"/>
        <w:tabs>
          <w:tab w:leader="none" w:pos="8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jc w:val="both"/>
        <w:ind w:left="820" w:right="519" w:hanging="272"/>
        <w:spacing w:after="0" w:line="264"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820" w:right="519" w:hanging="272"/>
        <w:spacing w:after="0" w:line="264"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519" w:hanging="272"/>
        <w:spacing w:after="0" w:line="277"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9,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By:/s/ 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14605</wp:posOffset>
            </wp:positionV>
            <wp:extent cx="133794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Stephen D. Bard</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447675</wp:posOffset>
            </wp:positionV>
            <wp:extent cx="6114415"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47" w:name="page48"/>
    <w:bookmarkEnd w:id="47"/>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39" w:firstLine="270"/>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June 30, 2013 (the “Report”) of GSV Capital Corp. (the “Registrant”), as filed with the Securities and Exchange Commission on the date hereof, I, Michael T. Moe, the Chief Executive Officer of the Registrant, hereby certify, to the best of my knowledge, that:</w:t>
      </w:r>
    </w:p>
    <w:p>
      <w:pPr>
        <w:spacing w:after="0" w:line="73" w:lineRule="exact"/>
        <w:rPr>
          <w:sz w:val="20"/>
          <w:szCs w:val="20"/>
          <w:color w:val="auto"/>
        </w:rPr>
      </w:pPr>
    </w:p>
    <w:p>
      <w:pPr>
        <w:ind w:left="500" w:right="539" w:hanging="26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519" w:hanging="26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Michael T. Moe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Date: August 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447675</wp:posOffset>
            </wp:positionV>
            <wp:extent cx="6114415"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48" w:name="page49"/>
    <w:bookmarkEnd w:id="48"/>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June 30, 2013 (the “Report”) of GSV Capital Corp. (the “Registrant”), as filed with the Securities and Exchange Commission on the date hereof, I, Stephen D. Bard, the Chief Financial Officer of the Registrant, hereby certify, to the best of my knowledge, that:</w:t>
      </w:r>
    </w:p>
    <w:p>
      <w:pPr>
        <w:spacing w:after="0" w:line="73" w:lineRule="exact"/>
        <w:rPr>
          <w:sz w:val="20"/>
          <w:szCs w:val="20"/>
          <w:color w:val="auto"/>
        </w:rPr>
      </w:pPr>
    </w:p>
    <w:p>
      <w:pPr>
        <w:ind w:left="500" w:right="539" w:hanging="26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519" w:hanging="26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Stephen D. Bard</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Date: August 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447675</wp:posOffset>
            </wp:positionV>
            <wp:extent cx="6114415"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0"/>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0"/>
    </w:lvl>
  </w:abstractNum>
  <w:abstractNum w:abstractNumId="8">
    <w:nsid w:val="6B68079A"/>
    <w:multiLevelType w:val="hybridMultilevel"/>
    <w:lvl w:ilvl="0">
      <w:lvlJc w:val="left"/>
      <w:lvlText w:val="(%1)"/>
      <w:numFmt w:val="decimal"/>
      <w:start w:val="12"/>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lvl w:ilvl="1">
      <w:lvlJc w:val="left"/>
      <w:lvlText w:val="(%2)"/>
      <w:numFmt w:val="lowerLetter"/>
      <w:start w:val="1"/>
    </w:lvl>
  </w:abstractNum>
  <w:abstractNum w:abstractNumId="19">
    <w:nsid w:val="333AB105"/>
    <w:multiLevelType w:val="hybridMultilevel"/>
    <w:lvl w:ilvl="0">
      <w:lvlJc w:val="left"/>
      <w:lvlText w:val="5"/>
      <w:numFmt w:val="bullet"/>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2019-12-07T23:36:52Z</dcterms:created>
  <dcterms:modified xsi:type="dcterms:W3CDTF">2019-12-07T23:36:52Z</dcterms:modified>
</cp:coreProperties>
</file>