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165100</wp:posOffset>
            </wp:positionV>
            <wp:extent cx="5109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09210" cy="209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214630</wp:posOffset>
            </wp:positionV>
            <wp:extent cx="5109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698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419"/>
        <w:spacing w:after="0"/>
        <w:rPr>
          <w:sz w:val="20"/>
          <w:szCs w:val="20"/>
          <w:color w:val="auto"/>
        </w:rPr>
      </w:pPr>
      <w:r>
        <w:rPr>
          <w:rFonts w:ascii="Arial" w:cs="Arial" w:eastAsia="Arial" w:hAnsi="Arial"/>
          <w:sz w:val="18"/>
          <w:szCs w:val="18"/>
          <w:b w:val="1"/>
          <w:bCs w:val="1"/>
          <w:color w:val="auto"/>
        </w:rPr>
        <w:t>UNITED STATES</w:t>
      </w:r>
    </w:p>
    <w:p>
      <w:pPr>
        <w:jc w:val="center"/>
        <w:ind w:right="1359"/>
        <w:spacing w:after="0" w:line="217" w:lineRule="auto"/>
        <w:rPr>
          <w:sz w:val="20"/>
          <w:szCs w:val="20"/>
          <w:color w:val="auto"/>
        </w:rPr>
      </w:pPr>
      <w:r>
        <w:rPr>
          <w:rFonts w:ascii="Arial" w:cs="Arial" w:eastAsia="Arial" w:hAnsi="Arial"/>
          <w:sz w:val="18"/>
          <w:szCs w:val="18"/>
          <w:b w:val="1"/>
          <w:bCs w:val="1"/>
          <w:color w:val="auto"/>
        </w:rPr>
        <w:t>SECURITIES AND EXCHANGE COMMISSION</w:t>
      </w:r>
    </w:p>
    <w:p>
      <w:pPr>
        <w:ind w:left="374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80010</wp:posOffset>
            </wp:positionV>
            <wp:extent cx="10204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184"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53340</wp:posOffset>
            </wp:positionV>
            <wp:extent cx="10204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150" w:lineRule="exact"/>
        <w:rPr>
          <w:sz w:val="24"/>
          <w:szCs w:val="24"/>
          <w:color w:val="auto"/>
        </w:rPr>
      </w:pPr>
    </w:p>
    <w:p>
      <w:pPr>
        <w:ind w:left="420"/>
        <w:spacing w:after="0"/>
        <w:rPr>
          <w:sz w:val="20"/>
          <w:szCs w:val="20"/>
          <w:color w:val="auto"/>
        </w:rPr>
      </w:pPr>
      <w:r>
        <w:rPr>
          <w:rFonts w:ascii="Arial" w:cs="Arial" w:eastAsia="Arial" w:hAnsi="Arial"/>
          <w:sz w:val="15"/>
          <w:szCs w:val="15"/>
          <w:b w:val="1"/>
          <w:bCs w:val="1"/>
          <w:color w:val="auto"/>
        </w:rPr>
        <w:t>(Mark One)</w:t>
      </w:r>
    </w:p>
    <w:p>
      <w:pPr>
        <w:spacing w:after="0" w:line="111" w:lineRule="exact"/>
        <w:rPr>
          <w:sz w:val="24"/>
          <w:szCs w:val="24"/>
          <w:color w:val="auto"/>
        </w:rPr>
      </w:pPr>
    </w:p>
    <w:p>
      <w:pPr>
        <w:ind w:left="700" w:hanging="289"/>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342" w:lineRule="exact"/>
        <w:rPr>
          <w:sz w:val="24"/>
          <w:szCs w:val="24"/>
          <w:color w:val="auto"/>
        </w:rPr>
      </w:pPr>
    </w:p>
    <w:p>
      <w:pPr>
        <w:ind w:left="3160" w:right="2719" w:hanging="2749"/>
        <w:spacing w:after="0" w:line="486" w:lineRule="auto"/>
        <w:tabs>
          <w:tab w:leader="none" w:pos="703"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-29845</wp:posOffset>
            </wp:positionV>
            <wp:extent cx="10204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3" w:lineRule="exact"/>
        <w:rPr>
          <w:sz w:val="24"/>
          <w:szCs w:val="24"/>
          <w:color w:val="auto"/>
        </w:rPr>
      </w:pPr>
    </w:p>
    <w:p>
      <w:pPr>
        <w:ind w:left="3220"/>
        <w:spacing w:after="0"/>
        <w:rPr>
          <w:sz w:val="20"/>
          <w:szCs w:val="20"/>
          <w:color w:val="auto"/>
        </w:rPr>
      </w:pPr>
      <w:r>
        <w:rPr>
          <w:rFonts w:ascii="Arial" w:cs="Arial" w:eastAsia="Arial" w:hAnsi="Arial"/>
          <w:sz w:val="30"/>
          <w:szCs w:val="30"/>
          <w:b w:val="1"/>
          <w:bCs w:val="1"/>
          <w:color w:val="auto"/>
        </w:rPr>
        <w:t>GSV Capital Corp.</w:t>
      </w:r>
    </w:p>
    <w:p>
      <w:pPr>
        <w:spacing w:after="0" w:line="4" w:lineRule="exact"/>
        <w:rPr>
          <w:sz w:val="24"/>
          <w:szCs w:val="24"/>
          <w:color w:val="auto"/>
        </w:rPr>
      </w:pPr>
    </w:p>
    <w:p>
      <w:pPr>
        <w:ind w:left="31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78740</wp:posOffset>
            </wp:positionV>
            <wp:extent cx="10204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127" w:lineRule="exact"/>
        <w:rPr>
          <w:sz w:val="24"/>
          <w:szCs w:val="24"/>
          <w:color w:val="auto"/>
        </w:rPr>
      </w:pPr>
    </w:p>
    <w:tbl>
      <w:tblPr>
        <w:tblLayout w:type="fixed"/>
        <w:tblInd w:w="1360" w:type="dxa"/>
        <w:tblCellMar>
          <w:top w:w="0" w:type="dxa"/>
          <w:left w:w="0" w:type="dxa"/>
          <w:bottom w:w="0" w:type="dxa"/>
          <w:right w:w="0" w:type="dxa"/>
        </w:tblCellMar>
      </w:tblPr>
      <w:tr>
        <w:trPr>
          <w:trHeight w:val="151"/>
        </w:trPr>
        <w:tc>
          <w:tcPr>
            <w:tcW w:w="3140" w:type="dxa"/>
            <w:vAlign w:val="bottom"/>
          </w:tcPr>
          <w:p>
            <w:pPr>
              <w:jc w:val="center"/>
              <w:ind w:right="1057"/>
              <w:spacing w:after="0"/>
              <w:rPr>
                <w:sz w:val="20"/>
                <w:szCs w:val="20"/>
                <w:color w:val="auto"/>
              </w:rPr>
            </w:pPr>
            <w:r>
              <w:rPr>
                <w:rFonts w:ascii="Arial" w:cs="Arial" w:eastAsia="Arial" w:hAnsi="Arial"/>
                <w:sz w:val="13"/>
                <w:szCs w:val="13"/>
                <w:b w:val="1"/>
                <w:bCs w:val="1"/>
                <w:color w:val="auto"/>
              </w:rPr>
              <w:t>Maryland</w:t>
            </w:r>
          </w:p>
        </w:tc>
        <w:tc>
          <w:tcPr>
            <w:tcW w:w="2840" w:type="dxa"/>
            <w:vAlign w:val="bottom"/>
          </w:tcPr>
          <w:p>
            <w:pPr>
              <w:jc w:val="right"/>
              <w:ind w:right="477"/>
              <w:spacing w:after="0"/>
              <w:rPr>
                <w:sz w:val="20"/>
                <w:szCs w:val="20"/>
                <w:color w:val="auto"/>
              </w:rPr>
            </w:pPr>
            <w:r>
              <w:rPr>
                <w:rFonts w:ascii="Arial" w:cs="Arial" w:eastAsia="Arial" w:hAnsi="Arial"/>
                <w:sz w:val="13"/>
                <w:szCs w:val="13"/>
                <w:b w:val="1"/>
                <w:bCs w:val="1"/>
                <w:color w:val="auto"/>
              </w:rPr>
              <w:t>27-4443543</w:t>
            </w:r>
          </w:p>
        </w:tc>
      </w:tr>
      <w:tr>
        <w:trPr>
          <w:trHeight w:val="150"/>
        </w:trPr>
        <w:tc>
          <w:tcPr>
            <w:tcW w:w="3140" w:type="dxa"/>
            <w:vAlign w:val="bottom"/>
          </w:tcPr>
          <w:p>
            <w:pPr>
              <w:jc w:val="center"/>
              <w:ind w:right="1037"/>
              <w:spacing w:after="0"/>
              <w:rPr>
                <w:sz w:val="20"/>
                <w:szCs w:val="20"/>
                <w:color w:val="auto"/>
              </w:rPr>
            </w:pPr>
            <w:r>
              <w:rPr>
                <w:rFonts w:ascii="Arial" w:cs="Arial" w:eastAsia="Arial" w:hAnsi="Arial"/>
                <w:sz w:val="12"/>
                <w:szCs w:val="12"/>
                <w:color w:val="auto"/>
                <w:w w:val="91"/>
              </w:rPr>
              <w:t>(State of incorporation)</w:t>
            </w:r>
          </w:p>
        </w:tc>
        <w:tc>
          <w:tcPr>
            <w:tcW w:w="2840" w:type="dxa"/>
            <w:vAlign w:val="bottom"/>
          </w:tcPr>
          <w:p>
            <w:pPr>
              <w:jc w:val="center"/>
              <w:ind w:left="1057"/>
              <w:spacing w:after="0"/>
              <w:rPr>
                <w:sz w:val="20"/>
                <w:szCs w:val="20"/>
                <w:color w:val="auto"/>
              </w:rPr>
            </w:pPr>
            <w:r>
              <w:rPr>
                <w:rFonts w:ascii="Arial" w:cs="Arial" w:eastAsia="Arial" w:hAnsi="Arial"/>
                <w:sz w:val="12"/>
                <w:szCs w:val="12"/>
                <w:color w:val="auto"/>
                <w:w w:val="93"/>
              </w:rPr>
              <w:t>(I.R.S. Employer Identification No.)</w:t>
            </w:r>
          </w:p>
        </w:tc>
      </w:tr>
      <w:tr>
        <w:trPr>
          <w:trHeight w:val="207"/>
        </w:trPr>
        <w:tc>
          <w:tcPr>
            <w:tcW w:w="3140" w:type="dxa"/>
            <w:vAlign w:val="bottom"/>
          </w:tcPr>
          <w:p>
            <w:pPr>
              <w:jc w:val="center"/>
              <w:ind w:right="1037"/>
              <w:spacing w:after="0"/>
              <w:rPr>
                <w:sz w:val="20"/>
                <w:szCs w:val="20"/>
                <w:color w:val="auto"/>
              </w:rPr>
            </w:pPr>
            <w:r>
              <w:rPr>
                <w:rFonts w:ascii="Arial" w:cs="Arial" w:eastAsia="Arial" w:hAnsi="Arial"/>
                <w:sz w:val="13"/>
                <w:szCs w:val="13"/>
                <w:b w:val="1"/>
                <w:bCs w:val="1"/>
                <w:color w:val="auto"/>
                <w:w w:val="91"/>
              </w:rPr>
              <w:t>2925 Woodside Road Woodside, CA</w:t>
            </w:r>
          </w:p>
        </w:tc>
        <w:tc>
          <w:tcPr>
            <w:tcW w:w="2840" w:type="dxa"/>
            <w:vAlign w:val="bottom"/>
          </w:tcPr>
          <w:p>
            <w:pPr>
              <w:jc w:val="right"/>
              <w:ind w:right="637"/>
              <w:spacing w:after="0"/>
              <w:rPr>
                <w:sz w:val="20"/>
                <w:szCs w:val="20"/>
                <w:color w:val="auto"/>
              </w:rPr>
            </w:pPr>
            <w:r>
              <w:rPr>
                <w:rFonts w:ascii="Arial" w:cs="Arial" w:eastAsia="Arial" w:hAnsi="Arial"/>
                <w:sz w:val="13"/>
                <w:szCs w:val="13"/>
                <w:b w:val="1"/>
                <w:bCs w:val="1"/>
                <w:color w:val="auto"/>
              </w:rPr>
              <w:t>94062</w:t>
            </w:r>
          </w:p>
        </w:tc>
      </w:tr>
      <w:tr>
        <w:trPr>
          <w:trHeight w:val="150"/>
        </w:trPr>
        <w:tc>
          <w:tcPr>
            <w:tcW w:w="3140" w:type="dxa"/>
            <w:vAlign w:val="bottom"/>
          </w:tcPr>
          <w:p>
            <w:pPr>
              <w:jc w:val="center"/>
              <w:ind w:right="1037"/>
              <w:spacing w:after="0"/>
              <w:rPr>
                <w:sz w:val="20"/>
                <w:szCs w:val="20"/>
                <w:color w:val="auto"/>
              </w:rPr>
            </w:pPr>
            <w:r>
              <w:rPr>
                <w:rFonts w:ascii="Arial" w:cs="Arial" w:eastAsia="Arial" w:hAnsi="Arial"/>
                <w:sz w:val="12"/>
                <w:szCs w:val="12"/>
                <w:color w:val="auto"/>
                <w:w w:val="91"/>
              </w:rPr>
              <w:t>(Address of principal executive offices)</w:t>
            </w:r>
          </w:p>
        </w:tc>
        <w:tc>
          <w:tcPr>
            <w:tcW w:w="2840" w:type="dxa"/>
            <w:vAlign w:val="bottom"/>
          </w:tcPr>
          <w:p>
            <w:pPr>
              <w:jc w:val="center"/>
              <w:ind w:left="1057"/>
              <w:spacing w:after="0"/>
              <w:rPr>
                <w:sz w:val="20"/>
                <w:szCs w:val="20"/>
                <w:color w:val="auto"/>
              </w:rPr>
            </w:pPr>
            <w:r>
              <w:rPr>
                <w:rFonts w:ascii="Arial" w:cs="Arial" w:eastAsia="Arial" w:hAnsi="Arial"/>
                <w:sz w:val="12"/>
                <w:szCs w:val="12"/>
                <w:color w:val="auto"/>
                <w:w w:val="91"/>
              </w:rPr>
              <w:t>(Zip Code)</w:t>
            </w:r>
          </w:p>
        </w:tc>
      </w:tr>
    </w:tbl>
    <w:p>
      <w:pPr>
        <w:spacing w:after="0" w:line="134" w:lineRule="exact"/>
        <w:rPr>
          <w:sz w:val="24"/>
          <w:szCs w:val="24"/>
          <w:color w:val="auto"/>
        </w:rPr>
      </w:pPr>
    </w:p>
    <w:p>
      <w:pPr>
        <w:jc w:val="center"/>
        <w:ind w:right="1399"/>
        <w:spacing w:after="0"/>
        <w:rPr>
          <w:sz w:val="20"/>
          <w:szCs w:val="20"/>
          <w:color w:val="auto"/>
        </w:rPr>
      </w:pPr>
      <w:r>
        <w:rPr>
          <w:rFonts w:ascii="Arial" w:cs="Arial" w:eastAsia="Arial" w:hAnsi="Arial"/>
          <w:sz w:val="13"/>
          <w:szCs w:val="13"/>
          <w:b w:val="1"/>
          <w:bCs w:val="1"/>
          <w:color w:val="auto"/>
        </w:rPr>
        <w:t>(650) 235-4769</w:t>
      </w:r>
    </w:p>
    <w:p>
      <w:pPr>
        <w:spacing w:after="0" w:line="10" w:lineRule="exact"/>
        <w:rPr>
          <w:sz w:val="24"/>
          <w:szCs w:val="24"/>
          <w:color w:val="auto"/>
        </w:rPr>
      </w:pPr>
    </w:p>
    <w:p>
      <w:pPr>
        <w:jc w:val="center"/>
        <w:ind w:right="1359"/>
        <w:spacing w:after="0"/>
        <w:rPr>
          <w:sz w:val="20"/>
          <w:szCs w:val="20"/>
          <w:color w:val="auto"/>
        </w:rPr>
      </w:pPr>
      <w:r>
        <w:rPr>
          <w:rFonts w:ascii="Arial" w:cs="Arial" w:eastAsia="Arial" w:hAnsi="Arial"/>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51435</wp:posOffset>
            </wp:positionV>
            <wp:extent cx="10204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174"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44" w:lineRule="exact"/>
        <w:rPr>
          <w:sz w:val="24"/>
          <w:szCs w:val="24"/>
          <w:color w:val="auto"/>
        </w:rPr>
      </w:pPr>
    </w:p>
    <w:tbl>
      <w:tblPr>
        <w:tblLayout w:type="fixed"/>
        <w:tblInd w:w="420" w:type="dxa"/>
        <w:tblCellMar>
          <w:top w:w="0" w:type="dxa"/>
          <w:left w:w="0" w:type="dxa"/>
          <w:bottom w:w="0" w:type="dxa"/>
          <w:right w:w="0" w:type="dxa"/>
        </w:tblCellMar>
      </w:tblPr>
      <w:tr>
        <w:trPr>
          <w:trHeight w:val="157"/>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Title of Each Class</w:t>
            </w:r>
          </w:p>
        </w:tc>
        <w:tc>
          <w:tcPr>
            <w:tcW w:w="180" w:type="dxa"/>
            <w:vAlign w:val="bottom"/>
          </w:tcPr>
          <w:p>
            <w:pPr>
              <w:spacing w:after="0"/>
              <w:rPr>
                <w:sz w:val="13"/>
                <w:szCs w:val="13"/>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82"/>
        </w:trPr>
        <w:tc>
          <w:tcPr>
            <w:tcW w:w="410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Common Stock, par value $0.01 per share</w:t>
            </w:r>
          </w:p>
        </w:tc>
        <w:tc>
          <w:tcPr>
            <w:tcW w:w="3920" w:type="dxa"/>
            <w:vAlign w:val="bottom"/>
          </w:tcPr>
          <w:p>
            <w:pPr>
              <w:jc w:val="center"/>
              <w:spacing w:after="0"/>
              <w:rPr>
                <w:sz w:val="20"/>
                <w:szCs w:val="20"/>
                <w:color w:val="auto"/>
              </w:rPr>
            </w:pPr>
            <w:r>
              <w:rPr>
                <w:rFonts w:ascii="Arial" w:cs="Arial" w:eastAsia="Arial" w:hAnsi="Arial"/>
                <w:sz w:val="13"/>
                <w:szCs w:val="13"/>
                <w:color w:val="auto"/>
                <w:w w:val="93"/>
              </w:rPr>
              <w:t>Nasdaq Capital Market</w:t>
            </w:r>
          </w:p>
        </w:tc>
      </w:tr>
    </w:tbl>
    <w:p>
      <w:pPr>
        <w:spacing w:after="0" w:line="139" w:lineRule="exact"/>
        <w:rPr>
          <w:sz w:val="24"/>
          <w:szCs w:val="24"/>
          <w:color w:val="auto"/>
        </w:rPr>
      </w:pPr>
    </w:p>
    <w:p>
      <w:pPr>
        <w:jc w:val="center"/>
        <w:ind w:right="139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None</w:t>
      </w:r>
    </w:p>
    <w:p>
      <w:pPr>
        <w:spacing w:after="0" w:line="10" w:lineRule="exact"/>
        <w:rPr>
          <w:sz w:val="24"/>
          <w:szCs w:val="24"/>
          <w:color w:val="auto"/>
        </w:rPr>
      </w:pPr>
    </w:p>
    <w:p>
      <w:pPr>
        <w:ind w:left="700" w:right="2339"/>
        <w:spacing w:after="0" w:line="180"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left="420" w:right="1839" w:firstLine="297"/>
        <w:spacing w:after="0" w:line="15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 w:lineRule="exact"/>
        <w:rPr>
          <w:sz w:val="24"/>
          <w:szCs w:val="24"/>
          <w:color w:val="auto"/>
        </w:rPr>
      </w:pPr>
    </w:p>
    <w:p>
      <w:pPr>
        <w:jc w:val="both"/>
        <w:ind w:left="420" w:right="1919" w:firstLine="297"/>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420" w:right="1859" w:firstLine="297"/>
        <w:spacing w:after="0" w:line="155"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ind w:left="420" w:right="1799" w:firstLine="297"/>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9"/>
          </w:cols>
          <w:pgMar w:left="220" w:top="222" w:right="1440" w:bottom="1440" w:gutter="0" w:footer="0" w:header="0"/>
        </w:sectPr>
      </w:pPr>
    </w:p>
    <w:p>
      <w:pPr>
        <w:spacing w:after="0" w:line="48" w:lineRule="exact"/>
        <w:rPr>
          <w:sz w:val="24"/>
          <w:szCs w:val="24"/>
          <w:color w:val="auto"/>
        </w:rPr>
      </w:pPr>
    </w:p>
    <w:p>
      <w:pPr>
        <w:ind w:left="7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72" w:lineRule="exact"/>
        <w:rPr>
          <w:sz w:val="24"/>
          <w:szCs w:val="24"/>
          <w:color w:val="auto"/>
        </w:rPr>
      </w:pPr>
    </w:p>
    <w:p>
      <w:pPr>
        <w:sectPr>
          <w:pgSz w:w="11900" w:h="16838" w:orient="portrait"/>
          <w:cols w:equalWidth="0" w:num="2">
            <w:col w:w="4540" w:space="720"/>
            <w:col w:w="4979"/>
          </w:cols>
          <w:pgMar w:left="220" w:top="222" w:right="1440" w:bottom="1440" w:gutter="0" w:footer="0" w:header="0"/>
          <w:type w:val="continuous"/>
        </w:sectPr>
      </w:pPr>
    </w:p>
    <w:p>
      <w:pPr>
        <w:ind w:left="70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18" w:lineRule="exact"/>
        <w:rPr>
          <w:sz w:val="24"/>
          <w:szCs w:val="24"/>
          <w:color w:val="auto"/>
        </w:rPr>
      </w:pPr>
    </w:p>
    <w:p>
      <w:pPr>
        <w:sectPr>
          <w:pgSz w:w="11900" w:h="16838" w:orient="portrait"/>
          <w:cols w:equalWidth="0" w:num="3">
            <w:col w:w="2000" w:space="40"/>
            <w:col w:w="2500" w:space="720"/>
            <w:col w:w="4979"/>
          </w:cols>
          <w:pgMar w:left="220" w:top="222" w:right="1440" w:bottom="1440" w:gutter="0" w:footer="0" w:header="0"/>
          <w:type w:val="continuous"/>
        </w:sectPr>
      </w:pPr>
    </w:p>
    <w:p>
      <w:pPr>
        <w:ind w:left="7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0239"/>
          </w:cols>
          <w:pgMar w:left="220" w:top="222" w:right="1440" w:bottom="1440" w:gutter="0" w:footer="0" w:header="0"/>
          <w:type w:val="continuous"/>
        </w:sectPr>
      </w:pPr>
    </w:p>
    <w:p>
      <w:pPr>
        <w:spacing w:after="0" w:line="157" w:lineRule="exact"/>
        <w:rPr>
          <w:sz w:val="24"/>
          <w:szCs w:val="24"/>
          <w:color w:val="auto"/>
        </w:rPr>
      </w:pPr>
    </w:p>
    <w:p>
      <w:pPr>
        <w:ind w:left="420" w:right="2039" w:firstLine="297"/>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7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left="420" w:right="1879" w:firstLine="297"/>
        <w:spacing w:after="0"/>
        <w:rPr>
          <w:sz w:val="20"/>
          <w:szCs w:val="20"/>
          <w:color w:val="auto"/>
        </w:rPr>
      </w:pPr>
      <w:r>
        <w:rPr>
          <w:rFonts w:ascii="Arial" w:cs="Arial" w:eastAsia="Arial" w:hAnsi="Arial"/>
          <w:sz w:val="13"/>
          <w:szCs w:val="13"/>
          <w:color w:val="auto"/>
        </w:rPr>
        <w:t>The aggregate market value of common stock beneficially owned by non-affiliates of the Registrant on June 30, 2017, based on the closing price on that date of $4.34 on the Nasdaq Capital Market, was $95,694,457. For the purposes of calculating this amount only, all interested directors and executive officers of the Registrant have been treated as affiliates.</w:t>
      </w:r>
    </w:p>
    <w:p>
      <w:pPr>
        <w:spacing w:after="0" w:line="8" w:lineRule="exact"/>
        <w:rPr>
          <w:sz w:val="24"/>
          <w:szCs w:val="24"/>
          <w:color w:val="auto"/>
        </w:rPr>
      </w:pPr>
    </w:p>
    <w:p>
      <w:pPr>
        <w:ind w:left="700"/>
        <w:spacing w:after="0"/>
        <w:rPr>
          <w:sz w:val="20"/>
          <w:szCs w:val="20"/>
          <w:color w:val="auto"/>
        </w:rPr>
      </w:pPr>
      <w:r>
        <w:rPr>
          <w:rFonts w:ascii="Arial" w:cs="Arial" w:eastAsia="Arial" w:hAnsi="Arial"/>
          <w:sz w:val="13"/>
          <w:szCs w:val="13"/>
          <w:color w:val="auto"/>
        </w:rPr>
        <w:t>There were 21,066,538 shares of the Registrant’s common stock outstanding as of March 16, 2018.</w:t>
      </w:r>
    </w:p>
    <w:p>
      <w:pPr>
        <w:spacing w:after="0" w:line="34" w:lineRule="exact"/>
        <w:rPr>
          <w:sz w:val="24"/>
          <w:szCs w:val="24"/>
          <w:color w:val="auto"/>
        </w:rPr>
      </w:pPr>
    </w:p>
    <w:p>
      <w:pPr>
        <w:jc w:val="center"/>
        <w:ind w:right="1359"/>
        <w:spacing w:after="0"/>
        <w:rPr>
          <w:sz w:val="20"/>
          <w:szCs w:val="20"/>
          <w:color w:val="auto"/>
        </w:rPr>
      </w:pPr>
      <w:r>
        <w:rPr>
          <w:rFonts w:ascii="Arial" w:cs="Arial" w:eastAsia="Arial" w:hAnsi="Arial"/>
          <w:sz w:val="15"/>
          <w:szCs w:val="15"/>
          <w:b w:val="1"/>
          <w:bCs w:val="1"/>
          <w:color w:val="auto"/>
        </w:rPr>
        <w:t>DOCUMENTS INCORPORATED BY REFERENCE</w:t>
      </w:r>
    </w:p>
    <w:p>
      <w:pPr>
        <w:spacing w:after="0" w:line="23" w:lineRule="exact"/>
        <w:rPr>
          <w:sz w:val="24"/>
          <w:szCs w:val="24"/>
          <w:color w:val="auto"/>
        </w:rPr>
      </w:pPr>
    </w:p>
    <w:p>
      <w:pPr>
        <w:ind w:left="420" w:right="1859" w:firstLine="297"/>
        <w:spacing w:after="0" w:line="250" w:lineRule="auto"/>
        <w:rPr>
          <w:sz w:val="20"/>
          <w:szCs w:val="20"/>
          <w:color w:val="auto"/>
        </w:rPr>
      </w:pPr>
      <w:r>
        <w:rPr>
          <w:rFonts w:ascii="Arial" w:cs="Arial" w:eastAsia="Arial" w:hAnsi="Arial"/>
          <w:sz w:val="13"/>
          <w:szCs w:val="13"/>
          <w:color w:val="auto"/>
        </w:rPr>
        <w:t>Portions of the Registrant’s definitive proxy statement relating to the Registrant’s 2018 annual meeting of stockholders (the “2018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77470</wp:posOffset>
            </wp:positionV>
            <wp:extent cx="51092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09210" cy="698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112395</wp:posOffset>
            </wp:positionV>
            <wp:extent cx="51092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09210" cy="20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327025</wp:posOffset>
            </wp:positionV>
            <wp:extent cx="565150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222" w:right="1440" w:bottom="1440" w:gutter="0" w:footer="0" w:header="0"/>
          <w:type w:val="continuous"/>
        </w:sectPr>
      </w:pPr>
    </w:p>
    <w:bookmarkStart w:id="1" w:name="page2"/>
    <w:bookmarkEnd w:id="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gridSpan w:val="10"/>
          </w:tcPr>
          <w:p>
            <w:pPr>
              <w:jc w:val="center"/>
              <w:ind w:right="2160"/>
              <w:spacing w:after="0"/>
              <w:rPr>
                <w:sz w:val="20"/>
                <w:szCs w:val="20"/>
                <w:color w:val="auto"/>
              </w:rPr>
            </w:pPr>
            <w:r>
              <w:rPr>
                <w:rFonts w:ascii="Arial" w:cs="Arial" w:eastAsia="Arial" w:hAnsi="Arial"/>
                <w:sz w:val="15"/>
                <w:szCs w:val="15"/>
                <w:b w:val="1"/>
                <w:bCs w:val="1"/>
                <w:color w:val="auto"/>
                <w:w w:val="97"/>
              </w:rPr>
              <w:t>GSV CAPITAL CORP.</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10"/>
          </w:tcPr>
          <w:p>
            <w:pPr>
              <w:jc w:val="center"/>
              <w:ind w:right="2160"/>
              <w:spacing w:after="0"/>
              <w:rPr>
                <w:sz w:val="20"/>
                <w:szCs w:val="20"/>
                <w:color w:val="auto"/>
              </w:rPr>
            </w:pPr>
            <w:r>
              <w:rPr>
                <w:rFonts w:ascii="Arial" w:cs="Arial" w:eastAsia="Arial" w:hAnsi="Arial"/>
                <w:sz w:val="15"/>
                <w:szCs w:val="15"/>
                <w:b w:val="1"/>
                <w:bCs w:val="1"/>
                <w:color w:val="auto"/>
                <w:w w:val="98"/>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70"/>
              </w:rPr>
              <w:t>PAGE</w:t>
            </w:r>
          </w:p>
        </w:tc>
      </w:tr>
      <w:tr>
        <w:trPr>
          <w:trHeight w:val="33"/>
        </w:trPr>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PART I.</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rFonts w:ascii="Arial" w:cs="Arial" w:eastAsia="Arial" w:hAnsi="Arial"/>
                <w:sz w:val="15"/>
                <w:szCs w:val="15"/>
                <w:color w:val="0000EE"/>
                <w:w w:val="82"/>
              </w:rPr>
            </w:pPr>
            <w:hyperlink w:anchor="page2">
              <w:r>
                <w:rPr>
                  <w:rFonts w:ascii="Arial" w:cs="Arial" w:eastAsia="Arial" w:hAnsi="Arial"/>
                  <w:sz w:val="15"/>
                  <w:szCs w:val="15"/>
                  <w:color w:val="0000EE"/>
                  <w:w w:val="82"/>
                </w:rPr>
                <w:t>Item 1.</w:t>
              </w:r>
            </w:hyperlink>
          </w:p>
        </w:tc>
        <w:tc>
          <w:tcPr>
            <w:tcW w:w="320" w:type="dxa"/>
            <w:vAlign w:val="bottom"/>
            <w:gridSpan w:val="3"/>
          </w:tcPr>
          <w:p>
            <w:pPr>
              <w:spacing w:after="0"/>
              <w:rPr>
                <w:sz w:val="18"/>
                <w:szCs w:val="18"/>
                <w:color w:val="auto"/>
              </w:rPr>
            </w:pPr>
          </w:p>
        </w:tc>
        <w:tc>
          <w:tcPr>
            <w:tcW w:w="5760" w:type="dxa"/>
            <w:vAlign w:val="bottom"/>
            <w:gridSpan w:val="19"/>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Business</w:t>
              </w:r>
            </w:hyperlink>
          </w:p>
        </w:tc>
        <w:tc>
          <w:tcPr>
            <w:tcW w:w="280" w:type="dxa"/>
            <w:vAlign w:val="bottom"/>
            <w:gridSpan w:val="3"/>
          </w:tcPr>
          <w:p>
            <w:pPr>
              <w:jc w:val="right"/>
              <w:ind w:right="60"/>
              <w:spacing w:after="0"/>
              <w:rPr>
                <w:rFonts w:ascii="Arial" w:cs="Arial" w:eastAsia="Arial" w:hAnsi="Arial"/>
                <w:sz w:val="15"/>
                <w:szCs w:val="15"/>
                <w:color w:val="0000EE"/>
              </w:rPr>
            </w:pPr>
            <w:hyperlink w:anchor="page2">
              <w:r>
                <w:rPr>
                  <w:rFonts w:ascii="Arial" w:cs="Arial" w:eastAsia="Arial" w:hAnsi="Arial"/>
                  <w:sz w:val="15"/>
                  <w:szCs w:val="15"/>
                  <w:color w:val="0000EE"/>
                </w:rPr>
                <w:t>1</w:t>
              </w:r>
            </w:hyperlink>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spacing w:after="0"/>
              <w:rPr>
                <w:rFonts w:ascii="Arial" w:cs="Arial" w:eastAsia="Arial" w:hAnsi="Arial"/>
                <w:sz w:val="15"/>
                <w:szCs w:val="15"/>
                <w:color w:val="0000EE"/>
                <w:w w:val="89"/>
              </w:rPr>
            </w:pPr>
            <w:hyperlink w:anchor="page24">
              <w:r>
                <w:rPr>
                  <w:rFonts w:ascii="Arial" w:cs="Arial" w:eastAsia="Arial" w:hAnsi="Arial"/>
                  <w:sz w:val="15"/>
                  <w:szCs w:val="15"/>
                  <w:color w:val="0000EE"/>
                  <w:w w:val="89"/>
                </w:rPr>
                <w:t>Item 1A.</w:t>
              </w:r>
            </w:hyperlink>
          </w:p>
        </w:tc>
        <w:tc>
          <w:tcPr>
            <w:tcW w:w="220" w:type="dxa"/>
            <w:vAlign w:val="bottom"/>
            <w:gridSpan w:val="2"/>
            <w:shd w:val="clear" w:color="auto" w:fill="CCEEFF"/>
          </w:tcPr>
          <w:p>
            <w:pPr>
              <w:spacing w:after="0"/>
              <w:rPr>
                <w:sz w:val="19"/>
                <w:szCs w:val="19"/>
                <w:color w:val="auto"/>
              </w:rPr>
            </w:pPr>
          </w:p>
        </w:tc>
        <w:tc>
          <w:tcPr>
            <w:tcW w:w="5760" w:type="dxa"/>
            <w:vAlign w:val="bottom"/>
            <w:tcBorders>
              <w:right w:val="single" w:sz="8" w:color="CCEEFF"/>
            </w:tcBorders>
            <w:gridSpan w:val="19"/>
            <w:shd w:val="clear" w:color="auto" w:fill="CCEEFF"/>
          </w:tcPr>
          <w:p>
            <w:pPr>
              <w:spacing w:after="0"/>
              <w:rPr>
                <w:rFonts w:ascii="Arial" w:cs="Arial" w:eastAsia="Arial" w:hAnsi="Arial"/>
                <w:sz w:val="15"/>
                <w:szCs w:val="15"/>
                <w:color w:val="0000EE"/>
              </w:rPr>
            </w:pPr>
            <w:hyperlink w:anchor="page24">
              <w:r>
                <w:rPr>
                  <w:rFonts w:ascii="Arial" w:cs="Arial" w:eastAsia="Arial" w:hAnsi="Arial"/>
                  <w:sz w:val="15"/>
                  <w:szCs w:val="15"/>
                  <w:color w:val="0000EE"/>
                </w:rPr>
                <w:t>Risk Factors</w:t>
              </w:r>
            </w:hyperlink>
          </w:p>
        </w:tc>
        <w:tc>
          <w:tcPr>
            <w:tcW w:w="220" w:type="dxa"/>
            <w:vAlign w:val="bottom"/>
            <w:gridSpan w:val="2"/>
            <w:shd w:val="clear" w:color="auto" w:fill="CCEEFF"/>
          </w:tcPr>
          <w:p>
            <w:pPr>
              <w:jc w:val="right"/>
              <w:spacing w:after="0"/>
              <w:rPr>
                <w:rFonts w:ascii="Arial" w:cs="Arial" w:eastAsia="Arial" w:hAnsi="Arial"/>
                <w:sz w:val="15"/>
                <w:szCs w:val="15"/>
                <w:color w:val="0000EE"/>
              </w:rPr>
            </w:pPr>
            <w:hyperlink w:anchor="page24">
              <w:r>
                <w:rPr>
                  <w:rFonts w:ascii="Arial" w:cs="Arial" w:eastAsia="Arial" w:hAnsi="Arial"/>
                  <w:sz w:val="15"/>
                  <w:szCs w:val="15"/>
                  <w:color w:val="0000EE"/>
                </w:rPr>
                <w:t>23</w:t>
              </w:r>
            </w:hyperlink>
          </w:p>
        </w:tc>
        <w:tc>
          <w:tcPr>
            <w:tcW w:w="6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5"/>
                <w:szCs w:val="15"/>
                <w:color w:val="0000EE"/>
                <w:w w:val="89"/>
              </w:rPr>
            </w:pPr>
            <w:hyperlink w:anchor="page50">
              <w:r>
                <w:rPr>
                  <w:rFonts w:ascii="Arial" w:cs="Arial" w:eastAsia="Arial" w:hAnsi="Arial"/>
                  <w:sz w:val="15"/>
                  <w:szCs w:val="15"/>
                  <w:color w:val="0000EE"/>
                  <w:w w:val="89"/>
                </w:rPr>
                <w:t>Item 1B.</w:t>
              </w:r>
            </w:hyperlink>
          </w:p>
        </w:tc>
        <w:tc>
          <w:tcPr>
            <w:tcW w:w="220" w:type="dxa"/>
            <w:vAlign w:val="bottom"/>
            <w:gridSpan w:val="2"/>
          </w:tcPr>
          <w:p>
            <w:pPr>
              <w:spacing w:after="0"/>
              <w:rPr>
                <w:sz w:val="18"/>
                <w:szCs w:val="18"/>
                <w:color w:val="auto"/>
              </w:rPr>
            </w:pPr>
          </w:p>
        </w:tc>
        <w:tc>
          <w:tcPr>
            <w:tcW w:w="5760" w:type="dxa"/>
            <w:vAlign w:val="bottom"/>
            <w:gridSpan w:val="19"/>
          </w:tcPr>
          <w:p>
            <w:pPr>
              <w:spacing w:after="0"/>
              <w:rPr>
                <w:rFonts w:ascii="Arial" w:cs="Arial" w:eastAsia="Arial" w:hAnsi="Arial"/>
                <w:sz w:val="15"/>
                <w:szCs w:val="15"/>
                <w:color w:val="0000EE"/>
              </w:rPr>
            </w:pPr>
            <w:hyperlink w:anchor="page50">
              <w:r>
                <w:rPr>
                  <w:rFonts w:ascii="Arial" w:cs="Arial" w:eastAsia="Arial" w:hAnsi="Arial"/>
                  <w:sz w:val="15"/>
                  <w:szCs w:val="15"/>
                  <w:color w:val="0000EE"/>
                </w:rPr>
                <w:t>Unresolved Staff Comments</w:t>
              </w:r>
            </w:hyperlink>
          </w:p>
        </w:tc>
        <w:tc>
          <w:tcPr>
            <w:tcW w:w="220" w:type="dxa"/>
            <w:vAlign w:val="bottom"/>
            <w:gridSpan w:val="2"/>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49</w:t>
              </w:r>
            </w:hyperlink>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rFonts w:ascii="Arial" w:cs="Arial" w:eastAsia="Arial" w:hAnsi="Arial"/>
                <w:sz w:val="15"/>
                <w:szCs w:val="15"/>
                <w:color w:val="0000EE"/>
                <w:w w:val="82"/>
              </w:rPr>
            </w:pPr>
            <w:hyperlink w:anchor="page50">
              <w:r>
                <w:rPr>
                  <w:rFonts w:ascii="Arial" w:cs="Arial" w:eastAsia="Arial" w:hAnsi="Arial"/>
                  <w:sz w:val="15"/>
                  <w:szCs w:val="15"/>
                  <w:color w:val="0000EE"/>
                  <w:w w:val="82"/>
                </w:rPr>
                <w:t>Item 2.</w:t>
              </w:r>
            </w:hyperlink>
          </w:p>
        </w:tc>
        <w:tc>
          <w:tcPr>
            <w:tcW w:w="100" w:type="dxa"/>
            <w:vAlign w:val="bottom"/>
            <w:tcBorders>
              <w:lef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600" w:type="dxa"/>
            <w:vAlign w:val="bottom"/>
            <w:gridSpan w:val="3"/>
            <w:shd w:val="clear" w:color="auto" w:fill="CCEEFF"/>
          </w:tcPr>
          <w:p>
            <w:pPr>
              <w:spacing w:after="0"/>
              <w:rPr>
                <w:rFonts w:ascii="Arial" w:cs="Arial" w:eastAsia="Arial" w:hAnsi="Arial"/>
                <w:sz w:val="15"/>
                <w:szCs w:val="15"/>
                <w:color w:val="0000EE"/>
                <w:w w:val="84"/>
              </w:rPr>
            </w:pPr>
            <w:hyperlink w:anchor="page50">
              <w:r>
                <w:rPr>
                  <w:rFonts w:ascii="Arial" w:cs="Arial" w:eastAsia="Arial" w:hAnsi="Arial"/>
                  <w:sz w:val="15"/>
                  <w:szCs w:val="15"/>
                  <w:color w:val="0000EE"/>
                  <w:w w:val="84"/>
                </w:rPr>
                <w:t>Properties</w:t>
              </w:r>
            </w:hyperlink>
          </w:p>
        </w:tc>
        <w:tc>
          <w:tcPr>
            <w:tcW w:w="1080" w:type="dxa"/>
            <w:vAlign w:val="bottom"/>
            <w:gridSpan w:val="6"/>
            <w:shd w:val="clear" w:color="auto" w:fill="CCEEFF"/>
          </w:tcPr>
          <w:p>
            <w:pPr>
              <w:spacing w:after="0"/>
              <w:rPr>
                <w:sz w:val="19"/>
                <w:szCs w:val="19"/>
                <w:color w:val="auto"/>
              </w:rPr>
            </w:pPr>
          </w:p>
        </w:tc>
        <w:tc>
          <w:tcPr>
            <w:tcW w:w="4080" w:type="dxa"/>
            <w:vAlign w:val="bottom"/>
            <w:tcBorders>
              <w:right w:val="single" w:sz="8" w:color="CCEEFF"/>
            </w:tcBorders>
            <w:gridSpan w:val="10"/>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49</w:t>
              </w:r>
            </w:hyperlink>
          </w:p>
        </w:tc>
        <w:tc>
          <w:tcPr>
            <w:tcW w:w="6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rFonts w:ascii="Arial" w:cs="Arial" w:eastAsia="Arial" w:hAnsi="Arial"/>
                <w:sz w:val="15"/>
                <w:szCs w:val="15"/>
                <w:color w:val="0000EE"/>
                <w:w w:val="82"/>
              </w:rPr>
            </w:pPr>
            <w:hyperlink w:anchor="page50">
              <w:r>
                <w:rPr>
                  <w:rFonts w:ascii="Arial" w:cs="Arial" w:eastAsia="Arial" w:hAnsi="Arial"/>
                  <w:sz w:val="15"/>
                  <w:szCs w:val="15"/>
                  <w:color w:val="0000EE"/>
                  <w:w w:val="82"/>
                </w:rPr>
                <w:t>Item 3.</w:t>
              </w:r>
            </w:hyperlink>
          </w:p>
        </w:tc>
        <w:tc>
          <w:tcPr>
            <w:tcW w:w="320" w:type="dxa"/>
            <w:vAlign w:val="bottom"/>
            <w:gridSpan w:val="3"/>
          </w:tcPr>
          <w:p>
            <w:pPr>
              <w:spacing w:after="0"/>
              <w:rPr>
                <w:sz w:val="18"/>
                <w:szCs w:val="18"/>
                <w:color w:val="auto"/>
              </w:rPr>
            </w:pPr>
          </w:p>
        </w:tc>
        <w:tc>
          <w:tcPr>
            <w:tcW w:w="1080" w:type="dxa"/>
            <w:vAlign w:val="bottom"/>
            <w:gridSpan w:val="5"/>
          </w:tcPr>
          <w:p>
            <w:pPr>
              <w:spacing w:after="0"/>
              <w:rPr>
                <w:rFonts w:ascii="Arial" w:cs="Arial" w:eastAsia="Arial" w:hAnsi="Arial"/>
                <w:sz w:val="15"/>
                <w:szCs w:val="15"/>
                <w:color w:val="0000EE"/>
                <w:w w:val="83"/>
              </w:rPr>
            </w:pPr>
            <w:hyperlink w:anchor="page50">
              <w:r>
                <w:rPr>
                  <w:rFonts w:ascii="Arial" w:cs="Arial" w:eastAsia="Arial" w:hAnsi="Arial"/>
                  <w:sz w:val="15"/>
                  <w:szCs w:val="15"/>
                  <w:color w:val="0000EE"/>
                  <w:w w:val="83"/>
                </w:rPr>
                <w:t>Legal Proceedings</w:t>
              </w:r>
            </w:hyperlink>
          </w:p>
        </w:tc>
        <w:tc>
          <w:tcPr>
            <w:tcW w:w="4680" w:type="dxa"/>
            <w:vAlign w:val="bottom"/>
            <w:gridSpan w:val="14"/>
          </w:tcPr>
          <w:p>
            <w:pPr>
              <w:spacing w:after="0"/>
              <w:rPr>
                <w:sz w:val="18"/>
                <w:szCs w:val="18"/>
                <w:color w:val="auto"/>
              </w:rPr>
            </w:pPr>
          </w:p>
        </w:tc>
        <w:tc>
          <w:tcPr>
            <w:tcW w:w="220" w:type="dxa"/>
            <w:vAlign w:val="bottom"/>
            <w:gridSpan w:val="2"/>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49</w:t>
              </w:r>
            </w:hyperlink>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rFonts w:ascii="Arial" w:cs="Arial" w:eastAsia="Arial" w:hAnsi="Arial"/>
                <w:sz w:val="15"/>
                <w:szCs w:val="15"/>
                <w:color w:val="0000EE"/>
                <w:w w:val="82"/>
              </w:rPr>
            </w:pPr>
            <w:hyperlink w:anchor="page50">
              <w:r>
                <w:rPr>
                  <w:rFonts w:ascii="Arial" w:cs="Arial" w:eastAsia="Arial" w:hAnsi="Arial"/>
                  <w:sz w:val="15"/>
                  <w:szCs w:val="15"/>
                  <w:color w:val="0000EE"/>
                  <w:w w:val="82"/>
                </w:rPr>
                <w:t>Item 4.</w:t>
              </w:r>
            </w:hyperlink>
          </w:p>
        </w:tc>
        <w:tc>
          <w:tcPr>
            <w:tcW w:w="320" w:type="dxa"/>
            <w:vAlign w:val="bottom"/>
            <w:tcBorders>
              <w:left w:val="single" w:sz="8" w:color="CCEEFF"/>
            </w:tcBorders>
            <w:gridSpan w:val="3"/>
            <w:shd w:val="clear" w:color="auto" w:fill="CCEEFF"/>
          </w:tcPr>
          <w:p>
            <w:pPr>
              <w:spacing w:after="0"/>
              <w:rPr>
                <w:sz w:val="19"/>
                <w:szCs w:val="19"/>
                <w:color w:val="auto"/>
              </w:rPr>
            </w:pPr>
          </w:p>
        </w:tc>
        <w:tc>
          <w:tcPr>
            <w:tcW w:w="1400" w:type="dxa"/>
            <w:vAlign w:val="bottom"/>
            <w:gridSpan w:val="7"/>
            <w:shd w:val="clear" w:color="auto" w:fill="CCEEFF"/>
          </w:tcPr>
          <w:p>
            <w:pPr>
              <w:spacing w:after="0"/>
              <w:rPr>
                <w:rFonts w:ascii="Arial" w:cs="Arial" w:eastAsia="Arial" w:hAnsi="Arial"/>
                <w:sz w:val="15"/>
                <w:szCs w:val="15"/>
                <w:color w:val="0000EE"/>
                <w:w w:val="84"/>
              </w:rPr>
            </w:pPr>
            <w:hyperlink w:anchor="page50">
              <w:r>
                <w:rPr>
                  <w:rFonts w:ascii="Arial" w:cs="Arial" w:eastAsia="Arial" w:hAnsi="Arial"/>
                  <w:sz w:val="15"/>
                  <w:szCs w:val="15"/>
                  <w:color w:val="0000EE"/>
                  <w:w w:val="84"/>
                </w:rPr>
                <w:t>Mine Safety Disclosures</w:t>
              </w:r>
            </w:hyperlink>
          </w:p>
        </w:tc>
        <w:tc>
          <w:tcPr>
            <w:tcW w:w="4360" w:type="dxa"/>
            <w:vAlign w:val="bottom"/>
            <w:tcBorders>
              <w:left w:val="single" w:sz="8" w:color="CCEEFF"/>
              <w:right w:val="single" w:sz="8" w:color="CCEEFF"/>
            </w:tcBorders>
            <w:gridSpan w:val="12"/>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49</w:t>
              </w:r>
            </w:hyperlink>
          </w:p>
        </w:tc>
        <w:tc>
          <w:tcPr>
            <w:tcW w:w="6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334"/>
        </w:trPr>
        <w:tc>
          <w:tcPr>
            <w:tcW w:w="2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5"/>
                <w:szCs w:val="15"/>
                <w:b w:val="1"/>
                <w:bCs w:val="1"/>
                <w:color w:val="auto"/>
              </w:rPr>
              <w:t>PART II.</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1"/>
        </w:trPr>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rFonts w:ascii="Arial" w:cs="Arial" w:eastAsia="Arial" w:hAnsi="Arial"/>
                <w:sz w:val="15"/>
                <w:szCs w:val="15"/>
                <w:color w:val="0000EE"/>
                <w:w w:val="82"/>
              </w:rPr>
            </w:pPr>
            <w:hyperlink w:anchor="page51">
              <w:r>
                <w:rPr>
                  <w:rFonts w:ascii="Arial" w:cs="Arial" w:eastAsia="Arial" w:hAnsi="Arial"/>
                  <w:sz w:val="15"/>
                  <w:szCs w:val="15"/>
                  <w:color w:val="0000EE"/>
                  <w:w w:val="82"/>
                </w:rPr>
                <w:t>Item 5.</w:t>
              </w:r>
            </w:hyperlink>
          </w:p>
        </w:tc>
        <w:tc>
          <w:tcPr>
            <w:tcW w:w="320" w:type="dxa"/>
            <w:vAlign w:val="bottom"/>
            <w:tcBorders>
              <w:left w:val="single" w:sz="8" w:color="CCEEFF"/>
            </w:tcBorders>
            <w:gridSpan w:val="3"/>
            <w:shd w:val="clear" w:color="auto" w:fill="CCEEFF"/>
          </w:tcPr>
          <w:p>
            <w:pPr>
              <w:spacing w:after="0"/>
              <w:rPr>
                <w:sz w:val="17"/>
                <w:szCs w:val="17"/>
                <w:color w:val="auto"/>
              </w:rPr>
            </w:pPr>
          </w:p>
        </w:tc>
        <w:tc>
          <w:tcPr>
            <w:tcW w:w="5760" w:type="dxa"/>
            <w:vAlign w:val="bottom"/>
            <w:tcBorders>
              <w:right w:val="single" w:sz="8" w:color="CCEEFF"/>
            </w:tcBorders>
            <w:gridSpan w:val="19"/>
            <w:shd w:val="clear" w:color="auto" w:fill="CCEEFF"/>
          </w:tcPr>
          <w:p>
            <w:pPr>
              <w:spacing w:after="0"/>
              <w:rPr>
                <w:rFonts w:ascii="Arial" w:cs="Arial" w:eastAsia="Arial" w:hAnsi="Arial"/>
                <w:sz w:val="15"/>
                <w:szCs w:val="15"/>
                <w:color w:val="0000EE"/>
                <w:w w:val="93"/>
              </w:rPr>
            </w:pPr>
            <w:hyperlink w:anchor="page51">
              <w:r>
                <w:rPr>
                  <w:rFonts w:ascii="Arial" w:cs="Arial" w:eastAsia="Arial" w:hAnsi="Arial"/>
                  <w:sz w:val="15"/>
                  <w:szCs w:val="15"/>
                  <w:color w:val="0000EE"/>
                  <w:w w:val="93"/>
                </w:rPr>
                <w:t>Market for Registrant’s Common Equity, Related Stockholder Matters and Issuer Purchases</w:t>
              </w:r>
            </w:hyperlink>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0000EE"/>
            </w:tcBorders>
            <w:gridSpan w:val="6"/>
            <w:shd w:val="clear" w:color="auto" w:fill="CCEEFF"/>
          </w:tcPr>
          <w:p>
            <w:pPr>
              <w:spacing w:after="0" w:line="159" w:lineRule="exact"/>
              <w:rPr>
                <w:rFonts w:ascii="Arial" w:cs="Arial" w:eastAsia="Arial" w:hAnsi="Arial"/>
                <w:sz w:val="15"/>
                <w:szCs w:val="15"/>
                <w:color w:val="0000EE"/>
                <w:w w:val="90"/>
              </w:rPr>
            </w:pPr>
            <w:hyperlink w:anchor="page51">
              <w:r>
                <w:rPr>
                  <w:rFonts w:ascii="Arial" w:cs="Arial" w:eastAsia="Arial" w:hAnsi="Arial"/>
                  <w:sz w:val="15"/>
                  <w:szCs w:val="15"/>
                  <w:color w:val="0000EE"/>
                  <w:w w:val="90"/>
                </w:rPr>
                <w:t>of Equity Securities</w:t>
              </w:r>
            </w:hyperlink>
          </w:p>
        </w:tc>
        <w:tc>
          <w:tcPr>
            <w:tcW w:w="4260" w:type="dxa"/>
            <w:vAlign w:val="bottom"/>
            <w:tcBorders>
              <w:top w:val="single" w:sz="8" w:color="0000EE"/>
            </w:tcBorders>
            <w:gridSpan w:val="11"/>
            <w:shd w:val="clear" w:color="auto" w:fill="CCEEFF"/>
          </w:tcPr>
          <w:p>
            <w:pPr>
              <w:spacing w:after="0"/>
              <w:rPr>
                <w:sz w:val="13"/>
                <w:szCs w:val="13"/>
                <w:color w:val="auto"/>
              </w:rPr>
            </w:pPr>
          </w:p>
        </w:tc>
        <w:tc>
          <w:tcPr>
            <w:tcW w:w="32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jc w:val="right"/>
              <w:spacing w:after="0" w:line="159" w:lineRule="exact"/>
              <w:rPr>
                <w:rFonts w:ascii="Arial" w:cs="Arial" w:eastAsia="Arial" w:hAnsi="Arial"/>
                <w:sz w:val="15"/>
                <w:szCs w:val="15"/>
                <w:color w:val="0000EE"/>
              </w:rPr>
            </w:pPr>
            <w:hyperlink w:anchor="page51">
              <w:r>
                <w:rPr>
                  <w:rFonts w:ascii="Arial" w:cs="Arial" w:eastAsia="Arial" w:hAnsi="Arial"/>
                  <w:sz w:val="15"/>
                  <w:szCs w:val="15"/>
                  <w:color w:val="0000EE"/>
                </w:rPr>
                <w:t>50</w:t>
              </w:r>
            </w:hyperlink>
          </w:p>
        </w:tc>
        <w:tc>
          <w:tcPr>
            <w:tcW w:w="60" w:type="dxa"/>
            <w:vAlign w:val="bottom"/>
            <w:tcBorders>
              <w:top w:val="single" w:sz="8" w:color="CCEEFF"/>
            </w:tcBorders>
            <w:shd w:val="clear" w:color="auto" w:fill="CCEEFF"/>
          </w:tcPr>
          <w:p>
            <w:pPr>
              <w:spacing w:after="0"/>
              <w:rPr>
                <w:sz w:val="13"/>
                <w:szCs w:val="13"/>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rFonts w:ascii="Arial" w:cs="Arial" w:eastAsia="Arial" w:hAnsi="Arial"/>
                <w:sz w:val="15"/>
                <w:szCs w:val="15"/>
                <w:color w:val="0000EE"/>
                <w:w w:val="82"/>
              </w:rPr>
            </w:pPr>
            <w:hyperlink w:anchor="page55">
              <w:r>
                <w:rPr>
                  <w:rFonts w:ascii="Arial" w:cs="Arial" w:eastAsia="Arial" w:hAnsi="Arial"/>
                  <w:sz w:val="15"/>
                  <w:szCs w:val="15"/>
                  <w:color w:val="0000EE"/>
                  <w:w w:val="82"/>
                </w:rPr>
                <w:t>Item 6.</w:t>
              </w:r>
            </w:hyperlink>
          </w:p>
        </w:tc>
        <w:tc>
          <w:tcPr>
            <w:tcW w:w="320" w:type="dxa"/>
            <w:vAlign w:val="bottom"/>
            <w:gridSpan w:val="3"/>
          </w:tcPr>
          <w:p>
            <w:pPr>
              <w:spacing w:after="0"/>
              <w:rPr>
                <w:sz w:val="18"/>
                <w:szCs w:val="18"/>
                <w:color w:val="auto"/>
              </w:rPr>
            </w:pPr>
          </w:p>
        </w:tc>
        <w:tc>
          <w:tcPr>
            <w:tcW w:w="5760" w:type="dxa"/>
            <w:vAlign w:val="bottom"/>
            <w:gridSpan w:val="19"/>
          </w:tcPr>
          <w:p>
            <w:pPr>
              <w:spacing w:after="0"/>
              <w:rPr>
                <w:rFonts w:ascii="Arial" w:cs="Arial" w:eastAsia="Arial" w:hAnsi="Arial"/>
                <w:sz w:val="15"/>
                <w:szCs w:val="15"/>
                <w:color w:val="0000EE"/>
              </w:rPr>
            </w:pPr>
            <w:hyperlink w:anchor="page55">
              <w:r>
                <w:rPr>
                  <w:rFonts w:ascii="Arial" w:cs="Arial" w:eastAsia="Arial" w:hAnsi="Arial"/>
                  <w:sz w:val="15"/>
                  <w:szCs w:val="15"/>
                  <w:color w:val="0000EE"/>
                </w:rPr>
                <w:t>Selected Financial Data</w:t>
              </w:r>
            </w:hyperlink>
          </w:p>
        </w:tc>
        <w:tc>
          <w:tcPr>
            <w:tcW w:w="220" w:type="dxa"/>
            <w:vAlign w:val="bottom"/>
            <w:gridSpan w:val="2"/>
          </w:tcPr>
          <w:p>
            <w:pPr>
              <w:jc w:val="right"/>
              <w:spacing w:after="0"/>
              <w:rPr>
                <w:rFonts w:ascii="Arial" w:cs="Arial" w:eastAsia="Arial" w:hAnsi="Arial"/>
                <w:sz w:val="15"/>
                <w:szCs w:val="15"/>
                <w:color w:val="0000EE"/>
              </w:rPr>
            </w:pPr>
            <w:hyperlink w:anchor="page55">
              <w:r>
                <w:rPr>
                  <w:rFonts w:ascii="Arial" w:cs="Arial" w:eastAsia="Arial" w:hAnsi="Arial"/>
                  <w:sz w:val="15"/>
                  <w:szCs w:val="15"/>
                  <w:color w:val="0000EE"/>
                </w:rPr>
                <w:t>54</w:t>
              </w:r>
            </w:hyperlink>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08"/>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rFonts w:ascii="Arial" w:cs="Arial" w:eastAsia="Arial" w:hAnsi="Arial"/>
                <w:sz w:val="15"/>
                <w:szCs w:val="15"/>
                <w:color w:val="0000EE"/>
                <w:w w:val="82"/>
              </w:rPr>
            </w:pPr>
            <w:hyperlink w:anchor="page57">
              <w:r>
                <w:rPr>
                  <w:rFonts w:ascii="Arial" w:cs="Arial" w:eastAsia="Arial" w:hAnsi="Arial"/>
                  <w:sz w:val="15"/>
                  <w:szCs w:val="15"/>
                  <w:color w:val="0000EE"/>
                  <w:w w:val="82"/>
                </w:rPr>
                <w:t>Item 7.</w:t>
              </w:r>
            </w:hyperlink>
          </w:p>
        </w:tc>
        <w:tc>
          <w:tcPr>
            <w:tcW w:w="320" w:type="dxa"/>
            <w:vAlign w:val="bottom"/>
            <w:tcBorders>
              <w:left w:val="single" w:sz="8" w:color="CCEEFF"/>
            </w:tcBorders>
            <w:gridSpan w:val="3"/>
            <w:shd w:val="clear" w:color="auto" w:fill="CCEEFF"/>
          </w:tcPr>
          <w:p>
            <w:pPr>
              <w:spacing w:after="0"/>
              <w:rPr>
                <w:sz w:val="18"/>
                <w:szCs w:val="18"/>
                <w:color w:val="auto"/>
              </w:rPr>
            </w:pPr>
          </w:p>
        </w:tc>
        <w:tc>
          <w:tcPr>
            <w:tcW w:w="5340" w:type="dxa"/>
            <w:vAlign w:val="bottom"/>
            <w:gridSpan w:val="16"/>
            <w:shd w:val="clear" w:color="auto" w:fill="CCEEFF"/>
          </w:tcPr>
          <w:p>
            <w:pPr>
              <w:spacing w:after="0"/>
              <w:rPr>
                <w:rFonts w:ascii="Arial" w:cs="Arial" w:eastAsia="Arial" w:hAnsi="Arial"/>
                <w:sz w:val="15"/>
                <w:szCs w:val="15"/>
                <w:color w:val="0000EE"/>
                <w:w w:val="90"/>
              </w:rPr>
            </w:pPr>
            <w:hyperlink w:anchor="page57">
              <w:r>
                <w:rPr>
                  <w:rFonts w:ascii="Arial" w:cs="Arial" w:eastAsia="Arial" w:hAnsi="Arial"/>
                  <w:sz w:val="15"/>
                  <w:szCs w:val="15"/>
                  <w:color w:val="0000EE"/>
                  <w:w w:val="90"/>
                </w:rPr>
                <w:t>Management’s Discussion and Analysis of Financial Condition and Results of Operations</w:t>
              </w:r>
            </w:hyperlink>
          </w:p>
        </w:tc>
        <w:tc>
          <w:tcPr>
            <w:tcW w:w="420" w:type="dxa"/>
            <w:vAlign w:val="bottom"/>
            <w:tcBorders>
              <w:right w:val="single" w:sz="8" w:color="CCEEFF"/>
            </w:tcBorders>
            <w:gridSpan w:val="3"/>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rFonts w:ascii="Arial" w:cs="Arial" w:eastAsia="Arial" w:hAnsi="Arial"/>
                <w:sz w:val="15"/>
                <w:szCs w:val="15"/>
                <w:color w:val="0000EE"/>
              </w:rPr>
            </w:pPr>
            <w:hyperlink w:anchor="page57">
              <w:r>
                <w:rPr>
                  <w:rFonts w:ascii="Arial" w:cs="Arial" w:eastAsia="Arial" w:hAnsi="Arial"/>
                  <w:sz w:val="15"/>
                  <w:szCs w:val="15"/>
                  <w:color w:val="0000EE"/>
                </w:rPr>
                <w:t>56</w:t>
              </w:r>
            </w:hyperlink>
          </w:p>
        </w:tc>
        <w:tc>
          <w:tcPr>
            <w:tcW w:w="60" w:type="dxa"/>
            <w:vAlign w:val="bottom"/>
            <w:shd w:val="clear" w:color="auto" w:fill="CCEEFF"/>
          </w:tcPr>
          <w:p>
            <w:pPr>
              <w:spacing w:after="0"/>
              <w:rPr>
                <w:sz w:val="18"/>
                <w:szCs w:val="18"/>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5"/>
                <w:szCs w:val="15"/>
                <w:color w:val="0000EE"/>
                <w:w w:val="89"/>
              </w:rPr>
            </w:pPr>
            <w:hyperlink w:anchor="page72">
              <w:r>
                <w:rPr>
                  <w:rFonts w:ascii="Arial" w:cs="Arial" w:eastAsia="Arial" w:hAnsi="Arial"/>
                  <w:sz w:val="15"/>
                  <w:szCs w:val="15"/>
                  <w:color w:val="0000EE"/>
                  <w:w w:val="89"/>
                </w:rPr>
                <w:t>Item 7A.</w:t>
              </w:r>
            </w:hyperlink>
          </w:p>
        </w:tc>
        <w:tc>
          <w:tcPr>
            <w:tcW w:w="220" w:type="dxa"/>
            <w:vAlign w:val="bottom"/>
            <w:gridSpan w:val="2"/>
          </w:tcPr>
          <w:p>
            <w:pPr>
              <w:spacing w:after="0"/>
              <w:rPr>
                <w:sz w:val="18"/>
                <w:szCs w:val="18"/>
                <w:color w:val="auto"/>
              </w:rPr>
            </w:pPr>
          </w:p>
        </w:tc>
        <w:tc>
          <w:tcPr>
            <w:tcW w:w="3600" w:type="dxa"/>
            <w:vAlign w:val="bottom"/>
            <w:gridSpan w:val="14"/>
          </w:tcPr>
          <w:p>
            <w:pPr>
              <w:spacing w:after="0"/>
              <w:rPr>
                <w:rFonts w:ascii="Arial" w:cs="Arial" w:eastAsia="Arial" w:hAnsi="Arial"/>
                <w:sz w:val="15"/>
                <w:szCs w:val="15"/>
                <w:color w:val="0000EE"/>
                <w:w w:val="91"/>
              </w:rPr>
            </w:pPr>
            <w:hyperlink w:anchor="page72">
              <w:r>
                <w:rPr>
                  <w:rFonts w:ascii="Arial" w:cs="Arial" w:eastAsia="Arial" w:hAnsi="Arial"/>
                  <w:sz w:val="15"/>
                  <w:szCs w:val="15"/>
                  <w:color w:val="0000EE"/>
                  <w:w w:val="91"/>
                </w:rPr>
                <w:t>Quantitative and Qualitative Disclosures About Market Risk</w:t>
              </w:r>
            </w:hyperlink>
          </w:p>
        </w:tc>
        <w:tc>
          <w:tcPr>
            <w:tcW w:w="2160" w:type="dxa"/>
            <w:vAlign w:val="bottom"/>
            <w:gridSpan w:val="5"/>
          </w:tcPr>
          <w:p>
            <w:pPr>
              <w:spacing w:after="0"/>
              <w:rPr>
                <w:sz w:val="18"/>
                <w:szCs w:val="18"/>
                <w:color w:val="auto"/>
              </w:rPr>
            </w:pPr>
          </w:p>
        </w:tc>
        <w:tc>
          <w:tcPr>
            <w:tcW w:w="22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71</w:t>
              </w:r>
            </w:hyperlink>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rFonts w:ascii="Arial" w:cs="Arial" w:eastAsia="Arial" w:hAnsi="Arial"/>
                <w:sz w:val="15"/>
                <w:szCs w:val="15"/>
                <w:color w:val="0000EE"/>
                <w:w w:val="82"/>
              </w:rPr>
            </w:pPr>
            <w:hyperlink w:anchor="page73">
              <w:r>
                <w:rPr>
                  <w:rFonts w:ascii="Arial" w:cs="Arial" w:eastAsia="Arial" w:hAnsi="Arial"/>
                  <w:sz w:val="15"/>
                  <w:szCs w:val="15"/>
                  <w:color w:val="0000EE"/>
                  <w:w w:val="82"/>
                </w:rPr>
                <w:t>Item 8.</w:t>
              </w:r>
            </w:hyperlink>
          </w:p>
        </w:tc>
        <w:tc>
          <w:tcPr>
            <w:tcW w:w="100" w:type="dxa"/>
            <w:vAlign w:val="bottom"/>
            <w:tcBorders>
              <w:lef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3600" w:type="dxa"/>
            <w:vAlign w:val="bottom"/>
            <w:gridSpan w:val="14"/>
            <w:shd w:val="clear" w:color="auto" w:fill="CCEEFF"/>
          </w:tcPr>
          <w:p>
            <w:pPr>
              <w:spacing w:after="0"/>
              <w:rPr>
                <w:rFonts w:ascii="Arial" w:cs="Arial" w:eastAsia="Arial" w:hAnsi="Arial"/>
                <w:sz w:val="15"/>
                <w:szCs w:val="15"/>
                <w:color w:val="0000EE"/>
              </w:rPr>
            </w:pPr>
            <w:hyperlink w:anchor="page73">
              <w:r>
                <w:rPr>
                  <w:rFonts w:ascii="Arial" w:cs="Arial" w:eastAsia="Arial" w:hAnsi="Arial"/>
                  <w:sz w:val="15"/>
                  <w:szCs w:val="15"/>
                  <w:color w:val="0000EE"/>
                </w:rPr>
                <w:t>Financial Statements and Supplementary Data</w:t>
              </w:r>
            </w:hyperlink>
          </w:p>
        </w:tc>
        <w:tc>
          <w:tcPr>
            <w:tcW w:w="2160" w:type="dxa"/>
            <w:vAlign w:val="bottom"/>
            <w:tcBorders>
              <w:right w:val="single" w:sz="8" w:color="CCEEFF"/>
            </w:tcBorders>
            <w:gridSpan w:val="5"/>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rFonts w:ascii="Arial" w:cs="Arial" w:eastAsia="Arial" w:hAnsi="Arial"/>
                <w:sz w:val="15"/>
                <w:szCs w:val="15"/>
                <w:color w:val="0000EE"/>
              </w:rPr>
            </w:pPr>
            <w:hyperlink w:anchor="page73">
              <w:r>
                <w:rPr>
                  <w:rFonts w:ascii="Arial" w:cs="Arial" w:eastAsia="Arial" w:hAnsi="Arial"/>
                  <w:sz w:val="15"/>
                  <w:szCs w:val="15"/>
                  <w:color w:val="0000EE"/>
                </w:rPr>
                <w:t>72</w:t>
              </w:r>
            </w:hyperlink>
          </w:p>
        </w:tc>
        <w:tc>
          <w:tcPr>
            <w:tcW w:w="6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420" w:type="dxa"/>
            <w:vAlign w:val="bottom"/>
          </w:tcPr>
          <w:p>
            <w:pPr>
              <w:spacing w:after="0"/>
              <w:rPr>
                <w:rFonts w:ascii="Arial" w:cs="Arial" w:eastAsia="Arial" w:hAnsi="Arial"/>
                <w:sz w:val="15"/>
                <w:szCs w:val="15"/>
                <w:color w:val="0000EE"/>
                <w:w w:val="82"/>
              </w:rPr>
            </w:pPr>
            <w:hyperlink w:anchor="page143">
              <w:r>
                <w:rPr>
                  <w:rFonts w:ascii="Arial" w:cs="Arial" w:eastAsia="Arial" w:hAnsi="Arial"/>
                  <w:sz w:val="15"/>
                  <w:szCs w:val="15"/>
                  <w:color w:val="0000EE"/>
                  <w:w w:val="82"/>
                </w:rPr>
                <w:t>Item 9.</w:t>
              </w:r>
            </w:hyperlink>
          </w:p>
        </w:tc>
        <w:tc>
          <w:tcPr>
            <w:tcW w:w="320" w:type="dxa"/>
            <w:vAlign w:val="bottom"/>
            <w:gridSpan w:val="3"/>
          </w:tcPr>
          <w:p>
            <w:pPr>
              <w:spacing w:after="0"/>
              <w:rPr>
                <w:sz w:val="17"/>
                <w:szCs w:val="17"/>
                <w:color w:val="auto"/>
              </w:rPr>
            </w:pPr>
          </w:p>
        </w:tc>
        <w:tc>
          <w:tcPr>
            <w:tcW w:w="5760" w:type="dxa"/>
            <w:vAlign w:val="bottom"/>
            <w:gridSpan w:val="19"/>
          </w:tcPr>
          <w:p>
            <w:pPr>
              <w:spacing w:after="0"/>
              <w:rPr>
                <w:rFonts w:ascii="Arial" w:cs="Arial" w:eastAsia="Arial" w:hAnsi="Arial"/>
                <w:sz w:val="15"/>
                <w:szCs w:val="15"/>
                <w:color w:val="0000EE"/>
                <w:w w:val="96"/>
              </w:rPr>
            </w:pPr>
            <w:hyperlink w:anchor="page143">
              <w:r>
                <w:rPr>
                  <w:rFonts w:ascii="Arial" w:cs="Arial" w:eastAsia="Arial" w:hAnsi="Arial"/>
                  <w:sz w:val="15"/>
                  <w:szCs w:val="15"/>
                  <w:color w:val="0000EE"/>
                  <w:w w:val="96"/>
                </w:rPr>
                <w:t>Changes in and Disagreements with Accountants on Accounting and Financial Disclosure</w:t>
              </w:r>
            </w:hyperlink>
          </w:p>
        </w:tc>
        <w:tc>
          <w:tcPr>
            <w:tcW w:w="280" w:type="dxa"/>
            <w:vAlign w:val="bottom"/>
            <w:gridSpan w:val="3"/>
          </w:tcPr>
          <w:p>
            <w:pPr>
              <w:jc w:val="right"/>
              <w:ind w:right="60"/>
              <w:spacing w:after="0"/>
              <w:rPr>
                <w:rFonts w:ascii="Arial" w:cs="Arial" w:eastAsia="Arial" w:hAnsi="Arial"/>
                <w:sz w:val="15"/>
                <w:szCs w:val="15"/>
                <w:color w:val="0000EE"/>
                <w:w w:val="79"/>
              </w:rPr>
            </w:pPr>
            <w:hyperlink w:anchor="page143">
              <w:r>
                <w:rPr>
                  <w:rFonts w:ascii="Arial" w:cs="Arial" w:eastAsia="Arial" w:hAnsi="Arial"/>
                  <w:sz w:val="15"/>
                  <w:szCs w:val="15"/>
                  <w:color w:val="0000EE"/>
                  <w:w w:val="79"/>
                </w:rPr>
                <w:t>142</w:t>
              </w:r>
            </w:hyperlink>
          </w:p>
        </w:tc>
      </w:tr>
      <w:tr>
        <w:trPr>
          <w:trHeight w:val="25"/>
        </w:trPr>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rFonts w:ascii="Arial" w:cs="Arial" w:eastAsia="Arial" w:hAnsi="Arial"/>
                <w:sz w:val="15"/>
                <w:szCs w:val="15"/>
                <w:color w:val="0000EE"/>
                <w:w w:val="89"/>
              </w:rPr>
            </w:pPr>
            <w:hyperlink w:anchor="page143">
              <w:r>
                <w:rPr>
                  <w:rFonts w:ascii="Arial" w:cs="Arial" w:eastAsia="Arial" w:hAnsi="Arial"/>
                  <w:sz w:val="15"/>
                  <w:szCs w:val="15"/>
                  <w:color w:val="0000EE"/>
                  <w:w w:val="89"/>
                </w:rPr>
                <w:t>Item 9A.</w:t>
              </w:r>
            </w:hyperlink>
          </w:p>
        </w:tc>
        <w:tc>
          <w:tcPr>
            <w:tcW w:w="220" w:type="dxa"/>
            <w:vAlign w:val="bottom"/>
            <w:gridSpan w:val="2"/>
            <w:shd w:val="clear" w:color="auto" w:fill="CCEEFF"/>
          </w:tcPr>
          <w:p>
            <w:pPr>
              <w:spacing w:after="0"/>
              <w:rPr>
                <w:sz w:val="18"/>
                <w:szCs w:val="18"/>
                <w:color w:val="auto"/>
              </w:rPr>
            </w:pPr>
          </w:p>
        </w:tc>
        <w:tc>
          <w:tcPr>
            <w:tcW w:w="1400" w:type="dxa"/>
            <w:vAlign w:val="bottom"/>
            <w:gridSpan w:val="7"/>
            <w:shd w:val="clear" w:color="auto" w:fill="CCEEFF"/>
          </w:tcPr>
          <w:p>
            <w:pPr>
              <w:spacing w:after="0"/>
              <w:rPr>
                <w:rFonts w:ascii="Arial" w:cs="Arial" w:eastAsia="Arial" w:hAnsi="Arial"/>
                <w:sz w:val="15"/>
                <w:szCs w:val="15"/>
                <w:color w:val="0000EE"/>
                <w:w w:val="81"/>
              </w:rPr>
            </w:pPr>
            <w:hyperlink w:anchor="page143">
              <w:r>
                <w:rPr>
                  <w:rFonts w:ascii="Arial" w:cs="Arial" w:eastAsia="Arial" w:hAnsi="Arial"/>
                  <w:sz w:val="15"/>
                  <w:szCs w:val="15"/>
                  <w:color w:val="0000EE"/>
                  <w:w w:val="81"/>
                </w:rPr>
                <w:t>Controls and Procedures</w:t>
              </w:r>
            </w:hyperlink>
          </w:p>
        </w:tc>
        <w:tc>
          <w:tcPr>
            <w:tcW w:w="4360" w:type="dxa"/>
            <w:vAlign w:val="bottom"/>
            <w:tcBorders>
              <w:left w:val="single" w:sz="8" w:color="CCEEFF"/>
              <w:right w:val="single" w:sz="8" w:color="CCEEFF"/>
            </w:tcBorders>
            <w:gridSpan w:val="12"/>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rFonts w:ascii="Arial" w:cs="Arial" w:eastAsia="Arial" w:hAnsi="Arial"/>
                <w:sz w:val="15"/>
                <w:szCs w:val="15"/>
                <w:color w:val="0000EE"/>
                <w:w w:val="79"/>
              </w:rPr>
            </w:pPr>
            <w:hyperlink w:anchor="page143">
              <w:r>
                <w:rPr>
                  <w:rFonts w:ascii="Arial" w:cs="Arial" w:eastAsia="Arial" w:hAnsi="Arial"/>
                  <w:sz w:val="15"/>
                  <w:szCs w:val="15"/>
                  <w:color w:val="0000EE"/>
                  <w:w w:val="79"/>
                </w:rPr>
                <w:t>142</w:t>
              </w:r>
            </w:hyperlink>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5"/>
                <w:szCs w:val="15"/>
                <w:color w:val="0000EE"/>
                <w:w w:val="89"/>
              </w:rPr>
            </w:pPr>
            <w:hyperlink w:anchor="page144">
              <w:r>
                <w:rPr>
                  <w:rFonts w:ascii="Arial" w:cs="Arial" w:eastAsia="Arial" w:hAnsi="Arial"/>
                  <w:sz w:val="15"/>
                  <w:szCs w:val="15"/>
                  <w:color w:val="0000EE"/>
                  <w:w w:val="89"/>
                </w:rPr>
                <w:t>Item 9B.</w:t>
              </w:r>
            </w:hyperlink>
          </w:p>
        </w:tc>
        <w:tc>
          <w:tcPr>
            <w:tcW w:w="220" w:type="dxa"/>
            <w:vAlign w:val="bottom"/>
            <w:gridSpan w:val="2"/>
          </w:tcPr>
          <w:p>
            <w:pPr>
              <w:spacing w:after="0"/>
              <w:rPr>
                <w:sz w:val="18"/>
                <w:szCs w:val="18"/>
                <w:color w:val="auto"/>
              </w:rPr>
            </w:pPr>
          </w:p>
        </w:tc>
        <w:tc>
          <w:tcPr>
            <w:tcW w:w="1400" w:type="dxa"/>
            <w:vAlign w:val="bottom"/>
            <w:gridSpan w:val="7"/>
          </w:tcPr>
          <w:p>
            <w:pPr>
              <w:spacing w:after="0"/>
              <w:rPr>
                <w:rFonts w:ascii="Arial" w:cs="Arial" w:eastAsia="Arial" w:hAnsi="Arial"/>
                <w:sz w:val="15"/>
                <w:szCs w:val="15"/>
                <w:color w:val="0000EE"/>
              </w:rPr>
            </w:pPr>
            <w:hyperlink w:anchor="page144">
              <w:r>
                <w:rPr>
                  <w:rFonts w:ascii="Arial" w:cs="Arial" w:eastAsia="Arial" w:hAnsi="Arial"/>
                  <w:sz w:val="15"/>
                  <w:szCs w:val="15"/>
                  <w:color w:val="0000EE"/>
                </w:rPr>
                <w:t>Other Information</w:t>
              </w:r>
            </w:hyperlink>
          </w:p>
        </w:tc>
        <w:tc>
          <w:tcPr>
            <w:tcW w:w="4360" w:type="dxa"/>
            <w:vAlign w:val="bottom"/>
            <w:gridSpan w:val="12"/>
          </w:tcPr>
          <w:p>
            <w:pPr>
              <w:spacing w:after="0"/>
              <w:rPr>
                <w:sz w:val="18"/>
                <w:szCs w:val="18"/>
                <w:color w:val="auto"/>
              </w:rPr>
            </w:pPr>
          </w:p>
        </w:tc>
        <w:tc>
          <w:tcPr>
            <w:tcW w:w="280" w:type="dxa"/>
            <w:vAlign w:val="bottom"/>
            <w:gridSpan w:val="3"/>
          </w:tcPr>
          <w:p>
            <w:pPr>
              <w:jc w:val="right"/>
              <w:ind w:right="60"/>
              <w:spacing w:after="0"/>
              <w:rPr>
                <w:rFonts w:ascii="Arial" w:cs="Arial" w:eastAsia="Arial" w:hAnsi="Arial"/>
                <w:sz w:val="15"/>
                <w:szCs w:val="15"/>
                <w:color w:val="0000EE"/>
                <w:w w:val="79"/>
              </w:rPr>
            </w:pPr>
            <w:hyperlink w:anchor="page144">
              <w:r>
                <w:rPr>
                  <w:rFonts w:ascii="Arial" w:cs="Arial" w:eastAsia="Arial" w:hAnsi="Arial"/>
                  <w:sz w:val="15"/>
                  <w:szCs w:val="15"/>
                  <w:color w:val="0000EE"/>
                  <w:w w:val="79"/>
                </w:rPr>
                <w:t>143</w:t>
              </w:r>
            </w:hyperlink>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353"/>
        </w:trPr>
        <w:tc>
          <w:tcPr>
            <w:tcW w:w="20" w:type="dxa"/>
            <w:vAlign w:val="bottom"/>
            <w:shd w:val="clear" w:color="auto" w:fill="CCEEFF"/>
          </w:tcPr>
          <w:p>
            <w:pPr>
              <w:spacing w:after="0"/>
              <w:rPr>
                <w:sz w:val="24"/>
                <w:szCs w:val="24"/>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PART III.</w:t>
            </w: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40" w:type="dxa"/>
            <w:vAlign w:val="bottom"/>
            <w:gridSpan w:val="4"/>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Item 10.</w:t>
              </w:r>
            </w:hyperlink>
          </w:p>
        </w:tc>
        <w:tc>
          <w:tcPr>
            <w:tcW w:w="5760" w:type="dxa"/>
            <w:vAlign w:val="bottom"/>
            <w:gridSpan w:val="19"/>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Directors, Executive Officers and Corporate Governance</w:t>
              </w:r>
            </w:hyperlink>
          </w:p>
        </w:tc>
        <w:tc>
          <w:tcPr>
            <w:tcW w:w="280" w:type="dxa"/>
            <w:vAlign w:val="bottom"/>
            <w:gridSpan w:val="3"/>
          </w:tcPr>
          <w:p>
            <w:pPr>
              <w:jc w:val="right"/>
              <w:ind w:right="60"/>
              <w:spacing w:after="0"/>
              <w:rPr>
                <w:rFonts w:ascii="Arial" w:cs="Arial" w:eastAsia="Arial" w:hAnsi="Arial"/>
                <w:sz w:val="15"/>
                <w:szCs w:val="15"/>
                <w:color w:val="0000EE"/>
                <w:w w:val="79"/>
              </w:rPr>
            </w:pPr>
            <w:hyperlink w:anchor="page145">
              <w:r>
                <w:rPr>
                  <w:rFonts w:ascii="Arial" w:cs="Arial" w:eastAsia="Arial" w:hAnsi="Arial"/>
                  <w:sz w:val="15"/>
                  <w:szCs w:val="15"/>
                  <w:color w:val="0000EE"/>
                  <w:w w:val="79"/>
                </w:rPr>
                <w:t>144</w:t>
              </w:r>
            </w:hyperlink>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740" w:type="dxa"/>
            <w:vAlign w:val="bottom"/>
            <w:gridSpan w:val="4"/>
            <w:shd w:val="clear" w:color="auto" w:fill="CCEEFF"/>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Item 11.</w:t>
              </w:r>
            </w:hyperlink>
          </w:p>
        </w:tc>
        <w:tc>
          <w:tcPr>
            <w:tcW w:w="5760" w:type="dxa"/>
            <w:vAlign w:val="bottom"/>
            <w:tcBorders>
              <w:right w:val="single" w:sz="8" w:color="CCEEFF"/>
            </w:tcBorders>
            <w:gridSpan w:val="19"/>
            <w:shd w:val="clear" w:color="auto" w:fill="CCEEFF"/>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Executive Compensation</w:t>
              </w:r>
            </w:hyperlink>
          </w:p>
        </w:tc>
        <w:tc>
          <w:tcPr>
            <w:tcW w:w="280" w:type="dxa"/>
            <w:vAlign w:val="bottom"/>
            <w:gridSpan w:val="3"/>
            <w:shd w:val="clear" w:color="auto" w:fill="CCEEFF"/>
          </w:tcPr>
          <w:p>
            <w:pPr>
              <w:jc w:val="right"/>
              <w:ind w:right="60"/>
              <w:spacing w:after="0"/>
              <w:rPr>
                <w:rFonts w:ascii="Arial" w:cs="Arial" w:eastAsia="Arial" w:hAnsi="Arial"/>
                <w:sz w:val="15"/>
                <w:szCs w:val="15"/>
                <w:color w:val="0000EE"/>
                <w:w w:val="79"/>
              </w:rPr>
            </w:pPr>
            <w:hyperlink w:anchor="page145">
              <w:r>
                <w:rPr>
                  <w:rFonts w:ascii="Arial" w:cs="Arial" w:eastAsia="Arial" w:hAnsi="Arial"/>
                  <w:sz w:val="15"/>
                  <w:szCs w:val="15"/>
                  <w:color w:val="0000EE"/>
                  <w:w w:val="79"/>
                </w:rPr>
                <w:t>144</w:t>
              </w:r>
            </w:hyperlink>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Item 12.</w:t>
              </w:r>
            </w:hyperlink>
          </w:p>
        </w:tc>
        <w:tc>
          <w:tcPr>
            <w:tcW w:w="5760" w:type="dxa"/>
            <w:vAlign w:val="bottom"/>
            <w:gridSpan w:val="19"/>
          </w:tcPr>
          <w:p>
            <w:pPr>
              <w:spacing w:after="0"/>
              <w:rPr>
                <w:rFonts w:ascii="Arial" w:cs="Arial" w:eastAsia="Arial" w:hAnsi="Arial"/>
                <w:sz w:val="15"/>
                <w:szCs w:val="15"/>
                <w:color w:val="0000EE"/>
                <w:w w:val="93"/>
              </w:rPr>
            </w:pPr>
            <w:hyperlink w:anchor="page145">
              <w:r>
                <w:rPr>
                  <w:rFonts w:ascii="Arial" w:cs="Arial" w:eastAsia="Arial" w:hAnsi="Arial"/>
                  <w:sz w:val="15"/>
                  <w:szCs w:val="15"/>
                  <w:color w:val="0000EE"/>
                  <w:w w:val="93"/>
                </w:rPr>
                <w:t>Security Ownership of Certain Beneficial Owners and Management and Related Stockholder</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EE"/>
            </w:tcBorders>
            <w:gridSpan w:val="18"/>
          </w:tcPr>
          <w:p>
            <w:pPr>
              <w:spacing w:after="0" w:line="159" w:lineRule="exact"/>
              <w:rPr>
                <w:rFonts w:ascii="Arial" w:cs="Arial" w:eastAsia="Arial" w:hAnsi="Arial"/>
                <w:sz w:val="15"/>
                <w:szCs w:val="15"/>
                <w:color w:val="0000EE"/>
              </w:rPr>
            </w:pPr>
            <w:hyperlink w:anchor="page145">
              <w:r>
                <w:rPr>
                  <w:rFonts w:ascii="Arial" w:cs="Arial" w:eastAsia="Arial" w:hAnsi="Arial"/>
                  <w:sz w:val="15"/>
                  <w:szCs w:val="15"/>
                  <w:color w:val="0000EE"/>
                </w:rPr>
                <w:t>Matters</w:t>
              </w:r>
            </w:hyperlink>
          </w:p>
        </w:tc>
        <w:tc>
          <w:tcPr>
            <w:tcW w:w="240" w:type="dxa"/>
            <w:vAlign w:val="bottom"/>
          </w:tcPr>
          <w:p>
            <w:pPr>
              <w:spacing w:after="0"/>
              <w:rPr>
                <w:sz w:val="13"/>
                <w:szCs w:val="13"/>
                <w:color w:val="auto"/>
              </w:rPr>
            </w:pPr>
          </w:p>
        </w:tc>
        <w:tc>
          <w:tcPr>
            <w:tcW w:w="280" w:type="dxa"/>
            <w:vAlign w:val="bottom"/>
            <w:gridSpan w:val="3"/>
          </w:tcPr>
          <w:p>
            <w:pPr>
              <w:jc w:val="right"/>
              <w:ind w:right="60"/>
              <w:spacing w:after="0" w:line="159" w:lineRule="exact"/>
              <w:rPr>
                <w:rFonts w:ascii="Arial" w:cs="Arial" w:eastAsia="Arial" w:hAnsi="Arial"/>
                <w:sz w:val="15"/>
                <w:szCs w:val="15"/>
                <w:color w:val="0000EE"/>
                <w:w w:val="79"/>
              </w:rPr>
            </w:pPr>
            <w:hyperlink w:anchor="page145">
              <w:r>
                <w:rPr>
                  <w:rFonts w:ascii="Arial" w:cs="Arial" w:eastAsia="Arial" w:hAnsi="Arial"/>
                  <w:sz w:val="15"/>
                  <w:szCs w:val="15"/>
                  <w:color w:val="0000EE"/>
                  <w:w w:val="79"/>
                </w:rPr>
                <w:t>144</w:t>
              </w:r>
            </w:hyperlink>
          </w:p>
        </w:tc>
      </w:tr>
      <w:tr>
        <w:trPr>
          <w:trHeight w:val="25"/>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 w:type="dxa"/>
            <w:vAlign w:val="bottom"/>
            <w:gridSpan w:val="4"/>
            <w:shd w:val="clear" w:color="auto" w:fill="CCEEFF"/>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Item 13.</w:t>
              </w:r>
            </w:hyperlink>
          </w:p>
        </w:tc>
        <w:tc>
          <w:tcPr>
            <w:tcW w:w="5760" w:type="dxa"/>
            <w:vAlign w:val="bottom"/>
            <w:tcBorders>
              <w:right w:val="single" w:sz="8" w:color="CCEEFF"/>
            </w:tcBorders>
            <w:gridSpan w:val="19"/>
            <w:shd w:val="clear" w:color="auto" w:fill="CCEEFF"/>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Certain Relationships and Related Transactions, and Director Independence</w:t>
              </w:r>
            </w:hyperlink>
          </w:p>
        </w:tc>
        <w:tc>
          <w:tcPr>
            <w:tcW w:w="280" w:type="dxa"/>
            <w:vAlign w:val="bottom"/>
            <w:gridSpan w:val="3"/>
            <w:shd w:val="clear" w:color="auto" w:fill="CCEEFF"/>
          </w:tcPr>
          <w:p>
            <w:pPr>
              <w:jc w:val="right"/>
              <w:ind w:right="60"/>
              <w:spacing w:after="0"/>
              <w:rPr>
                <w:rFonts w:ascii="Arial" w:cs="Arial" w:eastAsia="Arial" w:hAnsi="Arial"/>
                <w:sz w:val="15"/>
                <w:szCs w:val="15"/>
                <w:color w:val="0000EE"/>
                <w:w w:val="79"/>
              </w:rPr>
            </w:pPr>
            <w:hyperlink w:anchor="page145">
              <w:r>
                <w:rPr>
                  <w:rFonts w:ascii="Arial" w:cs="Arial" w:eastAsia="Arial" w:hAnsi="Arial"/>
                  <w:sz w:val="15"/>
                  <w:szCs w:val="15"/>
                  <w:color w:val="0000EE"/>
                  <w:w w:val="79"/>
                </w:rPr>
                <w:t>144</w:t>
              </w:r>
            </w:hyperlink>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40" w:type="dxa"/>
            <w:vAlign w:val="bottom"/>
            <w:gridSpan w:val="4"/>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Item 14.</w:t>
              </w:r>
            </w:hyperlink>
          </w:p>
        </w:tc>
        <w:tc>
          <w:tcPr>
            <w:tcW w:w="5760" w:type="dxa"/>
            <w:vAlign w:val="bottom"/>
            <w:gridSpan w:val="19"/>
          </w:tcPr>
          <w:p>
            <w:pPr>
              <w:spacing w:after="0"/>
              <w:rPr>
                <w:rFonts w:ascii="Arial" w:cs="Arial" w:eastAsia="Arial" w:hAnsi="Arial"/>
                <w:sz w:val="15"/>
                <w:szCs w:val="15"/>
                <w:color w:val="0000EE"/>
              </w:rPr>
            </w:pPr>
            <w:hyperlink w:anchor="page145">
              <w:r>
                <w:rPr>
                  <w:rFonts w:ascii="Arial" w:cs="Arial" w:eastAsia="Arial" w:hAnsi="Arial"/>
                  <w:sz w:val="15"/>
                  <w:szCs w:val="15"/>
                  <w:color w:val="0000EE"/>
                </w:rPr>
                <w:t>Principal Accounting Fees and Services</w:t>
              </w:r>
            </w:hyperlink>
          </w:p>
        </w:tc>
        <w:tc>
          <w:tcPr>
            <w:tcW w:w="280" w:type="dxa"/>
            <w:vAlign w:val="bottom"/>
            <w:gridSpan w:val="3"/>
          </w:tcPr>
          <w:p>
            <w:pPr>
              <w:jc w:val="right"/>
              <w:ind w:right="60"/>
              <w:spacing w:after="0"/>
              <w:rPr>
                <w:rFonts w:ascii="Arial" w:cs="Arial" w:eastAsia="Arial" w:hAnsi="Arial"/>
                <w:sz w:val="15"/>
                <w:szCs w:val="15"/>
                <w:color w:val="0000EE"/>
                <w:w w:val="79"/>
              </w:rPr>
            </w:pPr>
            <w:hyperlink w:anchor="page145">
              <w:r>
                <w:rPr>
                  <w:rFonts w:ascii="Arial" w:cs="Arial" w:eastAsia="Arial" w:hAnsi="Arial"/>
                  <w:sz w:val="15"/>
                  <w:szCs w:val="15"/>
                  <w:color w:val="0000EE"/>
                  <w:w w:val="79"/>
                </w:rPr>
                <w:t>144</w:t>
              </w:r>
            </w:hyperlink>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353"/>
        </w:trPr>
        <w:tc>
          <w:tcPr>
            <w:tcW w:w="20" w:type="dxa"/>
            <w:vAlign w:val="bottom"/>
            <w:shd w:val="clear" w:color="auto" w:fill="CCEEFF"/>
          </w:tcPr>
          <w:p>
            <w:pPr>
              <w:spacing w:after="0"/>
              <w:rPr>
                <w:sz w:val="24"/>
                <w:szCs w:val="24"/>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PART IV.</w:t>
            </w: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40" w:type="dxa"/>
            <w:vAlign w:val="bottom"/>
            <w:gridSpan w:val="4"/>
          </w:tcPr>
          <w:p>
            <w:pPr>
              <w:spacing w:after="0"/>
              <w:rPr>
                <w:rFonts w:ascii="Arial" w:cs="Arial" w:eastAsia="Arial" w:hAnsi="Arial"/>
                <w:sz w:val="15"/>
                <w:szCs w:val="15"/>
                <w:color w:val="0000EE"/>
              </w:rPr>
            </w:pPr>
            <w:hyperlink w:anchor="page146">
              <w:r>
                <w:rPr>
                  <w:rFonts w:ascii="Arial" w:cs="Arial" w:eastAsia="Arial" w:hAnsi="Arial"/>
                  <w:sz w:val="15"/>
                  <w:szCs w:val="15"/>
                  <w:color w:val="0000EE"/>
                </w:rPr>
                <w:t>Item 15.</w:t>
              </w:r>
            </w:hyperlink>
          </w:p>
        </w:tc>
        <w:tc>
          <w:tcPr>
            <w:tcW w:w="5760" w:type="dxa"/>
            <w:vAlign w:val="bottom"/>
            <w:gridSpan w:val="19"/>
          </w:tcPr>
          <w:p>
            <w:pPr>
              <w:spacing w:after="0"/>
              <w:rPr>
                <w:rFonts w:ascii="Arial" w:cs="Arial" w:eastAsia="Arial" w:hAnsi="Arial"/>
                <w:sz w:val="15"/>
                <w:szCs w:val="15"/>
                <w:color w:val="0000EE"/>
              </w:rPr>
            </w:pPr>
            <w:hyperlink w:anchor="page146">
              <w:r>
                <w:rPr>
                  <w:rFonts w:ascii="Arial" w:cs="Arial" w:eastAsia="Arial" w:hAnsi="Arial"/>
                  <w:sz w:val="15"/>
                  <w:szCs w:val="15"/>
                  <w:color w:val="0000EE"/>
                </w:rPr>
                <w:t>Exhibits and Financial Statement Schedules</w:t>
              </w:r>
            </w:hyperlink>
          </w:p>
        </w:tc>
        <w:tc>
          <w:tcPr>
            <w:tcW w:w="280" w:type="dxa"/>
            <w:vAlign w:val="bottom"/>
            <w:gridSpan w:val="3"/>
          </w:tcPr>
          <w:p>
            <w:pPr>
              <w:jc w:val="right"/>
              <w:ind w:right="60"/>
              <w:spacing w:after="0"/>
              <w:rPr>
                <w:rFonts w:ascii="Arial" w:cs="Arial" w:eastAsia="Arial" w:hAnsi="Arial"/>
                <w:sz w:val="15"/>
                <w:szCs w:val="15"/>
                <w:color w:val="0000EE"/>
                <w:w w:val="79"/>
              </w:rPr>
            </w:pPr>
            <w:hyperlink w:anchor="page146">
              <w:r>
                <w:rPr>
                  <w:rFonts w:ascii="Arial" w:cs="Arial" w:eastAsia="Arial" w:hAnsi="Arial"/>
                  <w:sz w:val="15"/>
                  <w:szCs w:val="15"/>
                  <w:color w:val="0000EE"/>
                  <w:w w:val="79"/>
                </w:rPr>
                <w:t>145</w:t>
              </w:r>
            </w:hyperlink>
          </w:p>
        </w:tc>
      </w:tr>
      <w:tr>
        <w:trPr>
          <w:trHeight w:val="27"/>
        </w:trPr>
        <w:tc>
          <w:tcPr>
            <w:tcW w:w="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spacing w:after="0"/>
              <w:rPr>
                <w:rFonts w:ascii="Arial" w:cs="Arial" w:eastAsia="Arial" w:hAnsi="Arial"/>
                <w:sz w:val="15"/>
                <w:szCs w:val="15"/>
                <w:color w:val="0000EE"/>
                <w:w w:val="83"/>
              </w:rPr>
            </w:pPr>
            <w:hyperlink w:anchor="page148">
              <w:r>
                <w:rPr>
                  <w:rFonts w:ascii="Arial" w:cs="Arial" w:eastAsia="Arial" w:hAnsi="Arial"/>
                  <w:sz w:val="15"/>
                  <w:szCs w:val="15"/>
                  <w:color w:val="0000EE"/>
                  <w:w w:val="83"/>
                </w:rPr>
                <w:t>Signatures</w:t>
              </w:r>
            </w:hyperlink>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60"/>
              <w:spacing w:after="0"/>
              <w:rPr>
                <w:rFonts w:ascii="Arial" w:cs="Arial" w:eastAsia="Arial" w:hAnsi="Arial"/>
                <w:sz w:val="15"/>
                <w:szCs w:val="15"/>
                <w:color w:val="0000EE"/>
                <w:w w:val="79"/>
              </w:rPr>
            </w:pPr>
            <w:hyperlink w:anchor="page148">
              <w:r>
                <w:rPr>
                  <w:rFonts w:ascii="Arial" w:cs="Arial" w:eastAsia="Arial" w:hAnsi="Arial"/>
                  <w:sz w:val="15"/>
                  <w:szCs w:val="15"/>
                  <w:color w:val="0000EE"/>
                  <w:w w:val="79"/>
                </w:rPr>
                <w:t>147</w:t>
              </w:r>
            </w:hyperlink>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-4364355</wp:posOffset>
            </wp:positionV>
            <wp:extent cx="40957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957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 w:name="page3"/>
    <w:bookmarkEnd w:id="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PART I</w:t>
      </w:r>
    </w:p>
    <w:p>
      <w:pPr>
        <w:spacing w:after="0" w:line="162"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GSV Capital</w:t>
      </w:r>
    </w:p>
    <w:p>
      <w:pPr>
        <w:spacing w:after="0" w:line="88" w:lineRule="exact"/>
        <w:rPr>
          <w:sz w:val="20"/>
          <w:szCs w:val="20"/>
          <w:color w:val="auto"/>
        </w:rPr>
      </w:pPr>
    </w:p>
    <w:p>
      <w:pPr>
        <w:ind w:left="1060" w:right="2419" w:firstLine="297"/>
        <w:spacing w:after="0" w:line="274" w:lineRule="auto"/>
        <w:rPr>
          <w:sz w:val="20"/>
          <w:szCs w:val="20"/>
          <w:color w:val="auto"/>
        </w:rPr>
      </w:pPr>
      <w:r>
        <w:rPr>
          <w:rFonts w:ascii="Arial" w:cs="Arial" w:eastAsia="Arial" w:hAnsi="Arial"/>
          <w:sz w:val="14"/>
          <w:szCs w:val="14"/>
          <w:color w:val="auto"/>
        </w:rPr>
        <w:t>GSV Capital Corp. (the “Company,” “we,” “our” or “GSV Capital”), a Maryland corporation, is an externally managed, non-diversified closed-end management investment company that has elected to be regulated as a business development company (“BDC”) under the Investment Company Act of 1940, as amended (the “1940 Act”). In addition, we have elected to be treated as a regulated investment company (“RIC”) under subchapter M of the Internal Revenue Code of 1986, as amended (the “Code”). We commenced operations upon completion of our initial public offering (“IPO”) in May 2011.</w:t>
      </w:r>
    </w:p>
    <w:p>
      <w:pPr>
        <w:spacing w:after="0" w:line="58" w:lineRule="exact"/>
        <w:rPr>
          <w:sz w:val="20"/>
          <w:szCs w:val="20"/>
          <w:color w:val="auto"/>
        </w:rPr>
      </w:pPr>
    </w:p>
    <w:p>
      <w:pPr>
        <w:ind w:left="1060" w:right="2439" w:firstLine="297"/>
        <w:spacing w:after="0" w:line="271" w:lineRule="auto"/>
        <w:rPr>
          <w:sz w:val="20"/>
          <w:szCs w:val="20"/>
          <w:color w:val="auto"/>
        </w:rPr>
      </w:pPr>
      <w:r>
        <w:rPr>
          <w:rFonts w:ascii="Arial" w:cs="Arial" w:eastAsia="Arial" w:hAnsi="Arial"/>
          <w:sz w:val="14"/>
          <w:szCs w:val="14"/>
          <w:color w:val="auto"/>
        </w:rPr>
        <w:t>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Our investment activities are supervised by our board of directors and managed by our investment adviser, GSV Asset Management, LLC (“GSV Asset Management”), and our administrator, GSV Capital Service Company, LLC (“GSV Capital Service Company”), provides the administrative services necessary for us to operate.</w:t>
      </w:r>
    </w:p>
    <w:p>
      <w:pPr>
        <w:spacing w:after="0" w:line="60"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Our investment philosophy is based on a disciplined approach of identifying potentially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the vast majority of the companies that GSV Asset Management evaluates.</w:t>
      </w:r>
    </w:p>
    <w:p>
      <w:pPr>
        <w:spacing w:after="0" w:line="58" w:lineRule="exact"/>
        <w:rPr>
          <w:sz w:val="20"/>
          <w:szCs w:val="20"/>
          <w:color w:val="auto"/>
        </w:rPr>
      </w:pPr>
    </w:p>
    <w:p>
      <w:pPr>
        <w:ind w:left="1060" w:right="2519" w:firstLine="297"/>
        <w:spacing w:after="0" w:line="302" w:lineRule="auto"/>
        <w:rPr>
          <w:sz w:val="20"/>
          <w:szCs w:val="20"/>
          <w:color w:val="auto"/>
        </w:rPr>
      </w:pPr>
      <w:r>
        <w:rPr>
          <w:rFonts w:ascii="Arial" w:cs="Arial" w:eastAsia="Arial" w:hAnsi="Arial"/>
          <w:sz w:val="13"/>
          <w:szCs w:val="13"/>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w:t>
      </w:r>
    </w:p>
    <w:p>
      <w:pPr>
        <w:spacing w:after="0" w:line="41" w:lineRule="exact"/>
        <w:rPr>
          <w:sz w:val="20"/>
          <w:szCs w:val="20"/>
          <w:color w:val="auto"/>
        </w:rPr>
      </w:pPr>
    </w:p>
    <w:p>
      <w:pPr>
        <w:ind w:left="1060" w:right="2759" w:firstLine="297"/>
        <w:spacing w:after="0" w:line="270" w:lineRule="auto"/>
        <w:rPr>
          <w:sz w:val="20"/>
          <w:szCs w:val="20"/>
          <w:color w:val="auto"/>
        </w:rPr>
      </w:pPr>
      <w:r>
        <w:rPr>
          <w:rFonts w:ascii="Arial" w:cs="Arial" w:eastAsia="Arial" w:hAnsi="Arial"/>
          <w:sz w:val="15"/>
          <w:szCs w:val="15"/>
          <w:color w:val="auto"/>
        </w:rPr>
        <w:t>We seek to create a low-turnover portfolio that includes investments in companies representing a broad range of investment themes.</w:t>
      </w:r>
    </w:p>
    <w:p>
      <w:pPr>
        <w:spacing w:after="0" w:line="58" w:lineRule="exact"/>
        <w:rPr>
          <w:sz w:val="20"/>
          <w:szCs w:val="20"/>
          <w:color w:val="auto"/>
        </w:rPr>
      </w:pPr>
    </w:p>
    <w:p>
      <w:pPr>
        <w:ind w:left="1060" w:right="2439" w:firstLine="297"/>
        <w:spacing w:after="0" w:line="259" w:lineRule="auto"/>
        <w:rPr>
          <w:sz w:val="20"/>
          <w:szCs w:val="20"/>
          <w:color w:val="auto"/>
        </w:rPr>
      </w:pPr>
      <w:r>
        <w:rPr>
          <w:rFonts w:ascii="Arial" w:cs="Arial" w:eastAsia="Arial" w:hAnsi="Arial"/>
          <w:sz w:val="15"/>
          <w:szCs w:val="15"/>
          <w:color w:val="auto"/>
        </w:rPr>
        <w:t>Our common stock is traded on the Nasdaq Capital Market under the symbol “GSVC”. The net asset value per share of our common stock on December 31, 2017 was $9.64. On March 15, 2018, the last reported sale price of a share of our common stock on the Nasdaq Capital Market was $8.77.</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About GSV Asset Management</w:t>
      </w:r>
    </w:p>
    <w:p>
      <w:pPr>
        <w:spacing w:after="0" w:line="88" w:lineRule="exact"/>
        <w:rPr>
          <w:sz w:val="20"/>
          <w:szCs w:val="20"/>
          <w:color w:val="auto"/>
        </w:rPr>
      </w:pPr>
    </w:p>
    <w:p>
      <w:pPr>
        <w:ind w:left="1060" w:right="2419" w:firstLine="297"/>
        <w:spacing w:after="0" w:line="274" w:lineRule="auto"/>
        <w:rPr>
          <w:sz w:val="20"/>
          <w:szCs w:val="20"/>
          <w:color w:val="auto"/>
        </w:rPr>
      </w:pPr>
      <w:r>
        <w:rPr>
          <w:rFonts w:ascii="Arial" w:cs="Arial" w:eastAsia="Arial" w:hAnsi="Arial"/>
          <w:sz w:val="14"/>
          <w:szCs w:val="14"/>
          <w:color w:val="auto"/>
        </w:rPr>
        <w:t>Our investment activities are managed by GSV Asset Management, an investment adviser registered under the Investment Advisers Act of 1940, as amended (the “Advisers Act”), subject to the overall supervision of our board of directors. GSV Asset Management is led by Michael Moe, Executive Chairman of our board of directors. Mr. Moe is assisted by William Tanona, our President, Chief Financial Officer, Treasurer and Corporate Secretary, and Luben Pampoulov, a partner of GSV Asset Management, whom we refer to collectively as GSV Asset Management’s senior investment professionals.</w:t>
      </w:r>
    </w:p>
    <w:p>
      <w:pPr>
        <w:spacing w:after="0" w:line="58" w:lineRule="exact"/>
        <w:rPr>
          <w:sz w:val="20"/>
          <w:szCs w:val="20"/>
          <w:color w:val="auto"/>
        </w:rPr>
      </w:pPr>
    </w:p>
    <w:p>
      <w:pPr>
        <w:ind w:left="1060" w:right="2599" w:firstLine="297"/>
        <w:spacing w:after="0" w:line="286" w:lineRule="auto"/>
        <w:rPr>
          <w:sz w:val="20"/>
          <w:szCs w:val="20"/>
          <w:color w:val="auto"/>
        </w:rPr>
      </w:pPr>
      <w:r>
        <w:rPr>
          <w:rFonts w:ascii="Arial" w:cs="Arial" w:eastAsia="Arial" w:hAnsi="Arial"/>
          <w:sz w:val="14"/>
          <w:szCs w:val="14"/>
          <w:color w:val="auto"/>
        </w:rPr>
        <w:t>We believe we benefit from the ability of GSV Asset Management’s senior investment professionals to identify attractive investment opportunities, conduct diligence on and value prospective investments, negotiate terms, and manage and monitor a portfolio of those investments. GSV Asset Management’s</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 w:name="page4"/>
    <w:bookmarkEnd w:id="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60" w:right="2539"/>
        <w:spacing w:after="0" w:line="317" w:lineRule="auto"/>
        <w:rPr>
          <w:sz w:val="20"/>
          <w:szCs w:val="20"/>
          <w:color w:val="auto"/>
        </w:rPr>
      </w:pPr>
      <w:r>
        <w:rPr>
          <w:rFonts w:ascii="Arial" w:cs="Arial" w:eastAsia="Arial" w:hAnsi="Arial"/>
          <w:sz w:val="13"/>
          <w:szCs w:val="13"/>
          <w:color w:val="auto"/>
        </w:rPr>
        <w:t>senior investment professionals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33" w:lineRule="exact"/>
        <w:rPr>
          <w:sz w:val="20"/>
          <w:szCs w:val="20"/>
          <w:color w:val="auto"/>
        </w:rPr>
      </w:pPr>
    </w:p>
    <w:p>
      <w:pPr>
        <w:ind w:left="1060" w:right="2599" w:firstLine="297"/>
        <w:spacing w:after="0" w:line="294" w:lineRule="auto"/>
        <w:rPr>
          <w:sz w:val="20"/>
          <w:szCs w:val="20"/>
          <w:color w:val="auto"/>
        </w:rPr>
      </w:pPr>
      <w:r>
        <w:rPr>
          <w:rFonts w:ascii="Arial" w:cs="Arial" w:eastAsia="Arial" w:hAnsi="Arial"/>
          <w:sz w:val="13"/>
          <w:szCs w:val="13"/>
          <w:color w:val="auto"/>
        </w:rPr>
        <w:t>We pay GSV Asset Management a fee for its services under the Amended and Restated Investment Advisory Agreement, as amended (the “Investment Advisory Agreement”), which consists of two components</w:t>
      </w:r>
    </w:p>
    <w:p>
      <w:pPr>
        <w:spacing w:after="0" w:line="1" w:lineRule="exact"/>
        <w:rPr>
          <w:sz w:val="20"/>
          <w:szCs w:val="20"/>
          <w:color w:val="auto"/>
        </w:rPr>
      </w:pPr>
    </w:p>
    <w:p>
      <w:pPr>
        <w:ind w:left="1060" w:right="2479"/>
        <w:spacing w:after="0" w:line="309" w:lineRule="auto"/>
        <w:rPr>
          <w:sz w:val="20"/>
          <w:szCs w:val="20"/>
          <w:color w:val="auto"/>
        </w:rPr>
      </w:pPr>
      <w:r>
        <w:rPr>
          <w:rFonts w:ascii="Arial" w:cs="Arial" w:eastAsia="Arial" w:hAnsi="Arial"/>
          <w:sz w:val="13"/>
          <w:szCs w:val="13"/>
          <w:color w:val="auto"/>
        </w:rPr>
        <w:t>— a base management fee and an incentive fee. See “— Investment Advisory Agreement.” We have also entered into an administration agreement under which we have agreed to reimburse GSV Capital Service Company for our allocable portion of overhead and other expenses incurred (the “Administration Agreement”).</w:t>
      </w:r>
    </w:p>
    <w:p>
      <w:pPr>
        <w:spacing w:after="0" w:line="38" w:lineRule="exact"/>
        <w:rPr>
          <w:sz w:val="20"/>
          <w:szCs w:val="20"/>
          <w:color w:val="auto"/>
        </w:rPr>
      </w:pPr>
    </w:p>
    <w:p>
      <w:pPr>
        <w:ind w:left="1060" w:right="2619" w:firstLine="297"/>
        <w:spacing w:after="0" w:line="270" w:lineRule="auto"/>
        <w:rPr>
          <w:sz w:val="20"/>
          <w:szCs w:val="20"/>
          <w:color w:val="auto"/>
        </w:rPr>
      </w:pPr>
      <w:r>
        <w:rPr>
          <w:rFonts w:ascii="Arial" w:cs="Arial" w:eastAsia="Arial" w:hAnsi="Arial"/>
          <w:sz w:val="15"/>
          <w:szCs w:val="15"/>
          <w:color w:val="auto"/>
        </w:rPr>
        <w:t>GSV Asset Management is a Delaware limited liability company. The principal executive offices of GSV Asset Management are located at 2925 Woodside Road, Woodside, CA 94062.</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About GSV Capital Service Company</w:t>
      </w:r>
    </w:p>
    <w:p>
      <w:pPr>
        <w:spacing w:after="0" w:line="88" w:lineRule="exact"/>
        <w:rPr>
          <w:sz w:val="20"/>
          <w:szCs w:val="20"/>
          <w:color w:val="auto"/>
        </w:rPr>
      </w:pPr>
    </w:p>
    <w:p>
      <w:pPr>
        <w:ind w:left="1060" w:right="2599" w:firstLine="297"/>
        <w:spacing w:after="0" w:line="317" w:lineRule="auto"/>
        <w:rPr>
          <w:sz w:val="20"/>
          <w:szCs w:val="20"/>
          <w:color w:val="auto"/>
        </w:rPr>
      </w:pPr>
      <w:r>
        <w:rPr>
          <w:rFonts w:ascii="Arial" w:cs="Arial" w:eastAsia="Arial" w:hAnsi="Arial"/>
          <w:sz w:val="13"/>
          <w:szCs w:val="13"/>
          <w:color w:val="auto"/>
        </w:rPr>
        <w:t>GSV Capital Service Company, a Delaware limited liability company, provides, among other things, administrative services and facilities for us pursuant to the Administration Agreement. The principal executive offices of GSV Capital Service Company are located at 2925 Woodside Road, Woodside, CA 94062.</w:t>
      </w:r>
    </w:p>
    <w:p>
      <w:pPr>
        <w:spacing w:after="0" w:line="33" w:lineRule="exact"/>
        <w:rPr>
          <w:sz w:val="20"/>
          <w:szCs w:val="20"/>
          <w:color w:val="auto"/>
        </w:rPr>
      </w:pPr>
    </w:p>
    <w:p>
      <w:pPr>
        <w:ind w:left="1060" w:right="2519" w:firstLine="297"/>
        <w:spacing w:after="0" w:line="270" w:lineRule="auto"/>
        <w:rPr>
          <w:sz w:val="20"/>
          <w:szCs w:val="20"/>
          <w:color w:val="auto"/>
        </w:rPr>
      </w:pPr>
      <w:r>
        <w:rPr>
          <w:rFonts w:ascii="Arial" w:cs="Arial" w:eastAsia="Arial" w:hAnsi="Arial"/>
          <w:sz w:val="15"/>
          <w:szCs w:val="15"/>
          <w:color w:val="auto"/>
        </w:rPr>
        <w:t>GSV Capital Service Company has retained Carl Rizzo of Alaric Compliance Services LLC to serve as our Chief Compliance Officer.</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Operating and Regulatory Structure</w:t>
      </w:r>
    </w:p>
    <w:p>
      <w:pPr>
        <w:spacing w:after="0" w:line="88" w:lineRule="exact"/>
        <w:rPr>
          <w:sz w:val="20"/>
          <w:szCs w:val="20"/>
          <w:color w:val="auto"/>
        </w:rPr>
      </w:pPr>
    </w:p>
    <w:p>
      <w:pPr>
        <w:ind w:left="1060" w:right="2499" w:firstLine="297"/>
        <w:spacing w:after="0" w:line="279" w:lineRule="auto"/>
        <w:rPr>
          <w:sz w:val="20"/>
          <w:szCs w:val="20"/>
          <w:color w:val="auto"/>
        </w:rPr>
      </w:pPr>
      <w:r>
        <w:rPr>
          <w:rFonts w:ascii="Arial" w:cs="Arial" w:eastAsia="Arial" w:hAnsi="Arial"/>
          <w:sz w:val="14"/>
          <w:szCs w:val="14"/>
          <w:color w:val="auto"/>
        </w:rPr>
        <w:t>We are a Maryland corporation formed in 2010 that operates as an externally managed, non-diversified closed-end management investment company. Our investment activities are supervised by our board of directors and managed by our investment adviser, GSV Asset Management. Our administrator, GSV Capital Service Company, provides the administrative services necessary for us to operate.</w:t>
      </w:r>
    </w:p>
    <w:p>
      <w:pPr>
        <w:spacing w:after="0" w:line="55" w:lineRule="exact"/>
        <w:rPr>
          <w:sz w:val="20"/>
          <w:szCs w:val="20"/>
          <w:color w:val="auto"/>
        </w:rPr>
      </w:pPr>
    </w:p>
    <w:p>
      <w:pPr>
        <w:ind w:left="1060" w:right="2619" w:firstLine="297"/>
        <w:spacing w:after="0" w:line="317" w:lineRule="auto"/>
        <w:rPr>
          <w:sz w:val="20"/>
          <w:szCs w:val="20"/>
          <w:color w:val="auto"/>
        </w:rPr>
      </w:pPr>
      <w:r>
        <w:rPr>
          <w:rFonts w:ascii="Arial" w:cs="Arial" w:eastAsia="Arial" w:hAnsi="Arial"/>
          <w:sz w:val="13"/>
          <w:szCs w:val="13"/>
          <w:color w:val="auto"/>
        </w:rPr>
        <w:t>As a BDC, we are required to meet regulatory tests. See “— Regulation as a Business Development Company.” Also, while we are permitted to finance investments using debt, our ability to use debt is limited in certain significant aspects. See “Risk Factors” in Part I, Item 1A of this Form 10-K for more information.</w:t>
      </w:r>
    </w:p>
    <w:p>
      <w:pPr>
        <w:spacing w:after="0" w:line="33" w:lineRule="exact"/>
        <w:rPr>
          <w:sz w:val="20"/>
          <w:szCs w:val="20"/>
          <w:color w:val="auto"/>
        </w:rPr>
      </w:pPr>
    </w:p>
    <w:p>
      <w:pPr>
        <w:ind w:left="1060" w:right="2479" w:firstLine="297"/>
        <w:spacing w:after="0" w:line="254" w:lineRule="auto"/>
        <w:rPr>
          <w:sz w:val="20"/>
          <w:szCs w:val="20"/>
          <w:color w:val="auto"/>
        </w:rPr>
      </w:pPr>
      <w:r>
        <w:rPr>
          <w:rFonts w:ascii="Arial" w:cs="Arial" w:eastAsia="Arial" w:hAnsi="Arial"/>
          <w:sz w:val="15"/>
          <w:szCs w:val="15"/>
          <w:color w:val="auto"/>
        </w:rPr>
        <w:t xml:space="preserve">We have elected to be treated as a RIC under subchapter M of the Code and expect to continue to operate in a manner so as to qualify for the tax treatment applicable to RICs. See “— Material U.S. Federal Income Tax Considerations” and “Note 2 — Significant Accounting Policies — </w:t>
      </w:r>
      <w:r>
        <w:rPr>
          <w:rFonts w:ascii="Arial" w:cs="Arial" w:eastAsia="Arial" w:hAnsi="Arial"/>
          <w:sz w:val="15"/>
          <w:szCs w:val="15"/>
          <w:i w:val="1"/>
          <w:iCs w:val="1"/>
          <w:color w:val="auto"/>
        </w:rPr>
        <w:t>U.S. Federal and State Income Taxes</w:t>
      </w:r>
      <w:r>
        <w:rPr>
          <w:rFonts w:ascii="Arial" w:cs="Arial" w:eastAsia="Arial" w:hAnsi="Arial"/>
          <w:sz w:val="15"/>
          <w:szCs w:val="15"/>
          <w:color w:val="auto"/>
        </w:rPr>
        <w:t>” and “Note 9 — Income Taxes” to our consolidated financial statements for the year ended December 31, 2017 for more information.</w:t>
      </w:r>
    </w:p>
    <w:p>
      <w:pPr>
        <w:spacing w:after="0" w:line="69" w:lineRule="exact"/>
        <w:rPr>
          <w:sz w:val="20"/>
          <w:szCs w:val="20"/>
          <w:color w:val="auto"/>
        </w:rPr>
      </w:pPr>
    </w:p>
    <w:p>
      <w:pPr>
        <w:ind w:left="1060" w:right="2419" w:firstLine="297"/>
        <w:spacing w:after="0" w:line="251" w:lineRule="auto"/>
        <w:rPr>
          <w:sz w:val="20"/>
          <w:szCs w:val="20"/>
          <w:color w:val="auto"/>
        </w:rPr>
      </w:pPr>
      <w:r>
        <w:rPr>
          <w:rFonts w:ascii="Arial" w:cs="Arial" w:eastAsia="Arial" w:hAnsi="Arial"/>
          <w:sz w:val="15"/>
          <w:szCs w:val="15"/>
          <w:color w:val="auto"/>
        </w:rPr>
        <w:t>Our executive officers receive no direct compensation from us, and we have no direct employees. Our day-to-day investment operations are managed by GSV Asset Management. In addition, we reimburse GSV Capital Service Company for an allocable portion of expenses incurred by it in performing its obligations under the Administration Agreement, including a portion of the rent and the compensation of our President, Chief Financial Officer, Chief Compliance Officer and other staff providing administration services. Carl Rizzo, our Chief Compliance Officer, is a director of Alaric Compliance Services LLC and performs his functions as our Chief Compliance Officer under the terms of an agreement between GSV Capital Service Company and Alaric Compliance Services LLC.</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Opportunity</w:t>
      </w:r>
    </w:p>
    <w:p>
      <w:pPr>
        <w:spacing w:after="0" w:line="88" w:lineRule="exact"/>
        <w:rPr>
          <w:sz w:val="20"/>
          <w:szCs w:val="20"/>
          <w:color w:val="auto"/>
        </w:rPr>
      </w:pPr>
    </w:p>
    <w:p>
      <w:pPr>
        <w:ind w:left="1060" w:right="2559" w:firstLine="297"/>
        <w:spacing w:after="0" w:line="276" w:lineRule="auto"/>
        <w:rPr>
          <w:sz w:val="20"/>
          <w:szCs w:val="20"/>
          <w:color w:val="auto"/>
        </w:rPr>
      </w:pPr>
      <w:r>
        <w:rPr>
          <w:rFonts w:ascii="Arial" w:cs="Arial" w:eastAsia="Arial" w:hAnsi="Arial"/>
          <w:sz w:val="14"/>
          <w:szCs w:val="14"/>
          <w:color w:val="auto"/>
        </w:rPr>
        <w:t>We believe that society is experiencing a convergence of numerous disruptive trends, producing new high-growth markets. For example, the growth of both social networking and connected mobile devices, such as smartphones and tablets, has opened up new channels for communication and real-time collaboration. The number of devices and people that regularly connect to the Internet has increased in recent years, generating significant demand for always accessible, personalized and localized content and</w:t>
      </w: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 w:name="page5"/>
    <w:bookmarkEnd w:id="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60" w:right="2439"/>
        <w:spacing w:after="0" w:line="255" w:lineRule="auto"/>
        <w:rPr>
          <w:sz w:val="20"/>
          <w:szCs w:val="20"/>
          <w:color w:val="auto"/>
        </w:rPr>
      </w:pPr>
      <w:r>
        <w:rPr>
          <w:rFonts w:ascii="Arial" w:cs="Arial" w:eastAsia="Arial" w:hAnsi="Arial"/>
          <w:sz w:val="15"/>
          <w:szCs w:val="15"/>
          <w:color w:val="auto"/>
        </w:rPr>
        <w:t>real-time online interactivity. Similarly, the advent of education technology, and insights with respect to how, and what, people learn, are also disrupting the traditional educational sector. These factors are creating opportunities for new market participants and significant growth for established companies with leading positions capitalizing on these trends.</w:t>
      </w:r>
    </w:p>
    <w:p>
      <w:pPr>
        <w:spacing w:after="0" w:line="70" w:lineRule="exact"/>
        <w:rPr>
          <w:sz w:val="20"/>
          <w:szCs w:val="20"/>
          <w:color w:val="auto"/>
        </w:rPr>
      </w:pPr>
    </w:p>
    <w:p>
      <w:pPr>
        <w:ind w:left="1060" w:right="2459" w:firstLine="297"/>
        <w:spacing w:after="0" w:line="271" w:lineRule="auto"/>
        <w:rPr>
          <w:sz w:val="20"/>
          <w:szCs w:val="20"/>
          <w:color w:val="auto"/>
        </w:rPr>
      </w:pPr>
      <w:r>
        <w:rPr>
          <w:rFonts w:ascii="Arial" w:cs="Arial" w:eastAsia="Arial" w:hAnsi="Arial"/>
          <w:sz w:val="14"/>
          <w:szCs w:val="14"/>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Strategy</w:t>
      </w:r>
    </w:p>
    <w:p>
      <w:pPr>
        <w:spacing w:after="0" w:line="88" w:lineRule="exact"/>
        <w:rPr>
          <w:sz w:val="20"/>
          <w:szCs w:val="20"/>
          <w:color w:val="auto"/>
        </w:rPr>
      </w:pPr>
    </w:p>
    <w:p>
      <w:pPr>
        <w:jc w:val="both"/>
        <w:ind w:left="1060" w:right="2559" w:firstLine="297"/>
        <w:spacing w:after="0" w:line="259" w:lineRule="auto"/>
        <w:rPr>
          <w:sz w:val="20"/>
          <w:szCs w:val="20"/>
          <w:color w:val="auto"/>
        </w:rPr>
      </w:pPr>
      <w:r>
        <w:rPr>
          <w:rFonts w:ascii="Arial" w:cs="Arial" w:eastAsia="Arial" w:hAnsi="Arial"/>
          <w:sz w:val="15"/>
          <w:szCs w:val="15"/>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67" w:lineRule="exact"/>
        <w:rPr>
          <w:sz w:val="20"/>
          <w:szCs w:val="20"/>
          <w:color w:val="auto"/>
        </w:rPr>
      </w:pPr>
    </w:p>
    <w:p>
      <w:pPr>
        <w:ind w:left="1060" w:right="2519" w:firstLine="297"/>
        <w:spacing w:after="0" w:line="259" w:lineRule="auto"/>
        <w:rPr>
          <w:sz w:val="20"/>
          <w:szCs w:val="20"/>
          <w:color w:val="auto"/>
        </w:rPr>
      </w:pPr>
      <w:r>
        <w:rPr>
          <w:rFonts w:ascii="Arial" w:cs="Arial" w:eastAsia="Arial" w:hAnsi="Arial"/>
          <w:sz w:val="15"/>
          <w:szCs w:val="15"/>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67" w:lineRule="exact"/>
        <w:rPr>
          <w:sz w:val="20"/>
          <w:szCs w:val="20"/>
          <w:color w:val="auto"/>
        </w:rPr>
      </w:pPr>
    </w:p>
    <w:p>
      <w:pPr>
        <w:ind w:left="1640" w:right="2499" w:hanging="292"/>
        <w:spacing w:after="0" w:line="302" w:lineRule="auto"/>
        <w:tabs>
          <w:tab w:leader="none" w:pos="1640"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Identify high quality growth companies. </w:t>
      </w:r>
      <w:r>
        <w:rPr>
          <w:rFonts w:ascii="Arial" w:cs="Arial" w:eastAsia="Arial" w:hAnsi="Arial"/>
          <w:sz w:val="13"/>
          <w:szCs w:val="13"/>
          <w:color w:val="auto"/>
        </w:rPr>
        <w:t>Based on our extensive experience in analyzing technology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trends and markets, we have identified the technology sub-sectors of social mobile, cloud computing and big data, internet commerce, sustainability and education technology, as opportunities where we believe companies are capable of producing substantial growth. We rely on our collective industry knowledge as well as an understanding of where leading venture capitalists are investing.</w:t>
      </w:r>
    </w:p>
    <w:p>
      <w:pPr>
        <w:spacing w:after="0" w:line="41" w:lineRule="exact"/>
        <w:rPr>
          <w:sz w:val="20"/>
          <w:szCs w:val="20"/>
          <w:color w:val="auto"/>
        </w:rPr>
      </w:pPr>
    </w:p>
    <w:p>
      <w:pPr>
        <w:ind w:left="1340" w:right="2439" w:firstLine="297"/>
        <w:spacing w:after="0" w:line="286" w:lineRule="auto"/>
        <w:rPr>
          <w:sz w:val="20"/>
          <w:szCs w:val="20"/>
          <w:color w:val="auto"/>
        </w:rPr>
      </w:pPr>
      <w:r>
        <w:rPr>
          <w:rFonts w:ascii="Arial" w:cs="Arial" w:eastAsia="Arial" w:hAnsi="Arial"/>
          <w:sz w:val="14"/>
          <w:szCs w:val="14"/>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49" w:lineRule="exact"/>
        <w:rPr>
          <w:sz w:val="20"/>
          <w:szCs w:val="20"/>
          <w:color w:val="auto"/>
        </w:rPr>
      </w:pPr>
    </w:p>
    <w:p>
      <w:pPr>
        <w:ind w:left="1940" w:hanging="294"/>
        <w:spacing w:after="0"/>
        <w:tabs>
          <w:tab w:leader="none" w:pos="1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People — Organizations led by strong management teams with in-depth operational focus</w:t>
      </w:r>
    </w:p>
    <w:p>
      <w:pPr>
        <w:spacing w:after="0" w:line="106" w:lineRule="exact"/>
        <w:rPr>
          <w:rFonts w:ascii="Arial" w:cs="Arial" w:eastAsia="Arial" w:hAnsi="Arial"/>
          <w:sz w:val="14"/>
          <w:szCs w:val="14"/>
          <w:color w:val="auto"/>
        </w:rPr>
      </w:pPr>
    </w:p>
    <w:p>
      <w:pPr>
        <w:ind w:left="1940" w:hanging="294"/>
        <w:spacing w:after="0"/>
        <w:tabs>
          <w:tab w:leader="none" w:pos="1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Product — Differentiated and disruptive products with leading market positioning</w:t>
      </w:r>
    </w:p>
    <w:p>
      <w:pPr>
        <w:spacing w:after="0" w:line="95" w:lineRule="exact"/>
        <w:rPr>
          <w:rFonts w:ascii="Arial" w:cs="Arial" w:eastAsia="Arial" w:hAnsi="Arial"/>
          <w:sz w:val="15"/>
          <w:szCs w:val="15"/>
          <w:color w:val="auto"/>
        </w:rPr>
      </w:pPr>
    </w:p>
    <w:p>
      <w:pPr>
        <w:ind w:left="1940" w:hanging="294"/>
        <w:spacing w:after="0"/>
        <w:tabs>
          <w:tab w:leader="none" w:pos="1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Potential — Large addressable markets</w:t>
      </w:r>
    </w:p>
    <w:p>
      <w:pPr>
        <w:spacing w:after="0" w:line="95" w:lineRule="exact"/>
        <w:rPr>
          <w:rFonts w:ascii="Arial" w:cs="Arial" w:eastAsia="Arial" w:hAnsi="Arial"/>
          <w:sz w:val="15"/>
          <w:szCs w:val="15"/>
          <w:color w:val="auto"/>
        </w:rPr>
      </w:pPr>
    </w:p>
    <w:p>
      <w:pPr>
        <w:ind w:left="1940" w:hanging="294"/>
        <w:spacing w:after="0"/>
        <w:tabs>
          <w:tab w:leader="none" w:pos="1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Predictability — Ability to forecast and drive predictable and sustainable growth</w:t>
      </w:r>
    </w:p>
    <w:p>
      <w:pPr>
        <w:spacing w:after="0" w:line="9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We consider these to be the core elements for identifying rapidly growing emerging companies.</w:t>
      </w:r>
    </w:p>
    <w:p>
      <w:pPr>
        <w:spacing w:after="0" w:line="95" w:lineRule="exact"/>
        <w:rPr>
          <w:sz w:val="20"/>
          <w:szCs w:val="20"/>
          <w:color w:val="auto"/>
        </w:rPr>
      </w:pPr>
    </w:p>
    <w:p>
      <w:pPr>
        <w:jc w:val="both"/>
        <w:ind w:left="1640" w:right="2459" w:hanging="292"/>
        <w:spacing w:after="0" w:line="317" w:lineRule="auto"/>
        <w:tabs>
          <w:tab w:leader="none" w:pos="164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Acquire positions in targeted investments. </w:t>
      </w:r>
      <w:r>
        <w:rPr>
          <w:rFonts w:ascii="Arial" w:cs="Arial" w:eastAsia="Arial" w:hAnsi="Arial"/>
          <w:sz w:val="13"/>
          <w:szCs w:val="13"/>
          <w:color w:val="auto"/>
        </w:rPr>
        <w:t>We seek to add to our portfolio by sourcing investments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acceptable price through our disciplined investing strategy. To this end, we utilize multiple methods to acquire equity stakes in private companies that are not available to many individual investors.</w:t>
      </w:r>
    </w:p>
    <w:p>
      <w:pPr>
        <w:spacing w:after="0" w:line="33" w:lineRule="exact"/>
        <w:rPr>
          <w:sz w:val="20"/>
          <w:szCs w:val="20"/>
          <w:color w:val="auto"/>
        </w:rPr>
      </w:pPr>
    </w:p>
    <w:p>
      <w:pPr>
        <w:ind w:left="1340" w:right="2439" w:firstLine="297"/>
        <w:spacing w:after="0" w:line="299" w:lineRule="auto"/>
        <w:rPr>
          <w:sz w:val="20"/>
          <w:szCs w:val="20"/>
          <w:color w:val="auto"/>
        </w:rPr>
      </w:pPr>
      <w:r>
        <w:rPr>
          <w:rFonts w:ascii="Arial" w:cs="Arial" w:eastAsia="Arial" w:hAnsi="Arial"/>
          <w:sz w:val="13"/>
          <w:szCs w:val="13"/>
          <w:i w:val="1"/>
          <w:iCs w:val="1"/>
          <w:color w:val="auto"/>
        </w:rPr>
        <w:t xml:space="preserve">Direct equity investments. </w:t>
      </w:r>
      <w:r>
        <w:rPr>
          <w:rFonts w:ascii="Arial" w:cs="Arial" w:eastAsia="Arial" w:hAnsi="Arial"/>
          <w:sz w:val="13"/>
          <w:szCs w:val="13"/>
          <w:color w:val="auto"/>
        </w:rPr>
        <w:t>We seek direct investments in private companies. There is a large market</w:t>
      </w:r>
      <w:r>
        <w:rPr>
          <w:rFonts w:ascii="Arial" w:cs="Arial" w:eastAsia="Arial" w:hAnsi="Arial"/>
          <w:sz w:val="13"/>
          <w:szCs w:val="13"/>
          <w:i w:val="1"/>
          <w:iCs w:val="1"/>
          <w:color w:val="auto"/>
        </w:rPr>
        <w:t xml:space="preserve"> </w:t>
      </w:r>
      <w:r>
        <w:rPr>
          <w:rFonts w:ascii="Arial" w:cs="Arial" w:eastAsia="Arial" w:hAnsi="Arial"/>
          <w:sz w:val="13"/>
          <w:szCs w:val="13"/>
          <w:color w:val="auto"/>
        </w:rPr>
        <w:t>among emerging 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43" w:lineRule="exact"/>
        <w:rPr>
          <w:sz w:val="20"/>
          <w:szCs w:val="20"/>
          <w:color w:val="auto"/>
        </w:rPr>
      </w:pPr>
    </w:p>
    <w:p>
      <w:pPr>
        <w:ind w:left="1340" w:right="2459" w:firstLine="297"/>
        <w:spacing w:after="0" w:line="286" w:lineRule="auto"/>
        <w:rPr>
          <w:sz w:val="20"/>
          <w:szCs w:val="20"/>
          <w:color w:val="auto"/>
        </w:rPr>
      </w:pPr>
      <w:r>
        <w:rPr>
          <w:rFonts w:ascii="Arial" w:cs="Arial" w:eastAsia="Arial" w:hAnsi="Arial"/>
          <w:sz w:val="14"/>
          <w:szCs w:val="14"/>
          <w:i w:val="1"/>
          <w:iCs w:val="1"/>
          <w:color w:val="auto"/>
        </w:rPr>
        <w:t xml:space="preserve">Private secondary marketplaces and direct share purchases. </w:t>
      </w:r>
      <w:r>
        <w:rPr>
          <w:rFonts w:ascii="Arial" w:cs="Arial" w:eastAsia="Arial" w:hAnsi="Arial"/>
          <w:sz w:val="14"/>
          <w:szCs w:val="14"/>
          <w:color w:val="auto"/>
        </w:rPr>
        <w:t>We also utilize private secondary</w:t>
      </w:r>
      <w:r>
        <w:rPr>
          <w:rFonts w:ascii="Arial" w:cs="Arial" w:eastAsia="Arial" w:hAnsi="Arial"/>
          <w:sz w:val="14"/>
          <w:szCs w:val="14"/>
          <w:i w:val="1"/>
          <w:iCs w:val="1"/>
          <w:color w:val="auto"/>
        </w:rPr>
        <w:t xml:space="preserve"> </w:t>
      </w:r>
      <w:r>
        <w:rPr>
          <w:rFonts w:ascii="Arial" w:cs="Arial" w:eastAsia="Arial" w:hAnsi="Arial"/>
          <w:sz w:val="14"/>
          <w:szCs w:val="14"/>
          <w:color w:val="auto"/>
        </w:rPr>
        <w:t>marketplaces as a means to acquire equity and equity-related interests in privately held companies that meet our investment criteria and that we believe are attractive candidates for investment. We believe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 w:name="page6"/>
    <w:bookmarkEnd w:id="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right="2439"/>
        <w:spacing w:after="0" w:line="270" w:lineRule="auto"/>
        <w:rPr>
          <w:sz w:val="20"/>
          <w:szCs w:val="20"/>
          <w:color w:val="auto"/>
        </w:rPr>
      </w:pPr>
      <w:r>
        <w:rPr>
          <w:rFonts w:ascii="Arial" w:cs="Arial" w:eastAsia="Arial" w:hAnsi="Arial"/>
          <w:sz w:val="14"/>
          <w:szCs w:val="14"/>
          <w:color w:val="auto"/>
        </w:rPr>
        <w:t>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GSV Asset Management’s investment professionals within the industry and established history of investing affords us a favorable position when seeking approval for a purchase of shares subject to such limitations.</w:t>
      </w:r>
    </w:p>
    <w:p>
      <w:pPr>
        <w:spacing w:after="0" w:line="61" w:lineRule="exact"/>
        <w:rPr>
          <w:sz w:val="20"/>
          <w:szCs w:val="20"/>
          <w:color w:val="auto"/>
        </w:rPr>
      </w:pPr>
    </w:p>
    <w:p>
      <w:pPr>
        <w:ind w:left="1640" w:right="2439" w:hanging="292"/>
        <w:spacing w:after="0" w:line="302" w:lineRule="auto"/>
        <w:tabs>
          <w:tab w:leader="none" w:pos="164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Create access to a varied investment portfolio. </w:t>
      </w:r>
      <w:r>
        <w:rPr>
          <w:rFonts w:ascii="Arial" w:cs="Arial" w:eastAsia="Arial" w:hAnsi="Arial"/>
          <w:sz w:val="13"/>
          <w:szCs w:val="13"/>
          <w:color w:val="auto"/>
        </w:rPr>
        <w:t>We seek to hold a varied portfolio of non-controlling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equity investments, which we believe will 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1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Competitive Advantages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We believe that we benefit from the following competitive advantages in executing our investment strategy:</w:t>
      </w:r>
    </w:p>
    <w:p>
      <w:pPr>
        <w:spacing w:after="0" w:line="118" w:lineRule="exact"/>
        <w:rPr>
          <w:sz w:val="20"/>
          <w:szCs w:val="20"/>
          <w:color w:val="auto"/>
        </w:rPr>
      </w:pPr>
    </w:p>
    <w:p>
      <w:pPr>
        <w:ind w:left="1640" w:right="2499" w:hanging="292"/>
        <w:spacing w:after="0" w:line="274" w:lineRule="auto"/>
        <w:tabs>
          <w:tab w:leader="none" w:pos="164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Experienced team of investment professionals. </w:t>
      </w:r>
      <w:r>
        <w:rPr>
          <w:rFonts w:ascii="Arial" w:cs="Arial" w:eastAsia="Arial" w:hAnsi="Arial"/>
          <w:sz w:val="14"/>
          <w:szCs w:val="14"/>
          <w:color w:val="auto"/>
        </w:rPr>
        <w:t>GSV Asset Management’s senior investment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professionals and our board of directors have significant experience researching and investing in the types of potentially rapidly growing venture-capital-backed emerging 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57" w:lineRule="exact"/>
        <w:rPr>
          <w:rFonts w:ascii="Arial" w:cs="Arial" w:eastAsia="Arial" w:hAnsi="Arial"/>
          <w:sz w:val="14"/>
          <w:szCs w:val="14"/>
          <w:color w:val="auto"/>
        </w:rPr>
      </w:pPr>
    </w:p>
    <w:p>
      <w:pPr>
        <w:ind w:left="1640" w:right="2539" w:hanging="292"/>
        <w:spacing w:after="0" w:line="254" w:lineRule="auto"/>
        <w:tabs>
          <w:tab w:leader="none" w:pos="16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Disciplined and repeatable investment process. </w:t>
      </w:r>
      <w:r>
        <w:rPr>
          <w:rFonts w:ascii="Arial" w:cs="Arial" w:eastAsia="Arial" w:hAnsi="Arial"/>
          <w:sz w:val="15"/>
          <w:szCs w:val="15"/>
          <w:color w:val="auto"/>
        </w:rPr>
        <w:t>We have established a disciplined and repeatable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process to locate and acquire available shares at attractive valuations by utilizing multiple sources. In contrast to industry “aggregators” that accumulate stock at market prices, we conduct valuation analyses and make acquisitions only when we can invest at valuations that we believe are attractive to our investors.</w:t>
      </w:r>
    </w:p>
    <w:p>
      <w:pPr>
        <w:spacing w:after="0" w:line="69" w:lineRule="exact"/>
        <w:rPr>
          <w:rFonts w:ascii="Arial" w:cs="Arial" w:eastAsia="Arial" w:hAnsi="Arial"/>
          <w:sz w:val="15"/>
          <w:szCs w:val="15"/>
          <w:color w:val="auto"/>
        </w:rPr>
      </w:pPr>
    </w:p>
    <w:p>
      <w:pPr>
        <w:ind w:left="1640" w:right="2519" w:hanging="292"/>
        <w:spacing w:after="0" w:line="297" w:lineRule="auto"/>
        <w:tabs>
          <w:tab w:leader="none" w:pos="164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Deep relationships with significant credibility to source and complete transactions. </w:t>
      </w:r>
      <w:r>
        <w:rPr>
          <w:rFonts w:ascii="Arial" w:cs="Arial" w:eastAsia="Arial" w:hAnsi="Arial"/>
          <w:sz w:val="13"/>
          <w:szCs w:val="13"/>
          <w:color w:val="auto"/>
        </w:rPr>
        <w:t>GSV Asset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including its senior investment professionals, are strategically located in the heart of Silicon Valley in Woodside, California. During the course of over two decades of researching and investing in emerging private companies, GSV Asset Management’s senior investment professionals have developed strong reputations within the investing community, particularly within technology-related sectors. GSV Asset Management’s senior investment professionals have also developed strong relationships in the financial, investing and technology-related sectors.</w:t>
      </w:r>
    </w:p>
    <w:p>
      <w:pPr>
        <w:spacing w:after="0" w:line="44" w:lineRule="exact"/>
        <w:rPr>
          <w:rFonts w:ascii="Arial" w:cs="Arial" w:eastAsia="Arial" w:hAnsi="Arial"/>
          <w:sz w:val="13"/>
          <w:szCs w:val="13"/>
          <w:color w:val="auto"/>
        </w:rPr>
      </w:pPr>
    </w:p>
    <w:p>
      <w:pPr>
        <w:ind w:left="1640" w:right="2439" w:hanging="292"/>
        <w:spacing w:after="0" w:line="302" w:lineRule="auto"/>
        <w:tabs>
          <w:tab w:leader="none" w:pos="164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Source of permanent investing capital. </w:t>
      </w:r>
      <w:r>
        <w:rPr>
          <w:rFonts w:ascii="Arial" w:cs="Arial" w:eastAsia="Arial" w:hAnsi="Arial"/>
          <w:sz w:val="13"/>
          <w:szCs w:val="13"/>
          <w:color w:val="auto"/>
        </w:rPr>
        <w:t>As a publicly traded corporation, we have access to a source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permanent equity capital that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41" w:lineRule="exact"/>
        <w:rPr>
          <w:rFonts w:ascii="Arial" w:cs="Arial" w:eastAsia="Arial" w:hAnsi="Arial"/>
          <w:sz w:val="13"/>
          <w:szCs w:val="13"/>
          <w:color w:val="auto"/>
        </w:rPr>
      </w:pPr>
    </w:p>
    <w:p>
      <w:pPr>
        <w:ind w:left="1640" w:right="2599" w:hanging="292"/>
        <w:spacing w:after="0" w:line="297" w:lineRule="auto"/>
        <w:tabs>
          <w:tab w:leader="none" w:pos="164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Early mover advantage. </w:t>
      </w:r>
      <w:r>
        <w:rPr>
          <w:rFonts w:ascii="Arial" w:cs="Arial" w:eastAsia="Arial" w:hAnsi="Arial"/>
          <w:sz w:val="13"/>
          <w:szCs w:val="13"/>
          <w:color w:val="auto"/>
        </w:rPr>
        <w:t>We believe we are one of the few publicly traded BDC’s with a specific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focus on investing in potentially rapidly growing venture-capital-backed emerging 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 w:name="page7"/>
    <w:bookmarkEnd w:id="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right="2419"/>
        <w:spacing w:after="0" w:line="259" w:lineRule="auto"/>
        <w:rPr>
          <w:sz w:val="20"/>
          <w:szCs w:val="20"/>
          <w:color w:val="auto"/>
        </w:rPr>
      </w:pPr>
      <w:r>
        <w:rPr>
          <w:rFonts w:ascii="Arial" w:cs="Arial" w:eastAsia="Arial" w:hAnsi="Arial"/>
          <w:sz w:val="15"/>
          <w:szCs w:val="15"/>
          <w:color w:val="auto"/>
        </w:rPr>
        <w:t>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67"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 — Risks Related to Our Business and Structure” in Part I, Item 1A of this Form 10-K.</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Process</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Concentrated Technology-related Focus</w:t>
      </w:r>
    </w:p>
    <w:p>
      <w:pPr>
        <w:spacing w:after="0" w:line="84" w:lineRule="exact"/>
        <w:rPr>
          <w:sz w:val="20"/>
          <w:szCs w:val="20"/>
          <w:color w:val="auto"/>
        </w:rPr>
      </w:pPr>
    </w:p>
    <w:p>
      <w:pPr>
        <w:ind w:left="1060" w:right="2479" w:firstLine="297"/>
        <w:spacing w:after="0" w:line="292" w:lineRule="auto"/>
        <w:rPr>
          <w:sz w:val="20"/>
          <w:szCs w:val="20"/>
          <w:color w:val="auto"/>
        </w:rPr>
      </w:pPr>
      <w:r>
        <w:rPr>
          <w:rFonts w:ascii="Arial" w:cs="Arial" w:eastAsia="Arial" w:hAnsi="Arial"/>
          <w:sz w:val="13"/>
          <w:szCs w:val="13"/>
          <w:color w:val="auto"/>
        </w:rPr>
        <w:t>During the course of over two decades of researching and investing in non-public companies, GSV Asset Management’s investment professionals have identified five areas from which we expect to see significant numbers of high-growth companies emerge: new media, communication, alternative energy, education technology, and the consumerization of information technology. These broad markets have the potential to produce disruptive technologies, reach a large addressable market and provide significant commercial opportunities. Within these areas, GSV Asset Management has identified broad trends that could create significant positive effects on growth such as globalization, consolidation, branding, convergence and network effects. From within these broad technology themes, GSV Asset Management has selected five sub-segments in which it target companies for our investment: social mobile, cloud computing and big data, internet commerce, sustainability and education technology. We remain focused on selecting market leaders within the sub-segments identified, while continuing to review our pipeline to ensure we are tracking the next phase of leaders.</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Investment Targeting and Screening</w:t>
      </w:r>
    </w:p>
    <w:p>
      <w:pPr>
        <w:spacing w:after="0" w:line="84" w:lineRule="exact"/>
        <w:rPr>
          <w:sz w:val="20"/>
          <w:szCs w:val="20"/>
          <w:color w:val="auto"/>
        </w:rPr>
      </w:pPr>
    </w:p>
    <w:p>
      <w:pPr>
        <w:ind w:left="1060" w:right="2439" w:firstLine="297"/>
        <w:spacing w:after="0" w:line="293" w:lineRule="auto"/>
        <w:rPr>
          <w:sz w:val="20"/>
          <w:szCs w:val="20"/>
          <w:color w:val="auto"/>
        </w:rPr>
      </w:pPr>
      <w:r>
        <w:rPr>
          <w:rFonts w:ascii="Arial" w:cs="Arial" w:eastAsia="Arial" w:hAnsi="Arial"/>
          <w:sz w:val="13"/>
          <w:szCs w:val="13"/>
          <w:color w:val="auto"/>
        </w:rPr>
        <w:t>We identify prospective portfolio companies through an extensive network of relationships developed by GSV Asset Management’s senior investment professionals, supplemented by the knowledge and relationships of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that we evaluate in greater depth.</w:t>
      </w:r>
    </w:p>
    <w:p>
      <w:pPr>
        <w:spacing w:after="0" w:line="12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Research and Due Diligence Process</w:t>
      </w:r>
    </w:p>
    <w:p>
      <w:pPr>
        <w:spacing w:after="0" w:line="84" w:lineRule="exact"/>
        <w:rPr>
          <w:sz w:val="20"/>
          <w:szCs w:val="20"/>
          <w:color w:val="auto"/>
        </w:rPr>
      </w:pPr>
    </w:p>
    <w:p>
      <w:pPr>
        <w:ind w:left="1060" w:right="2399" w:firstLine="297"/>
        <w:spacing w:after="0" w:line="273" w:lineRule="auto"/>
        <w:rPr>
          <w:sz w:val="20"/>
          <w:szCs w:val="20"/>
          <w:color w:val="auto"/>
        </w:rPr>
      </w:pPr>
      <w:r>
        <w:rPr>
          <w:rFonts w:ascii="Arial" w:cs="Arial" w:eastAsia="Arial" w:hAnsi="Arial"/>
          <w:sz w:val="14"/>
          <w:szCs w:val="14"/>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57" w:lineRule="exact"/>
        <w:rPr>
          <w:sz w:val="20"/>
          <w:szCs w:val="20"/>
          <w:color w:val="auto"/>
        </w:rPr>
      </w:pPr>
    </w:p>
    <w:p>
      <w:pPr>
        <w:ind w:left="1060" w:right="2499" w:firstLine="297"/>
        <w:spacing w:after="0" w:line="286" w:lineRule="auto"/>
        <w:rPr>
          <w:sz w:val="20"/>
          <w:szCs w:val="20"/>
          <w:color w:val="auto"/>
        </w:rPr>
      </w:pPr>
      <w:r>
        <w:rPr>
          <w:rFonts w:ascii="Arial" w:cs="Arial" w:eastAsia="Arial" w:hAnsi="Arial"/>
          <w:sz w:val="14"/>
          <w:szCs w:val="14"/>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 w:name="page8"/>
    <w:bookmarkEnd w:id="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739"/>
        <w:spacing w:after="0" w:line="255" w:lineRule="auto"/>
        <w:rPr>
          <w:sz w:val="20"/>
          <w:szCs w:val="20"/>
          <w:color w:val="auto"/>
        </w:rPr>
      </w:pPr>
      <w:r>
        <w:rPr>
          <w:rFonts w:ascii="Arial" w:cs="Arial" w:eastAsia="Arial" w:hAnsi="Arial"/>
          <w:sz w:val="15"/>
          <w:szCs w:val="15"/>
          <w:color w:val="auto"/>
        </w:rPr>
        <w:t>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Portfolio Construction and Sourcing</w:t>
      </w:r>
    </w:p>
    <w:p>
      <w:pPr>
        <w:spacing w:after="0" w:line="84" w:lineRule="exact"/>
        <w:rPr>
          <w:sz w:val="20"/>
          <w:szCs w:val="20"/>
          <w:color w:val="auto"/>
        </w:rPr>
      </w:pPr>
    </w:p>
    <w:p>
      <w:pPr>
        <w:ind w:left="1060" w:right="2459" w:firstLine="297"/>
        <w:spacing w:after="0" w:line="294" w:lineRule="auto"/>
        <w:rPr>
          <w:sz w:val="20"/>
          <w:szCs w:val="20"/>
          <w:color w:val="auto"/>
        </w:rPr>
      </w:pPr>
      <w:r>
        <w:rPr>
          <w:rFonts w:ascii="Arial" w:cs="Arial" w:eastAsia="Arial" w:hAnsi="Arial"/>
          <w:sz w:val="13"/>
          <w:szCs w:val="13"/>
          <w:color w:val="auto"/>
        </w:rPr>
        <w:t>Upon completion of our research and due diligence process, we select investments for inclusion in our portfolio based on their relative qualitative ranking,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Transaction Execution</w:t>
      </w:r>
    </w:p>
    <w:p>
      <w:pPr>
        <w:spacing w:after="0" w:line="84" w:lineRule="exact"/>
        <w:rPr>
          <w:sz w:val="20"/>
          <w:szCs w:val="20"/>
          <w:color w:val="auto"/>
        </w:rPr>
      </w:pPr>
    </w:p>
    <w:p>
      <w:pPr>
        <w:ind w:left="1060" w:right="2419" w:firstLine="297"/>
        <w:spacing w:after="0" w:line="251" w:lineRule="auto"/>
        <w:rPr>
          <w:sz w:val="20"/>
          <w:szCs w:val="20"/>
          <w:color w:val="auto"/>
        </w:rPr>
      </w:pPr>
      <w:r>
        <w:rPr>
          <w:rFonts w:ascii="Arial" w:cs="Arial" w:eastAsia="Arial" w:hAnsi="Arial"/>
          <w:sz w:val="15"/>
          <w:szCs w:val="15"/>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Risk Management and Monitoring</w:t>
      </w:r>
    </w:p>
    <w:p>
      <w:pPr>
        <w:spacing w:after="0" w:line="84"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Managerial Assistance</w:t>
      </w:r>
    </w:p>
    <w:p>
      <w:pPr>
        <w:spacing w:after="0" w:line="88"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GSV Asset Management will provide such managerial assistance on our behalf to portfolio companies that request assistance. We may receive fees for these services and will reimburse GSV Asset Management for its allocated costs in providing such assistance, subject to review by our board of directors, including our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 w:name="page9"/>
    <w:bookmarkEnd w:id="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Portfolio Overview</w:t>
      </w:r>
    </w:p>
    <w:p>
      <w:pPr>
        <w:spacing w:after="0" w:line="88" w:lineRule="exact"/>
        <w:rPr>
          <w:sz w:val="20"/>
          <w:szCs w:val="20"/>
          <w:color w:val="auto"/>
        </w:rPr>
      </w:pPr>
    </w:p>
    <w:p>
      <w:pPr>
        <w:ind w:left="1060" w:right="2599" w:firstLine="297"/>
        <w:spacing w:after="0" w:line="270" w:lineRule="auto"/>
        <w:rPr>
          <w:sz w:val="20"/>
          <w:szCs w:val="20"/>
          <w:color w:val="auto"/>
        </w:rPr>
      </w:pPr>
      <w:r>
        <w:rPr>
          <w:rFonts w:ascii="Arial" w:cs="Arial" w:eastAsia="Arial" w:hAnsi="Arial"/>
          <w:sz w:val="15"/>
          <w:szCs w:val="15"/>
          <w:color w:val="auto"/>
        </w:rPr>
        <w:t>The following table shows the fair value of our portfolio of investments by asset class as of December 31, 2017, and 2016:</w:t>
      </w:r>
    </w:p>
    <w:p>
      <w:pPr>
        <w:spacing w:after="0" w:line="74"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ind w:left="300"/>
              <w:spacing w:after="0"/>
              <w:rPr>
                <w:sz w:val="20"/>
                <w:szCs w:val="20"/>
                <w:color w:val="auto"/>
              </w:rPr>
            </w:pPr>
            <w:r>
              <w:rPr>
                <w:rFonts w:ascii="Arial" w:cs="Arial" w:eastAsia="Arial" w:hAnsi="Arial"/>
                <w:sz w:val="12"/>
                <w:szCs w:val="12"/>
                <w:b w:val="1"/>
                <w:bCs w:val="1"/>
                <w:color w:val="auto"/>
              </w:rPr>
              <w:t>December 31, 2017</w:t>
            </w:r>
          </w:p>
        </w:tc>
        <w:tc>
          <w:tcPr>
            <w:tcW w:w="80" w:type="dxa"/>
            <w:vAlign w:val="bottom"/>
          </w:tcPr>
          <w:p>
            <w:pPr>
              <w:spacing w:after="0"/>
              <w:rPr>
                <w:sz w:val="13"/>
                <w:szCs w:val="13"/>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December 31, 2016</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Fair</w:t>
            </w:r>
          </w:p>
        </w:tc>
        <w:tc>
          <w:tcPr>
            <w:tcW w:w="92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5"/>
              </w:rPr>
              <w:t>Percentage of</w:t>
            </w:r>
          </w:p>
        </w:tc>
        <w:tc>
          <w:tcPr>
            <w:tcW w:w="8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Fair</w:t>
            </w:r>
          </w:p>
        </w:tc>
        <w:tc>
          <w:tcPr>
            <w:tcW w:w="7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85"/>
              </w:rPr>
              <w:t>Percentage of</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Value</w:t>
            </w:r>
          </w:p>
        </w:tc>
        <w:tc>
          <w:tcPr>
            <w:tcW w:w="9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3"/>
              </w:rPr>
              <w:t>Portfolio</w:t>
            </w:r>
          </w:p>
        </w:tc>
        <w:tc>
          <w:tcPr>
            <w:tcW w:w="8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Value</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Portfolio</w:t>
            </w:r>
          </w:p>
        </w:tc>
        <w:tc>
          <w:tcPr>
            <w:tcW w:w="0" w:type="dxa"/>
            <w:vAlign w:val="bottom"/>
          </w:tcPr>
          <w:p>
            <w:pPr>
              <w:spacing w:after="0"/>
              <w:rPr>
                <w:sz w:val="1"/>
                <w:szCs w:val="1"/>
                <w:color w:val="auto"/>
              </w:rPr>
            </w:pP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86,824,096</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27.1%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w w:val="98"/>
              </w:rPr>
              <w:t>83,074,410</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212"/>
        </w:trPr>
        <w:tc>
          <w:tcPr>
            <w:tcW w:w="3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Preferred Stock</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120,253,822</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8"/>
              </w:rPr>
              <w:t>162,238,879</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ind w:left="160"/>
              <w:spacing w:after="0"/>
              <w:rPr>
                <w:sz w:val="20"/>
                <w:szCs w:val="20"/>
                <w:color w:val="auto"/>
              </w:rPr>
            </w:pPr>
            <w:r>
              <w:rPr>
                <w:rFonts w:ascii="Arial" w:cs="Arial" w:eastAsia="Arial" w:hAnsi="Arial"/>
                <w:sz w:val="15"/>
                <w:szCs w:val="15"/>
                <w:color w:val="auto"/>
              </w:rPr>
              <w:t>Debt Investments</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4,916,578</w:t>
            </w: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7,821,948</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Warrants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433,997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150,904</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160" w:type="dxa"/>
            <w:vAlign w:val="bottom"/>
            <w:gridSpan w:val="2"/>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212,428,493</w:t>
            </w: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66.3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253,286,141</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86.7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16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Publicly Traded Portfolio Companies:</w:t>
            </w: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right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60" w:type="dxa"/>
            <w:vAlign w:val="bottom"/>
            <w:gridSpan w:val="2"/>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8,160,000</w:t>
            </w: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8,729,005</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Portfolio Investments</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8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220,588,493</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68.8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8"/>
              </w:rPr>
              <w:t>262,015,146</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16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Non-Portfolio Investments</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 Treasury Bills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99,994,000</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8"/>
              </w:rPr>
              <w:t>29,998,490</w:t>
            </w: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Investments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320,582,493</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100.0%</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292,013,636</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-651510</wp:posOffset>
            </wp:positionV>
            <wp:extent cx="12763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-651510</wp:posOffset>
            </wp:positionV>
            <wp:extent cx="22669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695" cy="698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-651510</wp:posOffset>
            </wp:positionV>
            <wp:extent cx="24828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28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-651510</wp:posOffset>
            </wp:positionV>
            <wp:extent cx="27425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2565"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-991235</wp:posOffset>
            </wp:positionV>
            <wp:extent cx="1276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-991235</wp:posOffset>
            </wp:positionV>
            <wp:extent cx="2266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6695" cy="698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-991235</wp:posOffset>
            </wp:positionV>
            <wp:extent cx="2482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28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-991235</wp:posOffset>
            </wp:positionV>
            <wp:extent cx="274256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2565" cy="698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-1827530</wp:posOffset>
            </wp:positionV>
            <wp:extent cx="11366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-1827530</wp:posOffset>
            </wp:positionV>
            <wp:extent cx="11366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-1827530</wp:posOffset>
            </wp:positionV>
            <wp:extent cx="26289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28900" cy="6985"/>
                    </a:xfrm>
                    <a:prstGeom prst="rect">
                      <a:avLst/>
                    </a:prstGeom>
                    <a:noFill/>
                  </pic:spPr>
                </pic:pic>
              </a:graphicData>
            </a:graphic>
          </wp:anchor>
        </w:drawing>
      </w:r>
    </w:p>
    <w:p>
      <w:pPr>
        <w:spacing w:after="0" w:line="2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Determination of Net Asset Value</w:t>
      </w:r>
    </w:p>
    <w:p>
      <w:pPr>
        <w:spacing w:after="0" w:line="88" w:lineRule="exact"/>
        <w:rPr>
          <w:sz w:val="20"/>
          <w:szCs w:val="20"/>
          <w:color w:val="auto"/>
        </w:rPr>
      </w:pPr>
    </w:p>
    <w:p>
      <w:pPr>
        <w:jc w:val="both"/>
        <w:ind w:left="1060" w:right="2639" w:firstLine="297"/>
        <w:spacing w:after="0" w:line="317" w:lineRule="auto"/>
        <w:rPr>
          <w:sz w:val="20"/>
          <w:szCs w:val="20"/>
          <w:color w:val="auto"/>
        </w:rPr>
      </w:pPr>
      <w:r>
        <w:rPr>
          <w:rFonts w:ascii="Arial" w:cs="Arial" w:eastAsia="Arial" w:hAnsi="Arial"/>
          <w:sz w:val="13"/>
          <w:szCs w:val="13"/>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33"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GSV Asset Management’s portfolio management team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61"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GSV Asset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w:t>
      </w:r>
    </w:p>
    <w:p>
      <w:pPr>
        <w:spacing w:after="0" w:line="208"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 w:name="page10"/>
    <w:bookmarkEnd w:id="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79"/>
        <w:spacing w:after="0" w:line="255" w:lineRule="auto"/>
        <w:rPr>
          <w:sz w:val="20"/>
          <w:szCs w:val="20"/>
          <w:color w:val="auto"/>
        </w:rPr>
      </w:pPr>
      <w:r>
        <w:rPr>
          <w:rFonts w:ascii="Arial" w:cs="Arial" w:eastAsia="Arial" w:hAnsi="Arial"/>
          <w:sz w:val="15"/>
          <w:szCs w:val="15"/>
          <w:color w:val="auto"/>
        </w:rPr>
        <w:t>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70" w:lineRule="exact"/>
        <w:rPr>
          <w:sz w:val="20"/>
          <w:szCs w:val="20"/>
          <w:color w:val="auto"/>
        </w:rPr>
      </w:pPr>
    </w:p>
    <w:p>
      <w:pPr>
        <w:ind w:left="1060" w:right="2479" w:firstLine="297"/>
        <w:spacing w:after="0" w:line="270" w:lineRule="auto"/>
        <w:rPr>
          <w:sz w:val="20"/>
          <w:szCs w:val="20"/>
          <w:color w:val="auto"/>
        </w:rPr>
      </w:pPr>
      <w:r>
        <w:rPr>
          <w:rFonts w:ascii="Arial" w:cs="Arial" w:eastAsia="Arial" w:hAnsi="Arial"/>
          <w:sz w:val="15"/>
          <w:szCs w:val="15"/>
          <w:color w:val="auto"/>
        </w:rPr>
        <w:t>We generally determine the fair value of our investments by considering a number of factors. The following represent factors that, among others, could impact our fair value determinations:</w:t>
      </w:r>
    </w:p>
    <w:p>
      <w:pPr>
        <w:spacing w:after="0" w:line="58" w:lineRule="exact"/>
        <w:rPr>
          <w:sz w:val="20"/>
          <w:szCs w:val="20"/>
          <w:color w:val="auto"/>
        </w:rPr>
      </w:pPr>
    </w:p>
    <w:p>
      <w:pPr>
        <w:ind w:left="1640" w:hanging="292"/>
        <w:spacing w:after="0"/>
        <w:tabs>
          <w:tab w:leader="none" w:pos="1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Public trading of our portfolio securities, taking into consideration lock-up requirements and liquidity;</w:t>
      </w:r>
    </w:p>
    <w:p>
      <w:pPr>
        <w:spacing w:after="0" w:line="106" w:lineRule="exact"/>
        <w:rPr>
          <w:rFonts w:ascii="Arial" w:cs="Arial" w:eastAsia="Arial" w:hAnsi="Arial"/>
          <w:sz w:val="14"/>
          <w:szCs w:val="14"/>
          <w:color w:val="auto"/>
        </w:rPr>
      </w:pPr>
    </w:p>
    <w:p>
      <w:pPr>
        <w:jc w:val="both"/>
        <w:ind w:left="1640" w:right="2419" w:hanging="292"/>
        <w:spacing w:after="0" w:line="349" w:lineRule="auto"/>
        <w:tabs>
          <w:tab w:leader="none" w:pos="1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Active trading of our portfolio securities on a private secondary market, where we have determined that there is meaningful volume and the transactions are considered arm’s length by sophisticated investors;</w:t>
      </w:r>
    </w:p>
    <w:p>
      <w:pPr>
        <w:spacing w:after="0" w:line="11" w:lineRule="exact"/>
        <w:rPr>
          <w:rFonts w:ascii="Arial" w:cs="Arial" w:eastAsia="Arial" w:hAnsi="Arial"/>
          <w:sz w:val="13"/>
          <w:szCs w:val="13"/>
          <w:color w:val="auto"/>
        </w:rPr>
      </w:pPr>
    </w:p>
    <w:p>
      <w:pPr>
        <w:ind w:left="1640" w:right="2659" w:hanging="292"/>
        <w:spacing w:after="0" w:line="270" w:lineRule="auto"/>
        <w:tabs>
          <w:tab w:leader="none" w:pos="1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Qualified funding rounds in the companies in which we are invested, where there is meaningful and reputable information available on size, valuation and investors; and</w:t>
      </w:r>
    </w:p>
    <w:p>
      <w:pPr>
        <w:spacing w:after="0" w:line="58" w:lineRule="exact"/>
        <w:rPr>
          <w:rFonts w:ascii="Arial" w:cs="Arial" w:eastAsia="Arial" w:hAnsi="Arial"/>
          <w:sz w:val="15"/>
          <w:szCs w:val="15"/>
          <w:color w:val="auto"/>
        </w:rPr>
      </w:pPr>
    </w:p>
    <w:p>
      <w:pPr>
        <w:ind w:left="1640" w:right="2659" w:hanging="292"/>
        <w:spacing w:after="0" w:line="270" w:lineRule="auto"/>
        <w:tabs>
          <w:tab w:leader="none" w:pos="1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Additional investments by us in current portfolio companies, where the price of the new investment differs materially from prior investments.</w:t>
      </w:r>
    </w:p>
    <w:p>
      <w:pPr>
        <w:spacing w:after="0" w:line="58" w:lineRule="exact"/>
        <w:rPr>
          <w:sz w:val="20"/>
          <w:szCs w:val="20"/>
          <w:color w:val="auto"/>
        </w:rPr>
      </w:pPr>
    </w:p>
    <w:p>
      <w:pPr>
        <w:ind w:left="1060" w:right="2459" w:firstLine="297"/>
        <w:spacing w:after="0" w:line="294" w:lineRule="auto"/>
        <w:rPr>
          <w:sz w:val="20"/>
          <w:szCs w:val="20"/>
          <w:color w:val="auto"/>
        </w:rPr>
      </w:pPr>
      <w:r>
        <w:rPr>
          <w:rFonts w:ascii="Arial" w:cs="Arial" w:eastAsia="Arial" w:hAnsi="Arial"/>
          <w:sz w:val="13"/>
          <w:szCs w:val="13"/>
          <w:color w:val="auto"/>
        </w:rPr>
        <w:t>There is inherent subjectivity in determining the fair value of our investments. In addition, we will accrue as a liability, each time we calculate net asset value, the amount we may owe GSV Asset Management for the income incentive fee and the capital gains incentive fee, the latter of which is based on the amount of unrealized and realized capital appreciation.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See “Note 1 — Nature of Operations” to our consolidated financial statements for the year ended December 31, 2017 for a list of our taxable subsidiaries.</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Advisory Agreement</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Management Services</w:t>
      </w:r>
    </w:p>
    <w:p>
      <w:pPr>
        <w:spacing w:after="0" w:line="84" w:lineRule="exact"/>
        <w:rPr>
          <w:sz w:val="20"/>
          <w:szCs w:val="20"/>
          <w:color w:val="auto"/>
        </w:rPr>
      </w:pPr>
    </w:p>
    <w:p>
      <w:pPr>
        <w:jc w:val="both"/>
        <w:ind w:left="1060" w:right="2459" w:firstLine="297"/>
        <w:spacing w:after="0" w:line="317" w:lineRule="auto"/>
        <w:rPr>
          <w:sz w:val="20"/>
          <w:szCs w:val="20"/>
          <w:color w:val="auto"/>
        </w:rPr>
      </w:pPr>
      <w:r>
        <w:rPr>
          <w:rFonts w:ascii="Arial" w:cs="Arial" w:eastAsia="Arial" w:hAnsi="Arial"/>
          <w:sz w:val="13"/>
          <w:szCs w:val="13"/>
          <w:color w:val="auto"/>
        </w:rPr>
        <w:t>GSV Asset Management serves as our investment adviser. Subject to the overall supervision of our board of directors, GSV Asset Management manages our day-to-day operations and provides us with investment advisory services. Under the terms of the Investment Advisory Agreement, GSV Asset Management:</w:t>
      </w:r>
    </w:p>
    <w:p>
      <w:pPr>
        <w:spacing w:after="0" w:line="55" w:lineRule="exact"/>
        <w:rPr>
          <w:sz w:val="20"/>
          <w:szCs w:val="20"/>
          <w:color w:val="auto"/>
        </w:rPr>
      </w:pPr>
    </w:p>
    <w:p>
      <w:pPr>
        <w:ind w:left="1640" w:right="2559" w:hanging="292"/>
        <w:spacing w:after="0" w:line="270"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determines the composition of our portfolio, the nature and timing of the changes to our portfolio and the manner of implementing such changes;</w:t>
      </w:r>
    </w:p>
    <w:p>
      <w:pPr>
        <w:spacing w:after="0" w:line="69" w:lineRule="exact"/>
        <w:rPr>
          <w:rFonts w:ascii="Arial" w:cs="Arial" w:eastAsia="Arial" w:hAnsi="Arial"/>
          <w:sz w:val="15"/>
          <w:szCs w:val="15"/>
          <w:color w:val="auto"/>
        </w:rPr>
      </w:pPr>
    </w:p>
    <w:p>
      <w:pPr>
        <w:ind w:left="1640" w:hanging="292"/>
        <w:spacing w:after="0"/>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determines what securities we will purchase, retain or sell;</w:t>
      </w:r>
    </w:p>
    <w:p>
      <w:pPr>
        <w:spacing w:after="0" w:line="117" w:lineRule="exact"/>
        <w:rPr>
          <w:rFonts w:ascii="Arial" w:cs="Arial" w:eastAsia="Arial" w:hAnsi="Arial"/>
          <w:sz w:val="15"/>
          <w:szCs w:val="15"/>
          <w:color w:val="auto"/>
        </w:rPr>
      </w:pPr>
    </w:p>
    <w:p>
      <w:pPr>
        <w:ind w:left="1640" w:hanging="292"/>
        <w:spacing w:after="0"/>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performs due diligence on prospective portfolio companies;</w:t>
      </w:r>
    </w:p>
    <w:p>
      <w:pPr>
        <w:spacing w:after="0" w:line="106" w:lineRule="exact"/>
        <w:rPr>
          <w:rFonts w:ascii="Arial" w:cs="Arial" w:eastAsia="Arial" w:hAnsi="Arial"/>
          <w:sz w:val="15"/>
          <w:szCs w:val="15"/>
          <w:color w:val="auto"/>
        </w:rPr>
      </w:pPr>
    </w:p>
    <w:p>
      <w:pPr>
        <w:ind w:left="1640" w:hanging="292"/>
        <w:spacing w:after="0"/>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identifies, evaluates and negotiates the structure of the investments we make;</w:t>
      </w:r>
    </w:p>
    <w:p>
      <w:pPr>
        <w:spacing w:after="0" w:line="117" w:lineRule="exact"/>
        <w:rPr>
          <w:rFonts w:ascii="Arial" w:cs="Arial" w:eastAsia="Arial" w:hAnsi="Arial"/>
          <w:sz w:val="15"/>
          <w:szCs w:val="15"/>
          <w:color w:val="auto"/>
        </w:rPr>
      </w:pPr>
    </w:p>
    <w:p>
      <w:pPr>
        <w:ind w:left="1640" w:hanging="292"/>
        <w:spacing w:after="0"/>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closes, monitors and services the investments we make; and</w:t>
      </w:r>
    </w:p>
    <w:p>
      <w:pPr>
        <w:spacing w:after="0" w:line="117" w:lineRule="exact"/>
        <w:rPr>
          <w:rFonts w:ascii="Arial" w:cs="Arial" w:eastAsia="Arial" w:hAnsi="Arial"/>
          <w:sz w:val="15"/>
          <w:szCs w:val="15"/>
          <w:color w:val="auto"/>
        </w:rPr>
      </w:pPr>
    </w:p>
    <w:p>
      <w:pPr>
        <w:ind w:left="1640" w:right="2419" w:hanging="292"/>
        <w:spacing w:after="0" w:line="270"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provides us with such other investment advisory, research and related services as we, from time to time, reasonably require for the investment of our funds.</w:t>
      </w:r>
    </w:p>
    <w:p>
      <w:pPr>
        <w:spacing w:after="0" w:line="58" w:lineRule="exact"/>
        <w:rPr>
          <w:sz w:val="20"/>
          <w:szCs w:val="20"/>
          <w:color w:val="auto"/>
        </w:rPr>
      </w:pPr>
    </w:p>
    <w:p>
      <w:pPr>
        <w:ind w:left="1060" w:right="2459" w:firstLine="297"/>
        <w:spacing w:after="0" w:line="273" w:lineRule="auto"/>
        <w:rPr>
          <w:sz w:val="20"/>
          <w:szCs w:val="20"/>
          <w:color w:val="auto"/>
        </w:rPr>
      </w:pPr>
      <w:r>
        <w:rPr>
          <w:rFonts w:ascii="Arial" w:cs="Arial" w:eastAsia="Arial" w:hAnsi="Arial"/>
          <w:sz w:val="14"/>
          <w:szCs w:val="14"/>
          <w:color w:val="auto"/>
        </w:rPr>
        <w:t>GSV Asset Management’s services under the Investment Advisory Agreement are not exclusive, and it is free to furnish similar services to other entities so long as its services to us are not impaired. For example, as of March 16, 2018, GSV Asset Management also manages Coursera@GSV Fund, LP, Coursera@GSV-EDBI Fund, LP, special purpose vehicles each comprised of an underlying investment in underlying investment in capital stock of Coursera, Inc. (the “Coursera Funds”), and GSV@SP, LLC, a special purpose vehicle comprised of an underlying investment in the capital stock of Spotify Technology S.A. (the “GSV@SP Fund”). GSV Asset Management also serves as sub-adviser for certain investment</w:t>
      </w:r>
    </w:p>
    <w:p>
      <w:pPr>
        <w:spacing w:after="0" w:line="19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 w:name="page11"/>
    <w:bookmarkEnd w:id="1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679"/>
        <w:spacing w:after="0" w:line="254" w:lineRule="auto"/>
        <w:rPr>
          <w:sz w:val="20"/>
          <w:szCs w:val="20"/>
          <w:color w:val="auto"/>
        </w:rPr>
      </w:pPr>
      <w:r>
        <w:rPr>
          <w:rFonts w:ascii="Arial" w:cs="Arial" w:eastAsia="Arial" w:hAnsi="Arial"/>
          <w:sz w:val="15"/>
          <w:szCs w:val="15"/>
          <w:color w:val="auto"/>
        </w:rPr>
        <w:t>series of GSV Ventures I LLC, GSV Ventures II LLC, GSV Ventures V LLC, GSV Ventures VI LLC and a pooled investment fund, GSV Ventures III LLC, each a venture capital fund (collectively, the “GSV Ventures Funds”). GSV Asset Management will likely manage one or more private funds, or series within such private funds, in the future. We have no ownership interests in the Coursera Funds, the GSV@SP Fund or the GSV Ventures Funds sub-advised by GSV Asset Management.</w:t>
      </w:r>
    </w:p>
    <w:p>
      <w:pPr>
        <w:spacing w:after="0" w:line="58" w:lineRule="exact"/>
        <w:rPr>
          <w:sz w:val="20"/>
          <w:szCs w:val="20"/>
          <w:color w:val="auto"/>
        </w:rPr>
      </w:pPr>
    </w:p>
    <w:p>
      <w:pPr>
        <w:ind w:left="1060" w:right="2399" w:firstLine="297"/>
        <w:spacing w:after="0" w:line="291" w:lineRule="auto"/>
        <w:rPr>
          <w:sz w:val="20"/>
          <w:szCs w:val="20"/>
          <w:color w:val="auto"/>
        </w:rPr>
      </w:pPr>
      <w:r>
        <w:rPr>
          <w:rFonts w:ascii="Arial" w:cs="Arial" w:eastAsia="Arial" w:hAnsi="Arial"/>
          <w:sz w:val="13"/>
          <w:szCs w:val="13"/>
          <w:color w:val="auto"/>
        </w:rPr>
        <w:t>The 1940 Act prohibits us from making certain negotiated co-investments with affiliates unless we receive an order from the SEC permitting us to do so. To the extent that we compete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Advisers Act, and (3) certain restrictions under the 1940 Act regarding co-investments with affiliates. In situations where a particular investment or disposition opportunity is appropriate for both us and another entity managed by GSV Asset Management, even where co-investments are permissible under the 1940 Act, GSV Asset Management will first offer any such opportunity in its entirety to us. In the event that the size of such investment or disposition opportunity exceeds our capacity, other funds managed by GSV Asset Management may be offered the opportunity, but only to the extent that we and our board of directors have confirmed that any such investment or disposition by an affiliated entity is permissible under the 1940 Act and otherwise in our best interests. Our Chief Compliance Officer and our board of directors will monitor on a quarterly basis any such allocation of investment or disposition opportunities between us and any such other funds.</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Strategic Investment from HMF Partners LLC</w:t>
      </w:r>
    </w:p>
    <w:p>
      <w:pPr>
        <w:spacing w:after="0" w:line="51" w:lineRule="exact"/>
        <w:rPr>
          <w:sz w:val="20"/>
          <w:szCs w:val="20"/>
          <w:color w:val="auto"/>
        </w:rPr>
      </w:pPr>
    </w:p>
    <w:p>
      <w:pPr>
        <w:ind w:left="1060" w:right="2479" w:firstLine="297"/>
        <w:spacing w:after="0" w:line="274" w:lineRule="auto"/>
        <w:rPr>
          <w:sz w:val="20"/>
          <w:szCs w:val="20"/>
          <w:color w:val="auto"/>
        </w:rPr>
      </w:pPr>
      <w:r>
        <w:rPr>
          <w:rFonts w:ascii="Arial" w:cs="Arial" w:eastAsia="Arial" w:hAnsi="Arial"/>
          <w:sz w:val="14"/>
          <w:szCs w:val="14"/>
          <w:color w:val="auto"/>
        </w:rPr>
        <w:t>In December 2017, HMF Partners LLC (the “HMF Partners”) made a strategic investment in GSV Asset Management, which gives the HMF Partners a minority ownership interest in GSV Asset Management. GSV Asset Management intends to use the proceeds to enhance its ongoing investment activities, as well as to accelerate its strategic expansion into new business areas and geographies. We believe that the strategic investment from the HMF Partners will benefit our stockholders by expanding GSV Asset Management’s capital access and providing connectivity for our portfolio companies.</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Base Management Fee</w:t>
      </w:r>
    </w:p>
    <w:p>
      <w:pPr>
        <w:spacing w:after="0" w:line="51" w:lineRule="exact"/>
        <w:rPr>
          <w:sz w:val="20"/>
          <w:szCs w:val="20"/>
          <w:color w:val="auto"/>
        </w:rPr>
      </w:pPr>
    </w:p>
    <w:p>
      <w:pPr>
        <w:jc w:val="both"/>
        <w:ind w:left="1060" w:right="2479" w:firstLine="297"/>
        <w:spacing w:after="0" w:line="299" w:lineRule="auto"/>
        <w:rPr>
          <w:sz w:val="20"/>
          <w:szCs w:val="20"/>
          <w:color w:val="auto"/>
        </w:rPr>
      </w:pPr>
      <w:r>
        <w:rPr>
          <w:rFonts w:ascii="Arial" w:cs="Arial" w:eastAsia="Arial" w:hAnsi="Arial"/>
          <w:sz w:val="13"/>
          <w:szCs w:val="13"/>
          <w:color w:val="auto"/>
        </w:rPr>
        <w:t>We pay GSV Asset Management a fee for its services under the Investment Advisory Agreement consisting of two components — a base management fee and an incentive fee. Our base management fee compensates GSV Asset Management for its work in identifying, evaluating, negotiating, executing and servicing our investments. Under the terms of the Investment Advisory Agreement, the base management fee is calculated at an annual rate of 2.00% of our gross assets, calculated based on the average value of our gross assets at the end of the two most recently completed calendar quarters and payable monthly in arrears.</w:t>
      </w:r>
    </w:p>
    <w:p>
      <w:pPr>
        <w:spacing w:after="0" w:line="32" w:lineRule="exact"/>
        <w:rPr>
          <w:sz w:val="20"/>
          <w:szCs w:val="20"/>
          <w:color w:val="auto"/>
        </w:rPr>
      </w:pPr>
    </w:p>
    <w:p>
      <w:pPr>
        <w:ind w:left="1060" w:right="2519" w:firstLine="297"/>
        <w:spacing w:after="0" w:line="279" w:lineRule="auto"/>
        <w:rPr>
          <w:sz w:val="20"/>
          <w:szCs w:val="20"/>
          <w:color w:val="auto"/>
        </w:rPr>
      </w:pPr>
      <w:r>
        <w:rPr>
          <w:rFonts w:ascii="Arial" w:cs="Arial" w:eastAsia="Arial" w:hAnsi="Arial"/>
          <w:sz w:val="14"/>
          <w:szCs w:val="14"/>
          <w:color w:val="auto"/>
        </w:rPr>
        <w:t>Effective January 1, 2017 through December 31, 2017, pursuant to a voluntary waiver by GSV Asset Management, we paid GSV Asset Management a base management fee of 1.75% — a 0.25% reduction from the 2.00% base management fee payable under the Investment Advisory Agreement. The waiver of this portion of the base management fee is not subject to recourse against, or reimbursement by, us.</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Incentive Fee</w:t>
      </w:r>
    </w:p>
    <w:p>
      <w:pPr>
        <w:spacing w:after="0" w:line="51"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Under the Investment Advisory Agreement, GSV Asset Management’s incentive fee is determined and payable in arrears as of the end of each calendar year and equals the lesser of (i) 20% of our realized capital gains during such calendar year, if any, calculated on an investment-by-investment basis, subject to a non-compounded preferred return, or “hurdle,”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For purposes of determining the incentive fee, our realized capital gains from each investment, expressed as a non-compounded annual rate of return on the cost of such investment since we initially acquired it, is compared to a hurdle rate of 8.00% per year. We pay the incentive fee only on any realized capital gains from an investment that exceeds the hurdle rate. We calculate the amount of the incentive fee payable to the GSV Asset Management with respect to our realized capital gains from each investment as follows:</w:t>
      </w:r>
    </w:p>
    <w:p>
      <w:pPr>
        <w:spacing w:after="0" w:line="212"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1" w:name="page12"/>
    <w:bookmarkEnd w:id="1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40" w:right="2539" w:hanging="292"/>
        <w:spacing w:after="0" w:line="259" w:lineRule="auto"/>
        <w:tabs>
          <w:tab w:leader="none" w:pos="1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incentive fee is payable on the amount of any realized capital gains from an investment that, when expressed as a non-compounded annual rate of return on the cost of such investment since initially acquired, does not exceed the hurdle rate of 8.00% per year.</w:t>
      </w:r>
    </w:p>
    <w:p>
      <w:pPr>
        <w:spacing w:after="0" w:line="111" w:lineRule="exact"/>
        <w:rPr>
          <w:rFonts w:ascii="Arial" w:cs="Arial" w:eastAsia="Arial" w:hAnsi="Arial"/>
          <w:sz w:val="15"/>
          <w:szCs w:val="15"/>
          <w:color w:val="auto"/>
        </w:rPr>
      </w:pPr>
    </w:p>
    <w:p>
      <w:pPr>
        <w:ind w:left="1640" w:right="2459" w:hanging="292"/>
        <w:spacing w:after="0" w:line="286" w:lineRule="auto"/>
        <w:tabs>
          <w:tab w:leader="none" w:pos="1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100% of the amount of any realized capital gains from an investment that, when expressed as a non-compounded annual rate of return on the cost of such investment since we initially acquired it, exceeds the hurdle rate of 8.00% per year but is less than a rate of 10.00% per year.</w:t>
      </w:r>
    </w:p>
    <w:p>
      <w:pPr>
        <w:spacing w:after="0" w:line="105" w:lineRule="exact"/>
        <w:rPr>
          <w:rFonts w:ascii="Arial" w:cs="Arial" w:eastAsia="Arial" w:hAnsi="Arial"/>
          <w:sz w:val="14"/>
          <w:szCs w:val="14"/>
          <w:color w:val="auto"/>
        </w:rPr>
      </w:pPr>
    </w:p>
    <w:p>
      <w:pPr>
        <w:ind w:left="1640" w:right="2459" w:hanging="292"/>
        <w:spacing w:after="0" w:line="259" w:lineRule="auto"/>
        <w:tabs>
          <w:tab w:leader="none" w:pos="1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20% of the amount of any realized capital gains from an investment that, when expressed as a non-compounded annual rate of return on the cost of such investment since we initially acquired it, exceeds a rate of 10.00% per year.</w:t>
      </w:r>
    </w:p>
    <w:p>
      <w:pPr>
        <w:spacing w:after="0" w:line="67" w:lineRule="exact"/>
        <w:rPr>
          <w:sz w:val="20"/>
          <w:szCs w:val="20"/>
          <w:color w:val="auto"/>
        </w:rPr>
      </w:pPr>
    </w:p>
    <w:p>
      <w:pPr>
        <w:ind w:left="1060" w:right="2779" w:firstLine="297"/>
        <w:spacing w:after="0" w:line="270" w:lineRule="auto"/>
        <w:rPr>
          <w:sz w:val="20"/>
          <w:szCs w:val="20"/>
          <w:color w:val="auto"/>
        </w:rPr>
      </w:pPr>
      <w:r>
        <w:rPr>
          <w:rFonts w:ascii="Arial" w:cs="Arial" w:eastAsia="Arial" w:hAnsi="Arial"/>
          <w:sz w:val="15"/>
          <w:szCs w:val="15"/>
          <w:color w:val="auto"/>
        </w:rPr>
        <w:t>The following is a graphical representation of the calculation of our incentive fee under the Investment Advisory Agreement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43815</wp:posOffset>
            </wp:positionV>
            <wp:extent cx="2962275" cy="1346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227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60" w:right="2499" w:firstLine="297"/>
        <w:spacing w:after="0" w:line="295" w:lineRule="auto"/>
        <w:rPr>
          <w:sz w:val="20"/>
          <w:szCs w:val="20"/>
          <w:color w:val="auto"/>
        </w:rPr>
      </w:pPr>
      <w:r>
        <w:rPr>
          <w:rFonts w:ascii="Arial" w:cs="Arial" w:eastAsia="Arial" w:hAnsi="Arial"/>
          <w:sz w:val="13"/>
          <w:szCs w:val="13"/>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 except as modified by the Waiver Agreement (defined below).</w:t>
      </w:r>
    </w:p>
    <w:p>
      <w:pPr>
        <w:spacing w:after="0" w:line="48" w:lineRule="exact"/>
        <w:rPr>
          <w:sz w:val="20"/>
          <w:szCs w:val="20"/>
          <w:color w:val="auto"/>
        </w:rPr>
      </w:pPr>
    </w:p>
    <w:p>
      <w:pPr>
        <w:ind w:left="1060" w:right="2439" w:firstLine="297"/>
        <w:spacing w:after="0" w:line="291" w:lineRule="auto"/>
        <w:rPr>
          <w:sz w:val="20"/>
          <w:szCs w:val="20"/>
          <w:color w:val="auto"/>
        </w:rPr>
      </w:pPr>
      <w:r>
        <w:rPr>
          <w:rFonts w:ascii="Arial" w:cs="Arial" w:eastAsia="Arial" w:hAnsi="Arial"/>
          <w:sz w:val="13"/>
          <w:szCs w:val="13"/>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GSV Asset Management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54" w:lineRule="exact"/>
        <w:rPr>
          <w:sz w:val="20"/>
          <w:szCs w:val="20"/>
          <w:color w:val="auto"/>
        </w:rPr>
      </w:pPr>
    </w:p>
    <w:p>
      <w:pPr>
        <w:ind w:left="1060" w:right="2419" w:firstLine="297"/>
        <w:spacing w:after="0" w:line="276" w:lineRule="auto"/>
        <w:rPr>
          <w:sz w:val="20"/>
          <w:szCs w:val="20"/>
          <w:color w:val="auto"/>
        </w:rPr>
      </w:pPr>
      <w:r>
        <w:rPr>
          <w:rFonts w:ascii="Arial" w:cs="Arial" w:eastAsia="Arial" w:hAnsi="Arial"/>
          <w:sz w:val="14"/>
          <w:szCs w:val="14"/>
          <w:color w:val="auto"/>
        </w:rPr>
        <w:t>In no event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See “Note 3 — Related-Party Arrangements” to our consolidated financial statements as of December 31, 2017 for details of incentive fees paid and accrued.</w:t>
      </w: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565150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2" w:name="page13"/>
    <w:bookmarkEnd w:id="1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firstLine="297"/>
        <w:spacing w:after="0" w:line="255" w:lineRule="auto"/>
        <w:rPr>
          <w:sz w:val="20"/>
          <w:szCs w:val="20"/>
          <w:color w:val="auto"/>
        </w:rPr>
      </w:pPr>
      <w:r>
        <w:rPr>
          <w:rFonts w:ascii="Arial" w:cs="Arial" w:eastAsia="Arial" w:hAnsi="Arial"/>
          <w:sz w:val="15"/>
          <w:szCs w:val="15"/>
          <w:color w:val="auto"/>
        </w:rPr>
        <w:t>The cost of both the base management fee payable to GSV Asset Management, and any incentive fees earned by GSV Asset Management, are ultimately borne by our common stockholders. In aggregate, GSV Asset Management earned $24,892,712 under the Investment Advisory Agreement during the fiscal years ended December 31, 2017, 2016, and 2015.</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Waiver Agreement</w:t>
      </w:r>
    </w:p>
    <w:p>
      <w:pPr>
        <w:spacing w:after="0" w:line="84" w:lineRule="exact"/>
        <w:rPr>
          <w:sz w:val="20"/>
          <w:szCs w:val="20"/>
          <w:color w:val="auto"/>
        </w:rPr>
      </w:pPr>
    </w:p>
    <w:p>
      <w:pPr>
        <w:ind w:left="1060" w:right="2539" w:firstLine="297"/>
        <w:spacing w:after="0" w:line="252" w:lineRule="auto"/>
        <w:rPr>
          <w:sz w:val="20"/>
          <w:szCs w:val="20"/>
          <w:color w:val="auto"/>
        </w:rPr>
      </w:pPr>
      <w:r>
        <w:rPr>
          <w:rFonts w:ascii="Arial" w:cs="Arial" w:eastAsia="Arial" w:hAnsi="Arial"/>
          <w:sz w:val="15"/>
          <w:szCs w:val="15"/>
          <w:color w:val="auto"/>
        </w:rPr>
        <w:t>On February 2, 2018 GSV Asset Management voluntarily agreed to reduce fees payable under the Investment Advisory Agreement (the “Waiver Agreement”). Pursuant to the Waiver Agreement, effective February 1, 2018, the base management fee will be reduced to 1.75% of our gross assets. The base management fee will be calculated based on the average value of our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w:t>
      </w:r>
    </w:p>
    <w:p>
      <w:pPr>
        <w:spacing w:after="0" w:line="71"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On September 17, 2013, we completed a private placement of $69.0 million aggregate principal amount of 5-year unsecured 5.25% Convertible Senior Notes (the “Convertible Senior Notes”). Because the Convertible Senior Notes mature on September 15, 2018, we are currently carrying a larger cash balance than we would in the ordinary course of business. As a result, under the Waiver Agreement, GSV Asset Management has agreed to waive its base management fee on any cash balances effective as of February 1, 2018 until the Convertible Senior Notes mature (September 15, 2018), or the date that all the Convertible Senior Notes have been repurchased or redeemed, whichever is earlier.</w:t>
      </w:r>
    </w:p>
    <w:p>
      <w:pPr>
        <w:spacing w:after="0" w:line="57" w:lineRule="exact"/>
        <w:rPr>
          <w:sz w:val="20"/>
          <w:szCs w:val="20"/>
          <w:color w:val="auto"/>
        </w:rPr>
      </w:pPr>
    </w:p>
    <w:p>
      <w:pPr>
        <w:ind w:left="1060" w:right="2459" w:firstLine="297"/>
        <w:spacing w:after="0" w:line="292" w:lineRule="auto"/>
        <w:rPr>
          <w:sz w:val="20"/>
          <w:szCs w:val="20"/>
          <w:color w:val="auto"/>
        </w:rPr>
      </w:pPr>
      <w:r>
        <w:rPr>
          <w:rFonts w:ascii="Arial" w:cs="Arial" w:eastAsia="Arial" w:hAnsi="Arial"/>
          <w:sz w:val="13"/>
          <w:szCs w:val="13"/>
          <w:color w:val="auto"/>
        </w:rPr>
        <w:t>Further, pursuant to the Waiver Agreement, in addition to the aforementioned “hurdle” feature in the incentive fee, GSV Asset Management has agreed to additional conditions on its ability to receive an incentive fee. Specifically, the Waiver Agreement provides that an incentive fee earned by GSV Asset Management under the Investment Advisory Agreement shall be payable only if, at the time that such incentive fee becomes payable under the Investment Advisory Agreement, both the market price of our common stock and our last reported net asset value per share are equal to, or greater than, $12.55 (the “High-Water Mark”). The High-Water Mark is based upon the volume weighted average price (VWAP) of all our equity offerings since its IPO, less the dollar amount of all dividends paid by us since inception. Upon such time that the High-Water Mark is achieved, and GSV Asset Management is paid an incentive fee, a new High-Water Mark will be established. Each new High-Water Mark will be equal to the most recent High-Water Mark, plus 10.0%. Any High-Water Mark then in effect will be adjusted to reflect any dividends paid by us or any stock split effected by us.</w:t>
      </w:r>
    </w:p>
    <w:p>
      <w:pPr>
        <w:spacing w:after="0" w:line="53" w:lineRule="exact"/>
        <w:rPr>
          <w:sz w:val="20"/>
          <w:szCs w:val="20"/>
          <w:color w:val="auto"/>
        </w:rPr>
      </w:pPr>
    </w:p>
    <w:p>
      <w:pPr>
        <w:ind w:left="1060" w:right="2479" w:firstLine="297"/>
        <w:spacing w:after="0" w:line="259" w:lineRule="auto"/>
        <w:rPr>
          <w:sz w:val="20"/>
          <w:szCs w:val="20"/>
          <w:color w:val="auto"/>
        </w:rPr>
      </w:pPr>
      <w:r>
        <w:rPr>
          <w:rFonts w:ascii="Arial" w:cs="Arial" w:eastAsia="Arial" w:hAnsi="Arial"/>
          <w:sz w:val="15"/>
          <w:szCs w:val="15"/>
          <w:color w:val="auto"/>
        </w:rPr>
        <w:t>In addition, as of December 31, 2017, the Company had accrued $9.3 million in incentive fees that have not yet become payable under the Investment Advisory Agreement, of which amount GSV Asset Management has agreed to forfeit $5.0 million pursuant to the Waiver Agreement.</w:t>
      </w:r>
    </w:p>
    <w:p>
      <w:pPr>
        <w:spacing w:after="0" w:line="67" w:lineRule="exact"/>
        <w:rPr>
          <w:sz w:val="20"/>
          <w:szCs w:val="20"/>
          <w:color w:val="auto"/>
        </w:rPr>
      </w:pPr>
    </w:p>
    <w:p>
      <w:pPr>
        <w:jc w:val="both"/>
        <w:ind w:left="1060" w:right="2559" w:firstLine="297"/>
        <w:spacing w:after="0" w:line="259" w:lineRule="auto"/>
        <w:rPr>
          <w:sz w:val="20"/>
          <w:szCs w:val="20"/>
          <w:color w:val="auto"/>
        </w:rPr>
      </w:pPr>
      <w:r>
        <w:rPr>
          <w:rFonts w:ascii="Arial" w:cs="Arial" w:eastAsia="Arial" w:hAnsi="Arial"/>
          <w:sz w:val="15"/>
          <w:szCs w:val="15"/>
          <w:color w:val="auto"/>
        </w:rPr>
        <w:t>For the avoidance of doubt, after these changes take effect, under no circumstances will the aggregate fees earned by GSV Asset Management in any quarterly period be higher than those aggregate fees that would have been earned prior to the effectiveness of the Waiver Agreement.</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Payment of our Expenses</w:t>
      </w:r>
    </w:p>
    <w:p>
      <w:pPr>
        <w:spacing w:after="0" w:line="84" w:lineRule="exact"/>
        <w:rPr>
          <w:sz w:val="20"/>
          <w:szCs w:val="20"/>
          <w:color w:val="auto"/>
        </w:rPr>
      </w:pPr>
    </w:p>
    <w:p>
      <w:pPr>
        <w:ind w:left="1060" w:right="2459" w:firstLine="297"/>
        <w:spacing w:after="0" w:line="286" w:lineRule="auto"/>
        <w:rPr>
          <w:sz w:val="20"/>
          <w:szCs w:val="20"/>
          <w:color w:val="auto"/>
        </w:rPr>
      </w:pPr>
      <w:r>
        <w:rPr>
          <w:rFonts w:ascii="Arial" w:cs="Arial" w:eastAsia="Arial" w:hAnsi="Arial"/>
          <w:sz w:val="14"/>
          <w:szCs w:val="14"/>
          <w:color w:val="auto"/>
        </w:rPr>
        <w:t>Our primary operating expenses are the payment of a base management fee and any incentive fees under the Investment Advisory Agreement and the allocable portion of overhead and other expenses incurred by GSV Capital Service Company in performing its obligations under the Administration Agreement.</w:t>
      </w:r>
    </w:p>
    <w:p>
      <w:pPr>
        <w:spacing w:after="0" w:line="49" w:lineRule="exact"/>
        <w:rPr>
          <w:sz w:val="20"/>
          <w:szCs w:val="20"/>
          <w:color w:val="auto"/>
        </w:rPr>
      </w:pPr>
    </w:p>
    <w:p>
      <w:pPr>
        <w:ind w:left="1060" w:right="2459" w:firstLine="297"/>
        <w:spacing w:after="0" w:line="272" w:lineRule="auto"/>
        <w:rPr>
          <w:sz w:val="20"/>
          <w:szCs w:val="20"/>
          <w:color w:val="auto"/>
        </w:rPr>
      </w:pPr>
      <w:r>
        <w:rPr>
          <w:rFonts w:ascii="Arial" w:cs="Arial" w:eastAsia="Arial" w:hAnsi="Arial"/>
          <w:sz w:val="14"/>
          <w:szCs w:val="14"/>
          <w:color w:val="auto"/>
        </w:rPr>
        <w:t>We bear all other expenses of our operations and transactions, including (without limitation) fees and expenses relating to: expenses of offering our debt and equity securities; the investigation and monitoring of our investments, including expenses and travel fees incurred in connection with on-site visits; the cost of calculating our net asset value; the cost of effecting sales and repurchases of shares of our common stock and other securities; management and incentive fees payable pursuant to the Investment Advisory Agreement; fees payable to third parties relating to, or associated with, making investments and valuing investments (including third-party valuation firms); transfer agent, trustee and custodial fees; interest payments and other costs related to our borrowings; fees and expenses associated with our website, public</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 w:name="page14"/>
    <w:bookmarkEnd w:id="1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19"/>
        <w:spacing w:after="0" w:line="292" w:lineRule="auto"/>
        <w:rPr>
          <w:sz w:val="20"/>
          <w:szCs w:val="20"/>
          <w:color w:val="auto"/>
        </w:rPr>
      </w:pPr>
      <w:r>
        <w:rPr>
          <w:rFonts w:ascii="Arial" w:cs="Arial" w:eastAsia="Arial" w:hAnsi="Arial"/>
          <w:sz w:val="13"/>
          <w:szCs w:val="13"/>
          <w:color w:val="auto"/>
        </w:rPr>
        <w:t>relations and marketing efforts (including attendance at industry and investor conferences and similar events); federal and state registration fees; any exchange listing fees; federal, state and local taxes; independent directors’ fees and expenses, including travel expenses, and other costs of board of directors’ meetings; brokerage commissions; costs of preparing and mailing proxy statements, stockholders’ reports and notices; costs of preparing government filings, including periodic and current reports with the SEC; our fidelity bond, directors’ and officers’ errors and omissions liability insurance and other insurance premiums; and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will be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administrative support personnel.</w:t>
      </w:r>
    </w:p>
    <w:p>
      <w:pPr>
        <w:spacing w:after="0" w:line="4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All of these expenses are ultimately borne by our common stockholders.</w:t>
      </w:r>
    </w:p>
    <w:p>
      <w:pPr>
        <w:spacing w:after="0" w:line="95" w:lineRule="exact"/>
        <w:rPr>
          <w:sz w:val="20"/>
          <w:szCs w:val="20"/>
          <w:color w:val="auto"/>
        </w:rPr>
      </w:pPr>
    </w:p>
    <w:p>
      <w:pPr>
        <w:jc w:val="both"/>
        <w:ind w:left="1060" w:right="2439" w:firstLine="297"/>
        <w:spacing w:after="0" w:line="259" w:lineRule="auto"/>
        <w:rPr>
          <w:sz w:val="20"/>
          <w:szCs w:val="20"/>
          <w:color w:val="auto"/>
        </w:rPr>
      </w:pPr>
      <w:r>
        <w:rPr>
          <w:rFonts w:ascii="Arial" w:cs="Arial" w:eastAsia="Arial" w:hAnsi="Arial"/>
          <w:sz w:val="15"/>
          <w:szCs w:val="15"/>
          <w:color w:val="auto"/>
        </w:rPr>
        <w:t>All personnel of GSV Asset Management, when and to the extent engaged in providing investment advisory services, and the compensation and expenses of such personnel allocable to such services, are provided and paid for by GSV Asset Management.</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Duration and Termination</w:t>
      </w:r>
    </w:p>
    <w:p>
      <w:pPr>
        <w:spacing w:after="0" w:line="84" w:lineRule="exact"/>
        <w:rPr>
          <w:sz w:val="20"/>
          <w:szCs w:val="20"/>
          <w:color w:val="auto"/>
        </w:rPr>
      </w:pPr>
    </w:p>
    <w:p>
      <w:pPr>
        <w:ind w:left="1060" w:right="2639" w:firstLine="297"/>
        <w:spacing w:after="0" w:line="270" w:lineRule="auto"/>
        <w:rPr>
          <w:sz w:val="20"/>
          <w:szCs w:val="20"/>
          <w:color w:val="auto"/>
        </w:rPr>
      </w:pPr>
      <w:r>
        <w:rPr>
          <w:rFonts w:ascii="Arial" w:cs="Arial" w:eastAsia="Arial" w:hAnsi="Arial"/>
          <w:sz w:val="15"/>
          <w:szCs w:val="15"/>
          <w:color w:val="auto"/>
        </w:rPr>
        <w:t>The Investment Advisory Agreement was initially approved by our board of directors on March 28, 2011 and became effective on April 11, 2011.</w:t>
      </w:r>
    </w:p>
    <w:p>
      <w:pPr>
        <w:spacing w:after="0" w:line="58"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Unless earlier terminated as described below, the Investment Advisory Agreement will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Indemnification</w:t>
      </w:r>
    </w:p>
    <w:p>
      <w:pPr>
        <w:spacing w:after="0" w:line="84"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Board Approval of the Investment Advisory Agreement</w:t>
      </w:r>
    </w:p>
    <w:p>
      <w:pPr>
        <w:spacing w:after="0" w:line="84" w:lineRule="exact"/>
        <w:rPr>
          <w:sz w:val="20"/>
          <w:szCs w:val="20"/>
          <w:color w:val="auto"/>
        </w:rPr>
      </w:pPr>
    </w:p>
    <w:p>
      <w:pPr>
        <w:ind w:left="1060" w:right="2419" w:firstLine="297"/>
        <w:spacing w:after="0" w:line="254" w:lineRule="auto"/>
        <w:rPr>
          <w:sz w:val="20"/>
          <w:szCs w:val="20"/>
          <w:color w:val="auto"/>
        </w:rPr>
      </w:pPr>
      <w:r>
        <w:rPr>
          <w:rFonts w:ascii="Arial" w:cs="Arial" w:eastAsia="Arial" w:hAnsi="Arial"/>
          <w:sz w:val="15"/>
          <w:szCs w:val="15"/>
          <w:color w:val="auto"/>
        </w:rPr>
        <w:t>On April 3, 2017, at an in-person meeting, our board of directors, including a majority of the directors who were not “interested persons,” as defined by the 1940 Act, of the Company or GSV Asset Management, approved the continuation of the Investment Advisory Agreement to April 11, 2018. In its consideration of the re-approval of the Investment Advisory Agreement, the board of directors focused on information it had received relating to, among other things:</w:t>
      </w:r>
    </w:p>
    <w:p>
      <w:pPr>
        <w:spacing w:after="0" w:line="136" w:lineRule="exact"/>
        <w:rPr>
          <w:sz w:val="20"/>
          <w:szCs w:val="20"/>
          <w:color w:val="auto"/>
        </w:rPr>
      </w:pPr>
    </w:p>
    <w:p>
      <w:pPr>
        <w:ind w:left="1640" w:right="2719" w:hanging="292"/>
        <w:spacing w:after="0" w:line="270" w:lineRule="auto"/>
        <w:tabs>
          <w:tab w:leader="none" w:pos="1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nature, quality and extent of the advisory and other services to be provided to us by GSV Asset Management</w:t>
      </w:r>
    </w:p>
    <w:p>
      <w:pPr>
        <w:spacing w:after="0" w:line="114" w:lineRule="exact"/>
        <w:rPr>
          <w:rFonts w:ascii="Arial" w:cs="Arial" w:eastAsia="Arial" w:hAnsi="Arial"/>
          <w:sz w:val="15"/>
          <w:szCs w:val="15"/>
          <w:color w:val="auto"/>
        </w:rPr>
      </w:pPr>
    </w:p>
    <w:p>
      <w:pPr>
        <w:ind w:left="1640" w:hanging="292"/>
        <w:spacing w:after="0"/>
        <w:tabs>
          <w:tab w:leader="none" w:pos="1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investment performance of GSV Asset Management;</w:t>
      </w:r>
    </w:p>
    <w:p>
      <w:pPr>
        <w:spacing w:after="0" w:line="151" w:lineRule="exact"/>
        <w:rPr>
          <w:rFonts w:ascii="Arial" w:cs="Arial" w:eastAsia="Arial" w:hAnsi="Arial"/>
          <w:sz w:val="15"/>
          <w:szCs w:val="15"/>
          <w:color w:val="auto"/>
        </w:rPr>
      </w:pPr>
    </w:p>
    <w:p>
      <w:pPr>
        <w:ind w:left="1640" w:right="2639" w:hanging="292"/>
        <w:spacing w:after="0" w:line="270" w:lineRule="auto"/>
        <w:tabs>
          <w:tab w:leader="none" w:pos="1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comparative data with respect to advisory fees or similar expenses paid by other BDC’s with similar investment objectives;</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565150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 w:name="page15"/>
    <w:bookmarkEnd w:id="1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40" w:right="2739" w:hanging="292"/>
        <w:spacing w:after="0" w:line="270" w:lineRule="auto"/>
        <w:tabs>
          <w:tab w:leader="none" w:pos="1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historical and projected operating expenses and expense ratio compared to BDC’s with similar investment objectives;</w:t>
      </w:r>
    </w:p>
    <w:p>
      <w:pPr>
        <w:spacing w:after="0" w:line="24" w:lineRule="exact"/>
        <w:rPr>
          <w:rFonts w:ascii="Arial" w:cs="Arial" w:eastAsia="Arial" w:hAnsi="Arial"/>
          <w:sz w:val="15"/>
          <w:szCs w:val="15"/>
          <w:color w:val="auto"/>
        </w:rPr>
      </w:pPr>
    </w:p>
    <w:p>
      <w:pPr>
        <w:ind w:left="1640" w:right="2819" w:hanging="292"/>
        <w:spacing w:after="0" w:line="331" w:lineRule="auto"/>
        <w:tabs>
          <w:tab w:leader="none" w:pos="1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existing and potential sources of indirect income to GSV Asset Management or GSV Capital Service Company from their relationships with us and the profitability of those relationships;</w:t>
      </w:r>
    </w:p>
    <w:p>
      <w:pPr>
        <w:ind w:left="1640" w:right="2579" w:hanging="292"/>
        <w:spacing w:after="0" w:line="270" w:lineRule="auto"/>
        <w:tabs>
          <w:tab w:leader="none" w:pos="1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information about the services to be performed and the personnel performing such services under the Investment Advisory Agreement;</w:t>
      </w:r>
    </w:p>
    <w:p>
      <w:pPr>
        <w:spacing w:after="0" w:line="35" w:lineRule="exact"/>
        <w:rPr>
          <w:rFonts w:ascii="Arial" w:cs="Arial" w:eastAsia="Arial" w:hAnsi="Arial"/>
          <w:sz w:val="15"/>
          <w:szCs w:val="15"/>
          <w:color w:val="auto"/>
        </w:rPr>
      </w:pPr>
    </w:p>
    <w:p>
      <w:pPr>
        <w:ind w:left="1640" w:hanging="292"/>
        <w:spacing w:after="0"/>
        <w:tabs>
          <w:tab w:leader="none" w:pos="1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organizational capability and financial condition of GSV Asset Management and its affiliates;</w:t>
      </w:r>
    </w:p>
    <w:p>
      <w:pPr>
        <w:spacing w:after="0" w:line="73" w:lineRule="exact"/>
        <w:rPr>
          <w:rFonts w:ascii="Arial" w:cs="Arial" w:eastAsia="Arial" w:hAnsi="Arial"/>
          <w:sz w:val="14"/>
          <w:szCs w:val="14"/>
          <w:color w:val="auto"/>
        </w:rPr>
      </w:pPr>
    </w:p>
    <w:p>
      <w:pPr>
        <w:ind w:left="1640" w:right="2419" w:hanging="292"/>
        <w:spacing w:after="0" w:line="259" w:lineRule="auto"/>
        <w:tabs>
          <w:tab w:leader="none" w:pos="1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GSV Asset Management’s practices regarding the selection and compensation of brokers that may execute our portfolio transactions and the brokers’ provision of brokerage and research services to GSV Asset Management; and</w:t>
      </w:r>
    </w:p>
    <w:p>
      <w:pPr>
        <w:spacing w:after="0" w:line="33" w:lineRule="exact"/>
        <w:rPr>
          <w:rFonts w:ascii="Arial" w:cs="Arial" w:eastAsia="Arial" w:hAnsi="Arial"/>
          <w:sz w:val="15"/>
          <w:szCs w:val="15"/>
          <w:color w:val="auto"/>
        </w:rPr>
      </w:pPr>
    </w:p>
    <w:p>
      <w:pPr>
        <w:ind w:left="1640" w:right="2799" w:hanging="292"/>
        <w:spacing w:after="0" w:line="270" w:lineRule="auto"/>
        <w:tabs>
          <w:tab w:leader="none" w:pos="1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possibility of obtaining similar services from other third-party service providers or through an internally managed structure.</w:t>
      </w:r>
    </w:p>
    <w:p>
      <w:pPr>
        <w:spacing w:after="0" w:line="58" w:lineRule="exact"/>
        <w:rPr>
          <w:sz w:val="20"/>
          <w:szCs w:val="20"/>
          <w:color w:val="auto"/>
        </w:rPr>
      </w:pPr>
    </w:p>
    <w:p>
      <w:pPr>
        <w:ind w:left="1060" w:right="2499" w:firstLine="297"/>
        <w:spacing w:after="0" w:line="274" w:lineRule="auto"/>
        <w:rPr>
          <w:sz w:val="20"/>
          <w:szCs w:val="20"/>
          <w:color w:val="auto"/>
        </w:rPr>
      </w:pPr>
      <w:r>
        <w:rPr>
          <w:rFonts w:ascii="Arial" w:cs="Arial" w:eastAsia="Arial" w:hAnsi="Arial"/>
          <w:sz w:val="14"/>
          <w:szCs w:val="14"/>
          <w:color w:val="auto"/>
        </w:rPr>
        <w:t>Based on the information reviewed and related discussions, our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our board of directors did not reach any specific conclusion on each factor considered, but rather, conducted an overall analysis of these factors. Individual members of the board of directors may have given different weights to different factors.</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Administration Agreement</w:t>
      </w:r>
    </w:p>
    <w:p>
      <w:pPr>
        <w:spacing w:after="0" w:line="88" w:lineRule="exact"/>
        <w:rPr>
          <w:sz w:val="20"/>
          <w:szCs w:val="20"/>
          <w:color w:val="auto"/>
        </w:rPr>
      </w:pPr>
    </w:p>
    <w:p>
      <w:pPr>
        <w:ind w:left="1060" w:right="2439" w:firstLine="297"/>
        <w:spacing w:after="0" w:line="271" w:lineRule="auto"/>
        <w:rPr>
          <w:sz w:val="20"/>
          <w:szCs w:val="20"/>
          <w:color w:val="auto"/>
        </w:rPr>
      </w:pPr>
      <w:r>
        <w:rPr>
          <w:rFonts w:ascii="Arial" w:cs="Arial" w:eastAsia="Arial" w:hAnsi="Arial"/>
          <w:sz w:val="14"/>
          <w:szCs w:val="14"/>
          <w:color w:val="auto"/>
        </w:rPr>
        <w:t>Under the Administration Agreement, GSV Capital Service Company performs, or oversees the performance of, our required administrative services, which includes being responsible for the financial records that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Further, pursuant to the Administration Agreement, GSV Capital Service Company furnishes us with office facilities, together with equipment and clerical, bookkeeping and record-keeping services at such facilities.</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Costs Incurred Under the Administration Agreement</w:t>
      </w:r>
    </w:p>
    <w:p>
      <w:pPr>
        <w:spacing w:after="0" w:line="84" w:lineRule="exact"/>
        <w:rPr>
          <w:sz w:val="20"/>
          <w:szCs w:val="20"/>
          <w:color w:val="auto"/>
        </w:rPr>
      </w:pPr>
    </w:p>
    <w:p>
      <w:pPr>
        <w:ind w:left="1060" w:right="2419" w:firstLine="297"/>
        <w:spacing w:after="0" w:line="279" w:lineRule="auto"/>
        <w:rPr>
          <w:sz w:val="20"/>
          <w:szCs w:val="20"/>
          <w:color w:val="auto"/>
        </w:rPr>
      </w:pPr>
      <w:r>
        <w:rPr>
          <w:rFonts w:ascii="Arial" w:cs="Arial" w:eastAsia="Arial" w:hAnsi="Arial"/>
          <w:sz w:val="14"/>
          <w:szCs w:val="14"/>
          <w:color w:val="auto"/>
        </w:rPr>
        <w:t>Costs incurred under the Administration Agreement are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administrative services.</w:t>
      </w:r>
    </w:p>
    <w:p>
      <w:pPr>
        <w:spacing w:after="0" w:line="55" w:lineRule="exact"/>
        <w:rPr>
          <w:sz w:val="20"/>
          <w:szCs w:val="20"/>
          <w:color w:val="auto"/>
        </w:rPr>
      </w:pPr>
    </w:p>
    <w:p>
      <w:pPr>
        <w:ind w:left="1060" w:right="2399" w:firstLine="297"/>
        <w:spacing w:after="0" w:line="271" w:lineRule="auto"/>
        <w:rPr>
          <w:sz w:val="20"/>
          <w:szCs w:val="20"/>
          <w:color w:val="auto"/>
        </w:rPr>
      </w:pPr>
      <w:r>
        <w:rPr>
          <w:rFonts w:ascii="Arial" w:cs="Arial" w:eastAsia="Arial" w:hAnsi="Arial"/>
          <w:sz w:val="14"/>
          <w:szCs w:val="14"/>
          <w:color w:val="auto"/>
        </w:rPr>
        <w:t>In accordance with the terms of the Administration Agreement, overhead and other administrative expenses are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Capital Service Company perform administrative tasks for GSV Asset Management, the fees incurred with respect to the actual time dedicated to such tasks will be reimbursed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60" w:lineRule="exact"/>
        <w:rPr>
          <w:sz w:val="20"/>
          <w:szCs w:val="20"/>
          <w:color w:val="auto"/>
        </w:rPr>
      </w:pPr>
    </w:p>
    <w:p>
      <w:pPr>
        <w:jc w:val="both"/>
        <w:ind w:left="1060" w:right="2439" w:firstLine="297"/>
        <w:spacing w:after="0" w:line="259" w:lineRule="auto"/>
        <w:rPr>
          <w:sz w:val="20"/>
          <w:szCs w:val="20"/>
          <w:color w:val="auto"/>
        </w:rPr>
      </w:pPr>
      <w:r>
        <w:rPr>
          <w:rFonts w:ascii="Arial" w:cs="Arial" w:eastAsia="Arial" w:hAnsi="Arial"/>
          <w:sz w:val="15"/>
          <w:szCs w:val="15"/>
          <w:color w:val="auto"/>
        </w:rPr>
        <w:t>The Administration Agreement may be terminated at any time without penalty upon 60 days’ written notice, by a vote of a majority of our outstanding voting securities, by a vote of our board of directors or by GSV Capital Service Company.</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Indemnification</w:t>
      </w:r>
    </w:p>
    <w:p>
      <w:pPr>
        <w:spacing w:after="0" w:line="84" w:lineRule="exact"/>
        <w:rPr>
          <w:sz w:val="20"/>
          <w:szCs w:val="20"/>
          <w:color w:val="auto"/>
        </w:rPr>
      </w:pPr>
    </w:p>
    <w:p>
      <w:pPr>
        <w:ind w:left="1060" w:right="2619" w:firstLine="297"/>
        <w:spacing w:after="0" w:line="349" w:lineRule="auto"/>
        <w:rPr>
          <w:sz w:val="20"/>
          <w:szCs w:val="20"/>
          <w:color w:val="auto"/>
        </w:rPr>
      </w:pPr>
      <w:r>
        <w:rPr>
          <w:rFonts w:ascii="Arial" w:cs="Arial" w:eastAsia="Arial" w:hAnsi="Arial"/>
          <w:sz w:val="13"/>
          <w:szCs w:val="13"/>
          <w:color w:val="auto"/>
        </w:rPr>
        <w:t>The Administration Agreement provides that, absent willful misfeasance, bad faith or gross negligence in the performance of their respective duties or by reason of the reckless disregard of their respective duties</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5" w:name="page16"/>
    <w:bookmarkEnd w:id="1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19"/>
        <w:spacing w:after="0" w:line="254" w:lineRule="auto"/>
        <w:rPr>
          <w:sz w:val="20"/>
          <w:szCs w:val="20"/>
          <w:color w:val="auto"/>
        </w:rPr>
      </w:pPr>
      <w:r>
        <w:rPr>
          <w:rFonts w:ascii="Arial" w:cs="Arial" w:eastAsia="Arial" w:hAnsi="Arial"/>
          <w:sz w:val="15"/>
          <w:szCs w:val="15"/>
          <w:color w:val="auto"/>
        </w:rPr>
        <w:t>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License Agreement</w:t>
      </w:r>
    </w:p>
    <w:p>
      <w:pPr>
        <w:spacing w:after="0" w:line="88" w:lineRule="exact"/>
        <w:rPr>
          <w:sz w:val="20"/>
          <w:szCs w:val="20"/>
          <w:color w:val="auto"/>
        </w:rPr>
      </w:pPr>
    </w:p>
    <w:p>
      <w:pPr>
        <w:ind w:left="1060" w:right="2559" w:firstLine="297"/>
        <w:spacing w:after="0" w:line="254" w:lineRule="auto"/>
        <w:rPr>
          <w:sz w:val="20"/>
          <w:szCs w:val="20"/>
          <w:color w:val="auto"/>
        </w:rPr>
      </w:pPr>
      <w:r>
        <w:rPr>
          <w:rFonts w:ascii="Arial" w:cs="Arial" w:eastAsia="Arial" w:hAnsi="Arial"/>
          <w:sz w:val="15"/>
          <w:szCs w:val="15"/>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Regulation as a Business Development Company</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General</w:t>
      </w:r>
    </w:p>
    <w:p>
      <w:pPr>
        <w:spacing w:after="0" w:line="84" w:lineRule="exact"/>
        <w:rPr>
          <w:sz w:val="20"/>
          <w:szCs w:val="20"/>
          <w:color w:val="auto"/>
        </w:rPr>
      </w:pPr>
    </w:p>
    <w:p>
      <w:pPr>
        <w:ind w:left="1060" w:right="2419" w:firstLine="297"/>
        <w:spacing w:after="0" w:line="302" w:lineRule="auto"/>
        <w:rPr>
          <w:sz w:val="20"/>
          <w:szCs w:val="20"/>
          <w:color w:val="auto"/>
        </w:rPr>
      </w:pPr>
      <w:r>
        <w:rPr>
          <w:rFonts w:ascii="Arial" w:cs="Arial" w:eastAsia="Arial" w:hAnsi="Arial"/>
          <w:sz w:val="13"/>
          <w:szCs w:val="13"/>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41" w:lineRule="exact"/>
        <w:rPr>
          <w:sz w:val="20"/>
          <w:szCs w:val="20"/>
          <w:color w:val="auto"/>
        </w:rPr>
      </w:pPr>
    </w:p>
    <w:p>
      <w:pPr>
        <w:ind w:left="1060" w:right="2439" w:firstLine="297"/>
        <w:spacing w:after="0" w:line="299" w:lineRule="auto"/>
        <w:rPr>
          <w:sz w:val="20"/>
          <w:szCs w:val="20"/>
          <w:color w:val="auto"/>
        </w:rPr>
      </w:pPr>
      <w:r>
        <w:rPr>
          <w:rFonts w:ascii="Arial" w:cs="Arial" w:eastAsia="Arial" w:hAnsi="Arial"/>
          <w:sz w:val="13"/>
          <w:szCs w:val="13"/>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43" w:lineRule="exact"/>
        <w:rPr>
          <w:sz w:val="20"/>
          <w:szCs w:val="20"/>
          <w:color w:val="auto"/>
        </w:rPr>
      </w:pPr>
    </w:p>
    <w:p>
      <w:pPr>
        <w:ind w:left="1060" w:right="2419" w:firstLine="297"/>
        <w:spacing w:after="0" w:line="274" w:lineRule="auto"/>
        <w:rPr>
          <w:sz w:val="20"/>
          <w:szCs w:val="20"/>
          <w:color w:val="auto"/>
        </w:rPr>
      </w:pPr>
      <w:r>
        <w:rPr>
          <w:rFonts w:ascii="Arial" w:cs="Arial" w:eastAsia="Arial" w:hAnsi="Arial"/>
          <w:sz w:val="14"/>
          <w:szCs w:val="14"/>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58" w:lineRule="exact"/>
        <w:rPr>
          <w:sz w:val="20"/>
          <w:szCs w:val="20"/>
          <w:color w:val="auto"/>
        </w:rPr>
      </w:pPr>
    </w:p>
    <w:p>
      <w:pPr>
        <w:ind w:left="1060" w:right="2419" w:firstLine="297"/>
        <w:spacing w:after="0" w:line="302" w:lineRule="auto"/>
        <w:rPr>
          <w:sz w:val="20"/>
          <w:szCs w:val="20"/>
          <w:color w:val="auto"/>
        </w:rPr>
      </w:pPr>
      <w:r>
        <w:rPr>
          <w:rFonts w:ascii="Arial" w:cs="Arial" w:eastAsia="Arial" w:hAnsi="Arial"/>
          <w:sz w:val="13"/>
          <w:szCs w:val="13"/>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41"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 — Risks Related to Our Business and Structure” in Part I, Item 1A of this Form 10-K for more information.</w:t>
      </w: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6" w:name="page17"/>
    <w:bookmarkEnd w:id="1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59" w:firstLine="297"/>
        <w:spacing w:after="0" w:line="302" w:lineRule="auto"/>
        <w:rPr>
          <w:sz w:val="20"/>
          <w:szCs w:val="20"/>
          <w:color w:val="auto"/>
        </w:rPr>
      </w:pPr>
      <w:r>
        <w:rPr>
          <w:rFonts w:ascii="Arial" w:cs="Arial" w:eastAsia="Arial" w:hAnsi="Arial"/>
          <w:sz w:val="13"/>
          <w:szCs w:val="13"/>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41" w:lineRule="exact"/>
        <w:rPr>
          <w:sz w:val="20"/>
          <w:szCs w:val="20"/>
          <w:color w:val="auto"/>
        </w:rPr>
      </w:pPr>
    </w:p>
    <w:p>
      <w:pPr>
        <w:ind w:left="1060" w:right="2399" w:firstLine="297"/>
        <w:spacing w:after="0" w:line="294" w:lineRule="auto"/>
        <w:rPr>
          <w:sz w:val="20"/>
          <w:szCs w:val="20"/>
          <w:color w:val="auto"/>
        </w:rPr>
      </w:pPr>
      <w:r>
        <w:rPr>
          <w:rFonts w:ascii="Arial" w:cs="Arial" w:eastAsia="Arial" w:hAnsi="Arial"/>
          <w:sz w:val="13"/>
          <w:szCs w:val="13"/>
          <w:color w:val="auto"/>
        </w:rPr>
        <w:t>We are generally not able to issue and sell our common stock at a price below net asset value per share. See “Risk Factors — Risks Related to Our Business and Structure — Regulations governing our operation as a business development company affect our ability to, and the way in which we, raise additional capital, which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48" w:lineRule="exact"/>
        <w:rPr>
          <w:sz w:val="20"/>
          <w:szCs w:val="20"/>
          <w:color w:val="auto"/>
        </w:rPr>
      </w:pPr>
    </w:p>
    <w:p>
      <w:pPr>
        <w:ind w:left="1060" w:right="2419" w:firstLine="297"/>
        <w:spacing w:after="0" w:line="255" w:lineRule="auto"/>
        <w:rPr>
          <w:sz w:val="20"/>
          <w:szCs w:val="20"/>
          <w:color w:val="auto"/>
        </w:rPr>
      </w:pPr>
      <w:r>
        <w:rPr>
          <w:rFonts w:ascii="Arial" w:cs="Arial" w:eastAsia="Arial" w:hAnsi="Arial"/>
          <w:sz w:val="15"/>
          <w:szCs w:val="15"/>
          <w:color w:val="auto"/>
        </w:rPr>
        <w:t>As a BDC we are generally limited in our ability to invest in any portfolio company in which our investment adviser, GSV Asset Management, or any of its affiliates currently has an investment or to make any co-investments with GSV Asset Management or its affiliates without an exemptive order from the SEC, subject to certain exceptions.</w:t>
      </w:r>
    </w:p>
    <w:p>
      <w:pPr>
        <w:spacing w:after="0" w:line="70"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We are subject to periodic examination by the SEC for compliance with the 1940 Act.</w:t>
      </w:r>
    </w:p>
    <w:p>
      <w:pPr>
        <w:spacing w:after="0" w:line="95" w:lineRule="exact"/>
        <w:rPr>
          <w:sz w:val="20"/>
          <w:szCs w:val="20"/>
          <w:color w:val="auto"/>
        </w:rPr>
      </w:pPr>
    </w:p>
    <w:p>
      <w:pPr>
        <w:ind w:left="1060" w:right="2799" w:firstLine="297"/>
        <w:spacing w:after="0" w:line="270" w:lineRule="auto"/>
        <w:rPr>
          <w:sz w:val="20"/>
          <w:szCs w:val="20"/>
          <w:color w:val="auto"/>
        </w:rPr>
      </w:pPr>
      <w:r>
        <w:rPr>
          <w:rFonts w:ascii="Arial" w:cs="Arial" w:eastAsia="Arial" w:hAnsi="Arial"/>
          <w:sz w:val="15"/>
          <w:szCs w:val="15"/>
          <w:color w:val="auto"/>
        </w:rPr>
        <w:t>As a BDC, we are subject to certain risks and uncertainties. See “Risk Factors — Risks Related to Our Business and Structure” in Part I, Item 1A of this Form 10-K.</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Qualifying Assets</w:t>
      </w:r>
    </w:p>
    <w:p>
      <w:pPr>
        <w:spacing w:after="0" w:line="84" w:lineRule="exact"/>
        <w:rPr>
          <w:sz w:val="20"/>
          <w:szCs w:val="20"/>
          <w:color w:val="auto"/>
        </w:rPr>
      </w:pPr>
    </w:p>
    <w:p>
      <w:pPr>
        <w:ind w:left="1060" w:right="2459" w:firstLine="297"/>
        <w:spacing w:after="0" w:line="255" w:lineRule="auto"/>
        <w:rPr>
          <w:sz w:val="20"/>
          <w:szCs w:val="20"/>
          <w:color w:val="auto"/>
        </w:rPr>
      </w:pPr>
      <w:r>
        <w:rPr>
          <w:rFonts w:ascii="Arial" w:cs="Arial" w:eastAsia="Arial" w:hAnsi="Arial"/>
          <w:sz w:val="15"/>
          <w:szCs w:val="15"/>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82" w:lineRule="exact"/>
        <w:rPr>
          <w:sz w:val="20"/>
          <w:szCs w:val="20"/>
          <w:color w:val="auto"/>
        </w:rPr>
      </w:pPr>
    </w:p>
    <w:p>
      <w:pPr>
        <w:ind w:left="1640" w:right="2419" w:hanging="292"/>
        <w:spacing w:after="0" w:line="276"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56" w:lineRule="exact"/>
        <w:rPr>
          <w:rFonts w:ascii="Arial" w:cs="Arial" w:eastAsia="Arial" w:hAnsi="Arial"/>
          <w:sz w:val="14"/>
          <w:szCs w:val="14"/>
          <w:color w:val="auto"/>
        </w:rPr>
      </w:pPr>
    </w:p>
    <w:p>
      <w:pPr>
        <w:ind w:left="1940" w:hanging="294"/>
        <w:spacing w:after="0"/>
        <w:tabs>
          <w:tab w:leader="none" w:pos="19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17" w:lineRule="exact"/>
        <w:rPr>
          <w:rFonts w:ascii="Arial" w:cs="Arial" w:eastAsia="Arial" w:hAnsi="Arial"/>
          <w:sz w:val="14"/>
          <w:szCs w:val="14"/>
          <w:color w:val="auto"/>
        </w:rPr>
      </w:pPr>
    </w:p>
    <w:p>
      <w:pPr>
        <w:jc w:val="both"/>
        <w:ind w:left="1940" w:right="2439" w:hanging="294"/>
        <w:spacing w:after="0" w:line="259" w:lineRule="auto"/>
        <w:tabs>
          <w:tab w:leader="none" w:pos="19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BDC) or a company that would be an investment company but for certain exclusions under the 1940 Act; and</w:t>
      </w:r>
    </w:p>
    <w:p>
      <w:pPr>
        <w:spacing w:after="0" w:line="66" w:lineRule="exact"/>
        <w:rPr>
          <w:rFonts w:ascii="Arial" w:cs="Arial" w:eastAsia="Arial" w:hAnsi="Arial"/>
          <w:sz w:val="15"/>
          <w:szCs w:val="15"/>
          <w:color w:val="auto"/>
        </w:rPr>
      </w:pPr>
    </w:p>
    <w:p>
      <w:pPr>
        <w:ind w:left="1940" w:hanging="294"/>
        <w:spacing w:after="0"/>
        <w:tabs>
          <w:tab w:leader="none" w:pos="19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satisfies any of the following:</w:t>
      </w:r>
    </w:p>
    <w:p>
      <w:pPr>
        <w:spacing w:after="0" w:line="106" w:lineRule="exact"/>
        <w:rPr>
          <w:rFonts w:ascii="Arial" w:cs="Arial" w:eastAsia="Arial" w:hAnsi="Arial"/>
          <w:sz w:val="15"/>
          <w:szCs w:val="15"/>
          <w:color w:val="auto"/>
        </w:rPr>
      </w:pPr>
    </w:p>
    <w:p>
      <w:pPr>
        <w:ind w:left="2240" w:hanging="297"/>
        <w:spacing w:after="0"/>
        <w:tabs>
          <w:tab w:leader="none" w:pos="2240" w:val="left"/>
        </w:tabs>
        <w:numPr>
          <w:ilvl w:val="2"/>
          <w:numId w:val="14"/>
        </w:numPr>
        <w:rPr>
          <w:rFonts w:ascii="Arial" w:cs="Arial" w:eastAsia="Arial" w:hAnsi="Arial"/>
          <w:sz w:val="14"/>
          <w:szCs w:val="14"/>
          <w:color w:val="auto"/>
        </w:rPr>
      </w:pPr>
      <w:r>
        <w:rPr>
          <w:rFonts w:ascii="Arial" w:cs="Arial" w:eastAsia="Arial" w:hAnsi="Arial"/>
          <w:sz w:val="14"/>
          <w:szCs w:val="14"/>
          <w:color w:val="auto"/>
        </w:rPr>
        <w:t>does not have any class of securities that is traded on a national securities exchange;</w:t>
      </w:r>
    </w:p>
    <w:p>
      <w:pPr>
        <w:spacing w:after="0" w:line="117" w:lineRule="exact"/>
        <w:rPr>
          <w:rFonts w:ascii="Arial" w:cs="Arial" w:eastAsia="Arial" w:hAnsi="Arial"/>
          <w:sz w:val="14"/>
          <w:szCs w:val="14"/>
          <w:color w:val="auto"/>
        </w:rPr>
      </w:pPr>
    </w:p>
    <w:p>
      <w:pPr>
        <w:ind w:left="2240" w:right="2499" w:hanging="297"/>
        <w:spacing w:after="0" w:line="349" w:lineRule="auto"/>
        <w:tabs>
          <w:tab w:leader="none" w:pos="2240" w:val="left"/>
        </w:tabs>
        <w:numPr>
          <w:ilvl w:val="2"/>
          <w:numId w:val="14"/>
        </w:numPr>
        <w:rPr>
          <w:rFonts w:ascii="Arial" w:cs="Arial" w:eastAsia="Arial" w:hAnsi="Arial"/>
          <w:sz w:val="13"/>
          <w:szCs w:val="13"/>
          <w:color w:val="auto"/>
        </w:rPr>
      </w:pPr>
      <w:r>
        <w:rPr>
          <w:rFonts w:ascii="Arial" w:cs="Arial" w:eastAsia="Arial" w:hAnsi="Arial"/>
          <w:sz w:val="13"/>
          <w:szCs w:val="13"/>
          <w:color w:val="auto"/>
        </w:rPr>
        <w:t>has a class of securities listed on a national securities exchange, but has an aggregate market value of outstanding voting and non-voting common equity of less than $250.0 million;</w:t>
      </w:r>
    </w:p>
    <w:p>
      <w:pPr>
        <w:spacing w:after="0" w:line="11" w:lineRule="exact"/>
        <w:rPr>
          <w:rFonts w:ascii="Arial" w:cs="Arial" w:eastAsia="Arial" w:hAnsi="Arial"/>
          <w:sz w:val="13"/>
          <w:szCs w:val="13"/>
          <w:color w:val="auto"/>
        </w:rPr>
      </w:pPr>
    </w:p>
    <w:p>
      <w:pPr>
        <w:ind w:left="2240" w:right="2879" w:hanging="297"/>
        <w:spacing w:after="0" w:line="307" w:lineRule="auto"/>
        <w:tabs>
          <w:tab w:leader="none" w:pos="2240" w:val="left"/>
        </w:tabs>
        <w:numPr>
          <w:ilvl w:val="2"/>
          <w:numId w:val="14"/>
        </w:numPr>
        <w:rPr>
          <w:rFonts w:ascii="Arial" w:cs="Arial" w:eastAsia="Arial" w:hAnsi="Arial"/>
          <w:sz w:val="14"/>
          <w:szCs w:val="14"/>
          <w:color w:val="auto"/>
        </w:rPr>
      </w:pPr>
      <w:r>
        <w:rPr>
          <w:rFonts w:ascii="Arial" w:cs="Arial" w:eastAsia="Arial" w:hAnsi="Arial"/>
          <w:sz w:val="14"/>
          <w:szCs w:val="14"/>
          <w:color w:val="auto"/>
        </w:rPr>
        <w:t>is controlled by a BDC or a group of companies including a BDC and the BDC has an affiliated person who is a director of the eligible portfolio company;</w:t>
      </w:r>
    </w:p>
    <w:p>
      <w:pPr>
        <w:spacing w:after="0" w:line="45" w:lineRule="exact"/>
        <w:rPr>
          <w:rFonts w:ascii="Arial" w:cs="Arial" w:eastAsia="Arial" w:hAnsi="Arial"/>
          <w:sz w:val="14"/>
          <w:szCs w:val="14"/>
          <w:color w:val="auto"/>
        </w:rPr>
      </w:pPr>
    </w:p>
    <w:p>
      <w:pPr>
        <w:ind w:left="2240" w:right="2479" w:hanging="297"/>
        <w:spacing w:after="0" w:line="270" w:lineRule="auto"/>
        <w:tabs>
          <w:tab w:leader="none" w:pos="2240" w:val="left"/>
        </w:tabs>
        <w:numPr>
          <w:ilvl w:val="2"/>
          <w:numId w:val="14"/>
        </w:numPr>
        <w:rPr>
          <w:rFonts w:ascii="Arial" w:cs="Arial" w:eastAsia="Arial" w:hAnsi="Arial"/>
          <w:sz w:val="15"/>
          <w:szCs w:val="15"/>
          <w:color w:val="auto"/>
        </w:rPr>
      </w:pPr>
      <w:r>
        <w:rPr>
          <w:rFonts w:ascii="Arial" w:cs="Arial" w:eastAsia="Arial" w:hAnsi="Arial"/>
          <w:sz w:val="15"/>
          <w:szCs w:val="15"/>
          <w:color w:val="auto"/>
        </w:rPr>
        <w:t>is a small and solvent company having gross assets of not more than $4.0 million and capital and surplus of not less than $2.0 million; or</w:t>
      </w:r>
    </w:p>
    <w:p>
      <w:pPr>
        <w:spacing w:after="0" w:line="69" w:lineRule="exact"/>
        <w:rPr>
          <w:rFonts w:ascii="Arial" w:cs="Arial" w:eastAsia="Arial" w:hAnsi="Arial"/>
          <w:sz w:val="15"/>
          <w:szCs w:val="15"/>
          <w:color w:val="auto"/>
        </w:rPr>
      </w:pPr>
    </w:p>
    <w:p>
      <w:pPr>
        <w:ind w:left="2240" w:hanging="297"/>
        <w:spacing w:after="0"/>
        <w:tabs>
          <w:tab w:leader="none" w:pos="2240" w:val="left"/>
        </w:tabs>
        <w:numPr>
          <w:ilvl w:val="2"/>
          <w:numId w:val="14"/>
        </w:numPr>
        <w:rPr>
          <w:rFonts w:ascii="Arial" w:cs="Arial" w:eastAsia="Arial" w:hAnsi="Arial"/>
          <w:sz w:val="15"/>
          <w:szCs w:val="15"/>
          <w:color w:val="auto"/>
        </w:rPr>
      </w:pPr>
      <w:r>
        <w:rPr>
          <w:rFonts w:ascii="Arial" w:cs="Arial" w:eastAsia="Arial" w:hAnsi="Arial"/>
          <w:sz w:val="15"/>
          <w:szCs w:val="15"/>
          <w:color w:val="auto"/>
        </w:rPr>
        <w:t>meets such other criteria as may be established by the SEC.</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7" w:name="page18"/>
    <w:bookmarkEnd w:id="1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40" w:hanging="292"/>
        <w:spacing w:after="0"/>
        <w:tabs>
          <w:tab w:leader="none" w:pos="1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Securities of any eligible portfolio company which we control.</w:t>
      </w:r>
    </w:p>
    <w:p>
      <w:pPr>
        <w:spacing w:after="0" w:line="128" w:lineRule="exact"/>
        <w:rPr>
          <w:rFonts w:ascii="Arial" w:cs="Arial" w:eastAsia="Arial" w:hAnsi="Arial"/>
          <w:sz w:val="15"/>
          <w:szCs w:val="15"/>
          <w:color w:val="auto"/>
        </w:rPr>
      </w:pPr>
    </w:p>
    <w:p>
      <w:pPr>
        <w:ind w:left="1640" w:right="2539" w:hanging="292"/>
        <w:spacing w:after="0" w:line="254" w:lineRule="auto"/>
        <w:tabs>
          <w:tab w:leader="none" w:pos="1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02" w:lineRule="exact"/>
        <w:rPr>
          <w:rFonts w:ascii="Arial" w:cs="Arial" w:eastAsia="Arial" w:hAnsi="Arial"/>
          <w:sz w:val="15"/>
          <w:szCs w:val="15"/>
          <w:color w:val="auto"/>
        </w:rPr>
      </w:pPr>
    </w:p>
    <w:p>
      <w:pPr>
        <w:ind w:left="1640" w:right="2439" w:hanging="292"/>
        <w:spacing w:after="0" w:line="259" w:lineRule="auto"/>
        <w:tabs>
          <w:tab w:leader="none" w:pos="1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11" w:lineRule="exact"/>
        <w:rPr>
          <w:rFonts w:ascii="Arial" w:cs="Arial" w:eastAsia="Arial" w:hAnsi="Arial"/>
          <w:sz w:val="15"/>
          <w:szCs w:val="15"/>
          <w:color w:val="auto"/>
        </w:rPr>
      </w:pPr>
    </w:p>
    <w:p>
      <w:pPr>
        <w:ind w:left="1640" w:right="2439" w:hanging="292"/>
        <w:spacing w:after="0" w:line="349" w:lineRule="auto"/>
        <w:tabs>
          <w:tab w:leader="none" w:pos="1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Securities received in exchange for or distributed on or with respect to securities described in 1 through 4 above, or pursuant to the exercise of options, warrants or rights relating to such securities.</w:t>
      </w:r>
    </w:p>
    <w:p>
      <w:pPr>
        <w:spacing w:after="0" w:line="45" w:lineRule="exact"/>
        <w:rPr>
          <w:rFonts w:ascii="Arial" w:cs="Arial" w:eastAsia="Arial" w:hAnsi="Arial"/>
          <w:sz w:val="13"/>
          <w:szCs w:val="13"/>
          <w:color w:val="auto"/>
        </w:rPr>
      </w:pPr>
    </w:p>
    <w:p>
      <w:pPr>
        <w:ind w:left="1640" w:right="2459" w:hanging="292"/>
        <w:spacing w:after="0" w:line="270" w:lineRule="auto"/>
        <w:tabs>
          <w:tab w:leader="none" w:pos="1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Cash, cash equivalents, U.S. government securities or high-quality debt securities maturing in one year or less from the time of investment.</w:t>
      </w:r>
    </w:p>
    <w:p>
      <w:pPr>
        <w:spacing w:after="0" w:line="58" w:lineRule="exact"/>
        <w:rPr>
          <w:sz w:val="20"/>
          <w:szCs w:val="20"/>
          <w:color w:val="auto"/>
        </w:rPr>
      </w:pPr>
    </w:p>
    <w:p>
      <w:pPr>
        <w:ind w:left="1060" w:right="2599" w:firstLine="297"/>
        <w:spacing w:after="0" w:line="259" w:lineRule="auto"/>
        <w:rPr>
          <w:sz w:val="20"/>
          <w:szCs w:val="20"/>
          <w:color w:val="auto"/>
        </w:rPr>
      </w:pPr>
      <w:r>
        <w:rPr>
          <w:rFonts w:ascii="Arial" w:cs="Arial" w:eastAsia="Arial" w:hAnsi="Arial"/>
          <w:sz w:val="15"/>
          <w:szCs w:val="15"/>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67" w:lineRule="exact"/>
        <w:rPr>
          <w:sz w:val="20"/>
          <w:szCs w:val="20"/>
          <w:color w:val="auto"/>
        </w:rPr>
      </w:pPr>
    </w:p>
    <w:p>
      <w:pPr>
        <w:ind w:left="1060" w:right="2419" w:firstLine="297"/>
        <w:spacing w:after="0" w:line="251" w:lineRule="auto"/>
        <w:rPr>
          <w:sz w:val="20"/>
          <w:szCs w:val="20"/>
          <w:color w:val="auto"/>
        </w:rPr>
      </w:pPr>
      <w:r>
        <w:rPr>
          <w:rFonts w:ascii="Arial" w:cs="Arial" w:eastAsia="Arial" w:hAnsi="Arial"/>
          <w:sz w:val="15"/>
          <w:szCs w:val="15"/>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then-current gross assets were comprised of qualifying assets. We would not be required, however, to dispose of any non-qualifying assets in such circumstances.</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Managerial Assistance to Portfolio Companies</w:t>
      </w:r>
    </w:p>
    <w:p>
      <w:pPr>
        <w:spacing w:after="0" w:line="84" w:lineRule="exact"/>
        <w:rPr>
          <w:sz w:val="20"/>
          <w:szCs w:val="20"/>
          <w:color w:val="auto"/>
        </w:rPr>
      </w:pPr>
    </w:p>
    <w:p>
      <w:pPr>
        <w:ind w:left="1060" w:right="2459" w:firstLine="297"/>
        <w:spacing w:after="0" w:line="297" w:lineRule="auto"/>
        <w:rPr>
          <w:sz w:val="20"/>
          <w:szCs w:val="20"/>
          <w:color w:val="auto"/>
        </w:rPr>
      </w:pPr>
      <w:r>
        <w:rPr>
          <w:rFonts w:ascii="Arial" w:cs="Arial" w:eastAsia="Arial" w:hAnsi="Arial"/>
          <w:sz w:val="13"/>
          <w:szCs w:val="13"/>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Temporary Investments</w:t>
      </w:r>
    </w:p>
    <w:p>
      <w:pPr>
        <w:spacing w:after="0" w:line="84" w:lineRule="exact"/>
        <w:rPr>
          <w:sz w:val="20"/>
          <w:szCs w:val="20"/>
          <w:color w:val="auto"/>
        </w:rPr>
      </w:pPr>
    </w:p>
    <w:p>
      <w:pPr>
        <w:ind w:left="1060" w:right="2419" w:firstLine="297"/>
        <w:spacing w:after="0" w:line="291" w:lineRule="auto"/>
        <w:rPr>
          <w:sz w:val="20"/>
          <w:szCs w:val="20"/>
          <w:color w:val="auto"/>
        </w:rPr>
      </w:pPr>
      <w:r>
        <w:rPr>
          <w:rFonts w:ascii="Arial" w:cs="Arial" w:eastAsia="Arial" w:hAnsi="Arial"/>
          <w:sz w:val="13"/>
          <w:szCs w:val="13"/>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GSV Asset Management will monitor the creditworthiness of the counterparties with which we enter into repurchase agreement transactions.</w:t>
      </w:r>
    </w:p>
    <w:p>
      <w:pPr>
        <w:spacing w:after="0" w:line="18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8" w:name="page19"/>
    <w:bookmarkEnd w:id="1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Warrants and Options</w:t>
      </w:r>
    </w:p>
    <w:p>
      <w:pPr>
        <w:spacing w:after="0" w:line="84" w:lineRule="exact"/>
        <w:rPr>
          <w:sz w:val="20"/>
          <w:szCs w:val="20"/>
          <w:color w:val="auto"/>
        </w:rPr>
      </w:pPr>
    </w:p>
    <w:p>
      <w:pPr>
        <w:ind w:left="1060" w:right="2439" w:firstLine="297"/>
        <w:spacing w:after="0" w:line="292" w:lineRule="auto"/>
        <w:rPr>
          <w:sz w:val="20"/>
          <w:szCs w:val="20"/>
          <w:color w:val="auto"/>
        </w:rPr>
      </w:pPr>
      <w:r>
        <w:rPr>
          <w:rFonts w:ascii="Arial" w:cs="Arial" w:eastAsia="Arial" w:hAnsi="Arial"/>
          <w:sz w:val="13"/>
          <w:szCs w:val="13"/>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spacing w:after="0" w:line="12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Senior Securities</w:t>
      </w:r>
    </w:p>
    <w:p>
      <w:pPr>
        <w:spacing w:after="0" w:line="84"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the Convertible Senior Notes and the Credit Facility, can magnify the potential for gain or loss on amounts invested and may increase the risk of investing in us” in Part I, Item 1A of this Form 10-K.</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Compliance Policies and Procedures</w:t>
      </w:r>
    </w:p>
    <w:p>
      <w:pPr>
        <w:spacing w:after="0" w:line="88" w:lineRule="exact"/>
        <w:rPr>
          <w:sz w:val="20"/>
          <w:szCs w:val="20"/>
          <w:color w:val="auto"/>
        </w:rPr>
      </w:pPr>
    </w:p>
    <w:p>
      <w:pPr>
        <w:ind w:left="1060" w:right="2419" w:firstLine="297"/>
        <w:spacing w:after="0" w:line="254" w:lineRule="auto"/>
        <w:rPr>
          <w:sz w:val="20"/>
          <w:szCs w:val="20"/>
          <w:color w:val="auto"/>
        </w:rPr>
      </w:pPr>
      <w:r>
        <w:rPr>
          <w:rFonts w:ascii="Arial" w:cs="Arial" w:eastAsia="Arial" w:hAnsi="Arial"/>
          <w:sz w:val="15"/>
          <w:szCs w:val="15"/>
          <w:color w:val="auto"/>
        </w:rPr>
        <w:t>We and GSV Asset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Compliance with Corporate Governance Regulations</w:t>
      </w:r>
    </w:p>
    <w:p>
      <w:pPr>
        <w:spacing w:after="0" w:line="88" w:lineRule="exact"/>
        <w:rPr>
          <w:sz w:val="20"/>
          <w:szCs w:val="20"/>
          <w:color w:val="auto"/>
        </w:rPr>
      </w:pPr>
    </w:p>
    <w:p>
      <w:pPr>
        <w:ind w:left="1060" w:right="2459" w:firstLine="297"/>
        <w:spacing w:after="0" w:line="270" w:lineRule="auto"/>
        <w:rPr>
          <w:sz w:val="20"/>
          <w:szCs w:val="20"/>
          <w:color w:val="auto"/>
        </w:rPr>
      </w:pPr>
      <w:r>
        <w:rPr>
          <w:rFonts w:ascii="Arial" w:cs="Arial" w:eastAsia="Arial" w:hAnsi="Arial"/>
          <w:sz w:val="15"/>
          <w:szCs w:val="15"/>
          <w:color w:val="auto"/>
        </w:rPr>
        <w:t>The Sarbanes-Oxley Act imposes a wide variety of regulatory requirements on publicly held companies and their insiders. Many of these requirements affect us. For example:</w:t>
      </w:r>
    </w:p>
    <w:p>
      <w:pPr>
        <w:spacing w:after="0" w:line="125" w:lineRule="exact"/>
        <w:rPr>
          <w:sz w:val="20"/>
          <w:szCs w:val="20"/>
          <w:color w:val="auto"/>
        </w:rPr>
      </w:pPr>
    </w:p>
    <w:p>
      <w:pPr>
        <w:ind w:left="1640" w:right="2499" w:hanging="292"/>
        <w:spacing w:after="0" w:line="307" w:lineRule="auto"/>
        <w:tabs>
          <w:tab w:leader="none" w:pos="1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Rule 13a-14 of the Exchange Act, our Chief Executive Officer and Chief Financial Officer must certify the accuracy of the financial statements contained in our periodic reports;</w:t>
      </w:r>
    </w:p>
    <w:p>
      <w:pPr>
        <w:spacing w:after="0" w:line="90" w:lineRule="exact"/>
        <w:rPr>
          <w:rFonts w:ascii="Arial" w:cs="Arial" w:eastAsia="Arial" w:hAnsi="Arial"/>
          <w:sz w:val="14"/>
          <w:szCs w:val="14"/>
          <w:color w:val="auto"/>
        </w:rPr>
      </w:pPr>
    </w:p>
    <w:p>
      <w:pPr>
        <w:ind w:left="1640" w:right="2579" w:hanging="292"/>
        <w:spacing w:after="0" w:line="270" w:lineRule="auto"/>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pursuant to Item 307 of Regulation S-K, our periodic reports must disclose our conclusions about the effectiveness of our disclosure controls and procedures;</w:t>
      </w:r>
    </w:p>
    <w:p>
      <w:pPr>
        <w:spacing w:after="0" w:line="114" w:lineRule="exact"/>
        <w:rPr>
          <w:rFonts w:ascii="Arial" w:cs="Arial" w:eastAsia="Arial" w:hAnsi="Arial"/>
          <w:sz w:val="15"/>
          <w:szCs w:val="15"/>
          <w:color w:val="auto"/>
        </w:rPr>
      </w:pPr>
    </w:p>
    <w:p>
      <w:pPr>
        <w:ind w:left="1640" w:right="2419" w:hanging="292"/>
        <w:spacing w:after="0" w:line="255" w:lineRule="auto"/>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pursuant to Rule 13a-15 of the Exchange Act, our management must prepare an annual report regarding its assessment of our internal control over financial reporting and must obtain an audit of the effectiveness of internal control over financial reporting performed by our independent registered public accounting firm; and</w:t>
      </w:r>
    </w:p>
    <w:p>
      <w:pPr>
        <w:spacing w:after="0" w:line="137" w:lineRule="exact"/>
        <w:rPr>
          <w:rFonts w:ascii="Arial" w:cs="Arial" w:eastAsia="Arial" w:hAnsi="Arial"/>
          <w:sz w:val="15"/>
          <w:szCs w:val="15"/>
          <w:color w:val="auto"/>
        </w:rPr>
      </w:pPr>
    </w:p>
    <w:p>
      <w:pPr>
        <w:ind w:left="1640" w:right="2479" w:hanging="292"/>
        <w:spacing w:after="0" w:line="307" w:lineRule="auto"/>
        <w:tabs>
          <w:tab w:leader="none" w:pos="1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7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9" w:name="page20"/>
    <w:bookmarkEnd w:id="1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firstLine="297"/>
        <w:spacing w:after="0" w:line="255" w:lineRule="auto"/>
        <w:rPr>
          <w:sz w:val="20"/>
          <w:szCs w:val="20"/>
          <w:color w:val="auto"/>
        </w:rPr>
      </w:pPr>
      <w:r>
        <w:rPr>
          <w:rFonts w:ascii="Arial" w:cs="Arial" w:eastAsia="Arial" w:hAnsi="Arial"/>
          <w:sz w:val="15"/>
          <w:szCs w:val="15"/>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70" w:lineRule="exact"/>
        <w:rPr>
          <w:sz w:val="20"/>
          <w:szCs w:val="20"/>
          <w:color w:val="auto"/>
        </w:rPr>
      </w:pPr>
    </w:p>
    <w:p>
      <w:pPr>
        <w:ind w:left="1060" w:right="2439" w:firstLine="297"/>
        <w:spacing w:after="0" w:line="255" w:lineRule="auto"/>
        <w:rPr>
          <w:sz w:val="20"/>
          <w:szCs w:val="20"/>
          <w:color w:val="auto"/>
        </w:rPr>
      </w:pPr>
      <w:r>
        <w:rPr>
          <w:rFonts w:ascii="Arial" w:cs="Arial" w:eastAsia="Arial" w:hAnsi="Arial"/>
          <w:sz w:val="15"/>
          <w:szCs w:val="15"/>
          <w:color w:val="auto"/>
        </w:rPr>
        <w:t>In addition, the Nasdaq Capital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Proxy Voting Policies and Procedures</w:t>
      </w:r>
    </w:p>
    <w:p>
      <w:pPr>
        <w:spacing w:after="0" w:line="88" w:lineRule="exact"/>
        <w:rPr>
          <w:sz w:val="20"/>
          <w:szCs w:val="20"/>
          <w:color w:val="auto"/>
        </w:rPr>
      </w:pPr>
    </w:p>
    <w:p>
      <w:pPr>
        <w:ind w:left="1060" w:right="2539" w:firstLine="297"/>
        <w:spacing w:after="0" w:line="254" w:lineRule="auto"/>
        <w:rPr>
          <w:sz w:val="20"/>
          <w:szCs w:val="20"/>
          <w:color w:val="auto"/>
        </w:rPr>
      </w:pPr>
      <w:r>
        <w:rPr>
          <w:rFonts w:ascii="Arial" w:cs="Arial" w:eastAsia="Arial" w:hAnsi="Arial"/>
          <w:sz w:val="15"/>
          <w:szCs w:val="15"/>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 to GSV Asset Management.</w:t>
      </w:r>
    </w:p>
    <w:p>
      <w:pPr>
        <w:spacing w:after="0" w:line="147" w:lineRule="exact"/>
        <w:rPr>
          <w:sz w:val="20"/>
          <w:szCs w:val="20"/>
          <w:color w:val="auto"/>
        </w:rPr>
      </w:pPr>
    </w:p>
    <w:p>
      <w:pPr>
        <w:ind w:left="1340"/>
        <w:spacing w:after="0"/>
        <w:rPr>
          <w:sz w:val="20"/>
          <w:szCs w:val="20"/>
          <w:color w:val="auto"/>
        </w:rPr>
      </w:pPr>
      <w:r>
        <w:rPr>
          <w:rFonts w:ascii="Arial" w:cs="Arial" w:eastAsia="Arial" w:hAnsi="Arial"/>
          <w:sz w:val="15"/>
          <w:szCs w:val="15"/>
          <w:i w:val="1"/>
          <w:iCs w:val="1"/>
          <w:color w:val="auto"/>
        </w:rPr>
        <w:t>Introduction</w:t>
      </w:r>
    </w:p>
    <w:p>
      <w:pPr>
        <w:spacing w:after="0" w:line="84" w:lineRule="exact"/>
        <w:rPr>
          <w:sz w:val="20"/>
          <w:szCs w:val="20"/>
          <w:color w:val="auto"/>
        </w:rPr>
      </w:pPr>
    </w:p>
    <w:p>
      <w:pPr>
        <w:ind w:left="1060" w:right="2419" w:firstLine="297"/>
        <w:spacing w:after="0" w:line="276" w:lineRule="auto"/>
        <w:rPr>
          <w:sz w:val="20"/>
          <w:szCs w:val="20"/>
          <w:color w:val="auto"/>
        </w:rPr>
      </w:pPr>
      <w:r>
        <w:rPr>
          <w:rFonts w:ascii="Arial" w:cs="Arial" w:eastAsia="Arial" w:hAnsi="Arial"/>
          <w:sz w:val="14"/>
          <w:szCs w:val="14"/>
          <w:color w:val="auto"/>
        </w:rPr>
        <w:t>An investment adviser registered under the Advisers Act has a fiduciary duty to act in the best interests of its clients, without regard to the investment adviser’s financial or other interest. As part of this duty, we recognize that we must vote client securities in a timely manner, free of actual or apparent conflicts of interest and in the best interests of our clients (or, where the client is a pooled investment vehicle or other similar entity, the client’s equity interest holders (“stockholders”), viewed as a group rather than individually).</w:t>
      </w:r>
    </w:p>
    <w:p>
      <w:pPr>
        <w:spacing w:after="0" w:line="56" w:lineRule="exact"/>
        <w:rPr>
          <w:sz w:val="20"/>
          <w:szCs w:val="20"/>
          <w:color w:val="auto"/>
        </w:rPr>
      </w:pPr>
    </w:p>
    <w:p>
      <w:pPr>
        <w:ind w:left="1060" w:right="2479" w:firstLine="297"/>
        <w:spacing w:after="0" w:line="270" w:lineRule="auto"/>
        <w:rPr>
          <w:sz w:val="20"/>
          <w:szCs w:val="20"/>
          <w:color w:val="auto"/>
        </w:rPr>
      </w:pPr>
      <w:r>
        <w:rPr>
          <w:rFonts w:ascii="Arial" w:cs="Arial" w:eastAsia="Arial" w:hAnsi="Arial"/>
          <w:sz w:val="15"/>
          <w:szCs w:val="15"/>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1340"/>
        <w:spacing w:after="0"/>
        <w:rPr>
          <w:sz w:val="20"/>
          <w:szCs w:val="20"/>
          <w:color w:val="auto"/>
        </w:rPr>
      </w:pPr>
      <w:r>
        <w:rPr>
          <w:rFonts w:ascii="Arial" w:cs="Arial" w:eastAsia="Arial" w:hAnsi="Arial"/>
          <w:sz w:val="15"/>
          <w:szCs w:val="15"/>
          <w:i w:val="1"/>
          <w:iCs w:val="1"/>
          <w:color w:val="auto"/>
        </w:rPr>
        <w:t>Proxy Policies</w:t>
      </w:r>
    </w:p>
    <w:p>
      <w:pPr>
        <w:spacing w:after="0" w:line="84" w:lineRule="exact"/>
        <w:rPr>
          <w:sz w:val="20"/>
          <w:szCs w:val="20"/>
          <w:color w:val="auto"/>
        </w:rPr>
      </w:pPr>
    </w:p>
    <w:p>
      <w:pPr>
        <w:ind w:left="1060" w:right="2439" w:firstLine="297"/>
        <w:spacing w:after="0" w:line="276" w:lineRule="auto"/>
        <w:rPr>
          <w:sz w:val="20"/>
          <w:szCs w:val="20"/>
          <w:color w:val="auto"/>
        </w:rPr>
      </w:pPr>
      <w:r>
        <w:rPr>
          <w:rFonts w:ascii="Arial" w:cs="Arial" w:eastAsia="Arial" w:hAnsi="Arial"/>
          <w:sz w:val="14"/>
          <w:szCs w:val="14"/>
          <w:color w:val="auto"/>
        </w:rPr>
        <w:t>We will vote proxies relating to portfolio securities in what we perceive to be the best interests of our clients or, as applicable, their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are compelling long-term reasons to do so.</w:t>
      </w:r>
    </w:p>
    <w:p>
      <w:pPr>
        <w:spacing w:after="0" w:line="56" w:lineRule="exact"/>
        <w:rPr>
          <w:sz w:val="20"/>
          <w:szCs w:val="20"/>
          <w:color w:val="auto"/>
        </w:rPr>
      </w:pPr>
    </w:p>
    <w:p>
      <w:pPr>
        <w:ind w:left="1060" w:right="2419" w:firstLine="297"/>
        <w:spacing w:after="0" w:line="290" w:lineRule="auto"/>
        <w:rPr>
          <w:sz w:val="20"/>
          <w:szCs w:val="20"/>
          <w:color w:val="auto"/>
        </w:rPr>
      </w:pPr>
      <w:r>
        <w:rPr>
          <w:rFonts w:ascii="Arial" w:cs="Arial" w:eastAsia="Arial" w:hAnsi="Arial"/>
          <w:sz w:val="13"/>
          <w:szCs w:val="13"/>
          <w:color w:val="auto"/>
        </w:rPr>
        <w:t>Our proxy voting decisions are made by the senior officers who are responsible for monitoring the relevant client’s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w:t>
      </w:r>
    </w:p>
    <w:p>
      <w:pPr>
        <w:spacing w:after="0" w:line="2" w:lineRule="exact"/>
        <w:rPr>
          <w:sz w:val="20"/>
          <w:szCs w:val="20"/>
          <w:color w:val="auto"/>
        </w:rPr>
      </w:pPr>
    </w:p>
    <w:p>
      <w:pPr>
        <w:ind w:left="1060" w:right="2479" w:hanging="9"/>
        <w:spacing w:after="0" w:line="252" w:lineRule="auto"/>
        <w:tabs>
          <w:tab w:leader="none" w:pos="1271" w:val="left"/>
        </w:tabs>
        <w:numPr>
          <w:ilvl w:val="0"/>
          <w:numId w:val="17"/>
        </w:numPr>
        <w:rPr>
          <w:rFonts w:ascii="Arial" w:cs="Arial" w:eastAsia="Arial" w:hAnsi="Arial"/>
          <w:sz w:val="15"/>
          <w:szCs w:val="15"/>
          <w:color w:val="auto"/>
        </w:rPr>
      </w:pPr>
      <w:r>
        <w:rPr>
          <w:rFonts w:ascii="Arial" w:cs="Arial" w:eastAsia="Arial" w:hAnsi="Arial"/>
          <w:sz w:val="15"/>
          <w:szCs w:val="15"/>
          <w:color w:val="auto"/>
        </w:rPr>
        <w:t>employees involved in the decision-making process or vote administration are prohibited from revealing how we intend to vote on a proposal without the prior approval of the Chief Compliance Officer and senior management in order to reduce any attempted influence from interested parties.</w:t>
      </w:r>
    </w:p>
    <w:p>
      <w:pPr>
        <w:spacing w:after="0" w:line="150" w:lineRule="exact"/>
        <w:rPr>
          <w:sz w:val="20"/>
          <w:szCs w:val="20"/>
          <w:color w:val="auto"/>
        </w:rPr>
      </w:pPr>
    </w:p>
    <w:p>
      <w:pPr>
        <w:ind w:left="1340"/>
        <w:spacing w:after="0"/>
        <w:rPr>
          <w:sz w:val="20"/>
          <w:szCs w:val="20"/>
          <w:color w:val="auto"/>
        </w:rPr>
      </w:pPr>
      <w:r>
        <w:rPr>
          <w:rFonts w:ascii="Arial" w:cs="Arial" w:eastAsia="Arial" w:hAnsi="Arial"/>
          <w:sz w:val="15"/>
          <w:szCs w:val="15"/>
          <w:i w:val="1"/>
          <w:iCs w:val="1"/>
          <w:color w:val="auto"/>
        </w:rPr>
        <w:t>Proxy Voting Records</w:t>
      </w:r>
    </w:p>
    <w:p>
      <w:pPr>
        <w:spacing w:after="0" w:line="84" w:lineRule="exact"/>
        <w:rPr>
          <w:sz w:val="20"/>
          <w:szCs w:val="20"/>
          <w:color w:val="auto"/>
        </w:rPr>
      </w:pPr>
    </w:p>
    <w:p>
      <w:pPr>
        <w:ind w:left="1060" w:right="2419" w:firstLine="297"/>
        <w:spacing w:after="0" w:line="259" w:lineRule="auto"/>
        <w:rPr>
          <w:sz w:val="20"/>
          <w:szCs w:val="20"/>
          <w:color w:val="auto"/>
        </w:rPr>
      </w:pPr>
      <w:r>
        <w:rPr>
          <w:rFonts w:ascii="Arial" w:cs="Arial" w:eastAsia="Arial" w:hAnsi="Arial"/>
          <w:sz w:val="15"/>
          <w:szCs w:val="15"/>
          <w:color w:val="auto"/>
        </w:rPr>
        <w:t>You may obtain information about how we voted proxies with respect to our portfolio securities by making a written request for proxy voting information to: Chief Compliance Officer, GSV Asset Management, 2925 Woodside Road, Woodside, CA 94062 or compliance@gsvam.com.</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Privacy Principles</w:t>
      </w:r>
    </w:p>
    <w:p>
      <w:pPr>
        <w:spacing w:after="0" w:line="88" w:lineRule="exact"/>
        <w:rPr>
          <w:sz w:val="20"/>
          <w:szCs w:val="20"/>
          <w:color w:val="auto"/>
        </w:rPr>
      </w:pPr>
    </w:p>
    <w:p>
      <w:pPr>
        <w:ind w:left="1060" w:right="2419" w:firstLine="297"/>
        <w:spacing w:after="0" w:line="255" w:lineRule="auto"/>
        <w:rPr>
          <w:sz w:val="20"/>
          <w:szCs w:val="20"/>
          <w:color w:val="auto"/>
        </w:rPr>
      </w:pPr>
      <w:r>
        <w:rPr>
          <w:rFonts w:ascii="Arial" w:cs="Arial" w:eastAsia="Arial" w:hAnsi="Arial"/>
          <w:sz w:val="15"/>
          <w:szCs w:val="15"/>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21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0" w:name="page21"/>
    <w:bookmarkEnd w:id="2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39" w:firstLine="297"/>
        <w:spacing w:after="0" w:line="254" w:lineRule="auto"/>
        <w:rPr>
          <w:sz w:val="20"/>
          <w:szCs w:val="20"/>
          <w:color w:val="auto"/>
        </w:rPr>
      </w:pPr>
      <w:r>
        <w:rPr>
          <w:rFonts w:ascii="Arial" w:cs="Arial" w:eastAsia="Arial" w:hAnsi="Arial"/>
          <w:sz w:val="15"/>
          <w:szCs w:val="15"/>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69" w:lineRule="exact"/>
        <w:rPr>
          <w:sz w:val="20"/>
          <w:szCs w:val="20"/>
          <w:color w:val="auto"/>
        </w:rPr>
      </w:pPr>
    </w:p>
    <w:p>
      <w:pPr>
        <w:ind w:left="1060" w:right="2439" w:firstLine="297"/>
        <w:spacing w:after="0" w:line="317" w:lineRule="auto"/>
        <w:rPr>
          <w:sz w:val="20"/>
          <w:szCs w:val="20"/>
          <w:color w:val="auto"/>
        </w:rPr>
      </w:pPr>
      <w:r>
        <w:rPr>
          <w:rFonts w:ascii="Arial" w:cs="Arial" w:eastAsia="Arial" w:hAnsi="Arial"/>
          <w:sz w:val="13"/>
          <w:szCs w:val="13"/>
          <w:color w:val="auto"/>
        </w:rPr>
        <w:t>We restrict access to non-public personal information about our stockholders to employees of GSV Asset Management and its affiliates with a legitimate business need for the information. We maintain physical, electronic and procedural safeguards designed to protect the non-public personal information of our stockholders.</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Available Information</w:t>
      </w:r>
    </w:p>
    <w:p>
      <w:pPr>
        <w:spacing w:after="0" w:line="88" w:lineRule="exact"/>
        <w:rPr>
          <w:sz w:val="20"/>
          <w:szCs w:val="20"/>
          <w:color w:val="auto"/>
        </w:rPr>
      </w:pPr>
    </w:p>
    <w:p>
      <w:pPr>
        <w:ind w:left="1060" w:right="2439" w:firstLine="297"/>
        <w:spacing w:after="0" w:line="254" w:lineRule="auto"/>
        <w:rPr>
          <w:sz w:val="20"/>
          <w:szCs w:val="20"/>
          <w:color w:val="auto"/>
        </w:rPr>
      </w:pPr>
      <w:r>
        <w:rPr>
          <w:rFonts w:ascii="Arial" w:cs="Arial" w:eastAsia="Arial" w:hAnsi="Arial"/>
          <w:sz w:val="15"/>
          <w:szCs w:val="15"/>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69" w:lineRule="exact"/>
        <w:rPr>
          <w:sz w:val="20"/>
          <w:szCs w:val="20"/>
          <w:color w:val="auto"/>
        </w:rPr>
      </w:pPr>
    </w:p>
    <w:p>
      <w:pPr>
        <w:ind w:left="1060" w:right="2459" w:firstLine="297"/>
        <w:spacing w:after="0" w:line="276" w:lineRule="auto"/>
        <w:rPr>
          <w:sz w:val="20"/>
          <w:szCs w:val="20"/>
          <w:color w:val="auto"/>
        </w:rPr>
      </w:pPr>
      <w:r>
        <w:rPr>
          <w:rFonts w:ascii="Arial" w:cs="Arial" w:eastAsia="Arial" w:hAnsi="Arial"/>
          <w:sz w:val="14"/>
          <w:szCs w:val="14"/>
          <w:color w:val="auto"/>
        </w:rPr>
        <w:t xml:space="preserve">Our internet address is </w:t>
      </w:r>
      <w:r>
        <w:rPr>
          <w:rFonts w:ascii="Arial" w:cs="Arial" w:eastAsia="Arial" w:hAnsi="Arial"/>
          <w:sz w:val="14"/>
          <w:szCs w:val="14"/>
          <w:i w:val="1"/>
          <w:iCs w:val="1"/>
          <w:color w:val="auto"/>
        </w:rPr>
        <w:t>www.gsvcap.com</w:t>
      </w:r>
      <w:r>
        <w:rPr>
          <w:rFonts w:ascii="Arial" w:cs="Arial" w:eastAsia="Arial" w:hAnsi="Arial"/>
          <w:sz w:val="14"/>
          <w:szCs w:val="14"/>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on our website is not incorporated by reference into this annual report on Form 10-K unless specifically so incorporated by reference herein.</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88" w:lineRule="exact"/>
        <w:rPr>
          <w:sz w:val="20"/>
          <w:szCs w:val="20"/>
          <w:color w:val="auto"/>
        </w:rPr>
      </w:pPr>
    </w:p>
    <w:p>
      <w:pPr>
        <w:ind w:left="1060" w:right="2439" w:firstLine="297"/>
        <w:spacing w:after="0" w:line="297" w:lineRule="auto"/>
        <w:rPr>
          <w:sz w:val="20"/>
          <w:szCs w:val="20"/>
          <w:color w:val="auto"/>
        </w:rPr>
      </w:pPr>
      <w:r>
        <w:rPr>
          <w:rFonts w:ascii="Arial" w:cs="Arial" w:eastAsia="Arial" w:hAnsi="Arial"/>
          <w:sz w:val="13"/>
          <w:szCs w:val="13"/>
          <w:color w:val="auto"/>
        </w:rPr>
        <w:t>Included in our consolidated financial statements, the following wholly-owned subsidiaries are taxable subsidiaries (collectively, the “GSVC Holdings”), regardless of whether we qualify for tax treatment as a RIC: GSVC AE Holdings, Inc., GSVC AV Holdings, Inc., GSVC NG Holdings, Inc., GSVC SW Holdings, Inc., GSVC WS Holdings, Inc., and GSVC SVDS Holdings, Inc. The GSVC Holdings are C corporations for U.S. federal and state income tax purposes.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44"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Election to be Taxed as a RIC</w:t>
      </w:r>
    </w:p>
    <w:p>
      <w:pPr>
        <w:spacing w:after="0" w:line="84" w:lineRule="exact"/>
        <w:rPr>
          <w:sz w:val="20"/>
          <w:szCs w:val="20"/>
          <w:color w:val="auto"/>
        </w:rPr>
      </w:pPr>
    </w:p>
    <w:p>
      <w:pPr>
        <w:ind w:left="1060" w:right="2399" w:firstLine="297"/>
        <w:spacing w:after="0" w:line="273" w:lineRule="auto"/>
        <w:rPr>
          <w:sz w:val="20"/>
          <w:szCs w:val="20"/>
          <w:color w:val="auto"/>
        </w:rPr>
      </w:pPr>
      <w:r>
        <w:rPr>
          <w:rFonts w:ascii="Arial" w:cs="Arial" w:eastAsia="Arial" w:hAnsi="Arial"/>
          <w:sz w:val="14"/>
          <w:szCs w:val="14"/>
          <w:color w:val="auto"/>
        </w:rPr>
        <w:t>We elected to be treated as a RIC under the Code beginning with our taxable year ended December 31, 2014, have qualified to be treated as a RIC for the subsequent taxable years and expect to continue to operate in a manner so as to qualify for the tax treatment applicable to RICs. So long as we qualify for and maintain our tax treatment as a RIC, we generally will not pay corporate-level U.S. federal and state income taxes on any ordinary income or capital gains that we distribute at least annually to our stockholders as dividends. Rather, any tax liability related to income earned by us as a RIC will represent obligations of our investors and will not be reflected in our consolidated financial statements.</w:t>
      </w:r>
    </w:p>
    <w:p>
      <w:pPr>
        <w:spacing w:after="0" w:line="57" w:lineRule="exact"/>
        <w:rPr>
          <w:sz w:val="20"/>
          <w:szCs w:val="20"/>
          <w:color w:val="auto"/>
        </w:rPr>
      </w:pPr>
    </w:p>
    <w:p>
      <w:pPr>
        <w:ind w:left="1060" w:right="2419" w:firstLine="297"/>
        <w:spacing w:after="0" w:line="286" w:lineRule="auto"/>
        <w:rPr>
          <w:sz w:val="20"/>
          <w:szCs w:val="20"/>
          <w:color w:val="auto"/>
        </w:rPr>
      </w:pPr>
      <w:r>
        <w:rPr>
          <w:rFonts w:ascii="Arial" w:cs="Arial" w:eastAsia="Arial" w:hAnsi="Arial"/>
          <w:sz w:val="14"/>
          <w:szCs w:val="14"/>
          <w:color w:val="auto"/>
        </w:rPr>
        <w:t>We were taxed as a C corporation for the fiscal years ended December 31, 2012 and 2013. As a result of converting from a C corporation to a RIC, we are required to pay a corporate-level U.S. federal income tax on the net amount of the net built-in gains, if any, in our assets (i.e., the amount by which the net fair</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1" w:name="page22"/>
    <w:bookmarkEnd w:id="2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3059"/>
        <w:spacing w:after="0" w:line="259" w:lineRule="auto"/>
        <w:rPr>
          <w:sz w:val="20"/>
          <w:szCs w:val="20"/>
          <w:color w:val="auto"/>
        </w:rPr>
      </w:pPr>
      <w:r>
        <w:rPr>
          <w:rFonts w:ascii="Arial" w:cs="Arial" w:eastAsia="Arial" w:hAnsi="Arial"/>
          <w:sz w:val="15"/>
          <w:szCs w:val="15"/>
          <w:color w:val="auto"/>
        </w:rPr>
        <w:t>market value of our assets exceeds our net adjusted basis in our assets) as of the date of conversion (i.e., January 1, 2014) to the extent that such gains are recognized by us during the applicable five-year recognition period, which began on the date of conversion.</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Taxation as Regulated Investment Company</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If we:</w:t>
      </w:r>
    </w:p>
    <w:p>
      <w:pPr>
        <w:spacing w:after="0" w:line="118" w:lineRule="exact"/>
        <w:rPr>
          <w:sz w:val="20"/>
          <w:szCs w:val="20"/>
          <w:color w:val="auto"/>
        </w:rPr>
      </w:pPr>
    </w:p>
    <w:p>
      <w:pPr>
        <w:ind w:left="1640" w:hanging="292"/>
        <w:spacing w:after="0"/>
        <w:tabs>
          <w:tab w:leader="none" w:pos="1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qualify as a RIC; and</w:t>
      </w:r>
    </w:p>
    <w:p>
      <w:pPr>
        <w:spacing w:after="0" w:line="117" w:lineRule="exact"/>
        <w:rPr>
          <w:rFonts w:ascii="Arial" w:cs="Arial" w:eastAsia="Arial" w:hAnsi="Arial"/>
          <w:sz w:val="15"/>
          <w:szCs w:val="15"/>
          <w:color w:val="auto"/>
        </w:rPr>
      </w:pPr>
    </w:p>
    <w:p>
      <w:pPr>
        <w:ind w:left="1640" w:hanging="292"/>
        <w:spacing w:after="0"/>
        <w:tabs>
          <w:tab w:leader="none" w:pos="1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satisfy the Annual Distribution Requirement,</w:t>
      </w:r>
    </w:p>
    <w:p>
      <w:pPr>
        <w:spacing w:after="0" w:line="95" w:lineRule="exact"/>
        <w:rPr>
          <w:sz w:val="20"/>
          <w:szCs w:val="20"/>
          <w:color w:val="auto"/>
        </w:rPr>
      </w:pPr>
    </w:p>
    <w:p>
      <w:pPr>
        <w:jc w:val="both"/>
        <w:ind w:left="1060" w:right="2519"/>
        <w:spacing w:after="0" w:line="286" w:lineRule="auto"/>
        <w:rPr>
          <w:sz w:val="20"/>
          <w:szCs w:val="20"/>
          <w:color w:val="auto"/>
        </w:rPr>
      </w:pPr>
      <w:r>
        <w:rPr>
          <w:rFonts w:ascii="Arial" w:cs="Arial" w:eastAsia="Arial" w:hAnsi="Arial"/>
          <w:sz w:val="14"/>
          <w:szCs w:val="14"/>
          <w:color w:val="auto"/>
        </w:rPr>
        <w:t>then we will not be subject to U.S. federal income tax on the portion of our income we distribute (or are deemed to distribute) to stockholders. We will be subject to U.S. federal income tax at the regular corporate rates on any income, including capital gains not distributed (or deemed distributed) to our stockholders.</w:t>
      </w:r>
    </w:p>
    <w:p>
      <w:pPr>
        <w:spacing w:after="0" w:line="49" w:lineRule="exact"/>
        <w:rPr>
          <w:sz w:val="20"/>
          <w:szCs w:val="20"/>
          <w:color w:val="auto"/>
        </w:rPr>
      </w:pPr>
    </w:p>
    <w:p>
      <w:pPr>
        <w:ind w:left="1060" w:right="2439" w:firstLine="297"/>
        <w:spacing w:after="0" w:line="252" w:lineRule="auto"/>
        <w:rPr>
          <w:sz w:val="20"/>
          <w:szCs w:val="20"/>
          <w:color w:val="auto"/>
        </w:rPr>
      </w:pPr>
      <w:r>
        <w:rPr>
          <w:rFonts w:ascii="Arial" w:cs="Arial" w:eastAsia="Arial" w:hAnsi="Arial"/>
          <w:sz w:val="15"/>
          <w:szCs w:val="15"/>
          <w:color w:val="auto"/>
        </w:rPr>
        <w:t>We will be subject to a 4% nondeductible U.S. federal excise tax on certain undistributed income unless we distribute in a timely manner an amount at least equal to the sum of (1) 98% of our net ordinary income for each calendar year, (2) 98.2% of our capital gains in excess of capital losses for the one-year period ending October 31 in that calendar year and (3) any ordinary income and net capital gains for preceding years that were not distributed during such preceding years (the “Excise Tax Avoidance Requirement”). We generally will endeavor in each year to make sufficient distributions to our stockholders to avoid any U.S. federal excise tax on our earnings.</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In order to qualify as a RIC for U.S. federal income tax purposes, we must, among other things:</w:t>
      </w:r>
    </w:p>
    <w:p>
      <w:pPr>
        <w:spacing w:after="0" w:line="118" w:lineRule="exact"/>
        <w:rPr>
          <w:sz w:val="20"/>
          <w:szCs w:val="20"/>
          <w:color w:val="auto"/>
        </w:rPr>
      </w:pPr>
    </w:p>
    <w:p>
      <w:pPr>
        <w:ind w:left="1640" w:right="2479" w:hanging="292"/>
        <w:spacing w:after="0" w:line="270" w:lineRule="auto"/>
        <w:tabs>
          <w:tab w:leader="none" w:pos="16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have in effect an election to be regulated as a business development company under the 1940 Act at all times during each taxable year;</w:t>
      </w:r>
    </w:p>
    <w:p>
      <w:pPr>
        <w:spacing w:after="0" w:line="80" w:lineRule="exact"/>
        <w:rPr>
          <w:rFonts w:ascii="Arial" w:cs="Arial" w:eastAsia="Arial" w:hAnsi="Arial"/>
          <w:sz w:val="15"/>
          <w:szCs w:val="15"/>
          <w:color w:val="auto"/>
        </w:rPr>
      </w:pPr>
    </w:p>
    <w:p>
      <w:pPr>
        <w:ind w:left="1640" w:right="2579" w:hanging="292"/>
        <w:spacing w:after="0" w:line="307" w:lineRule="auto"/>
        <w:tabs>
          <w:tab w:leader="none" w:pos="1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w:t>
      </w:r>
    </w:p>
    <w:p>
      <w:pPr>
        <w:spacing w:after="0" w:line="60" w:lineRule="exact"/>
        <w:rPr>
          <w:rFonts w:ascii="Arial" w:cs="Arial" w:eastAsia="Arial" w:hAnsi="Arial"/>
          <w:sz w:val="13"/>
          <w:szCs w:val="13"/>
          <w:color w:val="auto"/>
        </w:rPr>
      </w:pPr>
    </w:p>
    <w:p>
      <w:pPr>
        <w:ind w:left="1640" w:right="2459" w:hanging="292"/>
        <w:spacing w:after="0" w:line="317" w:lineRule="auto"/>
        <w:tabs>
          <w:tab w:leader="none" w:pos="1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distribute to our stockholders on a timely basis each year at least 90% of “investment company taxable income,” which is generally our net ordinary income plus the excess of realized net short-term capital gains over realized net long-term capital losses (the “Annual Distribution Requirement”). and</w:t>
      </w:r>
    </w:p>
    <w:p>
      <w:pPr>
        <w:spacing w:after="0" w:line="54" w:lineRule="exact"/>
        <w:rPr>
          <w:rFonts w:ascii="Arial" w:cs="Arial" w:eastAsia="Arial" w:hAnsi="Arial"/>
          <w:sz w:val="13"/>
          <w:szCs w:val="13"/>
          <w:color w:val="auto"/>
        </w:rPr>
      </w:pPr>
    </w:p>
    <w:p>
      <w:pPr>
        <w:ind w:left="1640" w:hanging="292"/>
        <w:spacing w:after="0"/>
        <w:tabs>
          <w:tab w:leader="none" w:pos="16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diversify our holdings so that at the end of each quarter of the taxable year:</w:t>
      </w:r>
    </w:p>
    <w:p>
      <w:pPr>
        <w:spacing w:after="0" w:line="117" w:lineRule="exact"/>
        <w:rPr>
          <w:rFonts w:ascii="Arial" w:cs="Arial" w:eastAsia="Arial" w:hAnsi="Arial"/>
          <w:sz w:val="15"/>
          <w:szCs w:val="15"/>
          <w:color w:val="auto"/>
        </w:rPr>
      </w:pPr>
    </w:p>
    <w:p>
      <w:pPr>
        <w:ind w:left="1940" w:right="2599" w:hanging="294"/>
        <w:spacing w:after="0" w:line="279" w:lineRule="auto"/>
        <w:tabs>
          <w:tab w:leader="none" w:pos="19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77" w:lineRule="exact"/>
        <w:rPr>
          <w:rFonts w:ascii="Arial" w:cs="Arial" w:eastAsia="Arial" w:hAnsi="Arial"/>
          <w:sz w:val="14"/>
          <w:szCs w:val="14"/>
          <w:color w:val="auto"/>
        </w:rPr>
      </w:pPr>
    </w:p>
    <w:p>
      <w:pPr>
        <w:ind w:left="1940" w:right="2559" w:hanging="294"/>
        <w:spacing w:after="0" w:line="252" w:lineRule="auto"/>
        <w:tabs>
          <w:tab w:leader="none" w:pos="1940" w:val="left"/>
        </w:tabs>
        <w:numPr>
          <w:ilvl w:val="1"/>
          <w:numId w:val="19"/>
        </w:numPr>
        <w:rPr>
          <w:rFonts w:ascii="Arial" w:cs="Arial" w:eastAsia="Arial" w:hAnsi="Arial"/>
          <w:sz w:val="15"/>
          <w:szCs w:val="15"/>
          <w:color w:val="auto"/>
        </w:rPr>
      </w:pPr>
      <w:r>
        <w:rPr>
          <w:rFonts w:ascii="Arial" w:cs="Arial" w:eastAsia="Arial" w:hAnsi="Arial"/>
          <w:sz w:val="15"/>
          <w:szCs w:val="15"/>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“25% Diversification Test,” and together with the 50% Diversification Test, the “Diversification Tests”).</w:t>
      </w:r>
    </w:p>
    <w:p>
      <w:pPr>
        <w:spacing w:after="0" w:line="74" w:lineRule="exact"/>
        <w:rPr>
          <w:sz w:val="20"/>
          <w:szCs w:val="20"/>
          <w:color w:val="auto"/>
        </w:rPr>
      </w:pPr>
    </w:p>
    <w:p>
      <w:pPr>
        <w:jc w:val="both"/>
        <w:ind w:left="1060" w:right="2459" w:firstLine="297"/>
        <w:spacing w:after="0" w:line="291" w:lineRule="auto"/>
        <w:rPr>
          <w:sz w:val="20"/>
          <w:szCs w:val="20"/>
          <w:color w:val="auto"/>
        </w:rPr>
      </w:pPr>
      <w:r>
        <w:rPr>
          <w:rFonts w:ascii="Arial" w:cs="Arial" w:eastAsia="Arial" w:hAnsi="Arial"/>
          <w:sz w:val="13"/>
          <w:szCs w:val="13"/>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w:t>
      </w:r>
    </w:p>
    <w:p>
      <w:pPr>
        <w:spacing w:after="0" w:line="2" w:lineRule="exact"/>
        <w:rPr>
          <w:sz w:val="20"/>
          <w:szCs w:val="20"/>
          <w:color w:val="auto"/>
        </w:rPr>
      </w:pPr>
    </w:p>
    <w:p>
      <w:pPr>
        <w:ind w:left="1060" w:right="2419"/>
        <w:spacing w:after="0" w:line="274" w:lineRule="auto"/>
        <w:rPr>
          <w:sz w:val="20"/>
          <w:szCs w:val="20"/>
          <w:color w:val="auto"/>
        </w:rPr>
      </w:pPr>
      <w:r>
        <w:rPr>
          <w:rFonts w:ascii="Arial" w:cs="Arial" w:eastAsia="Arial" w:hAnsi="Arial"/>
          <w:sz w:val="14"/>
          <w:szCs w:val="14"/>
          <w:color w:val="auto"/>
        </w:rPr>
        <w:t>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w:t>
      </w:r>
    </w:p>
    <w:p>
      <w:pPr>
        <w:spacing w:after="0" w:line="19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2" w:name="page23"/>
    <w:bookmarkEnd w:id="2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19"/>
        <w:spacing w:after="0" w:line="259" w:lineRule="auto"/>
        <w:rPr>
          <w:sz w:val="20"/>
          <w:szCs w:val="20"/>
          <w:color w:val="auto"/>
        </w:rPr>
      </w:pPr>
      <w:r>
        <w:rPr>
          <w:rFonts w:ascii="Arial" w:cs="Arial" w:eastAsia="Arial" w:hAnsi="Arial"/>
          <w:sz w:val="15"/>
          <w:szCs w:val="15"/>
          <w:color w:val="auto"/>
        </w:rPr>
        <w:t>such quarter and, if we eliminate the discrepancy within that thirty-day period, we will be treated as having satisfied the Diversification Tests as of the end of such quarter for purposes of applying the rule described in the preceding sentence, assuming that it is not the first quarter of RIC qualification.</w:t>
      </w:r>
    </w:p>
    <w:p>
      <w:pPr>
        <w:spacing w:after="0" w:line="67" w:lineRule="exact"/>
        <w:rPr>
          <w:sz w:val="20"/>
          <w:szCs w:val="20"/>
          <w:color w:val="auto"/>
        </w:rPr>
      </w:pPr>
    </w:p>
    <w:p>
      <w:pPr>
        <w:ind w:left="1060" w:right="2399" w:firstLine="297"/>
        <w:spacing w:after="0" w:line="271" w:lineRule="auto"/>
        <w:rPr>
          <w:sz w:val="20"/>
          <w:szCs w:val="20"/>
          <w:color w:val="auto"/>
        </w:rPr>
      </w:pPr>
      <w:r>
        <w:rPr>
          <w:rFonts w:ascii="Arial" w:cs="Arial" w:eastAsia="Arial" w:hAnsi="Arial"/>
          <w:sz w:val="14"/>
          <w:szCs w:val="14"/>
          <w:color w:val="auto"/>
        </w:rPr>
        <w:t>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the applicable period, the amount of realized gain (loss), the actual amount of net built-in gain or loss present in those assets as of the date of conversion, and the effective tax rates at such times. The payment of any such corporate-level U.S. federal income tax on built-in gain will be an expense that will reduce the amount available for distribution to our stockholders. The built-in gain tax is calculated by determining a RIC’s net unrealized built-in gains, if any, by which the fair market value of the assets of the RIC at the beginning of the first RIC-year exceeds the aggregate adjusted basis of such assets at that time.</w:t>
      </w:r>
    </w:p>
    <w:p>
      <w:pPr>
        <w:spacing w:after="0" w:line="60"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65" w:lineRule="exact"/>
        <w:rPr>
          <w:sz w:val="20"/>
          <w:szCs w:val="20"/>
          <w:color w:val="auto"/>
        </w:rPr>
      </w:pPr>
    </w:p>
    <w:p>
      <w:pPr>
        <w:ind w:left="1060" w:right="2539" w:firstLine="297"/>
        <w:spacing w:after="0" w:line="272" w:lineRule="auto"/>
        <w:rPr>
          <w:sz w:val="20"/>
          <w:szCs w:val="20"/>
          <w:color w:val="auto"/>
        </w:rPr>
      </w:pPr>
      <w:r>
        <w:rPr>
          <w:rFonts w:ascii="Arial" w:cs="Arial" w:eastAsia="Arial" w:hAnsi="Arial"/>
          <w:sz w:val="14"/>
          <w:szCs w:val="14"/>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58" w:lineRule="exact"/>
        <w:rPr>
          <w:sz w:val="20"/>
          <w:szCs w:val="20"/>
          <w:color w:val="auto"/>
        </w:rPr>
      </w:pPr>
    </w:p>
    <w:p>
      <w:pPr>
        <w:ind w:left="1060" w:right="2419" w:firstLine="297"/>
        <w:spacing w:after="0" w:line="271" w:lineRule="auto"/>
        <w:rPr>
          <w:sz w:val="20"/>
          <w:szCs w:val="20"/>
          <w:color w:val="auto"/>
        </w:rPr>
      </w:pPr>
      <w:r>
        <w:rPr>
          <w:rFonts w:ascii="Arial" w:cs="Arial" w:eastAsia="Arial" w:hAnsi="Arial"/>
          <w:sz w:val="14"/>
          <w:szCs w:val="14"/>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60" w:lineRule="exact"/>
        <w:rPr>
          <w:sz w:val="20"/>
          <w:szCs w:val="20"/>
          <w:color w:val="auto"/>
        </w:rPr>
      </w:pPr>
    </w:p>
    <w:p>
      <w:pPr>
        <w:ind w:left="1060" w:right="2539" w:firstLine="297"/>
        <w:spacing w:after="0" w:line="276" w:lineRule="auto"/>
        <w:rPr>
          <w:sz w:val="20"/>
          <w:szCs w:val="20"/>
          <w:color w:val="auto"/>
        </w:rPr>
      </w:pPr>
      <w:r>
        <w:rPr>
          <w:rFonts w:ascii="Arial" w:cs="Arial" w:eastAsia="Arial" w:hAnsi="Arial"/>
          <w:sz w:val="14"/>
          <w:szCs w:val="14"/>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3" w:name="page24"/>
    <w:bookmarkEnd w:id="2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Failure to Maintain our Qualification as a RIC</w:t>
      </w:r>
    </w:p>
    <w:p>
      <w:pPr>
        <w:spacing w:after="0" w:line="84" w:lineRule="exact"/>
        <w:rPr>
          <w:sz w:val="20"/>
          <w:szCs w:val="20"/>
          <w:color w:val="auto"/>
        </w:rPr>
      </w:pPr>
    </w:p>
    <w:p>
      <w:pPr>
        <w:ind w:left="1060" w:right="2619" w:firstLine="297"/>
        <w:spacing w:after="0" w:line="255" w:lineRule="auto"/>
        <w:rPr>
          <w:sz w:val="20"/>
          <w:szCs w:val="20"/>
          <w:color w:val="auto"/>
        </w:rPr>
      </w:pPr>
      <w:r>
        <w:rPr>
          <w:rFonts w:ascii="Arial" w:cs="Arial" w:eastAsia="Arial" w:hAnsi="Arial"/>
          <w:sz w:val="15"/>
          <w:szCs w:val="15"/>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0" w:lineRule="exact"/>
        <w:rPr>
          <w:sz w:val="20"/>
          <w:szCs w:val="20"/>
          <w:color w:val="auto"/>
        </w:rPr>
      </w:pPr>
    </w:p>
    <w:p>
      <w:pPr>
        <w:ind w:left="1060" w:right="2419" w:firstLine="297"/>
        <w:spacing w:after="0" w:line="290" w:lineRule="auto"/>
        <w:rPr>
          <w:sz w:val="20"/>
          <w:szCs w:val="20"/>
          <w:color w:val="auto"/>
        </w:rPr>
      </w:pPr>
      <w:r>
        <w:rPr>
          <w:rFonts w:ascii="Arial" w:cs="Arial" w:eastAsia="Arial" w:hAnsi="Arial"/>
          <w:sz w:val="13"/>
          <w:szCs w:val="13"/>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56" w:lineRule="exact"/>
        <w:rPr>
          <w:sz w:val="20"/>
          <w:szCs w:val="20"/>
          <w:color w:val="auto"/>
        </w:rPr>
      </w:pPr>
    </w:p>
    <w:p>
      <w:pPr>
        <w:ind w:left="1060" w:right="2499" w:firstLine="297"/>
        <w:spacing w:after="0" w:line="276" w:lineRule="auto"/>
        <w:rPr>
          <w:sz w:val="20"/>
          <w:szCs w:val="20"/>
          <w:color w:val="auto"/>
        </w:rPr>
      </w:pPr>
      <w:r>
        <w:rPr>
          <w:rFonts w:ascii="Arial" w:cs="Arial" w:eastAsia="Arial" w:hAnsi="Arial"/>
          <w:sz w:val="14"/>
          <w:szCs w:val="14"/>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56" w:lineRule="exact"/>
        <w:rPr>
          <w:sz w:val="20"/>
          <w:szCs w:val="20"/>
          <w:color w:val="auto"/>
        </w:rPr>
      </w:pPr>
    </w:p>
    <w:p>
      <w:pPr>
        <w:ind w:left="1060" w:right="2459" w:firstLine="297"/>
        <w:spacing w:after="0" w:line="317" w:lineRule="auto"/>
        <w:rPr>
          <w:sz w:val="20"/>
          <w:szCs w:val="20"/>
          <w:color w:val="auto"/>
        </w:rPr>
      </w:pPr>
      <w:r>
        <w:rPr>
          <w:rFonts w:ascii="Arial" w:cs="Arial" w:eastAsia="Arial" w:hAnsi="Arial"/>
          <w:sz w:val="13"/>
          <w:szCs w:val="13"/>
          <w:color w:val="auto"/>
        </w:rPr>
        <w:t xml:space="preserve">See “Risk Factors — Risks Related to Our Business and Structure” in Part I, Item 1A of this Form 10-K and “Note 2 — Significant Accounting Policies — </w:t>
      </w:r>
      <w:r>
        <w:rPr>
          <w:rFonts w:ascii="Arial" w:cs="Arial" w:eastAsia="Arial" w:hAnsi="Arial"/>
          <w:sz w:val="13"/>
          <w:szCs w:val="13"/>
          <w:i w:val="1"/>
          <w:iCs w:val="1"/>
          <w:color w:val="auto"/>
        </w:rPr>
        <w:t>U.S. Federal and State Income Taxes</w:t>
      </w:r>
      <w:r>
        <w:rPr>
          <w:rFonts w:ascii="Arial" w:cs="Arial" w:eastAsia="Arial" w:hAnsi="Arial"/>
          <w:sz w:val="13"/>
          <w:szCs w:val="13"/>
          <w:color w:val="auto"/>
        </w:rPr>
        <w:t>” and “Note 9 — Income Taxes” to our consolidated financial statements for the year ended December 31, 2017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4" w:name="page25"/>
    <w:bookmarkEnd w:id="2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1A.  Risk Factors</w:t>
      </w:r>
    </w:p>
    <w:p>
      <w:pPr>
        <w:spacing w:after="0" w:line="88" w:lineRule="exact"/>
        <w:rPr>
          <w:sz w:val="20"/>
          <w:szCs w:val="20"/>
          <w:color w:val="auto"/>
        </w:rPr>
      </w:pPr>
    </w:p>
    <w:p>
      <w:pPr>
        <w:ind w:left="1060" w:right="2459" w:firstLine="297"/>
        <w:spacing w:after="0" w:line="251" w:lineRule="auto"/>
        <w:rPr>
          <w:sz w:val="20"/>
          <w:szCs w:val="20"/>
          <w:color w:val="auto"/>
        </w:rPr>
      </w:pPr>
      <w:r>
        <w:rPr>
          <w:rFonts w:ascii="Arial" w:cs="Arial" w:eastAsia="Arial" w:hAnsi="Arial"/>
          <w:sz w:val="15"/>
          <w:szCs w:val="15"/>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Risks Related to Our Investments</w:t>
      </w:r>
    </w:p>
    <w:p>
      <w:pPr>
        <w:spacing w:after="0" w:line="162" w:lineRule="exact"/>
        <w:rPr>
          <w:sz w:val="20"/>
          <w:szCs w:val="20"/>
          <w:color w:val="auto"/>
        </w:rPr>
      </w:pPr>
    </w:p>
    <w:p>
      <w:pPr>
        <w:ind w:left="1060" w:right="2419"/>
        <w:spacing w:after="0" w:line="245" w:lineRule="auto"/>
        <w:rPr>
          <w:sz w:val="20"/>
          <w:szCs w:val="20"/>
          <w:color w:val="auto"/>
        </w:rPr>
      </w:pPr>
      <w:r>
        <w:rPr>
          <w:rFonts w:ascii="Arial" w:cs="Arial" w:eastAsia="Arial" w:hAnsi="Arial"/>
          <w:sz w:val="15"/>
          <w:szCs w:val="15"/>
          <w:b w:val="1"/>
          <w:bCs w:val="1"/>
          <w:color w:val="auto"/>
        </w:rPr>
        <w:t>Our investments in the rapidly growing venture-capital-backed emerging companies that we target may be extremely risky and we could lose all or part of our investments.</w:t>
      </w:r>
    </w:p>
    <w:p>
      <w:pPr>
        <w:spacing w:after="0" w:line="65" w:lineRule="exact"/>
        <w:rPr>
          <w:sz w:val="20"/>
          <w:szCs w:val="20"/>
          <w:color w:val="auto"/>
        </w:rPr>
      </w:pPr>
    </w:p>
    <w:p>
      <w:pPr>
        <w:ind w:left="1060" w:right="2719" w:firstLine="297"/>
        <w:spacing w:after="0" w:line="270" w:lineRule="auto"/>
        <w:rPr>
          <w:sz w:val="20"/>
          <w:szCs w:val="20"/>
          <w:color w:val="auto"/>
        </w:rPr>
      </w:pPr>
      <w:r>
        <w:rPr>
          <w:rFonts w:ascii="Arial" w:cs="Arial" w:eastAsia="Arial" w:hAnsi="Arial"/>
          <w:sz w:val="15"/>
          <w:szCs w:val="15"/>
          <w:color w:val="auto"/>
        </w:rPr>
        <w:t>Investment in the rapidly growing venture-capital-backed emerging companies that we target involves a number of significant risks, including the following:</w:t>
      </w:r>
    </w:p>
    <w:p>
      <w:pPr>
        <w:spacing w:after="0" w:line="81" w:lineRule="exact"/>
        <w:rPr>
          <w:sz w:val="20"/>
          <w:szCs w:val="20"/>
          <w:color w:val="auto"/>
        </w:rPr>
      </w:pPr>
    </w:p>
    <w:p>
      <w:pPr>
        <w:ind w:left="1640" w:right="2639" w:hanging="292"/>
        <w:spacing w:after="0" w:line="255" w:lineRule="auto"/>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81" w:lineRule="exact"/>
        <w:rPr>
          <w:rFonts w:ascii="Arial" w:cs="Arial" w:eastAsia="Arial" w:hAnsi="Arial"/>
          <w:sz w:val="15"/>
          <w:szCs w:val="15"/>
          <w:color w:val="auto"/>
        </w:rPr>
      </w:pPr>
    </w:p>
    <w:p>
      <w:pPr>
        <w:ind w:left="1640" w:right="2579" w:hanging="292"/>
        <w:spacing w:after="0" w:line="255" w:lineRule="auto"/>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81" w:lineRule="exact"/>
        <w:rPr>
          <w:rFonts w:ascii="Arial" w:cs="Arial" w:eastAsia="Arial" w:hAnsi="Arial"/>
          <w:sz w:val="15"/>
          <w:szCs w:val="15"/>
          <w:color w:val="auto"/>
        </w:rPr>
      </w:pPr>
    </w:p>
    <w:p>
      <w:pPr>
        <w:ind w:left="1640" w:right="2659" w:hanging="292"/>
        <w:spacing w:after="0" w:line="255" w:lineRule="auto"/>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92" w:lineRule="exact"/>
        <w:rPr>
          <w:rFonts w:ascii="Arial" w:cs="Arial" w:eastAsia="Arial" w:hAnsi="Arial"/>
          <w:sz w:val="15"/>
          <w:szCs w:val="15"/>
          <w:color w:val="auto"/>
        </w:rPr>
      </w:pPr>
    </w:p>
    <w:p>
      <w:pPr>
        <w:ind w:left="1640" w:right="2459" w:hanging="292"/>
        <w:spacing w:after="0" w:line="297" w:lineRule="auto"/>
        <w:tabs>
          <w:tab w:leader="none" w:pos="1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because they are privately owned, there is generally little publicly available information about these businesses; therefore, although GSV Asset Management’s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55" w:lineRule="exact"/>
        <w:rPr>
          <w:rFonts w:ascii="Arial" w:cs="Arial" w:eastAsia="Arial" w:hAnsi="Arial"/>
          <w:sz w:val="13"/>
          <w:szCs w:val="13"/>
          <w:color w:val="auto"/>
        </w:rPr>
      </w:pPr>
    </w:p>
    <w:p>
      <w:pPr>
        <w:ind w:left="1640" w:right="2499" w:hanging="292"/>
        <w:spacing w:after="0" w:line="259" w:lineRule="auto"/>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67" w:lineRule="exact"/>
        <w:rPr>
          <w:sz w:val="20"/>
          <w:szCs w:val="20"/>
          <w:color w:val="auto"/>
        </w:rPr>
      </w:pPr>
    </w:p>
    <w:p>
      <w:pPr>
        <w:ind w:left="1060" w:right="2419" w:firstLine="297"/>
        <w:spacing w:after="0" w:line="254" w:lineRule="auto"/>
        <w:rPr>
          <w:sz w:val="20"/>
          <w:szCs w:val="20"/>
          <w:color w:val="auto"/>
        </w:rPr>
      </w:pPr>
      <w:r>
        <w:rPr>
          <w:rFonts w:ascii="Arial" w:cs="Arial" w:eastAsia="Arial" w:hAnsi="Arial"/>
          <w:sz w:val="15"/>
          <w:szCs w:val="15"/>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43" w:lineRule="exact"/>
        <w:rPr>
          <w:sz w:val="20"/>
          <w:szCs w:val="20"/>
          <w:color w:val="auto"/>
        </w:rPr>
      </w:pPr>
    </w:p>
    <w:p>
      <w:pPr>
        <w:ind w:left="1060" w:right="2419"/>
        <w:spacing w:after="0" w:line="319" w:lineRule="auto"/>
        <w:rPr>
          <w:sz w:val="20"/>
          <w:szCs w:val="20"/>
          <w:color w:val="auto"/>
        </w:rPr>
      </w:pPr>
      <w:r>
        <w:rPr>
          <w:rFonts w:ascii="Arial" w:cs="Arial" w:eastAsia="Arial" w:hAnsi="Arial"/>
          <w:sz w:val="13"/>
          <w:szCs w:val="13"/>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19" w:lineRule="exact"/>
        <w:rPr>
          <w:sz w:val="20"/>
          <w:szCs w:val="20"/>
          <w:color w:val="auto"/>
        </w:rPr>
      </w:pPr>
    </w:p>
    <w:p>
      <w:pPr>
        <w:ind w:left="1060" w:right="2459" w:firstLine="297"/>
        <w:spacing w:after="0" w:line="279" w:lineRule="auto"/>
        <w:rPr>
          <w:sz w:val="20"/>
          <w:szCs w:val="20"/>
          <w:color w:val="auto"/>
        </w:rPr>
      </w:pPr>
      <w:r>
        <w:rPr>
          <w:rFonts w:ascii="Arial" w:cs="Arial" w:eastAsia="Arial" w:hAnsi="Arial"/>
          <w:sz w:val="14"/>
          <w:szCs w:val="14"/>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w:t>
      </w:r>
    </w:p>
    <w:p>
      <w:pPr>
        <w:spacing w:after="0" w:line="189"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5" w:name="page26"/>
    <w:bookmarkEnd w:id="2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399"/>
        <w:spacing w:after="0" w:line="289" w:lineRule="auto"/>
        <w:rPr>
          <w:sz w:val="20"/>
          <w:szCs w:val="20"/>
          <w:color w:val="auto"/>
        </w:rPr>
      </w:pPr>
      <w:r>
        <w:rPr>
          <w:rFonts w:ascii="Arial" w:cs="Arial" w:eastAsia="Arial" w:hAnsi="Arial"/>
          <w:sz w:val="13"/>
          <w:szCs w:val="13"/>
          <w:color w:val="auto"/>
        </w:rPr>
        <w:t>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In connection with that determination, members of GSV Asset Management’s portfolio management team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308" w:lineRule="exact"/>
        <w:rPr>
          <w:sz w:val="20"/>
          <w:szCs w:val="20"/>
          <w:color w:val="auto"/>
        </w:rPr>
      </w:pPr>
    </w:p>
    <w:p>
      <w:pPr>
        <w:ind w:left="1060" w:right="2439"/>
        <w:spacing w:after="0" w:line="230" w:lineRule="auto"/>
        <w:rPr>
          <w:sz w:val="20"/>
          <w:szCs w:val="20"/>
          <w:color w:val="auto"/>
        </w:rPr>
      </w:pPr>
      <w:r>
        <w:rPr>
          <w:rFonts w:ascii="Arial" w:cs="Arial" w:eastAsia="Arial" w:hAnsi="Arial"/>
          <w:sz w:val="15"/>
          <w:szCs w:val="15"/>
          <w:b w:val="1"/>
          <w:b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68" w:lineRule="exact"/>
        <w:rPr>
          <w:sz w:val="20"/>
          <w:szCs w:val="20"/>
          <w:color w:val="auto"/>
        </w:rPr>
      </w:pPr>
    </w:p>
    <w:p>
      <w:pPr>
        <w:ind w:left="1060" w:right="2399" w:firstLine="297"/>
        <w:spacing w:after="0" w:line="270" w:lineRule="auto"/>
        <w:rPr>
          <w:sz w:val="20"/>
          <w:szCs w:val="20"/>
          <w:color w:val="auto"/>
        </w:rPr>
      </w:pPr>
      <w:r>
        <w:rPr>
          <w:rFonts w:ascii="Arial" w:cs="Arial" w:eastAsia="Arial" w:hAnsi="Arial"/>
          <w:sz w:val="14"/>
          <w:szCs w:val="14"/>
          <w:color w:val="auto"/>
        </w:rPr>
        <w:t>The IPO market is, by its very nature, unpredictable. A lack of IPO opportunities for venture capital-backed companies could lead to companies staying longer in our portfolio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of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61" w:lineRule="exact"/>
        <w:rPr>
          <w:sz w:val="20"/>
          <w:szCs w:val="20"/>
          <w:color w:val="auto"/>
        </w:rPr>
      </w:pPr>
    </w:p>
    <w:p>
      <w:pPr>
        <w:ind w:left="1060" w:right="2419" w:firstLine="297"/>
        <w:spacing w:after="0" w:line="292" w:lineRule="auto"/>
        <w:rPr>
          <w:sz w:val="20"/>
          <w:szCs w:val="20"/>
          <w:color w:val="auto"/>
        </w:rPr>
      </w:pPr>
      <w:r>
        <w:rPr>
          <w:rFonts w:ascii="Arial" w:cs="Arial" w:eastAsia="Arial" w:hAnsi="Arial"/>
          <w:sz w:val="13"/>
          <w:szCs w:val="13"/>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to sell by us. Furthermore, prospective buyers may be deterred from entering into purchase transactions with us due to the delay and uncertainty that these transfer and other limitations create.</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6" w:name="page27"/>
    <w:bookmarkEnd w:id="2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firstLine="297"/>
        <w:spacing w:after="0" w:line="254" w:lineRule="auto"/>
        <w:rPr>
          <w:sz w:val="20"/>
          <w:szCs w:val="20"/>
          <w:color w:val="auto"/>
        </w:rPr>
      </w:pPr>
      <w:r>
        <w:rPr>
          <w:rFonts w:ascii="Arial" w:cs="Arial" w:eastAsia="Arial" w:hAnsi="Arial"/>
          <w:sz w:val="15"/>
          <w:szCs w:val="15"/>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69" w:lineRule="exact"/>
        <w:rPr>
          <w:sz w:val="20"/>
          <w:szCs w:val="20"/>
          <w:color w:val="auto"/>
        </w:rPr>
      </w:pPr>
    </w:p>
    <w:p>
      <w:pPr>
        <w:ind w:left="1060" w:right="2419" w:firstLine="297"/>
        <w:spacing w:after="0" w:line="294" w:lineRule="auto"/>
        <w:rPr>
          <w:sz w:val="20"/>
          <w:szCs w:val="20"/>
          <w:color w:val="auto"/>
        </w:rPr>
      </w:pPr>
      <w:r>
        <w:rPr>
          <w:rFonts w:ascii="Arial" w:cs="Arial" w:eastAsia="Arial" w:hAnsi="Arial"/>
          <w:sz w:val="13"/>
          <w:szCs w:val="13"/>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48" w:lineRule="exact"/>
        <w:rPr>
          <w:sz w:val="20"/>
          <w:szCs w:val="20"/>
          <w:color w:val="auto"/>
        </w:rPr>
      </w:pPr>
    </w:p>
    <w:p>
      <w:pPr>
        <w:ind w:left="1060" w:right="2439" w:firstLine="297"/>
        <w:spacing w:after="0" w:line="276" w:lineRule="auto"/>
        <w:rPr>
          <w:sz w:val="20"/>
          <w:szCs w:val="20"/>
          <w:color w:val="auto"/>
        </w:rPr>
      </w:pPr>
      <w:r>
        <w:rPr>
          <w:rFonts w:ascii="Arial" w:cs="Arial" w:eastAsia="Arial" w:hAnsi="Arial"/>
          <w:sz w:val="14"/>
          <w:szCs w:val="14"/>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130" w:lineRule="exact"/>
        <w:rPr>
          <w:sz w:val="20"/>
          <w:szCs w:val="20"/>
          <w:color w:val="auto"/>
        </w:rPr>
      </w:pPr>
    </w:p>
    <w:p>
      <w:pPr>
        <w:ind w:left="1060" w:right="2419"/>
        <w:spacing w:after="0" w:line="285" w:lineRule="auto"/>
        <w:rPr>
          <w:sz w:val="20"/>
          <w:szCs w:val="20"/>
          <w:color w:val="auto"/>
        </w:rPr>
      </w:pPr>
      <w:r>
        <w:rPr>
          <w:rFonts w:ascii="Arial" w:cs="Arial" w:eastAsia="Arial" w:hAnsi="Arial"/>
          <w:sz w:val="13"/>
          <w:szCs w:val="13"/>
          <w:b w:val="1"/>
          <w:b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41" w:lineRule="exact"/>
        <w:rPr>
          <w:sz w:val="20"/>
          <w:szCs w:val="20"/>
          <w:color w:val="auto"/>
        </w:rPr>
      </w:pPr>
    </w:p>
    <w:p>
      <w:pPr>
        <w:ind w:left="1060" w:right="2639" w:firstLine="297"/>
        <w:spacing w:after="0" w:line="259" w:lineRule="auto"/>
        <w:rPr>
          <w:sz w:val="20"/>
          <w:szCs w:val="20"/>
          <w:color w:val="auto"/>
        </w:rPr>
      </w:pPr>
      <w:r>
        <w:rPr>
          <w:rFonts w:ascii="Arial" w:cs="Arial" w:eastAsia="Arial" w:hAnsi="Arial"/>
          <w:sz w:val="15"/>
          <w:szCs w:val="15"/>
          <w:color w:val="auto"/>
        </w:rPr>
        <w:t>We invest principally in the equity and equity-related securities of what we believe to be rapidly growing venture-capital-backed emerging companies. However, the equity interests we acquire may not appreciate in value and, in fact, may decline in value.</w:t>
      </w:r>
    </w:p>
    <w:p>
      <w:pPr>
        <w:spacing w:after="0" w:line="67" w:lineRule="exact"/>
        <w:rPr>
          <w:sz w:val="20"/>
          <w:szCs w:val="20"/>
          <w:color w:val="auto"/>
        </w:rPr>
      </w:pPr>
    </w:p>
    <w:p>
      <w:pPr>
        <w:ind w:left="1060" w:right="2419" w:firstLine="297"/>
        <w:spacing w:after="0" w:line="292" w:lineRule="auto"/>
        <w:rPr>
          <w:sz w:val="20"/>
          <w:szCs w:val="20"/>
          <w:color w:val="auto"/>
        </w:rPr>
      </w:pPr>
      <w:r>
        <w:rPr>
          <w:rFonts w:ascii="Arial" w:cs="Arial" w:eastAsia="Arial" w:hAnsi="Arial"/>
          <w:sz w:val="13"/>
          <w:szCs w:val="13"/>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23" w:lineRule="exact"/>
        <w:rPr>
          <w:sz w:val="20"/>
          <w:szCs w:val="20"/>
          <w:color w:val="auto"/>
        </w:rPr>
      </w:pPr>
    </w:p>
    <w:p>
      <w:pPr>
        <w:ind w:left="1060" w:right="2619"/>
        <w:spacing w:after="0" w:line="279" w:lineRule="auto"/>
        <w:rPr>
          <w:sz w:val="20"/>
          <w:szCs w:val="20"/>
          <w:color w:val="auto"/>
        </w:rPr>
      </w:pPr>
      <w:r>
        <w:rPr>
          <w:rFonts w:ascii="Arial" w:cs="Arial" w:eastAsia="Arial" w:hAnsi="Arial"/>
          <w:sz w:val="14"/>
          <w:szCs w:val="14"/>
          <w:b w:val="1"/>
          <w:bCs w:val="1"/>
          <w:color w:val="auto"/>
        </w:rPr>
        <w:t>Many of our portfolio companies are currently experiencing operating losses, which may be substantial, and there can be no assurance when or if such companies will operate at a profit.</w:t>
      </w:r>
    </w:p>
    <w:p>
      <w:pPr>
        <w:spacing w:after="0" w:line="43" w:lineRule="exact"/>
        <w:rPr>
          <w:sz w:val="20"/>
          <w:szCs w:val="20"/>
          <w:color w:val="auto"/>
        </w:rPr>
      </w:pPr>
    </w:p>
    <w:p>
      <w:pPr>
        <w:ind w:left="1060" w:right="2479" w:firstLine="297"/>
        <w:spacing w:after="0" w:line="255" w:lineRule="auto"/>
        <w:rPr>
          <w:sz w:val="20"/>
          <w:szCs w:val="20"/>
          <w:color w:val="auto"/>
        </w:rPr>
      </w:pPr>
      <w:r>
        <w:rPr>
          <w:rFonts w:ascii="Arial" w:cs="Arial" w:eastAsia="Arial" w:hAnsi="Arial"/>
          <w:sz w:val="15"/>
          <w:szCs w:val="15"/>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45" w:lineRule="exact"/>
        <w:rPr>
          <w:sz w:val="20"/>
          <w:szCs w:val="20"/>
          <w:color w:val="auto"/>
        </w:rPr>
      </w:pPr>
    </w:p>
    <w:p>
      <w:pPr>
        <w:ind w:left="1060" w:right="2539"/>
        <w:spacing w:after="0" w:line="245" w:lineRule="auto"/>
        <w:rPr>
          <w:sz w:val="20"/>
          <w:szCs w:val="20"/>
          <w:color w:val="auto"/>
        </w:rPr>
      </w:pPr>
      <w:r>
        <w:rPr>
          <w:rFonts w:ascii="Arial" w:cs="Arial" w:eastAsia="Arial" w:hAnsi="Arial"/>
          <w:sz w:val="15"/>
          <w:szCs w:val="15"/>
          <w:b w:val="1"/>
          <w:bCs w:val="1"/>
          <w:color w:val="auto"/>
        </w:rPr>
        <w:t>The lack of liquidity in, and potentially extended holding period of, our many investments may adversely affect our business and will delay any distributions of gains, if any.</w:t>
      </w:r>
    </w:p>
    <w:p>
      <w:pPr>
        <w:spacing w:after="0" w:line="65" w:lineRule="exact"/>
        <w:rPr>
          <w:sz w:val="20"/>
          <w:szCs w:val="20"/>
          <w:color w:val="auto"/>
        </w:rPr>
      </w:pPr>
    </w:p>
    <w:p>
      <w:pPr>
        <w:ind w:left="1060" w:right="2499" w:firstLine="297"/>
        <w:spacing w:after="0" w:line="286" w:lineRule="auto"/>
        <w:rPr>
          <w:sz w:val="20"/>
          <w:szCs w:val="20"/>
          <w:color w:val="auto"/>
        </w:rPr>
      </w:pPr>
      <w:r>
        <w:rPr>
          <w:rFonts w:ascii="Arial" w:cs="Arial" w:eastAsia="Arial" w:hAnsi="Arial"/>
          <w:sz w:val="14"/>
          <w:szCs w:val="14"/>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7" w:name="page28"/>
    <w:bookmarkEnd w:id="2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39"/>
        <w:spacing w:after="0" w:line="295" w:lineRule="auto"/>
        <w:rPr>
          <w:sz w:val="20"/>
          <w:szCs w:val="20"/>
          <w:color w:val="auto"/>
        </w:rPr>
      </w:pPr>
      <w:r>
        <w:rPr>
          <w:rFonts w:ascii="Arial" w:cs="Arial" w:eastAsia="Arial" w:hAnsi="Arial"/>
          <w:sz w:val="13"/>
          <w:szCs w:val="13"/>
          <w:color w:val="auto"/>
        </w:rPr>
        <w:t>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36" w:lineRule="exact"/>
        <w:rPr>
          <w:sz w:val="20"/>
          <w:szCs w:val="20"/>
          <w:color w:val="auto"/>
        </w:rPr>
      </w:pPr>
    </w:p>
    <w:p>
      <w:pPr>
        <w:ind w:left="1060" w:right="2459" w:firstLine="297"/>
        <w:spacing w:after="0" w:line="274" w:lineRule="auto"/>
        <w:rPr>
          <w:sz w:val="20"/>
          <w:szCs w:val="20"/>
          <w:color w:val="auto"/>
        </w:rPr>
      </w:pPr>
      <w:r>
        <w:rPr>
          <w:rFonts w:ascii="Arial" w:cs="Arial" w:eastAsia="Arial" w:hAnsi="Arial"/>
          <w:sz w:val="14"/>
          <w:szCs w:val="14"/>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32" w:lineRule="exact"/>
        <w:rPr>
          <w:sz w:val="20"/>
          <w:szCs w:val="20"/>
          <w:color w:val="auto"/>
        </w:rPr>
      </w:pPr>
    </w:p>
    <w:p>
      <w:pPr>
        <w:ind w:left="1060" w:right="2419"/>
        <w:spacing w:after="0" w:line="234" w:lineRule="auto"/>
        <w:rPr>
          <w:sz w:val="20"/>
          <w:szCs w:val="20"/>
          <w:color w:val="auto"/>
        </w:rPr>
      </w:pPr>
      <w:r>
        <w:rPr>
          <w:rFonts w:ascii="Arial" w:cs="Arial" w:eastAsia="Arial" w:hAnsi="Arial"/>
          <w:sz w:val="15"/>
          <w:szCs w:val="15"/>
          <w:b w:val="1"/>
          <w:b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35" w:lineRule="exact"/>
        <w:rPr>
          <w:sz w:val="20"/>
          <w:szCs w:val="20"/>
          <w:color w:val="auto"/>
        </w:rPr>
      </w:pPr>
    </w:p>
    <w:p>
      <w:pPr>
        <w:ind w:left="1060" w:right="2439" w:firstLine="297"/>
        <w:spacing w:after="0" w:line="271" w:lineRule="auto"/>
        <w:rPr>
          <w:sz w:val="20"/>
          <w:szCs w:val="20"/>
          <w:color w:val="auto"/>
        </w:rPr>
      </w:pPr>
      <w:r>
        <w:rPr>
          <w:rFonts w:ascii="Arial" w:cs="Arial" w:eastAsia="Arial" w:hAnsi="Arial"/>
          <w:sz w:val="14"/>
          <w:szCs w:val="14"/>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2017, 80.2% of our net asset value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34" w:lineRule="exact"/>
        <w:rPr>
          <w:sz w:val="20"/>
          <w:szCs w:val="20"/>
          <w:color w:val="auto"/>
        </w:rPr>
      </w:pPr>
    </w:p>
    <w:p>
      <w:pPr>
        <w:jc w:val="both"/>
        <w:ind w:left="1060" w:right="2899"/>
        <w:spacing w:after="0" w:line="234" w:lineRule="auto"/>
        <w:rPr>
          <w:sz w:val="20"/>
          <w:szCs w:val="20"/>
          <w:color w:val="auto"/>
        </w:rPr>
      </w:pPr>
      <w:r>
        <w:rPr>
          <w:rFonts w:ascii="Arial" w:cs="Arial" w:eastAsia="Arial" w:hAnsi="Arial"/>
          <w:sz w:val="15"/>
          <w:szCs w:val="15"/>
          <w:b w:val="1"/>
          <w:bCs w:val="1"/>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46" w:lineRule="exact"/>
        <w:rPr>
          <w:sz w:val="20"/>
          <w:szCs w:val="20"/>
          <w:color w:val="auto"/>
        </w:rPr>
      </w:pPr>
    </w:p>
    <w:p>
      <w:pPr>
        <w:ind w:left="1060" w:right="2579" w:firstLine="297"/>
        <w:spacing w:after="0" w:line="299" w:lineRule="auto"/>
        <w:rPr>
          <w:sz w:val="20"/>
          <w:szCs w:val="20"/>
          <w:color w:val="auto"/>
        </w:rPr>
      </w:pPr>
      <w:r>
        <w:rPr>
          <w:rFonts w:ascii="Arial" w:cs="Arial" w:eastAsia="Arial" w:hAnsi="Arial"/>
          <w:sz w:val="13"/>
          <w:szCs w:val="13"/>
          <w:color w:val="auto"/>
        </w:rPr>
        <w:t>Given the experience of GSV Asset Management’s senior investment professionals within the technology space, a number of the companies in which we have invested and intend to invest operate in technology-related sectors. Investments in such companies are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w:t>
      </w:r>
    </w:p>
    <w:p>
      <w:pPr>
        <w:spacing w:after="0" w:line="21" w:lineRule="exact"/>
        <w:rPr>
          <w:sz w:val="20"/>
          <w:szCs w:val="20"/>
          <w:color w:val="auto"/>
        </w:rPr>
      </w:pPr>
    </w:p>
    <w:p>
      <w:pPr>
        <w:ind w:left="1060" w:right="2439" w:firstLine="297"/>
        <w:spacing w:after="0" w:line="291" w:lineRule="auto"/>
        <w:rPr>
          <w:sz w:val="20"/>
          <w:szCs w:val="20"/>
          <w:color w:val="auto"/>
        </w:rPr>
      </w:pPr>
      <w:r>
        <w:rPr>
          <w:rFonts w:ascii="Arial" w:cs="Arial" w:eastAsia="Arial" w:hAnsi="Arial"/>
          <w:sz w:val="13"/>
          <w:szCs w:val="13"/>
          <w:color w:val="auto"/>
        </w:rPr>
        <w:t>In addition, our portfolio companies face intense competition since their businesses are rapidly evolving, intensely competitive and subject to changing technology, shifting user needs and frequent introductions of new products and services. Potential competitors to our portfolio companies in the technology industry range from large and established companies to emerging start-ups. Further, such companies are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8" w:name="page29"/>
    <w:bookmarkEnd w:id="2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right="2739"/>
        <w:spacing w:after="0" w:line="245" w:lineRule="auto"/>
        <w:rPr>
          <w:sz w:val="20"/>
          <w:szCs w:val="20"/>
          <w:color w:val="auto"/>
        </w:rPr>
      </w:pPr>
      <w:r>
        <w:rPr>
          <w:rFonts w:ascii="Arial" w:cs="Arial" w:eastAsia="Arial" w:hAnsi="Arial"/>
          <w:sz w:val="15"/>
          <w:szCs w:val="15"/>
          <w:b w:val="1"/>
          <w:bCs w:val="1"/>
          <w:color w:val="auto"/>
        </w:rPr>
        <w:t>Our financial results could be negatively affected if a significant portfolio company fails to perform as expected.</w:t>
      </w:r>
    </w:p>
    <w:p>
      <w:pPr>
        <w:spacing w:after="0" w:line="65" w:lineRule="exact"/>
        <w:rPr>
          <w:sz w:val="20"/>
          <w:szCs w:val="20"/>
          <w:color w:val="auto"/>
        </w:rPr>
      </w:pPr>
    </w:p>
    <w:p>
      <w:pPr>
        <w:ind w:left="1060" w:right="2459" w:firstLine="297"/>
        <w:spacing w:after="0" w:line="254" w:lineRule="auto"/>
        <w:rPr>
          <w:sz w:val="20"/>
          <w:szCs w:val="20"/>
          <w:color w:val="auto"/>
        </w:rPr>
      </w:pPr>
      <w:r>
        <w:rPr>
          <w:rFonts w:ascii="Arial" w:cs="Arial" w:eastAsia="Arial" w:hAnsi="Arial"/>
          <w:sz w:val="15"/>
          <w:szCs w:val="15"/>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2017:</w:t>
      </w:r>
    </w:p>
    <w:p>
      <w:pPr>
        <w:spacing w:after="0" w:line="92"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5"/>
              </w:rPr>
              <w:t>% of Net</w:t>
            </w:r>
          </w:p>
        </w:tc>
      </w:tr>
      <w:tr>
        <w:trPr>
          <w:trHeight w:val="134"/>
        </w:trPr>
        <w:tc>
          <w:tcPr>
            <w:tcW w:w="3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248"/>
              <w:spacing w:after="0" w:line="134" w:lineRule="exact"/>
              <w:rPr>
                <w:sz w:val="20"/>
                <w:szCs w:val="20"/>
                <w:color w:val="auto"/>
              </w:rPr>
            </w:pPr>
            <w:r>
              <w:rPr>
                <w:rFonts w:ascii="Arial" w:cs="Arial" w:eastAsia="Arial" w:hAnsi="Arial"/>
                <w:sz w:val="12"/>
                <w:szCs w:val="12"/>
                <w:b w:val="1"/>
                <w:bCs w:val="1"/>
                <w:color w:val="auto"/>
              </w:rPr>
              <w:t>Fair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5"/>
              </w:rPr>
              <w:t>Asset</w:t>
            </w:r>
          </w:p>
        </w:tc>
      </w:tr>
      <w:tr>
        <w:trPr>
          <w:trHeight w:val="152"/>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w:t>
            </w:r>
          </w:p>
        </w:tc>
        <w:tc>
          <w:tcPr>
            <w:tcW w:w="940" w:type="dxa"/>
            <w:vAlign w:val="bottom"/>
            <w:gridSpan w:val="3"/>
          </w:tcPr>
          <w:p>
            <w:pPr>
              <w:ind w:left="26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3"/>
                <w:szCs w:val="13"/>
                <w:color w:val="auto"/>
              </w:rPr>
            </w:pPr>
          </w:p>
        </w:tc>
        <w:tc>
          <w:tcPr>
            <w:tcW w:w="740" w:type="dxa"/>
            <w:vAlign w:val="bottom"/>
          </w:tcPr>
          <w:p>
            <w:pPr>
              <w:jc w:val="right"/>
              <w:ind w:right="208"/>
              <w:spacing w:after="0"/>
              <w:rPr>
                <w:sz w:val="20"/>
                <w:szCs w:val="20"/>
                <w:color w:val="auto"/>
              </w:rPr>
            </w:pPr>
            <w:r>
              <w:rPr>
                <w:rFonts w:ascii="Arial" w:cs="Arial" w:eastAsia="Arial" w:hAnsi="Arial"/>
                <w:sz w:val="12"/>
                <w:szCs w:val="12"/>
                <w:b w:val="1"/>
                <w:bCs w:val="1"/>
                <w:color w:val="auto"/>
              </w:rPr>
              <w:t>Value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Value</w:t>
            </w: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3"/>
        </w:trPr>
        <w:tc>
          <w:tcPr>
            <w:tcW w:w="3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Palantir Technologies, Inc.</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$16,189,935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35,075,759</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17.1%</w:t>
            </w:r>
          </w:p>
        </w:tc>
      </w:tr>
      <w:tr>
        <w:trPr>
          <w:trHeight w:val="212"/>
        </w:trPr>
        <w:tc>
          <w:tcPr>
            <w:tcW w:w="3760" w:type="dxa"/>
            <w:vAlign w:val="bottom"/>
            <w:gridSpan w:val="3"/>
          </w:tcPr>
          <w:p>
            <w:pPr>
              <w:spacing w:after="0"/>
              <w:rPr>
                <w:sz w:val="20"/>
                <w:szCs w:val="20"/>
                <w:color w:val="auto"/>
              </w:rPr>
            </w:pPr>
            <w:r>
              <w:rPr>
                <w:rFonts w:ascii="Arial" w:cs="Arial" w:eastAsia="Arial" w:hAnsi="Arial"/>
                <w:sz w:val="15"/>
                <w:szCs w:val="15"/>
                <w:color w:val="auto"/>
              </w:rPr>
              <w:t>Spotify Technology S.A.</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10,002,084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30,729,068</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8"/>
                <w:szCs w:val="18"/>
                <w:color w:val="auto"/>
              </w:rPr>
            </w:pPr>
          </w:p>
        </w:tc>
      </w:tr>
      <w:tr>
        <w:trPr>
          <w:trHeight w:val="212"/>
        </w:trPr>
        <w:tc>
          <w:tcPr>
            <w:tcW w:w="3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Coursera, Inc.</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14,519,519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18,360,674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8"/>
                <w:szCs w:val="18"/>
                <w:color w:val="auto"/>
              </w:rPr>
            </w:pPr>
          </w:p>
        </w:tc>
      </w:tr>
      <w:tr>
        <w:trPr>
          <w:trHeight w:val="212"/>
        </w:trPr>
        <w:tc>
          <w:tcPr>
            <w:tcW w:w="3760" w:type="dxa"/>
            <w:vAlign w:val="bottom"/>
            <w:gridSpan w:val="3"/>
          </w:tcPr>
          <w:p>
            <w:pPr>
              <w:spacing w:after="0"/>
              <w:rPr>
                <w:sz w:val="20"/>
                <w:szCs w:val="20"/>
                <w:color w:val="auto"/>
              </w:rPr>
            </w:pPr>
            <w:r>
              <w:rPr>
                <w:rFonts w:ascii="Arial" w:cs="Arial" w:eastAsia="Arial" w:hAnsi="Arial"/>
                <w:sz w:val="15"/>
                <w:szCs w:val="15"/>
                <w:color w:val="auto"/>
              </w:rPr>
              <w:t>Dropbox, Inc.</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13,656,926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17,875,696</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8"/>
                <w:szCs w:val="18"/>
                <w:color w:val="auto"/>
              </w:rPr>
            </w:pPr>
          </w:p>
        </w:tc>
      </w:tr>
      <w:tr>
        <w:trPr>
          <w:trHeight w:val="212"/>
        </w:trPr>
        <w:tc>
          <w:tcPr>
            <w:tcW w:w="3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StormWind, LLC</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6,130,474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13,453,718</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20" w:type="dxa"/>
            <w:vAlign w:val="bottom"/>
            <w:shd w:val="clear" w:color="auto" w:fill="CCEEFF"/>
          </w:tcPr>
          <w:p>
            <w:pPr>
              <w:spacing w:after="0"/>
              <w:rPr>
                <w:sz w:val="18"/>
                <w:szCs w:val="18"/>
                <w:color w:val="auto"/>
              </w:rPr>
            </w:pPr>
          </w:p>
        </w:tc>
      </w:tr>
      <w:tr>
        <w:trPr>
          <w:trHeight w:val="212"/>
        </w:trPr>
        <w:tc>
          <w:tcPr>
            <w:tcW w:w="3760" w:type="dxa"/>
            <w:vAlign w:val="bottom"/>
            <w:gridSpan w:val="3"/>
          </w:tcPr>
          <w:p>
            <w:pPr>
              <w:spacing w:after="0"/>
              <w:rPr>
                <w:sz w:val="20"/>
                <w:szCs w:val="20"/>
                <w:color w:val="auto"/>
              </w:rPr>
            </w:pPr>
            <w:r>
              <w:rPr>
                <w:rFonts w:ascii="Arial" w:cs="Arial" w:eastAsia="Arial" w:hAnsi="Arial"/>
                <w:sz w:val="15"/>
                <w:szCs w:val="15"/>
                <w:color w:val="auto"/>
              </w:rPr>
              <w:t>General Assembly Space, Inc.</w:t>
            </w:r>
          </w:p>
        </w:tc>
        <w:tc>
          <w:tcPr>
            <w:tcW w:w="740" w:type="dxa"/>
            <w:vAlign w:val="bottom"/>
          </w:tcPr>
          <w:p>
            <w:pPr>
              <w:jc w:val="right"/>
              <w:spacing w:after="0"/>
              <w:rPr>
                <w:sz w:val="20"/>
                <w:szCs w:val="20"/>
                <w:color w:val="auto"/>
              </w:rPr>
            </w:pPr>
            <w:r>
              <w:rPr>
                <w:rFonts w:ascii="Arial" w:cs="Arial" w:eastAsia="Arial" w:hAnsi="Arial"/>
                <w:sz w:val="15"/>
                <w:szCs w:val="15"/>
                <w:color w:val="auto"/>
              </w:rPr>
              <w:t>5,999,961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10,840,866</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8"/>
                <w:szCs w:val="18"/>
                <w:color w:val="auto"/>
              </w:rPr>
            </w:pPr>
          </w:p>
        </w:tc>
      </w:tr>
      <w:tr>
        <w:trPr>
          <w:trHeight w:val="212"/>
        </w:trPr>
        <w:tc>
          <w:tcPr>
            <w:tcW w:w="3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Lyft Inc.</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4,296,334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10,123,515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18"/>
                <w:szCs w:val="18"/>
                <w:color w:val="auto"/>
              </w:rPr>
            </w:pPr>
          </w:p>
        </w:tc>
      </w:tr>
      <w:tr>
        <w:trPr>
          <w:trHeight w:val="212"/>
        </w:trPr>
        <w:tc>
          <w:tcPr>
            <w:tcW w:w="3760" w:type="dxa"/>
            <w:vAlign w:val="bottom"/>
            <w:gridSpan w:val="3"/>
          </w:tcPr>
          <w:p>
            <w:pPr>
              <w:spacing w:after="0"/>
              <w:rPr>
                <w:sz w:val="20"/>
                <w:szCs w:val="20"/>
                <w:color w:val="auto"/>
              </w:rPr>
            </w:pPr>
            <w:r>
              <w:rPr>
                <w:rFonts w:ascii="Arial" w:cs="Arial" w:eastAsia="Arial" w:hAnsi="Arial"/>
                <w:sz w:val="15"/>
                <w:szCs w:val="15"/>
                <w:color w:val="auto"/>
              </w:rPr>
              <w:t>Course Hero, Inc.</w:t>
            </w:r>
          </w:p>
        </w:tc>
        <w:tc>
          <w:tcPr>
            <w:tcW w:w="740" w:type="dxa"/>
            <w:vAlign w:val="bottom"/>
          </w:tcPr>
          <w:p>
            <w:pPr>
              <w:jc w:val="right"/>
              <w:spacing w:after="0"/>
              <w:rPr>
                <w:sz w:val="20"/>
                <w:szCs w:val="20"/>
                <w:color w:val="auto"/>
              </w:rPr>
            </w:pPr>
            <w:r>
              <w:rPr>
                <w:rFonts w:ascii="Arial" w:cs="Arial" w:eastAsia="Arial" w:hAnsi="Arial"/>
                <w:sz w:val="15"/>
                <w:szCs w:val="15"/>
                <w:color w:val="auto"/>
              </w:rPr>
              <w:t>5,000,001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10,041,426</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8"/>
                <w:szCs w:val="18"/>
                <w:color w:val="auto"/>
              </w:rPr>
            </w:pPr>
          </w:p>
        </w:tc>
      </w:tr>
      <w:tr>
        <w:trPr>
          <w:trHeight w:val="212"/>
        </w:trPr>
        <w:tc>
          <w:tcPr>
            <w:tcW w:w="3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NestGSV, Inc. (d.b.a. GSV Labs, Inc.)</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9,869,428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9,683,581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18"/>
                <w:szCs w:val="18"/>
                <w:color w:val="auto"/>
              </w:rPr>
            </w:pPr>
          </w:p>
        </w:tc>
      </w:tr>
      <w:tr>
        <w:trPr>
          <w:trHeight w:val="217"/>
        </w:trPr>
        <w:tc>
          <w:tcPr>
            <w:tcW w:w="376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Chegg, Inc.</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6,008,468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8,160,000</w:t>
            </w:r>
          </w:p>
        </w:tc>
        <w:tc>
          <w:tcPr>
            <w:tcW w:w="280" w:type="dxa"/>
            <w:vAlign w:val="bottom"/>
            <w:tcBorders>
              <w:bottom w:val="single" w:sz="8" w:color="CCEEFF"/>
            </w:tcBorders>
            <w:gridSpan w:val="2"/>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CCEEFF"/>
            </w:tcBorders>
          </w:tcPr>
          <w:p>
            <w:pPr>
              <w:spacing w:after="0"/>
              <w:rPr>
                <w:sz w:val="18"/>
                <w:szCs w:val="18"/>
                <w:color w:val="auto"/>
              </w:rPr>
            </w:pPr>
          </w:p>
        </w:tc>
      </w:tr>
      <w:tr>
        <w:trPr>
          <w:trHeight w:val="209"/>
        </w:trPr>
        <w:tc>
          <w:tcPr>
            <w:tcW w:w="376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91,673,130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164,344,303</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80.</w:t>
            </w:r>
            <w:r>
              <w:rPr>
                <w:rFonts w:ascii="Arial" w:cs="Arial" w:eastAsia="Arial" w:hAnsi="Arial"/>
                <w:sz w:val="15"/>
                <w:szCs w:val="15"/>
                <w:u w:val="single" w:color="auto"/>
                <w:color w:val="auto"/>
              </w:rPr>
              <w:t>2</w:t>
            </w:r>
            <w:r>
              <w:rPr>
                <w:rFonts w:ascii="Arial" w:cs="Arial" w:eastAsia="Arial" w:hAnsi="Arial"/>
                <w:sz w:val="15"/>
                <w:szCs w:val="15"/>
                <w:color w:val="auto"/>
              </w:rPr>
              <w:t>%</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-162560</wp:posOffset>
            </wp:positionV>
            <wp:extent cx="711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20" cy="698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-162560</wp:posOffset>
            </wp:positionV>
            <wp:extent cx="1771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7165" cy="698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-162560</wp:posOffset>
            </wp:positionV>
            <wp:extent cx="297624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76245" cy="698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-1522730</wp:posOffset>
            </wp:positionV>
            <wp:extent cx="11366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-1522730</wp:posOffset>
            </wp:positionV>
            <wp:extent cx="1136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-1522730</wp:posOffset>
            </wp:positionV>
            <wp:extent cx="1136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222" w:lineRule="exact"/>
        <w:rPr>
          <w:sz w:val="20"/>
          <w:szCs w:val="20"/>
          <w:color w:val="auto"/>
        </w:rPr>
      </w:pPr>
    </w:p>
    <w:p>
      <w:pPr>
        <w:ind w:left="1060" w:right="2959"/>
        <w:spacing w:after="0" w:line="279" w:lineRule="auto"/>
        <w:rPr>
          <w:sz w:val="20"/>
          <w:szCs w:val="20"/>
          <w:color w:val="auto"/>
        </w:rPr>
      </w:pPr>
      <w:r>
        <w:rPr>
          <w:rFonts w:ascii="Arial" w:cs="Arial" w:eastAsia="Arial" w:hAnsi="Arial"/>
          <w:sz w:val="14"/>
          <w:szCs w:val="14"/>
          <w:b w:val="1"/>
          <w:bCs w:val="1"/>
          <w:color w:val="auto"/>
        </w:rPr>
        <w:t>We may be limited in our ability to make follow-on investments, and our failure to make follow-on investments in our portfolio companies could impair the value of our portfolio.</w:t>
      </w:r>
    </w:p>
    <w:p>
      <w:pPr>
        <w:spacing w:after="0" w:line="43" w:lineRule="exact"/>
        <w:rPr>
          <w:sz w:val="20"/>
          <w:szCs w:val="20"/>
          <w:color w:val="auto"/>
        </w:rPr>
      </w:pPr>
    </w:p>
    <w:p>
      <w:pPr>
        <w:ind w:left="1060" w:right="2419" w:firstLine="297"/>
        <w:spacing w:after="0" w:line="279" w:lineRule="auto"/>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55" w:lineRule="exact"/>
        <w:rPr>
          <w:sz w:val="20"/>
          <w:szCs w:val="20"/>
          <w:color w:val="auto"/>
        </w:rPr>
      </w:pPr>
    </w:p>
    <w:p>
      <w:pPr>
        <w:ind w:left="1060" w:right="2439" w:firstLine="297"/>
        <w:spacing w:after="0" w:line="270" w:lineRule="auto"/>
        <w:rPr>
          <w:sz w:val="20"/>
          <w:szCs w:val="20"/>
          <w:color w:val="auto"/>
        </w:rPr>
      </w:pPr>
      <w:r>
        <w:rPr>
          <w:rFonts w:ascii="Arial" w:cs="Arial" w:eastAsia="Arial" w:hAnsi="Arial"/>
          <w:sz w:val="14"/>
          <w:szCs w:val="14"/>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64" w:lineRule="exact"/>
        <w:rPr>
          <w:sz w:val="20"/>
          <w:szCs w:val="20"/>
          <w:color w:val="auto"/>
        </w:rPr>
      </w:pPr>
    </w:p>
    <w:p>
      <w:pPr>
        <w:ind w:left="1060" w:right="2779" w:firstLine="297"/>
        <w:spacing w:after="0" w:line="270" w:lineRule="auto"/>
        <w:rPr>
          <w:sz w:val="20"/>
          <w:szCs w:val="20"/>
          <w:color w:val="auto"/>
        </w:rPr>
      </w:pPr>
      <w:r>
        <w:rPr>
          <w:rFonts w:ascii="Arial" w:cs="Arial" w:eastAsia="Arial" w:hAnsi="Arial"/>
          <w:sz w:val="15"/>
          <w:szCs w:val="15"/>
          <w:color w:val="auto"/>
        </w:rPr>
        <w:t>In addition, we may be unable to complete follow-on investments in our portfolio companies that have conducted an IPO as a result of regulatory or financial restrictions.</w:t>
      </w:r>
    </w:p>
    <w:p>
      <w:pPr>
        <w:spacing w:after="0" w:line="132" w:lineRule="exact"/>
        <w:rPr>
          <w:sz w:val="20"/>
          <w:szCs w:val="20"/>
          <w:color w:val="auto"/>
        </w:rPr>
      </w:pPr>
    </w:p>
    <w:p>
      <w:pPr>
        <w:ind w:left="1060" w:right="2419"/>
        <w:spacing w:after="0" w:line="285" w:lineRule="auto"/>
        <w:rPr>
          <w:sz w:val="20"/>
          <w:szCs w:val="20"/>
          <w:color w:val="auto"/>
        </w:rPr>
      </w:pPr>
      <w:r>
        <w:rPr>
          <w:rFonts w:ascii="Arial" w:cs="Arial" w:eastAsia="Arial" w:hAnsi="Arial"/>
          <w:sz w:val="13"/>
          <w:szCs w:val="13"/>
          <w:b w:val="1"/>
          <w:b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41" w:lineRule="exact"/>
        <w:rPr>
          <w:sz w:val="20"/>
          <w:szCs w:val="20"/>
          <w:color w:val="auto"/>
        </w:rPr>
      </w:pPr>
    </w:p>
    <w:p>
      <w:pPr>
        <w:ind w:left="1060" w:right="2479" w:firstLine="297"/>
        <w:spacing w:after="0" w:line="299" w:lineRule="auto"/>
        <w:rPr>
          <w:sz w:val="20"/>
          <w:szCs w:val="20"/>
          <w:color w:val="auto"/>
        </w:rPr>
      </w:pPr>
      <w:r>
        <w:rPr>
          <w:rFonts w:ascii="Arial" w:cs="Arial" w:eastAsia="Arial" w:hAnsi="Arial"/>
          <w:sz w:val="13"/>
          <w:szCs w:val="13"/>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w:t>
      </w:r>
    </w:p>
    <w:p>
      <w:pPr>
        <w:spacing w:after="0" w:line="18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29" w:name="page30"/>
    <w:bookmarkEnd w:id="2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spacing w:after="0" w:line="279" w:lineRule="auto"/>
        <w:rPr>
          <w:sz w:val="20"/>
          <w:szCs w:val="20"/>
          <w:color w:val="auto"/>
        </w:rPr>
      </w:pPr>
      <w:r>
        <w:rPr>
          <w:rFonts w:ascii="Arial" w:cs="Arial" w:eastAsia="Arial" w:hAnsi="Arial"/>
          <w:sz w:val="14"/>
          <w:szCs w:val="14"/>
          <w:color w:val="auto"/>
        </w:rPr>
        <w:t>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Investments in foreign companies may involve significant risks in addition to the risks inherent in U.S.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investments.</w:t>
      </w:r>
    </w:p>
    <w:p>
      <w:pPr>
        <w:spacing w:after="0" w:line="72" w:lineRule="exact"/>
        <w:rPr>
          <w:sz w:val="20"/>
          <w:szCs w:val="20"/>
          <w:color w:val="auto"/>
        </w:rPr>
      </w:pPr>
    </w:p>
    <w:p>
      <w:pPr>
        <w:ind w:left="1060" w:right="2439" w:firstLine="297"/>
        <w:spacing w:after="0" w:line="292" w:lineRule="auto"/>
        <w:rPr>
          <w:sz w:val="20"/>
          <w:szCs w:val="20"/>
          <w:color w:val="auto"/>
        </w:rPr>
      </w:pPr>
      <w:r>
        <w:rPr>
          <w:rFonts w:ascii="Arial" w:cs="Arial" w:eastAsia="Arial" w:hAnsi="Arial"/>
          <w:sz w:val="13"/>
          <w:szCs w:val="13"/>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49" w:lineRule="exact"/>
        <w:rPr>
          <w:sz w:val="20"/>
          <w:szCs w:val="20"/>
          <w:color w:val="auto"/>
        </w:rPr>
      </w:pPr>
    </w:p>
    <w:p>
      <w:pPr>
        <w:ind w:left="1060" w:right="2459" w:firstLine="297"/>
        <w:spacing w:after="0" w:line="302" w:lineRule="auto"/>
        <w:rPr>
          <w:sz w:val="20"/>
          <w:szCs w:val="20"/>
          <w:color w:val="auto"/>
        </w:rPr>
      </w:pPr>
      <w:r>
        <w:rPr>
          <w:rFonts w:ascii="Arial" w:cs="Arial" w:eastAsia="Arial" w:hAnsi="Arial"/>
          <w:sz w:val="13"/>
          <w:szCs w:val="13"/>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1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We may expose ourselves to risks if we engage in hedging transactions.</w:t>
      </w:r>
    </w:p>
    <w:p>
      <w:pPr>
        <w:spacing w:after="0" w:line="88" w:lineRule="exact"/>
        <w:rPr>
          <w:sz w:val="20"/>
          <w:szCs w:val="20"/>
          <w:color w:val="auto"/>
        </w:rPr>
      </w:pPr>
    </w:p>
    <w:p>
      <w:pPr>
        <w:ind w:left="1060" w:right="2419" w:firstLine="297"/>
        <w:spacing w:after="0" w:line="291" w:lineRule="auto"/>
        <w:rPr>
          <w:sz w:val="20"/>
          <w:szCs w:val="20"/>
          <w:color w:val="auto"/>
        </w:rPr>
      </w:pPr>
      <w:r>
        <w:rPr>
          <w:rFonts w:ascii="Arial" w:cs="Arial" w:eastAsia="Arial" w:hAnsi="Arial"/>
          <w:sz w:val="13"/>
          <w:szCs w:val="13"/>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2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Risks Related to Our Business and Structure</w:t>
      </w:r>
    </w:p>
    <w:p>
      <w:pPr>
        <w:spacing w:after="0" w:line="162" w:lineRule="exact"/>
        <w:rPr>
          <w:sz w:val="20"/>
          <w:szCs w:val="20"/>
          <w:color w:val="auto"/>
        </w:rPr>
      </w:pPr>
    </w:p>
    <w:p>
      <w:pPr>
        <w:ind w:left="1060" w:right="2799"/>
        <w:spacing w:after="0" w:line="245" w:lineRule="auto"/>
        <w:rPr>
          <w:sz w:val="20"/>
          <w:szCs w:val="20"/>
          <w:color w:val="auto"/>
        </w:rPr>
      </w:pPr>
      <w:r>
        <w:rPr>
          <w:rFonts w:ascii="Arial" w:cs="Arial" w:eastAsia="Arial" w:hAnsi="Arial"/>
          <w:sz w:val="15"/>
          <w:szCs w:val="15"/>
          <w:b w:val="1"/>
          <w:bCs w:val="1"/>
          <w:color w:val="auto"/>
        </w:rPr>
        <w:t>Any failure on our part to maintain our status as a business development company would reduce our operating flexibility.</w:t>
      </w:r>
    </w:p>
    <w:p>
      <w:pPr>
        <w:spacing w:after="0" w:line="65" w:lineRule="exact"/>
        <w:rPr>
          <w:sz w:val="20"/>
          <w:szCs w:val="20"/>
          <w:color w:val="auto"/>
        </w:rPr>
      </w:pPr>
    </w:p>
    <w:p>
      <w:pPr>
        <w:ind w:left="1060" w:right="2419" w:firstLine="297"/>
        <w:spacing w:after="0" w:line="279" w:lineRule="auto"/>
        <w:rPr>
          <w:sz w:val="20"/>
          <w:szCs w:val="20"/>
          <w:color w:val="auto"/>
        </w:rPr>
      </w:pPr>
      <w:r>
        <w:rPr>
          <w:rFonts w:ascii="Arial" w:cs="Arial" w:eastAsia="Arial" w:hAnsi="Arial"/>
          <w:sz w:val="14"/>
          <w:szCs w:val="14"/>
          <w:color w:val="auto"/>
        </w:rPr>
        <w:t>The 1940 Act imposes numerous constraints on the operations of BDCs.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0" w:name="page31"/>
    <w:bookmarkEnd w:id="3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79"/>
        <w:spacing w:after="0" w:line="273" w:lineRule="auto"/>
        <w:rPr>
          <w:sz w:val="20"/>
          <w:szCs w:val="20"/>
          <w:color w:val="auto"/>
        </w:rPr>
      </w:pPr>
      <w:r>
        <w:rPr>
          <w:rFonts w:ascii="Arial" w:cs="Arial" w:eastAsia="Arial" w:hAnsi="Arial"/>
          <w:sz w:val="14"/>
          <w:szCs w:val="14"/>
          <w:color w:val="auto"/>
        </w:rPr>
        <w:t>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31" w:lineRule="exact"/>
        <w:rPr>
          <w:sz w:val="20"/>
          <w:szCs w:val="20"/>
          <w:color w:val="auto"/>
        </w:rPr>
      </w:pPr>
    </w:p>
    <w:p>
      <w:pPr>
        <w:jc w:val="both"/>
        <w:ind w:left="1060" w:right="2519"/>
        <w:spacing w:after="0" w:line="234" w:lineRule="auto"/>
        <w:rPr>
          <w:sz w:val="20"/>
          <w:szCs w:val="20"/>
          <w:color w:val="auto"/>
        </w:rPr>
      </w:pPr>
      <w:r>
        <w:rPr>
          <w:rFonts w:ascii="Arial" w:cs="Arial" w:eastAsia="Arial" w:hAnsi="Arial"/>
          <w:sz w:val="15"/>
          <w:szCs w:val="15"/>
          <w:b w:val="1"/>
          <w:bCs w:val="1"/>
          <w:color w:val="auto"/>
        </w:rPr>
        <w:t>We are dependent upon GSV Asset Management’s senior investment professionals for our future success. If we lose any of GSV Asset Management’s senior investment professionals, our ability to implement our business strategy could be significantly harmed.</w:t>
      </w:r>
    </w:p>
    <w:p>
      <w:pPr>
        <w:spacing w:after="0" w:line="69" w:lineRule="exact"/>
        <w:rPr>
          <w:sz w:val="20"/>
          <w:szCs w:val="20"/>
          <w:color w:val="auto"/>
        </w:rPr>
      </w:pPr>
    </w:p>
    <w:p>
      <w:pPr>
        <w:ind w:left="1060" w:right="2459" w:firstLine="297"/>
        <w:spacing w:after="0" w:line="252" w:lineRule="auto"/>
        <w:rPr>
          <w:sz w:val="20"/>
          <w:szCs w:val="20"/>
          <w:color w:val="auto"/>
        </w:rPr>
      </w:pPr>
      <w:r>
        <w:rPr>
          <w:rFonts w:ascii="Arial" w:cs="Arial" w:eastAsia="Arial" w:hAnsi="Arial"/>
          <w:sz w:val="15"/>
          <w:szCs w:val="15"/>
          <w:color w:val="auto"/>
        </w:rPr>
        <w:t>We depend on the diligence, skill and network of business contacts of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GSV Asset Management’s senior investment professionals, particularly Michael T. Moe, William Tanona and Luben Pampoulov.</w:t>
      </w:r>
    </w:p>
    <w:p>
      <w:pPr>
        <w:spacing w:after="0" w:line="74" w:lineRule="exact"/>
        <w:rPr>
          <w:sz w:val="20"/>
          <w:szCs w:val="20"/>
          <w:color w:val="auto"/>
        </w:rPr>
      </w:pPr>
    </w:p>
    <w:p>
      <w:pPr>
        <w:ind w:left="1060" w:right="2439" w:firstLine="297"/>
        <w:spacing w:after="0" w:line="293" w:lineRule="auto"/>
        <w:rPr>
          <w:sz w:val="20"/>
          <w:szCs w:val="20"/>
          <w:color w:val="auto"/>
        </w:rPr>
      </w:pPr>
      <w:r>
        <w:rPr>
          <w:rFonts w:ascii="Arial" w:cs="Arial" w:eastAsia="Arial" w:hAnsi="Arial"/>
          <w:sz w:val="13"/>
          <w:szCs w:val="13"/>
          <w:color w:val="auto"/>
        </w:rPr>
        <w:t>All of GSV Asset Management’s senior investment professionals, including Michael T. Moe, William Tanona and Luben Pampoulov, are at-will employees. As a result, although Messrs. Moe, Tanona and Pampoulov comprise the principals of GSV Asset Management, they are free to terminate their employment with GSV Asset Management at any time. In addition, none of GSV Asset Management’s senior investment professionals, including Messrs. Moe, Tanona and Pampoulov,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GSV Asset Management will be successful in retaining its senior investment professionals, including Messrs. Moe, Tanona and Pampoulov. The departure of any of Messrs. Moe, Tanona and Pampoulov could have a material adverse effect on our ability to achieve our investment objective.</w:t>
      </w:r>
    </w:p>
    <w:p>
      <w:pPr>
        <w:spacing w:after="0" w:line="228" w:lineRule="exact"/>
        <w:rPr>
          <w:sz w:val="20"/>
          <w:szCs w:val="20"/>
          <w:color w:val="auto"/>
        </w:rPr>
      </w:pPr>
    </w:p>
    <w:p>
      <w:pPr>
        <w:ind w:left="1060" w:right="2459" w:firstLine="297"/>
        <w:spacing w:after="0" w:line="299" w:lineRule="auto"/>
        <w:rPr>
          <w:sz w:val="20"/>
          <w:szCs w:val="20"/>
          <w:color w:val="auto"/>
        </w:rPr>
      </w:pPr>
      <w:r>
        <w:rPr>
          <w:rFonts w:ascii="Arial" w:cs="Arial" w:eastAsia="Arial" w:hAnsi="Arial"/>
          <w:sz w:val="13"/>
          <w:szCs w:val="13"/>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 does.</w:t>
      </w:r>
    </w:p>
    <w:p>
      <w:pPr>
        <w:spacing w:after="0" w:line="117" w:lineRule="exact"/>
        <w:rPr>
          <w:sz w:val="20"/>
          <w:szCs w:val="20"/>
          <w:color w:val="auto"/>
        </w:rPr>
      </w:pPr>
    </w:p>
    <w:p>
      <w:pPr>
        <w:ind w:left="1060" w:right="2779"/>
        <w:spacing w:after="0" w:line="245" w:lineRule="auto"/>
        <w:rPr>
          <w:sz w:val="20"/>
          <w:szCs w:val="20"/>
          <w:color w:val="auto"/>
        </w:rPr>
      </w:pPr>
      <w:r>
        <w:rPr>
          <w:rFonts w:ascii="Arial" w:cs="Arial" w:eastAsia="Arial" w:hAnsi="Arial"/>
          <w:sz w:val="15"/>
          <w:szCs w:val="15"/>
          <w:b w:val="1"/>
          <w:bCs w:val="1"/>
          <w:color w:val="auto"/>
        </w:rPr>
        <w:t>Our financial condition and results of operations will depend on our ability to achieve our investment objective.</w:t>
      </w:r>
    </w:p>
    <w:p>
      <w:pPr>
        <w:spacing w:after="0" w:line="65" w:lineRule="exact"/>
        <w:rPr>
          <w:sz w:val="20"/>
          <w:szCs w:val="20"/>
          <w:color w:val="auto"/>
        </w:rPr>
      </w:pPr>
    </w:p>
    <w:p>
      <w:pPr>
        <w:ind w:left="1060" w:right="2459" w:firstLine="297"/>
        <w:spacing w:after="0" w:line="273" w:lineRule="auto"/>
        <w:rPr>
          <w:sz w:val="20"/>
          <w:szCs w:val="20"/>
          <w:color w:val="auto"/>
        </w:rPr>
      </w:pPr>
      <w:r>
        <w:rPr>
          <w:rFonts w:ascii="Arial" w:cs="Arial" w:eastAsia="Arial" w:hAnsi="Arial"/>
          <w:sz w:val="14"/>
          <w:szCs w:val="14"/>
          <w:color w:val="auto"/>
        </w:rPr>
        <w:t>Our ability to achieve our investment objective will depend on GSV Asset Management’s ability to identify, analyze and invest in companies that meet our investment criteria. Accomplishing this result on a cost-effective basis is largely a function of GSV Asset Management’s structuring of the investment process and its ability to provide competent, attentive and efficient services to us. We seek a specified number of investments in rapidly growing venture-capital-backed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57"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Even if we are able to grow and build upon our investment operations, any failure to manage our growth effectively could have a material adverse effect on our business, financial condition, results of operations and prospects. GSV Asset Management also manages the Coursera Funds and the GSV@SP Fund and serves as sub-adviser for certain investment series of the GSV Ventures Funds, and will likely manage one or more private funds, or series within such private funds, in the future. We have no ownership interests in the Coursera Funds, the GSV@SP Fund or the GSV Ventures Funds sub-advised by GSV Asset Management. These demands on their time may distract them or slow the rate of investment.</w:t>
      </w:r>
    </w:p>
    <w:p>
      <w:pPr>
        <w:spacing w:after="0" w:line="20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1" w:name="page32"/>
    <w:bookmarkEnd w:id="3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firstLine="297"/>
        <w:spacing w:after="0" w:line="279" w:lineRule="auto"/>
        <w:rPr>
          <w:sz w:val="20"/>
          <w:szCs w:val="20"/>
          <w:color w:val="auto"/>
        </w:rPr>
      </w:pPr>
      <w:r>
        <w:rPr>
          <w:rFonts w:ascii="Arial" w:cs="Arial" w:eastAsia="Arial" w:hAnsi="Arial"/>
          <w:sz w:val="14"/>
          <w:szCs w:val="14"/>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29" w:lineRule="exact"/>
        <w:rPr>
          <w:sz w:val="20"/>
          <w:szCs w:val="20"/>
          <w:color w:val="auto"/>
        </w:rPr>
      </w:pPr>
    </w:p>
    <w:p>
      <w:pPr>
        <w:ind w:left="1060" w:right="2799"/>
        <w:spacing w:after="0" w:line="319" w:lineRule="auto"/>
        <w:rPr>
          <w:sz w:val="20"/>
          <w:szCs w:val="20"/>
          <w:color w:val="auto"/>
        </w:rPr>
      </w:pPr>
      <w:r>
        <w:rPr>
          <w:rFonts w:ascii="Arial" w:cs="Arial" w:eastAsia="Arial" w:hAnsi="Arial"/>
          <w:sz w:val="13"/>
          <w:szCs w:val="13"/>
          <w:b w:val="1"/>
          <w:bCs w:val="1"/>
          <w:color w:val="auto"/>
        </w:rPr>
        <w:t>We will likely experience fluctuations in our quarterly results and we may be unable to replicate past investment opportunities or make the types of investments we have made to date in future periods.</w:t>
      </w:r>
    </w:p>
    <w:p>
      <w:pPr>
        <w:spacing w:after="0" w:line="19" w:lineRule="exact"/>
        <w:rPr>
          <w:sz w:val="20"/>
          <w:szCs w:val="20"/>
          <w:color w:val="auto"/>
        </w:rPr>
      </w:pPr>
    </w:p>
    <w:p>
      <w:pPr>
        <w:ind w:left="1060" w:right="2399" w:firstLine="297"/>
        <w:spacing w:after="0" w:line="294" w:lineRule="auto"/>
        <w:rPr>
          <w:sz w:val="20"/>
          <w:szCs w:val="20"/>
          <w:color w:val="auto"/>
        </w:rPr>
      </w:pPr>
      <w:r>
        <w:rPr>
          <w:rFonts w:ascii="Arial" w:cs="Arial" w:eastAsia="Arial" w:hAnsi="Arial"/>
          <w:sz w:val="13"/>
          <w:szCs w:val="13"/>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2017,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22" w:lineRule="exact"/>
        <w:rPr>
          <w:sz w:val="20"/>
          <w:szCs w:val="20"/>
          <w:color w:val="auto"/>
        </w:rPr>
      </w:pPr>
    </w:p>
    <w:p>
      <w:pPr>
        <w:ind w:left="1060" w:right="2499"/>
        <w:spacing w:after="0" w:line="245" w:lineRule="auto"/>
        <w:rPr>
          <w:sz w:val="20"/>
          <w:szCs w:val="20"/>
          <w:color w:val="auto"/>
        </w:rPr>
      </w:pPr>
      <w:r>
        <w:rPr>
          <w:rFonts w:ascii="Arial" w:cs="Arial" w:eastAsia="Arial" w:hAnsi="Arial"/>
          <w:sz w:val="15"/>
          <w:szCs w:val="15"/>
          <w:b w:val="1"/>
          <w:bCs w:val="1"/>
          <w:color w:val="auto"/>
        </w:rPr>
        <w:t>Our business model depends upon the development and maintenance of strong referral relationships with private equity, venture capital funds and investment banking firms.</w:t>
      </w:r>
    </w:p>
    <w:p>
      <w:pPr>
        <w:spacing w:after="0" w:line="65" w:lineRule="exact"/>
        <w:rPr>
          <w:sz w:val="20"/>
          <w:szCs w:val="20"/>
          <w:color w:val="auto"/>
        </w:rPr>
      </w:pPr>
    </w:p>
    <w:p>
      <w:pPr>
        <w:ind w:left="1060" w:right="2399" w:firstLine="297"/>
        <w:spacing w:after="0" w:line="293" w:lineRule="auto"/>
        <w:rPr>
          <w:sz w:val="20"/>
          <w:szCs w:val="20"/>
          <w:color w:val="auto"/>
        </w:rPr>
      </w:pPr>
      <w:r>
        <w:rPr>
          <w:rFonts w:ascii="Arial" w:cs="Arial" w:eastAsia="Arial" w:hAnsi="Arial"/>
          <w:sz w:val="13"/>
          <w:szCs w:val="13"/>
          <w:color w:val="auto"/>
        </w:rPr>
        <w:t>We are substantially dependent on the GSV Asset Management senior investment professionals’ informal relationships, which we use to help identify and gain access to investment opportunities. If the GSV Asset Management senior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GSV Asset Management senior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124" w:lineRule="exact"/>
        <w:rPr>
          <w:sz w:val="20"/>
          <w:szCs w:val="20"/>
          <w:color w:val="auto"/>
        </w:rPr>
      </w:pPr>
    </w:p>
    <w:p>
      <w:pPr>
        <w:ind w:left="1060" w:right="3059"/>
        <w:spacing w:after="0" w:line="245" w:lineRule="auto"/>
        <w:rPr>
          <w:sz w:val="20"/>
          <w:szCs w:val="20"/>
          <w:color w:val="auto"/>
        </w:rPr>
      </w:pPr>
      <w:r>
        <w:rPr>
          <w:rFonts w:ascii="Arial" w:cs="Arial" w:eastAsia="Arial" w:hAnsi="Arial"/>
          <w:sz w:val="15"/>
          <w:szCs w:val="15"/>
          <w:b w:val="1"/>
          <w:bCs w:val="1"/>
          <w:color w:val="auto"/>
        </w:rPr>
        <w:t>There are significant potential risks related to investing in securities traded on private secondary marketplaces.</w:t>
      </w:r>
    </w:p>
    <w:p>
      <w:pPr>
        <w:spacing w:after="0" w:line="65" w:lineRule="exact"/>
        <w:rPr>
          <w:sz w:val="20"/>
          <w:szCs w:val="20"/>
          <w:color w:val="auto"/>
        </w:rPr>
      </w:pPr>
    </w:p>
    <w:p>
      <w:pPr>
        <w:ind w:left="1060" w:right="2499" w:firstLine="297"/>
        <w:spacing w:after="0" w:line="292" w:lineRule="auto"/>
        <w:rPr>
          <w:sz w:val="20"/>
          <w:szCs w:val="20"/>
          <w:color w:val="auto"/>
        </w:rPr>
      </w:pPr>
      <w:r>
        <w:rPr>
          <w:rFonts w:ascii="Arial" w:cs="Arial" w:eastAsia="Arial" w:hAnsi="Arial"/>
          <w:sz w:val="13"/>
          <w:szCs w:val="13"/>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and contacts of GSV Asset Management’s senior investment professionals and our board of directors to obtain the information for GSV Asset Management to perform research and due diligence, and to monitor our investments after they are made. There can be no assurance that GSV Asset Management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53"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2" w:name="page33"/>
    <w:bookmarkEnd w:id="3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60" w:right="2499"/>
        <w:spacing w:after="0" w:line="286" w:lineRule="auto"/>
        <w:rPr>
          <w:sz w:val="20"/>
          <w:szCs w:val="20"/>
          <w:color w:val="auto"/>
        </w:rPr>
      </w:pPr>
      <w:r>
        <w:rPr>
          <w:rFonts w:ascii="Arial" w:cs="Arial" w:eastAsia="Arial" w:hAnsi="Arial"/>
          <w:sz w:val="14"/>
          <w:szCs w:val="14"/>
          <w:color w:val="auto"/>
        </w:rPr>
        <w:t>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49" w:lineRule="exact"/>
        <w:rPr>
          <w:sz w:val="20"/>
          <w:szCs w:val="20"/>
          <w:color w:val="auto"/>
        </w:rPr>
      </w:pPr>
    </w:p>
    <w:p>
      <w:pPr>
        <w:ind w:left="1060" w:right="2419" w:firstLine="297"/>
        <w:spacing w:after="0" w:line="291" w:lineRule="auto"/>
        <w:rPr>
          <w:sz w:val="20"/>
          <w:szCs w:val="20"/>
          <w:color w:val="auto"/>
        </w:rPr>
      </w:pPr>
      <w:r>
        <w:rPr>
          <w:rFonts w:ascii="Arial" w:cs="Arial" w:eastAsia="Arial" w:hAnsi="Arial"/>
          <w:sz w:val="13"/>
          <w:szCs w:val="13"/>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304" w:lineRule="exact"/>
        <w:rPr>
          <w:sz w:val="20"/>
          <w:szCs w:val="20"/>
          <w:color w:val="auto"/>
        </w:rPr>
      </w:pPr>
    </w:p>
    <w:p>
      <w:pPr>
        <w:ind w:left="1060" w:right="2559"/>
        <w:spacing w:after="0" w:line="245" w:lineRule="auto"/>
        <w:rPr>
          <w:sz w:val="20"/>
          <w:szCs w:val="20"/>
          <w:color w:val="auto"/>
        </w:rPr>
      </w:pPr>
      <w:r>
        <w:rPr>
          <w:rFonts w:ascii="Arial" w:cs="Arial" w:eastAsia="Arial" w:hAnsi="Arial"/>
          <w:sz w:val="15"/>
          <w:szCs w:val="15"/>
          <w:b w:val="1"/>
          <w:bCs w:val="1"/>
          <w:color w:val="auto"/>
        </w:rPr>
        <w:t>Due to transfer restrictions and the illiquid nature of our investments, we may not be able to purchase or sell our investments when we wish to do so.</w:t>
      </w:r>
    </w:p>
    <w:p>
      <w:pPr>
        <w:spacing w:after="0" w:line="65" w:lineRule="exact"/>
        <w:rPr>
          <w:sz w:val="20"/>
          <w:szCs w:val="20"/>
          <w:color w:val="auto"/>
        </w:rPr>
      </w:pPr>
    </w:p>
    <w:p>
      <w:pPr>
        <w:ind w:left="1060" w:right="2419" w:firstLine="297"/>
        <w:spacing w:after="0" w:line="268" w:lineRule="auto"/>
        <w:rPr>
          <w:sz w:val="20"/>
          <w:szCs w:val="20"/>
          <w:color w:val="auto"/>
        </w:rPr>
      </w:pPr>
      <w:r>
        <w:rPr>
          <w:rFonts w:ascii="Arial" w:cs="Arial" w:eastAsia="Arial" w:hAnsi="Arial"/>
          <w:sz w:val="14"/>
          <w:szCs w:val="14"/>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66" w:lineRule="exact"/>
        <w:rPr>
          <w:sz w:val="20"/>
          <w:szCs w:val="20"/>
          <w:color w:val="auto"/>
        </w:rPr>
      </w:pPr>
    </w:p>
    <w:p>
      <w:pPr>
        <w:ind w:left="1060" w:right="2419" w:firstLine="297"/>
        <w:spacing w:after="0" w:line="252" w:lineRule="auto"/>
        <w:rPr>
          <w:sz w:val="20"/>
          <w:szCs w:val="20"/>
          <w:color w:val="auto"/>
        </w:rPr>
      </w:pPr>
      <w:r>
        <w:rPr>
          <w:rFonts w:ascii="Arial" w:cs="Arial" w:eastAsia="Arial" w:hAnsi="Arial"/>
          <w:sz w:val="15"/>
          <w:szCs w:val="15"/>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71" w:lineRule="exact"/>
        <w:rPr>
          <w:sz w:val="20"/>
          <w:szCs w:val="20"/>
          <w:color w:val="auto"/>
        </w:rPr>
      </w:pPr>
    </w:p>
    <w:p>
      <w:pPr>
        <w:ind w:left="1060" w:right="2539" w:firstLine="297"/>
        <w:spacing w:after="0" w:line="276" w:lineRule="auto"/>
        <w:rPr>
          <w:sz w:val="20"/>
          <w:szCs w:val="20"/>
          <w:color w:val="auto"/>
        </w:rPr>
      </w:pPr>
      <w:r>
        <w:rPr>
          <w:rFonts w:ascii="Arial" w:cs="Arial" w:eastAsia="Arial" w:hAnsi="Arial"/>
          <w:sz w:val="14"/>
          <w:szCs w:val="14"/>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19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3" w:name="page34"/>
    <w:bookmarkEnd w:id="3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right="2579"/>
        <w:spacing w:after="0" w:line="245" w:lineRule="auto"/>
        <w:rPr>
          <w:sz w:val="20"/>
          <w:szCs w:val="20"/>
          <w:color w:val="auto"/>
        </w:rPr>
      </w:pPr>
      <w:r>
        <w:rPr>
          <w:rFonts w:ascii="Arial" w:cs="Arial" w:eastAsia="Arial" w:hAnsi="Arial"/>
          <w:sz w:val="15"/>
          <w:szCs w:val="15"/>
          <w:b w:val="1"/>
          <w:bCs w:val="1"/>
          <w:color w:val="auto"/>
        </w:rPr>
        <w:t>There are significant potential risks associated with investing in venture capital companies with complex capital structures.</w:t>
      </w:r>
    </w:p>
    <w:p>
      <w:pPr>
        <w:spacing w:after="0" w:line="65" w:lineRule="exact"/>
        <w:rPr>
          <w:sz w:val="20"/>
          <w:szCs w:val="20"/>
          <w:color w:val="auto"/>
        </w:rPr>
      </w:pPr>
    </w:p>
    <w:p>
      <w:pPr>
        <w:ind w:left="1060" w:right="2479" w:firstLine="297"/>
        <w:spacing w:after="0" w:line="291" w:lineRule="auto"/>
        <w:rPr>
          <w:sz w:val="20"/>
          <w:szCs w:val="20"/>
          <w:color w:val="auto"/>
        </w:rPr>
      </w:pPr>
      <w:r>
        <w:rPr>
          <w:rFonts w:ascii="Arial" w:cs="Arial" w:eastAsia="Arial" w:hAnsi="Arial"/>
          <w:sz w:val="13"/>
          <w:szCs w:val="13"/>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GSV Asset Management’s senior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301" w:lineRule="exact"/>
        <w:rPr>
          <w:sz w:val="20"/>
          <w:szCs w:val="20"/>
          <w:color w:val="auto"/>
        </w:rPr>
      </w:pPr>
    </w:p>
    <w:p>
      <w:pPr>
        <w:ind w:left="1060" w:right="2619"/>
        <w:spacing w:after="0" w:line="319" w:lineRule="auto"/>
        <w:rPr>
          <w:sz w:val="20"/>
          <w:szCs w:val="20"/>
          <w:color w:val="auto"/>
        </w:rPr>
      </w:pPr>
      <w:r>
        <w:rPr>
          <w:rFonts w:ascii="Arial" w:cs="Arial" w:eastAsia="Arial" w:hAnsi="Arial"/>
          <w:sz w:val="13"/>
          <w:szCs w:val="13"/>
          <w:b w:val="1"/>
          <w:bCs w:val="1"/>
          <w:color w:val="auto"/>
        </w:rPr>
        <w:t>Our business is subject to increasingly complex corporate governance, public disclosure and accounting requirements that are costly and could adversely affect our business and financial results.</w:t>
      </w:r>
    </w:p>
    <w:p>
      <w:pPr>
        <w:spacing w:after="0" w:line="19" w:lineRule="exact"/>
        <w:rPr>
          <w:sz w:val="20"/>
          <w:szCs w:val="20"/>
          <w:color w:val="auto"/>
        </w:rPr>
      </w:pPr>
    </w:p>
    <w:p>
      <w:pPr>
        <w:ind w:left="1060" w:right="2519" w:firstLine="297"/>
        <w:spacing w:after="0" w:line="271" w:lineRule="auto"/>
        <w:rPr>
          <w:sz w:val="20"/>
          <w:szCs w:val="20"/>
          <w:color w:val="auto"/>
        </w:rPr>
      </w:pPr>
      <w:r>
        <w:rPr>
          <w:rFonts w:ascii="Arial" w:cs="Arial" w:eastAsia="Arial" w:hAnsi="Arial"/>
          <w:sz w:val="14"/>
          <w:szCs w:val="14"/>
          <w:color w:val="auto"/>
        </w:rPr>
        <w:t>We are subject to changing rules and regulations of federal and state government as well as the stock exchange on which our common stock is listed. These entities, including the Public Company Accounting Oversight Board, the SEC and the Nasdaq Capital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60" w:lineRule="exact"/>
        <w:rPr>
          <w:sz w:val="20"/>
          <w:szCs w:val="20"/>
          <w:color w:val="auto"/>
        </w:rPr>
      </w:pPr>
    </w:p>
    <w:p>
      <w:pPr>
        <w:ind w:left="1060" w:right="2419" w:firstLine="297"/>
        <w:spacing w:after="0" w:line="299" w:lineRule="auto"/>
        <w:rPr>
          <w:sz w:val="20"/>
          <w:szCs w:val="20"/>
          <w:color w:val="auto"/>
        </w:rPr>
      </w:pPr>
      <w:r>
        <w:rPr>
          <w:rFonts w:ascii="Arial" w:cs="Arial" w:eastAsia="Arial" w:hAnsi="Arial"/>
          <w:sz w:val="13"/>
          <w:szCs w:val="13"/>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43" w:lineRule="exact"/>
        <w:rPr>
          <w:sz w:val="20"/>
          <w:szCs w:val="20"/>
          <w:color w:val="auto"/>
        </w:rPr>
      </w:pPr>
    </w:p>
    <w:p>
      <w:pPr>
        <w:ind w:left="1060" w:right="2439" w:firstLine="297"/>
        <w:spacing w:after="0" w:line="252" w:lineRule="auto"/>
        <w:rPr>
          <w:sz w:val="20"/>
          <w:szCs w:val="20"/>
          <w:color w:val="auto"/>
        </w:rPr>
      </w:pPr>
      <w:r>
        <w:rPr>
          <w:rFonts w:ascii="Arial" w:cs="Arial" w:eastAsia="Arial" w:hAnsi="Arial"/>
          <w:sz w:val="15"/>
          <w:szCs w:val="15"/>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48" w:lineRule="exact"/>
        <w:rPr>
          <w:sz w:val="20"/>
          <w:szCs w:val="20"/>
          <w:color w:val="auto"/>
        </w:rPr>
      </w:pPr>
    </w:p>
    <w:p>
      <w:pPr>
        <w:ind w:left="1060" w:right="2679"/>
        <w:spacing w:after="0" w:line="256" w:lineRule="auto"/>
        <w:rPr>
          <w:sz w:val="20"/>
          <w:szCs w:val="20"/>
          <w:color w:val="auto"/>
        </w:rPr>
      </w:pPr>
      <w:r>
        <w:rPr>
          <w:rFonts w:ascii="Arial" w:cs="Arial" w:eastAsia="Arial" w:hAnsi="Arial"/>
          <w:sz w:val="14"/>
          <w:szCs w:val="14"/>
          <w:b w:val="1"/>
          <w:b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58" w:lineRule="exact"/>
        <w:rPr>
          <w:sz w:val="20"/>
          <w:szCs w:val="20"/>
          <w:color w:val="auto"/>
        </w:rPr>
      </w:pPr>
    </w:p>
    <w:p>
      <w:pPr>
        <w:ind w:left="1060" w:right="2519" w:firstLine="297"/>
        <w:spacing w:after="0" w:line="259" w:lineRule="auto"/>
        <w:rPr>
          <w:sz w:val="20"/>
          <w:szCs w:val="20"/>
          <w:color w:val="auto"/>
        </w:rPr>
      </w:pPr>
      <w:r>
        <w:rPr>
          <w:rFonts w:ascii="Arial" w:cs="Arial" w:eastAsia="Arial" w:hAnsi="Arial"/>
          <w:sz w:val="15"/>
          <w:szCs w:val="15"/>
          <w:color w:val="auto"/>
        </w:rPr>
        <w:t>As a BDC,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67" w:lineRule="exact"/>
        <w:rPr>
          <w:sz w:val="20"/>
          <w:szCs w:val="20"/>
          <w:color w:val="auto"/>
        </w:rPr>
      </w:pPr>
    </w:p>
    <w:p>
      <w:pPr>
        <w:ind w:left="1060" w:right="2419" w:firstLine="297"/>
        <w:spacing w:after="0" w:line="307" w:lineRule="auto"/>
        <w:rPr>
          <w:sz w:val="20"/>
          <w:szCs w:val="20"/>
          <w:color w:val="auto"/>
        </w:rPr>
      </w:pPr>
      <w:r>
        <w:rPr>
          <w:rFonts w:ascii="Arial" w:cs="Arial" w:eastAsia="Arial" w:hAnsi="Arial"/>
          <w:sz w:val="14"/>
          <w:szCs w:val="14"/>
          <w:color w:val="auto"/>
        </w:rPr>
        <w:t>From time to time, capital markets may experience periods of disruption and instability. During such periods of market disruption and instability, we and other companies in the financial services sector may</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4" w:name="page35"/>
    <w:bookmarkEnd w:id="3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39"/>
        <w:spacing w:after="0" w:line="271" w:lineRule="auto"/>
        <w:rPr>
          <w:sz w:val="20"/>
          <w:szCs w:val="20"/>
          <w:color w:val="auto"/>
        </w:rPr>
      </w:pPr>
      <w:r>
        <w:rPr>
          <w:rFonts w:ascii="Arial" w:cs="Arial" w:eastAsia="Arial" w:hAnsi="Arial"/>
          <w:sz w:val="14"/>
          <w:szCs w:val="14"/>
          <w:color w:val="auto"/>
        </w:rPr>
        <w:t>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200%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60" w:lineRule="exact"/>
        <w:rPr>
          <w:sz w:val="20"/>
          <w:szCs w:val="20"/>
          <w:color w:val="auto"/>
        </w:rPr>
      </w:pPr>
    </w:p>
    <w:p>
      <w:pPr>
        <w:ind w:left="1060" w:right="2459" w:firstLine="297"/>
        <w:spacing w:after="0" w:line="269" w:lineRule="auto"/>
        <w:rPr>
          <w:sz w:val="20"/>
          <w:szCs w:val="20"/>
          <w:color w:val="auto"/>
        </w:rPr>
      </w:pPr>
      <w:r>
        <w:rPr>
          <w:rFonts w:ascii="Arial" w:cs="Arial" w:eastAsia="Arial" w:hAnsi="Arial"/>
          <w:sz w:val="14"/>
          <w:szCs w:val="14"/>
          <w:color w:val="auto"/>
        </w:rPr>
        <w:t>Given the volatility and dislocation in the capital markets over the past several years, many BDCs have faced, and may in the future face, a challenging environment in which to raise or access capital. In addition, this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market-to-market transactions between market participants.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investments we may make and adversely affect the value of our portfolio investments, which could have a material and adverse effect on our business, financial condition, results of operations and cash flows.</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Economic recessions or downturns could impair our portfolio companies and harm our operating results.</w:t>
      </w:r>
    </w:p>
    <w:p>
      <w:pPr>
        <w:spacing w:after="0" w:line="111"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64" w:lineRule="exact"/>
        <w:rPr>
          <w:sz w:val="20"/>
          <w:szCs w:val="20"/>
          <w:color w:val="auto"/>
        </w:rPr>
      </w:pPr>
    </w:p>
    <w:p>
      <w:pPr>
        <w:ind w:left="1060" w:right="2419" w:firstLine="297"/>
        <w:spacing w:after="0" w:line="297"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44" w:lineRule="exact"/>
        <w:rPr>
          <w:sz w:val="20"/>
          <w:szCs w:val="20"/>
          <w:color w:val="auto"/>
        </w:rPr>
      </w:pPr>
    </w:p>
    <w:p>
      <w:pPr>
        <w:ind w:left="1060" w:right="2419" w:firstLine="297"/>
        <w:spacing w:after="0" w:line="293" w:lineRule="auto"/>
        <w:rPr>
          <w:sz w:val="20"/>
          <w:szCs w:val="20"/>
          <w:color w:val="auto"/>
        </w:rPr>
      </w:pPr>
      <w:r>
        <w:rPr>
          <w:rFonts w:ascii="Arial" w:cs="Arial" w:eastAsia="Arial" w:hAnsi="Arial"/>
          <w:sz w:val="13"/>
          <w:szCs w:val="13"/>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5" w:name="page36"/>
    <w:bookmarkEnd w:id="3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060" w:right="2499"/>
        <w:spacing w:after="0" w:line="234" w:lineRule="auto"/>
        <w:rPr>
          <w:sz w:val="20"/>
          <w:szCs w:val="20"/>
          <w:color w:val="auto"/>
        </w:rPr>
      </w:pPr>
      <w:r>
        <w:rPr>
          <w:rFonts w:ascii="Arial" w:cs="Arial" w:eastAsia="Arial" w:hAnsi="Arial"/>
          <w:sz w:val="15"/>
          <w:szCs w:val="15"/>
          <w:b w:val="1"/>
          <w:b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69" w:lineRule="exact"/>
        <w:rPr>
          <w:sz w:val="20"/>
          <w:szCs w:val="20"/>
          <w:color w:val="auto"/>
        </w:rPr>
      </w:pPr>
    </w:p>
    <w:p>
      <w:pPr>
        <w:ind w:left="1060" w:right="2399" w:firstLine="297"/>
        <w:spacing w:after="0" w:line="269" w:lineRule="auto"/>
        <w:rPr>
          <w:sz w:val="20"/>
          <w:szCs w:val="20"/>
          <w:color w:val="auto"/>
        </w:rPr>
      </w:pPr>
      <w:r>
        <w:rPr>
          <w:rFonts w:ascii="Arial" w:cs="Arial" w:eastAsia="Arial" w:hAnsi="Arial"/>
          <w:sz w:val="14"/>
          <w:szCs w:val="14"/>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3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We operate in a highly competitive market for direct equity investment opportunities.</w:t>
      </w:r>
    </w:p>
    <w:p>
      <w:pPr>
        <w:spacing w:after="0" w:line="88" w:lineRule="exact"/>
        <w:rPr>
          <w:sz w:val="20"/>
          <w:szCs w:val="20"/>
          <w:color w:val="auto"/>
        </w:rPr>
      </w:pPr>
    </w:p>
    <w:p>
      <w:pPr>
        <w:ind w:left="1060" w:right="2459" w:firstLine="297"/>
        <w:spacing w:after="0" w:line="291" w:lineRule="auto"/>
        <w:rPr>
          <w:sz w:val="20"/>
          <w:szCs w:val="20"/>
          <w:color w:val="auto"/>
        </w:rPr>
      </w:pPr>
      <w:r>
        <w:rPr>
          <w:rFonts w:ascii="Arial" w:cs="Arial" w:eastAsia="Arial" w:hAnsi="Arial"/>
          <w:sz w:val="13"/>
          <w:szCs w:val="13"/>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2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The management and incentive fees may induce GSV Asset Management to make speculative investments.</w:t>
      </w:r>
    </w:p>
    <w:p>
      <w:pPr>
        <w:spacing w:after="0" w:line="111" w:lineRule="exact"/>
        <w:rPr>
          <w:sz w:val="20"/>
          <w:szCs w:val="20"/>
          <w:color w:val="auto"/>
        </w:rPr>
      </w:pPr>
    </w:p>
    <w:p>
      <w:pPr>
        <w:ind w:left="1060" w:right="2419" w:firstLine="297"/>
        <w:spacing w:after="0" w:line="291" w:lineRule="auto"/>
        <w:rPr>
          <w:sz w:val="20"/>
          <w:szCs w:val="20"/>
          <w:color w:val="auto"/>
        </w:rPr>
      </w:pPr>
      <w:r>
        <w:rPr>
          <w:rFonts w:ascii="Arial" w:cs="Arial" w:eastAsia="Arial" w:hAnsi="Arial"/>
          <w:sz w:val="13"/>
          <w:szCs w:val="13"/>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subject to the terms of the Waiver Agreement, may encourage GSV Asset Management to use leverage to increase the return on our investments. In addition, the fact that our base management fee is generally payable based upon our gross assets, which is our total assets as reflected on our balance sheet (with no deduction for liabilities), may encourage GSV Asset Management to use leverage to make additional investments. On September 17, 2013, we completed a private placement of the Convertible Senior Notes.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54" w:lineRule="exact"/>
        <w:rPr>
          <w:sz w:val="20"/>
          <w:szCs w:val="20"/>
          <w:color w:val="auto"/>
        </w:rPr>
      </w:pPr>
    </w:p>
    <w:p>
      <w:pPr>
        <w:ind w:left="1060" w:right="2579" w:firstLine="297"/>
        <w:spacing w:after="0" w:line="307" w:lineRule="auto"/>
        <w:rPr>
          <w:sz w:val="20"/>
          <w:szCs w:val="20"/>
          <w:color w:val="auto"/>
        </w:rPr>
      </w:pPr>
      <w:r>
        <w:rPr>
          <w:rFonts w:ascii="Arial" w:cs="Arial" w:eastAsia="Arial" w:hAnsi="Arial"/>
          <w:sz w:val="13"/>
          <w:szCs w:val="13"/>
          <w:color w:val="auto"/>
        </w:rPr>
        <w:t>In addition, GSV Asset Management has control over the timing of the acquisition and dispositions of our investments, and; therefore, over when we realize gains and losses on our investments. As a result, GSV Asset Management, and those of our interested directors who are compensated by GSV Asset Management as employees of, or consultants to, GSV Asset Management based on the management and incentive fees</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6" w:name="page37"/>
    <w:bookmarkEnd w:id="3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39"/>
        <w:spacing w:after="0" w:line="274" w:lineRule="auto"/>
        <w:rPr>
          <w:sz w:val="20"/>
          <w:szCs w:val="20"/>
          <w:color w:val="auto"/>
        </w:rPr>
      </w:pPr>
      <w:r>
        <w:rPr>
          <w:rFonts w:ascii="Arial" w:cs="Arial" w:eastAsia="Arial" w:hAnsi="Arial"/>
          <w:sz w:val="14"/>
          <w:szCs w:val="14"/>
          <w:color w:val="auto"/>
        </w:rPr>
        <w:t>paid by us to GSV Asset Management, may face a conflict of interest in determining when it is appropriate to dispose of a specific investment to the extent doing so may serve to maximize the incentive fee at a point where disposing of such investment may not necessarily be in the best interests of our stockholders. The independent members of our board of directors monitor such conflicts of interest in connection with their review of the performance of GSV Asset Management under our Investment Advisory Agreement, as well as during their quarterly review of our financial performance and results of operations.</w:t>
      </w:r>
    </w:p>
    <w:p>
      <w:pPr>
        <w:spacing w:after="0" w:line="132" w:lineRule="exact"/>
        <w:rPr>
          <w:sz w:val="20"/>
          <w:szCs w:val="20"/>
          <w:color w:val="auto"/>
        </w:rPr>
      </w:pPr>
    </w:p>
    <w:p>
      <w:pPr>
        <w:ind w:left="1060" w:right="2659"/>
        <w:spacing w:after="0" w:line="245" w:lineRule="auto"/>
        <w:rPr>
          <w:sz w:val="20"/>
          <w:szCs w:val="20"/>
          <w:color w:val="auto"/>
        </w:rPr>
      </w:pPr>
      <w:r>
        <w:rPr>
          <w:rFonts w:ascii="Arial" w:cs="Arial" w:eastAsia="Arial" w:hAnsi="Arial"/>
          <w:sz w:val="15"/>
          <w:szCs w:val="15"/>
          <w:b w:val="1"/>
          <w:bCs w:val="1"/>
          <w:color w:val="auto"/>
        </w:rPr>
        <w:t>Borrowings, such as the Convertible Senior Notes and the Credit Facility, can magnify the potential for gain or loss on amounts invested and may increase the risk of investing in us.</w:t>
      </w:r>
    </w:p>
    <w:p>
      <w:pPr>
        <w:spacing w:after="0" w:line="65" w:lineRule="exact"/>
        <w:rPr>
          <w:sz w:val="20"/>
          <w:szCs w:val="20"/>
          <w:color w:val="auto"/>
        </w:rPr>
      </w:pPr>
    </w:p>
    <w:p>
      <w:pPr>
        <w:ind w:left="1060" w:right="2439" w:firstLine="297"/>
        <w:spacing w:after="0" w:line="268" w:lineRule="auto"/>
        <w:rPr>
          <w:sz w:val="20"/>
          <w:szCs w:val="20"/>
          <w:color w:val="auto"/>
        </w:rPr>
      </w:pPr>
      <w:r>
        <w:rPr>
          <w:rFonts w:ascii="Arial" w:cs="Arial" w:eastAsia="Arial" w:hAnsi="Arial"/>
          <w:sz w:val="14"/>
          <w:szCs w:val="14"/>
          <w:color w:val="auto"/>
        </w:rPr>
        <w:t>Borrowings, also known as leverage, magnify the potential for gain or loss on amounts invested and, therefore, increase the risks associated with investing in our securities. In addition to the Convertible Senior Notes and the $12.0 million senior secured revolving credit facility with Western Alliance Bank (the “Credit Facility”),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Convertible Senior Notes, any borrowings under the Credit Facility and any future debt that we incur will depend largely on our financial performance and will be subject to prevailing economic conditions and competitive pressures. Moreover, because the management fee payable to GSV Asset Management is calculated based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 As a result of our use of leverage, we have experienced a substantial increase in operating expenses and may continue to do so in the future.</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Our use of borrowed funds to make investments exposes us to risks typically associated with leverage.</w:t>
      </w:r>
    </w:p>
    <w:p>
      <w:pPr>
        <w:spacing w:after="0" w:line="111" w:lineRule="exact"/>
        <w:rPr>
          <w:sz w:val="20"/>
          <w:szCs w:val="20"/>
          <w:color w:val="auto"/>
        </w:rPr>
      </w:pPr>
    </w:p>
    <w:p>
      <w:pPr>
        <w:ind w:left="1060" w:right="2919" w:firstLine="297"/>
        <w:spacing w:after="0" w:line="270" w:lineRule="auto"/>
        <w:rPr>
          <w:sz w:val="20"/>
          <w:szCs w:val="20"/>
          <w:color w:val="auto"/>
        </w:rPr>
      </w:pPr>
      <w:r>
        <w:rPr>
          <w:rFonts w:ascii="Arial" w:cs="Arial" w:eastAsia="Arial" w:hAnsi="Arial"/>
          <w:sz w:val="15"/>
          <w:szCs w:val="15"/>
          <w:color w:val="auto"/>
        </w:rPr>
        <w:t>We borrow money and may issue additional debt securities or preferred stock to leverage our capital structure. As a result:</w:t>
      </w:r>
    </w:p>
    <w:p>
      <w:pPr>
        <w:spacing w:after="0" w:line="114" w:lineRule="exact"/>
        <w:rPr>
          <w:sz w:val="20"/>
          <w:szCs w:val="20"/>
          <w:color w:val="auto"/>
        </w:rPr>
      </w:pPr>
    </w:p>
    <w:p>
      <w:pPr>
        <w:ind w:left="1640" w:right="2439" w:hanging="292"/>
        <w:spacing w:after="0" w:line="259" w:lineRule="auto"/>
        <w:tabs>
          <w:tab w:leader="none" w:pos="1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111" w:lineRule="exact"/>
        <w:rPr>
          <w:rFonts w:ascii="Arial" w:cs="Arial" w:eastAsia="Arial" w:hAnsi="Arial"/>
          <w:sz w:val="15"/>
          <w:szCs w:val="15"/>
          <w:color w:val="auto"/>
        </w:rPr>
      </w:pPr>
    </w:p>
    <w:p>
      <w:pPr>
        <w:ind w:left="1640" w:right="2439" w:hanging="292"/>
        <w:spacing w:after="0" w:line="270" w:lineRule="auto"/>
        <w:tabs>
          <w:tab w:leader="none" w:pos="1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depreciation in the value of our assets may magnify losses associated with an investment and could totally eliminate the value of an asset to us;</w:t>
      </w:r>
    </w:p>
    <w:p>
      <w:pPr>
        <w:spacing w:after="0" w:line="102" w:lineRule="exact"/>
        <w:rPr>
          <w:rFonts w:ascii="Arial" w:cs="Arial" w:eastAsia="Arial" w:hAnsi="Arial"/>
          <w:sz w:val="15"/>
          <w:szCs w:val="15"/>
          <w:color w:val="auto"/>
        </w:rPr>
      </w:pPr>
    </w:p>
    <w:p>
      <w:pPr>
        <w:ind w:left="1640" w:right="2499" w:hanging="292"/>
        <w:spacing w:after="0" w:line="259" w:lineRule="auto"/>
        <w:tabs>
          <w:tab w:leader="none" w:pos="1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122" w:lineRule="exact"/>
        <w:rPr>
          <w:rFonts w:ascii="Arial" w:cs="Arial" w:eastAsia="Arial" w:hAnsi="Arial"/>
          <w:sz w:val="15"/>
          <w:szCs w:val="15"/>
          <w:color w:val="auto"/>
        </w:rPr>
      </w:pPr>
    </w:p>
    <w:p>
      <w:pPr>
        <w:ind w:left="1640" w:right="2799" w:hanging="292"/>
        <w:spacing w:after="0" w:line="286" w:lineRule="auto"/>
        <w:tabs>
          <w:tab w:leader="none" w:pos="1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pay dividends on our common stock may be restricted if our asset coverage ratio, as provided in the 1940 Act, is not at least 200%, and any amounts used to service indebtedness or preferred stock would not be available for such dividends;</w:t>
      </w:r>
    </w:p>
    <w:p>
      <w:pPr>
        <w:spacing w:after="0" w:line="94" w:lineRule="exact"/>
        <w:rPr>
          <w:rFonts w:ascii="Arial" w:cs="Arial" w:eastAsia="Arial" w:hAnsi="Arial"/>
          <w:sz w:val="14"/>
          <w:szCs w:val="14"/>
          <w:color w:val="auto"/>
        </w:rPr>
      </w:pPr>
    </w:p>
    <w:p>
      <w:pPr>
        <w:ind w:left="1640" w:right="2499" w:hanging="292"/>
        <w:spacing w:after="0" w:line="270" w:lineRule="auto"/>
        <w:tabs>
          <w:tab w:leader="none" w:pos="1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Credit Facility is, and any future credit facility we may enter would be, subject to periodic renewal by our lenders, whose continued participation cannot be guaranteed;</w:t>
      </w:r>
    </w:p>
    <w:p>
      <w:pPr>
        <w:spacing w:after="0" w:line="114" w:lineRule="exact"/>
        <w:rPr>
          <w:rFonts w:ascii="Arial" w:cs="Arial" w:eastAsia="Arial" w:hAnsi="Arial"/>
          <w:sz w:val="15"/>
          <w:szCs w:val="15"/>
          <w:color w:val="auto"/>
        </w:rPr>
      </w:pPr>
    </w:p>
    <w:p>
      <w:pPr>
        <w:jc w:val="both"/>
        <w:ind w:left="1640" w:right="2459" w:hanging="292"/>
        <w:spacing w:after="0" w:line="259" w:lineRule="auto"/>
        <w:tabs>
          <w:tab w:leader="none" w:pos="1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7" w:name="page38"/>
    <w:bookmarkEnd w:id="3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40" w:right="2799" w:hanging="292"/>
        <w:spacing w:after="0" w:line="270" w:lineRule="auto"/>
        <w:tabs>
          <w:tab w:leader="none" w:pos="1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and indirectly our common stockholders, bear the entire cost of issuing and paying interest or dividends on such securities;</w:t>
      </w:r>
    </w:p>
    <w:p>
      <w:pPr>
        <w:spacing w:after="0" w:line="102" w:lineRule="exact"/>
        <w:rPr>
          <w:rFonts w:ascii="Arial" w:cs="Arial" w:eastAsia="Arial" w:hAnsi="Arial"/>
          <w:sz w:val="15"/>
          <w:szCs w:val="15"/>
          <w:color w:val="auto"/>
        </w:rPr>
      </w:pPr>
    </w:p>
    <w:p>
      <w:pPr>
        <w:ind w:left="1640" w:right="2499" w:hanging="292"/>
        <w:spacing w:after="0" w:line="279" w:lineRule="auto"/>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99" w:lineRule="exact"/>
        <w:rPr>
          <w:rFonts w:ascii="Arial" w:cs="Arial" w:eastAsia="Arial" w:hAnsi="Arial"/>
          <w:sz w:val="14"/>
          <w:szCs w:val="14"/>
          <w:color w:val="auto"/>
        </w:rPr>
      </w:pPr>
    </w:p>
    <w:p>
      <w:pPr>
        <w:ind w:left="1640" w:right="2639" w:hanging="292"/>
        <w:spacing w:after="0" w:line="270" w:lineRule="auto"/>
        <w:tabs>
          <w:tab w:leader="none" w:pos="1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convertible or exchangeable securities that we issue may have rights, preferences and privileges more favorable than those of our common shares; and</w:t>
      </w:r>
    </w:p>
    <w:p>
      <w:pPr>
        <w:spacing w:after="0" w:line="114" w:lineRule="exact"/>
        <w:rPr>
          <w:rFonts w:ascii="Arial" w:cs="Arial" w:eastAsia="Arial" w:hAnsi="Arial"/>
          <w:sz w:val="15"/>
          <w:szCs w:val="15"/>
          <w:color w:val="auto"/>
        </w:rPr>
      </w:pPr>
    </w:p>
    <w:p>
      <w:pPr>
        <w:ind w:left="1640" w:right="2579" w:hanging="292"/>
        <w:spacing w:after="0" w:line="317" w:lineRule="auto"/>
        <w:tabs>
          <w:tab w:leader="none" w:pos="1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w:t>
      </w:r>
    </w:p>
    <w:p>
      <w:pPr>
        <w:spacing w:after="0" w:line="33" w:lineRule="exact"/>
        <w:rPr>
          <w:sz w:val="20"/>
          <w:szCs w:val="20"/>
          <w:color w:val="auto"/>
        </w:rPr>
      </w:pPr>
    </w:p>
    <w:p>
      <w:pPr>
        <w:ind w:left="1060" w:right="2439" w:firstLine="297"/>
        <w:spacing w:after="0" w:line="254" w:lineRule="auto"/>
        <w:rPr>
          <w:sz w:val="20"/>
          <w:szCs w:val="20"/>
          <w:color w:val="auto"/>
        </w:rPr>
      </w:pPr>
      <w:r>
        <w:rPr>
          <w:rFonts w:ascii="Arial" w:cs="Arial" w:eastAsia="Arial" w:hAnsi="Arial"/>
          <w:sz w:val="15"/>
          <w:szCs w:val="15"/>
          <w:color w:val="auto"/>
        </w:rPr>
        <w:t>Under the provisions of the 1940 Act, we are permitted, as a BDC,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43" w:lineRule="exact"/>
        <w:rPr>
          <w:sz w:val="20"/>
          <w:szCs w:val="20"/>
          <w:color w:val="auto"/>
        </w:rPr>
      </w:pPr>
    </w:p>
    <w:p>
      <w:pPr>
        <w:ind w:left="1060" w:right="2819"/>
        <w:spacing w:after="0" w:line="245" w:lineRule="auto"/>
        <w:rPr>
          <w:sz w:val="20"/>
          <w:szCs w:val="20"/>
          <w:color w:val="auto"/>
        </w:rPr>
      </w:pPr>
      <w:r>
        <w:rPr>
          <w:rFonts w:ascii="Arial" w:cs="Arial" w:eastAsia="Arial" w:hAnsi="Arial"/>
          <w:sz w:val="15"/>
          <w:szCs w:val="15"/>
          <w:b w:val="1"/>
          <w:bCs w:val="1"/>
          <w:color w:val="auto"/>
        </w:rPr>
        <w:t>If we default under the Credit Facility or any other future indebtedness, we may not be able to make payments on the Convertible Senior Notes.</w:t>
      </w:r>
    </w:p>
    <w:p>
      <w:pPr>
        <w:spacing w:after="0" w:line="65" w:lineRule="exact"/>
        <w:rPr>
          <w:sz w:val="20"/>
          <w:szCs w:val="20"/>
          <w:color w:val="auto"/>
        </w:rPr>
      </w:pPr>
    </w:p>
    <w:p>
      <w:pPr>
        <w:ind w:left="1060" w:right="2419" w:firstLine="297"/>
        <w:spacing w:after="0" w:line="289" w:lineRule="auto"/>
        <w:rPr>
          <w:sz w:val="20"/>
          <w:szCs w:val="20"/>
          <w:color w:val="auto"/>
        </w:rPr>
      </w:pPr>
      <w:r>
        <w:rPr>
          <w:rFonts w:ascii="Arial" w:cs="Arial" w:eastAsia="Arial" w:hAnsi="Arial"/>
          <w:sz w:val="13"/>
          <w:szCs w:val="13"/>
          <w:color w:val="auto"/>
        </w:rPr>
        <w:t>Any default under the Credit Facility or any other future indebtedness to which we may be a party that is not waived by the required lenders or holders, and the remedies sought by the holders of such indebtedness, could make us unable to pay principal, premium, if any, and interest on the Convertible Senior Notes and substantially decrease the market value of the Convertible Senior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may have the ability to elect to declare all the funds borrowed thereunder due and payable, together with accrued and unpaid interest, the lenders under the Credit Facility or other debt we may incur in the future may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other debt that we may incur in the future to avoid being in default. If we breach our covenants under the Credit Facility or other debt and seek a waiver, we may not be able to obtain a waiver from the required lenders or holders. If this occurs, we may be in default under the Credit Facility or other debt, the lenders or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credit facilities will likely have, customary cross-default provisions, if the indebtedness under the Convertible Senior Notes, the Credit Facility or under any future credit facility is accelerated, we may be unable to repay or finance the amounts due.</w:t>
      </w:r>
    </w:p>
    <w:p>
      <w:pPr>
        <w:spacing w:after="0" w:line="133" w:lineRule="exact"/>
        <w:rPr>
          <w:sz w:val="20"/>
          <w:szCs w:val="20"/>
          <w:color w:val="auto"/>
        </w:rPr>
      </w:pPr>
    </w:p>
    <w:p>
      <w:pPr>
        <w:ind w:left="1060" w:right="2699"/>
        <w:spacing w:after="0" w:line="285" w:lineRule="auto"/>
        <w:rPr>
          <w:sz w:val="20"/>
          <w:szCs w:val="20"/>
          <w:color w:val="auto"/>
        </w:rPr>
      </w:pPr>
      <w:r>
        <w:rPr>
          <w:rFonts w:ascii="Arial" w:cs="Arial" w:eastAsia="Arial" w:hAnsi="Arial"/>
          <w:sz w:val="13"/>
          <w:szCs w:val="13"/>
          <w:b w:val="1"/>
          <w:bCs w:val="1"/>
          <w:color w:val="auto"/>
        </w:rPr>
        <w:t>If we default under the Credit Facility or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41" w:lineRule="exact"/>
        <w:rPr>
          <w:sz w:val="20"/>
          <w:szCs w:val="20"/>
          <w:color w:val="auto"/>
        </w:rPr>
      </w:pPr>
    </w:p>
    <w:p>
      <w:pPr>
        <w:ind w:left="1060" w:right="2419" w:firstLine="297"/>
        <w:spacing w:after="0" w:line="274" w:lineRule="auto"/>
        <w:rPr>
          <w:sz w:val="20"/>
          <w:szCs w:val="20"/>
          <w:color w:val="auto"/>
        </w:rPr>
      </w:pPr>
      <w:r>
        <w:rPr>
          <w:rFonts w:ascii="Arial" w:cs="Arial" w:eastAsia="Arial" w:hAnsi="Arial"/>
          <w:sz w:val="14"/>
          <w:szCs w:val="14"/>
          <w:color w:val="auto"/>
        </w:rPr>
        <w:t>Substantially all of our assets are pledged as collateral under the Credit Facility. In the event that we default under the Credit Facility or any other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9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8" w:name="page39"/>
    <w:bookmarkEnd w:id="3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19" w:firstLine="297"/>
        <w:spacing w:after="0" w:line="250" w:lineRule="auto"/>
        <w:rPr>
          <w:sz w:val="20"/>
          <w:szCs w:val="20"/>
          <w:color w:val="auto"/>
        </w:rPr>
      </w:pPr>
      <w:r>
        <w:rPr>
          <w:rFonts w:ascii="Arial" w:cs="Arial" w:eastAsia="Arial" w:hAnsi="Arial"/>
          <w:sz w:val="15"/>
          <w:szCs w:val="15"/>
          <w:color w:val="auto"/>
        </w:rPr>
        <w:t>Following any such default, the agent for the lenders under the Credit Facility or such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the Credit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52" w:lineRule="exact"/>
        <w:rPr>
          <w:sz w:val="20"/>
          <w:szCs w:val="20"/>
          <w:color w:val="auto"/>
        </w:rPr>
      </w:pPr>
    </w:p>
    <w:p>
      <w:pPr>
        <w:ind w:left="1060" w:right="2619"/>
        <w:spacing w:after="0" w:line="245" w:lineRule="auto"/>
        <w:rPr>
          <w:sz w:val="20"/>
          <w:szCs w:val="20"/>
          <w:color w:val="auto"/>
        </w:rPr>
      </w:pPr>
      <w:r>
        <w:rPr>
          <w:rFonts w:ascii="Arial" w:cs="Arial" w:eastAsia="Arial" w:hAnsi="Arial"/>
          <w:sz w:val="15"/>
          <w:szCs w:val="15"/>
          <w:b w:val="1"/>
          <w:bCs w:val="1"/>
          <w:color w:val="auto"/>
        </w:rPr>
        <w:t>There are significant potential conflicts of interest, which could impact our investment returns and limit the flexibility of our investment policies.</w:t>
      </w:r>
    </w:p>
    <w:p>
      <w:pPr>
        <w:spacing w:after="0" w:line="54"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We have entered into an Investment Advisory Agreement with GSV Asset Management. GSV Asset Management is controlled by Michael T. Moe, the Executive Chairman of our board of directors and our former Chief Executive Officer. Messrs. Moe and Tanona, as principals of GSV Asset Management, collectively manage the business and internal affairs of GSV Asset Management. In addition, GSV Capital Service Company provides us with office facilities and administrative services pursuant to an Administration Agreement. GSV Capital Service Company is controlled by GSV Asset Management. We pay GSV Capital Service Company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any administrative services, which creates conflicts of interest that our board of directors must monitor.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3"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As discussed above, GSV Asset Management has control over the timing of the acquisition and dispositions of our investments, and therefore over when we realize gains and losses on our investments. As a result, GSV Asset Management, and those of our interested directors who are compensated by GSV Asset Management as employees of, or consultants to, GSV Asset Management, may face a conflict of interest in determining when it is appropriate to dispose of a specific investment to the extent doing so may serve to maximize the incentive fee at a point where disposing of such investment may not necessarily be in the best interests of our stockholders. In addition, Mark Klein, our Chief Executive Officer and a member of our board of directors, or entities with which he is affiliated, receives consulting fees from GSV Asset Management equal to a percentage of each of the base management fee and the incentive fee paid by us to GSV Asset Management pursuant to a consulting agreement with GSV Asset Management.</w:t>
      </w:r>
    </w:p>
    <w:p>
      <w:pPr>
        <w:spacing w:after="0" w:line="64" w:lineRule="exact"/>
        <w:rPr>
          <w:sz w:val="20"/>
          <w:szCs w:val="20"/>
          <w:color w:val="auto"/>
        </w:rPr>
      </w:pPr>
    </w:p>
    <w:p>
      <w:pPr>
        <w:ind w:left="1060" w:right="2459" w:firstLine="297"/>
        <w:spacing w:after="0" w:line="273" w:lineRule="auto"/>
        <w:rPr>
          <w:sz w:val="20"/>
          <w:szCs w:val="20"/>
          <w:color w:val="auto"/>
        </w:rPr>
      </w:pPr>
      <w:r>
        <w:rPr>
          <w:rFonts w:ascii="Arial" w:cs="Arial" w:eastAsia="Arial" w:hAnsi="Arial"/>
          <w:sz w:val="14"/>
          <w:szCs w:val="14"/>
          <w:color w:val="auto"/>
        </w:rPr>
        <w:t>Further, our executive officers and directors, and the principals of our investment adviser, GSV Asset Management, serve or may serve as officers, directors or managers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GSV Asset Management also serves as sub-adviser to the GSV Ventures Funds and manages the Coursera Funds and the GSV@SP Fund. We have no ownership interests in the Coursera Funds, the GSV@SP Fund or the GSV Ventures Funds sub-advised by GSV Asset Management.</w:t>
      </w:r>
    </w:p>
    <w:p>
      <w:pPr>
        <w:spacing w:after="0" w:line="57" w:lineRule="exact"/>
        <w:rPr>
          <w:sz w:val="20"/>
          <w:szCs w:val="20"/>
          <w:color w:val="auto"/>
        </w:rPr>
      </w:pPr>
    </w:p>
    <w:p>
      <w:pPr>
        <w:ind w:left="1060" w:right="2419" w:firstLine="297"/>
        <w:spacing w:after="0" w:line="274" w:lineRule="auto"/>
        <w:rPr>
          <w:sz w:val="20"/>
          <w:szCs w:val="20"/>
          <w:color w:val="auto"/>
        </w:rPr>
      </w:pPr>
      <w:r>
        <w:rPr>
          <w:rFonts w:ascii="Arial" w:cs="Arial" w:eastAsia="Arial" w:hAnsi="Arial"/>
          <w:sz w:val="14"/>
          <w:szCs w:val="14"/>
          <w:color w:val="auto"/>
        </w:rPr>
        <w:t>The 1940 Act prohibits us from making certain negotiated co-investments with affiliates unless we receive an order from the SEC permitting us to do so. To the extent that we compete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Advisers Act, and (3) certain restrictions under the 1940 Act regarding co-investments with affiliates.</w:t>
      </w:r>
    </w:p>
    <w:p>
      <w:pPr>
        <w:spacing w:after="0" w:line="58" w:lineRule="exact"/>
        <w:rPr>
          <w:sz w:val="20"/>
          <w:szCs w:val="20"/>
          <w:color w:val="auto"/>
        </w:rPr>
      </w:pPr>
    </w:p>
    <w:p>
      <w:pPr>
        <w:ind w:left="1060" w:right="2419" w:firstLine="297"/>
        <w:spacing w:after="0" w:line="286" w:lineRule="auto"/>
        <w:rPr>
          <w:sz w:val="20"/>
          <w:szCs w:val="20"/>
          <w:color w:val="auto"/>
        </w:rPr>
      </w:pPr>
      <w:r>
        <w:rPr>
          <w:rFonts w:ascii="Arial" w:cs="Arial" w:eastAsia="Arial" w:hAnsi="Arial"/>
          <w:sz w:val="14"/>
          <w:szCs w:val="14"/>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w:t>
      </w:r>
    </w:p>
    <w:p>
      <w:pPr>
        <w:spacing w:after="0" w:line="18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39" w:name="page40"/>
    <w:bookmarkEnd w:id="3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60" w:right="2559"/>
        <w:spacing w:after="0" w:line="286" w:lineRule="auto"/>
        <w:rPr>
          <w:sz w:val="20"/>
          <w:szCs w:val="20"/>
          <w:color w:val="auto"/>
        </w:rPr>
      </w:pPr>
      <w:r>
        <w:rPr>
          <w:rFonts w:ascii="Arial" w:cs="Arial" w:eastAsia="Arial" w:hAnsi="Arial"/>
          <w:sz w:val="14"/>
          <w:szCs w:val="14"/>
          <w:color w:val="auto"/>
        </w:rPr>
        <w:t>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123" w:lineRule="exact"/>
        <w:rPr>
          <w:sz w:val="20"/>
          <w:szCs w:val="20"/>
          <w:color w:val="auto"/>
        </w:rPr>
      </w:pPr>
    </w:p>
    <w:p>
      <w:pPr>
        <w:ind w:left="1060" w:right="2759"/>
        <w:spacing w:after="0" w:line="256" w:lineRule="auto"/>
        <w:rPr>
          <w:sz w:val="20"/>
          <w:szCs w:val="20"/>
          <w:color w:val="auto"/>
        </w:rPr>
      </w:pPr>
      <w:r>
        <w:rPr>
          <w:rFonts w:ascii="Arial" w:cs="Arial" w:eastAsia="Arial" w:hAnsi="Arial"/>
          <w:sz w:val="14"/>
          <w:szCs w:val="14"/>
          <w:b w:val="1"/>
          <w:bCs w:val="1"/>
          <w:color w:val="auto"/>
        </w:rPr>
        <w:t>GSV Asset Management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58" w:lineRule="exact"/>
        <w:rPr>
          <w:sz w:val="20"/>
          <w:szCs w:val="20"/>
          <w:color w:val="auto"/>
        </w:rPr>
      </w:pPr>
    </w:p>
    <w:p>
      <w:pPr>
        <w:ind w:left="1060" w:right="2439" w:firstLine="297"/>
        <w:spacing w:after="0" w:line="292" w:lineRule="auto"/>
        <w:rPr>
          <w:sz w:val="20"/>
          <w:szCs w:val="20"/>
          <w:color w:val="auto"/>
        </w:rPr>
      </w:pPr>
      <w:r>
        <w:rPr>
          <w:rFonts w:ascii="Arial" w:cs="Arial" w:eastAsia="Arial" w:hAnsi="Arial"/>
          <w:sz w:val="13"/>
          <w:szCs w:val="13"/>
          <w:color w:val="auto"/>
        </w:rPr>
        <w:t>GSV Asset Management has the right, under the Investment Advisory Agreement, to resign at any time upon not more than 60 days’ written notice, whether we have found a replacement or not. If GSV Asset Management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GSV Asset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23" w:lineRule="exact"/>
        <w:rPr>
          <w:sz w:val="20"/>
          <w:szCs w:val="20"/>
          <w:color w:val="auto"/>
        </w:rPr>
      </w:pPr>
    </w:p>
    <w:p>
      <w:pPr>
        <w:ind w:left="1060" w:right="2959"/>
        <w:spacing w:after="0" w:line="245" w:lineRule="auto"/>
        <w:rPr>
          <w:sz w:val="20"/>
          <w:szCs w:val="20"/>
          <w:color w:val="auto"/>
        </w:rPr>
      </w:pPr>
      <w:r>
        <w:rPr>
          <w:rFonts w:ascii="Arial" w:cs="Arial" w:eastAsia="Arial" w:hAnsi="Arial"/>
          <w:sz w:val="15"/>
          <w:szCs w:val="15"/>
          <w:b w:val="1"/>
          <w:bCs w:val="1"/>
          <w:color w:val="auto"/>
        </w:rPr>
        <w:t>We may have difficulty paying our required distributions if we recognize income before or without receiving cash representing such income.</w:t>
      </w:r>
    </w:p>
    <w:p>
      <w:pPr>
        <w:spacing w:after="0" w:line="65" w:lineRule="exact"/>
        <w:rPr>
          <w:sz w:val="20"/>
          <w:szCs w:val="20"/>
          <w:color w:val="auto"/>
        </w:rPr>
      </w:pPr>
    </w:p>
    <w:p>
      <w:pPr>
        <w:ind w:left="1060" w:right="2459" w:firstLine="297"/>
        <w:spacing w:after="0" w:line="272" w:lineRule="auto"/>
        <w:rPr>
          <w:sz w:val="20"/>
          <w:szCs w:val="20"/>
          <w:color w:val="auto"/>
        </w:rPr>
      </w:pPr>
      <w:r>
        <w:rPr>
          <w:rFonts w:ascii="Arial" w:cs="Arial" w:eastAsia="Arial" w:hAnsi="Arial"/>
          <w:sz w:val="14"/>
          <w:szCs w:val="14"/>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U.S. federal income tax.</w:t>
      </w:r>
    </w:p>
    <w:p>
      <w:pPr>
        <w:spacing w:after="0" w:line="132" w:lineRule="exact"/>
        <w:rPr>
          <w:sz w:val="20"/>
          <w:szCs w:val="20"/>
          <w:color w:val="auto"/>
        </w:rPr>
      </w:pPr>
    </w:p>
    <w:p>
      <w:pPr>
        <w:ind w:left="1060" w:right="2439"/>
        <w:spacing w:after="0" w:line="234" w:lineRule="auto"/>
        <w:rPr>
          <w:sz w:val="20"/>
          <w:szCs w:val="20"/>
          <w:color w:val="auto"/>
        </w:rPr>
      </w:pPr>
      <w:r>
        <w:rPr>
          <w:rFonts w:ascii="Arial" w:cs="Arial" w:eastAsia="Arial" w:hAnsi="Arial"/>
          <w:sz w:val="15"/>
          <w:szCs w:val="15"/>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69" w:lineRule="exact"/>
        <w:rPr>
          <w:sz w:val="20"/>
          <w:szCs w:val="20"/>
          <w:color w:val="auto"/>
        </w:rPr>
      </w:pPr>
    </w:p>
    <w:p>
      <w:pPr>
        <w:ind w:left="1060" w:right="2479" w:firstLine="297"/>
        <w:spacing w:after="0" w:line="270" w:lineRule="auto"/>
        <w:rPr>
          <w:sz w:val="20"/>
          <w:szCs w:val="20"/>
          <w:color w:val="auto"/>
        </w:rPr>
      </w:pPr>
      <w:r>
        <w:rPr>
          <w:rFonts w:ascii="Arial" w:cs="Arial" w:eastAsia="Arial" w:hAnsi="Arial"/>
          <w:sz w:val="14"/>
          <w:szCs w:val="14"/>
          <w:color w:val="auto"/>
        </w:rPr>
        <w:t>We may in the future issue additional debt securities or preferred stock and/or borrow money from banks or other financial institutions, which we refer to collectively (along with the Convertible Senior Notes) as “senior securities,” up to the maximum amount permitted by the 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64"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All of the costs of offering and servicing the Convertible Senior Notes and any additional debt or preferred stock we may issue in the future, including interest or preferential dividend payments thereon, will be borne by our common stockholders. The interests of the holders of the Convertible Senior Notes, any additional debt or preferred stock we may issue will not necessarily be aligned with the interests of our common stockholders. In particular, the rights of holders of the Convertible Senior Notes and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0" w:name="page41"/>
    <w:bookmarkEnd w:id="4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19"/>
        <w:spacing w:after="0" w:line="255" w:lineRule="auto"/>
        <w:rPr>
          <w:sz w:val="20"/>
          <w:szCs w:val="20"/>
          <w:color w:val="auto"/>
        </w:rPr>
      </w:pPr>
      <w:r>
        <w:rPr>
          <w:rFonts w:ascii="Arial" w:cs="Arial" w:eastAsia="Arial" w:hAnsi="Arial"/>
          <w:sz w:val="15"/>
          <w:szCs w:val="15"/>
          <w:color w:val="auto"/>
        </w:rPr>
        <w:t>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59" w:lineRule="exact"/>
        <w:rPr>
          <w:sz w:val="20"/>
          <w:szCs w:val="20"/>
          <w:color w:val="auto"/>
        </w:rPr>
      </w:pPr>
    </w:p>
    <w:p>
      <w:pPr>
        <w:ind w:left="1060" w:right="2499" w:firstLine="297"/>
        <w:spacing w:after="0" w:line="295" w:lineRule="auto"/>
        <w:rPr>
          <w:sz w:val="20"/>
          <w:szCs w:val="20"/>
          <w:color w:val="auto"/>
        </w:rPr>
      </w:pPr>
      <w:r>
        <w:rPr>
          <w:rFonts w:ascii="Arial" w:cs="Arial" w:eastAsia="Arial" w:hAnsi="Arial"/>
          <w:sz w:val="13"/>
          <w:szCs w:val="13"/>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our and our stockholders’ best interests,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22" w:lineRule="exact"/>
        <w:rPr>
          <w:sz w:val="20"/>
          <w:szCs w:val="20"/>
          <w:color w:val="auto"/>
        </w:rPr>
      </w:pPr>
    </w:p>
    <w:p>
      <w:pPr>
        <w:ind w:left="1060" w:right="2459"/>
        <w:spacing w:after="0" w:line="285" w:lineRule="auto"/>
        <w:rPr>
          <w:sz w:val="20"/>
          <w:szCs w:val="20"/>
          <w:color w:val="auto"/>
        </w:rPr>
      </w:pPr>
      <w:r>
        <w:rPr>
          <w:rFonts w:ascii="Arial" w:cs="Arial" w:eastAsia="Arial" w:hAnsi="Arial"/>
          <w:sz w:val="13"/>
          <w:szCs w:val="13"/>
          <w:b w:val="1"/>
          <w:bCs w:val="1"/>
          <w:color w:val="auto"/>
        </w:rPr>
        <w:t>In addition to regulatory requirements that restrict our ability to raise capital, the loan agreement governing the Credit Facility contains various covenants which, if not complied with, could materially and adversely affecting our liquidity, financial condition, results of operations and ability to pay dividends.</w:t>
      </w:r>
    </w:p>
    <w:p>
      <w:pPr>
        <w:spacing w:after="0" w:line="7" w:lineRule="exact"/>
        <w:rPr>
          <w:sz w:val="20"/>
          <w:szCs w:val="20"/>
          <w:color w:val="auto"/>
        </w:rPr>
      </w:pPr>
    </w:p>
    <w:p>
      <w:pPr>
        <w:ind w:left="1060" w:right="2479" w:firstLine="297"/>
        <w:spacing w:after="0" w:line="292" w:lineRule="auto"/>
        <w:rPr>
          <w:sz w:val="20"/>
          <w:szCs w:val="20"/>
          <w:color w:val="auto"/>
        </w:rPr>
      </w:pPr>
      <w:r>
        <w:rPr>
          <w:rFonts w:ascii="Arial" w:cs="Arial" w:eastAsia="Arial" w:hAnsi="Arial"/>
          <w:sz w:val="13"/>
          <w:szCs w:val="13"/>
          <w:color w:val="auto"/>
        </w:rPr>
        <w:t>Under the Loan and Security Agreement (the “Loan Agreement”) with Western Alliance Bank, pursuant to which Western Alliance Bank agreed to provide us with the $12.0 million Credit Facility, we have made certain customary representations and warranties and are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of at least the greater of $60.0 million or five times the amount of the $12.0 million Credit Facility, a limitation on our net asset value being reduced by more than 15% of our net asset value at December 31, 2016, and maintenance of RIC and BDC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38" w:lineRule="exact"/>
        <w:rPr>
          <w:sz w:val="20"/>
          <w:szCs w:val="20"/>
          <w:color w:val="auto"/>
        </w:rPr>
      </w:pPr>
    </w:p>
    <w:p>
      <w:pPr>
        <w:ind w:left="1060" w:right="2499" w:firstLine="297"/>
        <w:spacing w:after="0" w:line="254" w:lineRule="auto"/>
        <w:rPr>
          <w:sz w:val="20"/>
          <w:szCs w:val="20"/>
          <w:color w:val="auto"/>
        </w:rPr>
      </w:pPr>
      <w:r>
        <w:rPr>
          <w:rFonts w:ascii="Arial" w:cs="Arial" w:eastAsia="Arial" w:hAnsi="Arial"/>
          <w:sz w:val="15"/>
          <w:szCs w:val="15"/>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the Loan Agreement, would have a material adverse impact on our liquidity, financial condition, results of operations and ability to pay dividends.</w:t>
      </w:r>
    </w:p>
    <w:p>
      <w:pPr>
        <w:spacing w:after="0" w:line="143" w:lineRule="exact"/>
        <w:rPr>
          <w:sz w:val="20"/>
          <w:szCs w:val="20"/>
          <w:color w:val="auto"/>
        </w:rPr>
      </w:pPr>
    </w:p>
    <w:p>
      <w:pPr>
        <w:ind w:left="1060" w:right="2499"/>
        <w:spacing w:after="0" w:line="279" w:lineRule="auto"/>
        <w:rPr>
          <w:sz w:val="20"/>
          <w:szCs w:val="20"/>
          <w:color w:val="auto"/>
        </w:rPr>
      </w:pPr>
      <w:r>
        <w:rPr>
          <w:rFonts w:ascii="Arial" w:cs="Arial" w:eastAsia="Arial" w:hAnsi="Arial"/>
          <w:sz w:val="14"/>
          <w:szCs w:val="14"/>
          <w:b w:val="1"/>
          <w:bCs w:val="1"/>
          <w:color w:val="auto"/>
        </w:rPr>
        <w:t>We will be subject to corporate-level U.S. federal income tax if we are profitable and are unable to qualify as a RIC, which could have a material adverse effect on us and our stockholders.</w:t>
      </w:r>
    </w:p>
    <w:p>
      <w:pPr>
        <w:spacing w:after="0" w:line="9" w:lineRule="exact"/>
        <w:rPr>
          <w:sz w:val="20"/>
          <w:szCs w:val="20"/>
          <w:color w:val="auto"/>
        </w:rPr>
      </w:pPr>
    </w:p>
    <w:p>
      <w:pPr>
        <w:ind w:left="1060" w:right="2399" w:firstLine="297"/>
        <w:spacing w:after="0" w:line="252" w:lineRule="auto"/>
        <w:rPr>
          <w:sz w:val="20"/>
          <w:szCs w:val="20"/>
          <w:color w:val="auto"/>
        </w:rPr>
      </w:pPr>
      <w:r>
        <w:rPr>
          <w:rFonts w:ascii="Arial" w:cs="Arial" w:eastAsia="Arial" w:hAnsi="Arial"/>
          <w:sz w:val="15"/>
          <w:szCs w:val="15"/>
          <w:color w:val="auto"/>
        </w:rPr>
        <w:t xml:space="preserve">We elected to be treated as a RIC under the Code beginning with our taxable year ended December 31, 2014, have qualified to be treated as a RIC for subsequent taxable years and expect to continue to operate in a manner so as to qualify for the tax treatment applicable to RICs. See “Business — Material U.S. Federal Income Tax Considerations” and “Note 2 — Significant Accounting Policies — </w:t>
      </w:r>
      <w:r>
        <w:rPr>
          <w:rFonts w:ascii="Arial" w:cs="Arial" w:eastAsia="Arial" w:hAnsi="Arial"/>
          <w:sz w:val="15"/>
          <w:szCs w:val="15"/>
          <w:i w:val="1"/>
          <w:iCs w:val="1"/>
          <w:color w:val="auto"/>
        </w:rPr>
        <w:t>U.S. Federal and State Income Taxes</w:t>
      </w:r>
      <w:r>
        <w:rPr>
          <w:rFonts w:ascii="Arial" w:cs="Arial" w:eastAsia="Arial" w:hAnsi="Arial"/>
          <w:sz w:val="15"/>
          <w:szCs w:val="15"/>
          <w:color w:val="auto"/>
        </w:rPr>
        <w:t>” and “Note 9 — Income Taxes” to our consolidated financial statements for the year ended December 31, 2017 for more information.</w:t>
      </w:r>
    </w:p>
    <w:p>
      <w:pPr>
        <w:spacing w:after="0" w:line="63" w:lineRule="exact"/>
        <w:rPr>
          <w:sz w:val="20"/>
          <w:szCs w:val="20"/>
          <w:color w:val="auto"/>
        </w:rPr>
      </w:pPr>
    </w:p>
    <w:p>
      <w:pPr>
        <w:ind w:left="1060" w:right="2459" w:firstLine="297"/>
        <w:spacing w:after="0" w:line="252" w:lineRule="auto"/>
        <w:rPr>
          <w:sz w:val="20"/>
          <w:szCs w:val="20"/>
          <w:color w:val="auto"/>
        </w:rPr>
      </w:pPr>
      <w:r>
        <w:rPr>
          <w:rFonts w:ascii="Arial" w:cs="Arial" w:eastAsia="Arial" w:hAnsi="Arial"/>
          <w:sz w:val="15"/>
          <w:szCs w:val="15"/>
          <w:color w:val="auto"/>
        </w:rPr>
        <w:t>Management generally believes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corporate-level U.S. federal income tax, which could substantially reduce our net assets, the amount of income available for distribution or reinvestment and the amount of our distributions. Such a failure could have a material adverse effect on us and our stockholders.</w:t>
      </w:r>
    </w:p>
    <w:p>
      <w:pPr>
        <w:spacing w:after="0" w:line="148" w:lineRule="exact"/>
        <w:rPr>
          <w:sz w:val="20"/>
          <w:szCs w:val="20"/>
          <w:color w:val="auto"/>
        </w:rPr>
      </w:pPr>
    </w:p>
    <w:p>
      <w:pPr>
        <w:ind w:left="1060" w:right="2479"/>
        <w:spacing w:after="0" w:line="285" w:lineRule="auto"/>
        <w:rPr>
          <w:sz w:val="20"/>
          <w:szCs w:val="20"/>
          <w:color w:val="auto"/>
        </w:rPr>
      </w:pPr>
      <w:r>
        <w:rPr>
          <w:rFonts w:ascii="Arial" w:cs="Arial" w:eastAsia="Arial" w:hAnsi="Arial"/>
          <w:sz w:val="13"/>
          <w:szCs w:val="13"/>
          <w:b w:val="1"/>
          <w:bCs w:val="1"/>
          <w:color w:val="auto"/>
        </w:rPr>
        <w:t>In any year in which we intend to be treated as a RIC, we may be forced to dispose of investments at times when GSV Asset Management would not otherwise do so or raise additional capital at times when we would not otherwise do so, in each case in order to qualify for the special tax treatment accorded to RICs.</w:t>
      </w:r>
    </w:p>
    <w:p>
      <w:pPr>
        <w:spacing w:after="0" w:line="7" w:lineRule="exact"/>
        <w:rPr>
          <w:sz w:val="20"/>
          <w:szCs w:val="20"/>
          <w:color w:val="auto"/>
        </w:rPr>
      </w:pPr>
    </w:p>
    <w:p>
      <w:pPr>
        <w:ind w:left="1060" w:right="2859" w:firstLine="297"/>
        <w:spacing w:after="0" w:line="349" w:lineRule="auto"/>
        <w:rPr>
          <w:sz w:val="20"/>
          <w:szCs w:val="20"/>
          <w:color w:val="auto"/>
        </w:rPr>
      </w:pPr>
      <w:r>
        <w:rPr>
          <w:rFonts w:ascii="Arial" w:cs="Arial" w:eastAsia="Arial" w:hAnsi="Arial"/>
          <w:sz w:val="13"/>
          <w:szCs w:val="13"/>
          <w:color w:val="auto"/>
        </w:rPr>
        <w:t>To qualify for the special treatment accorded to RICs, we must meet certain income source, asset diversification and annual distribution requirements. In order to satisfy the income source requirement, we</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1" w:name="page42"/>
    <w:bookmarkEnd w:id="4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19"/>
        <w:spacing w:after="0" w:line="291" w:lineRule="auto"/>
        <w:rPr>
          <w:sz w:val="20"/>
          <w:szCs w:val="20"/>
          <w:color w:val="auto"/>
        </w:rPr>
      </w:pPr>
      <w:r>
        <w:rPr>
          <w:rFonts w:ascii="Arial" w:cs="Arial" w:eastAsia="Arial" w:hAnsi="Arial"/>
          <w:sz w:val="13"/>
          <w:szCs w:val="13"/>
          <w:color w:val="auto"/>
        </w:rPr>
        <w:t>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U.S. federal income tax.</w:t>
      </w:r>
    </w:p>
    <w:p>
      <w:pPr>
        <w:spacing w:after="0" w:line="301" w:lineRule="exact"/>
        <w:rPr>
          <w:sz w:val="20"/>
          <w:szCs w:val="20"/>
          <w:color w:val="auto"/>
        </w:rPr>
      </w:pPr>
    </w:p>
    <w:p>
      <w:pPr>
        <w:ind w:left="1060" w:right="2559"/>
        <w:spacing w:after="0" w:line="234" w:lineRule="auto"/>
        <w:rPr>
          <w:sz w:val="20"/>
          <w:szCs w:val="20"/>
          <w:color w:val="auto"/>
        </w:rPr>
      </w:pPr>
      <w:r>
        <w:rPr>
          <w:rFonts w:ascii="Arial" w:cs="Arial" w:eastAsia="Arial" w:hAnsi="Arial"/>
          <w:sz w:val="15"/>
          <w:szCs w:val="15"/>
          <w:b w:val="1"/>
          <w:b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69"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to be a RIC under the Code and will not have to pay corporate-level income taxes on income we distribute to our stockholders as dividends, allowing us to substantially reduce or eliminate our U.S. federal corporate-level income tax liability. As a BDC, we are generally required to meet a coverage ratio of total assets to total senior securities, which includes all of our borrowings and any preferred stock we may issue in the future, of at least 200%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35" w:lineRule="exact"/>
        <w:rPr>
          <w:sz w:val="20"/>
          <w:szCs w:val="20"/>
          <w:color w:val="auto"/>
        </w:rPr>
      </w:pPr>
    </w:p>
    <w:p>
      <w:pPr>
        <w:ind w:left="1060" w:right="2599"/>
        <w:spacing w:after="0" w:line="245" w:lineRule="auto"/>
        <w:rPr>
          <w:sz w:val="20"/>
          <w:szCs w:val="20"/>
          <w:color w:val="auto"/>
        </w:rPr>
      </w:pPr>
      <w:r>
        <w:rPr>
          <w:rFonts w:ascii="Arial" w:cs="Arial" w:eastAsia="Arial" w:hAnsi="Arial"/>
          <w:sz w:val="15"/>
          <w:szCs w:val="15"/>
          <w:b w:val="1"/>
          <w:bCs w:val="1"/>
          <w:color w:val="auto"/>
        </w:rPr>
        <w:t>We may continue to choose to pay dividends in our common stock, in which case you may be required to pay tax in excess of the cash you receive.</w:t>
      </w:r>
    </w:p>
    <w:p>
      <w:pPr>
        <w:spacing w:after="0" w:line="65"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We have in the past, and may continue to, distribute taxable dividends that are payable in part in shares of our common stock. For example, on November 4, 2015, our board of directors declared a dividend of $2.76 per share to stockholders, paid partially in cash and partially in shares of our common stock on December 31, 2015. In accordance with certain applicable U.S. Treasury regulations and published guidance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w:t>
      </w: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2" w:name="page43"/>
    <w:bookmarkEnd w:id="4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19"/>
        <w:spacing w:after="0" w:line="269" w:lineRule="auto"/>
        <w:rPr>
          <w:sz w:val="20"/>
          <w:szCs w:val="20"/>
          <w:color w:val="auto"/>
        </w:rPr>
      </w:pPr>
      <w:r>
        <w:rPr>
          <w:rFonts w:ascii="Arial" w:cs="Arial" w:eastAsia="Arial" w:hAnsi="Arial"/>
          <w:sz w:val="14"/>
          <w:szCs w:val="14"/>
          <w:color w:val="auto"/>
        </w:rPr>
        <w:t>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41" w:lineRule="exact"/>
        <w:rPr>
          <w:sz w:val="20"/>
          <w:szCs w:val="20"/>
          <w:color w:val="auto"/>
        </w:rPr>
      </w:pPr>
    </w:p>
    <w:p>
      <w:pPr>
        <w:ind w:left="1060" w:right="2659"/>
        <w:spacing w:after="0" w:line="230" w:lineRule="auto"/>
        <w:rPr>
          <w:sz w:val="20"/>
          <w:szCs w:val="20"/>
          <w:color w:val="auto"/>
        </w:rPr>
      </w:pPr>
      <w:r>
        <w:rPr>
          <w:rFonts w:ascii="Arial" w:cs="Arial" w:eastAsia="Arial" w:hAnsi="Arial"/>
          <w:sz w:val="15"/>
          <w:szCs w:val="15"/>
          <w:b w:val="1"/>
          <w:b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68" w:lineRule="exact"/>
        <w:rPr>
          <w:sz w:val="20"/>
          <w:szCs w:val="20"/>
          <w:color w:val="auto"/>
        </w:rPr>
      </w:pPr>
    </w:p>
    <w:p>
      <w:pPr>
        <w:ind w:left="1060" w:right="2399" w:firstLine="297"/>
        <w:spacing w:after="0" w:line="292" w:lineRule="auto"/>
        <w:rPr>
          <w:sz w:val="20"/>
          <w:szCs w:val="20"/>
          <w:color w:val="auto"/>
        </w:rPr>
      </w:pPr>
      <w:r>
        <w:rPr>
          <w:rFonts w:ascii="Arial" w:cs="Arial" w:eastAsia="Arial" w:hAnsi="Arial"/>
          <w:sz w:val="13"/>
          <w:szCs w:val="13"/>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(including the Dodd-Frank Act and the regulations adopted thereunder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53" w:lineRule="exact"/>
        <w:rPr>
          <w:sz w:val="20"/>
          <w:szCs w:val="20"/>
          <w:color w:val="auto"/>
        </w:rPr>
      </w:pPr>
    </w:p>
    <w:p>
      <w:pPr>
        <w:ind w:left="1060" w:right="2399" w:firstLine="297"/>
        <w:spacing w:after="0" w:line="252" w:lineRule="auto"/>
        <w:rPr>
          <w:sz w:val="20"/>
          <w:szCs w:val="20"/>
          <w:color w:val="auto"/>
        </w:rPr>
      </w:pPr>
      <w:r>
        <w:rPr>
          <w:rFonts w:ascii="Arial" w:cs="Arial" w:eastAsia="Arial" w:hAnsi="Arial"/>
          <w:sz w:val="15"/>
          <w:szCs w:val="15"/>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71" w:lineRule="exact"/>
        <w:rPr>
          <w:sz w:val="20"/>
          <w:szCs w:val="20"/>
          <w:color w:val="auto"/>
        </w:rPr>
      </w:pPr>
    </w:p>
    <w:p>
      <w:pPr>
        <w:ind w:left="1060" w:right="2439" w:firstLine="297"/>
        <w:spacing w:after="0" w:line="299" w:lineRule="auto"/>
        <w:rPr>
          <w:sz w:val="20"/>
          <w:szCs w:val="20"/>
          <w:color w:val="auto"/>
        </w:rPr>
      </w:pPr>
      <w:r>
        <w:rPr>
          <w:rFonts w:ascii="Arial" w:cs="Arial" w:eastAsia="Arial" w:hAnsi="Arial"/>
          <w:sz w:val="13"/>
          <w:szCs w:val="13"/>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43" w:lineRule="exact"/>
        <w:rPr>
          <w:sz w:val="20"/>
          <w:szCs w:val="20"/>
          <w:color w:val="auto"/>
        </w:rPr>
      </w:pPr>
    </w:p>
    <w:p>
      <w:pPr>
        <w:ind w:left="1060" w:right="2659" w:firstLine="297"/>
        <w:spacing w:after="0" w:line="252" w:lineRule="auto"/>
        <w:rPr>
          <w:sz w:val="20"/>
          <w:szCs w:val="20"/>
          <w:color w:val="auto"/>
        </w:rPr>
      </w:pPr>
      <w:r>
        <w:rPr>
          <w:rFonts w:ascii="Arial" w:cs="Arial" w:eastAsia="Arial" w:hAnsi="Arial"/>
          <w:sz w:val="15"/>
          <w:szCs w:val="15"/>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the GSV Asset Management senior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Pending legislation may allow us to incur additional leverage.</w:t>
      </w:r>
    </w:p>
    <w:p>
      <w:pPr>
        <w:spacing w:after="0" w:line="77" w:lineRule="exact"/>
        <w:rPr>
          <w:sz w:val="20"/>
          <w:szCs w:val="20"/>
          <w:color w:val="auto"/>
        </w:rPr>
      </w:pPr>
    </w:p>
    <w:p>
      <w:pPr>
        <w:ind w:left="1060" w:right="2579" w:firstLine="297"/>
        <w:spacing w:after="0" w:line="349" w:lineRule="auto"/>
        <w:rPr>
          <w:sz w:val="20"/>
          <w:szCs w:val="20"/>
          <w:color w:val="auto"/>
        </w:rPr>
      </w:pPr>
      <w:r>
        <w:rPr>
          <w:rFonts w:ascii="Arial" w:cs="Arial" w:eastAsia="Arial" w:hAnsi="Arial"/>
          <w:sz w:val="13"/>
          <w:szCs w:val="13"/>
          <w:color w:val="auto"/>
        </w:rPr>
        <w:t>As a BDC, under the 1940 Act we generally are not permitted to incur borrowings, issue debt securities or issue preferred stock unless immediately after the borrowing or issuance the ratio of total assets (less</w:t>
      </w:r>
    </w:p>
    <w:p>
      <w:pPr>
        <w:spacing w:after="0" w:line="14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3" w:name="page44"/>
    <w:bookmarkEnd w:id="4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spacing w:after="0" w:line="273" w:lineRule="auto"/>
        <w:rPr>
          <w:sz w:val="20"/>
          <w:szCs w:val="20"/>
          <w:color w:val="auto"/>
        </w:rPr>
      </w:pPr>
      <w:r>
        <w:rPr>
          <w:rFonts w:ascii="Arial" w:cs="Arial" w:eastAsia="Arial" w:hAnsi="Arial"/>
          <w:sz w:val="14"/>
          <w:szCs w:val="14"/>
          <w:color w:val="auto"/>
        </w:rPr>
        <w:t>total liabilities other than indebtedness) to total indebtedness plus preferred stock, is at least 200%. The U.S. Senate recently introduced legislation, which if passed, would modify this section of the 1940 Act and increase the amount of debt that BDCs may incur by modifying the asset coverage percentage from 200% to 150%. As a result, we may be able to incur additional indebtedness in the future, and therefore, your risk of an investment in us may increase. In addition, since our base management fee is calculated based on the value of our gross assets, including assets acquired through the incurrence of debt, our base management fee expenses will increase if we incur additional indebtedness.</w:t>
      </w:r>
    </w:p>
    <w:p>
      <w:pPr>
        <w:spacing w:after="0" w:line="131" w:lineRule="exact"/>
        <w:rPr>
          <w:sz w:val="20"/>
          <w:szCs w:val="20"/>
          <w:color w:val="auto"/>
        </w:rPr>
      </w:pPr>
    </w:p>
    <w:p>
      <w:pPr>
        <w:ind w:left="1060" w:right="2499"/>
        <w:spacing w:after="0" w:line="245" w:lineRule="auto"/>
        <w:rPr>
          <w:sz w:val="20"/>
          <w:szCs w:val="20"/>
          <w:color w:val="auto"/>
        </w:rPr>
      </w:pPr>
      <w:r>
        <w:rPr>
          <w:rFonts w:ascii="Arial" w:cs="Arial" w:eastAsia="Arial" w:hAnsi="Arial"/>
          <w:sz w:val="15"/>
          <w:szCs w:val="15"/>
          <w:b w:val="1"/>
          <w:bCs w:val="1"/>
          <w:color w:val="auto"/>
        </w:rPr>
        <w:t>We cannot predict how tax reform legislation will affect us, our investments, or our stockholders, and any such legislation could adversely affect our business.</w:t>
      </w:r>
    </w:p>
    <w:p>
      <w:pPr>
        <w:spacing w:after="0" w:line="65" w:lineRule="exact"/>
        <w:rPr>
          <w:sz w:val="20"/>
          <w:szCs w:val="20"/>
          <w:color w:val="auto"/>
        </w:rPr>
      </w:pPr>
    </w:p>
    <w:p>
      <w:pPr>
        <w:ind w:left="1060" w:right="2399" w:firstLine="297"/>
        <w:spacing w:after="0" w:line="269" w:lineRule="auto"/>
        <w:rPr>
          <w:sz w:val="20"/>
          <w:szCs w:val="20"/>
          <w:color w:val="auto"/>
        </w:rPr>
      </w:pPr>
      <w:r>
        <w:rPr>
          <w:rFonts w:ascii="Arial" w:cs="Arial" w:eastAsia="Arial" w:hAnsi="Arial"/>
          <w:sz w:val="14"/>
          <w:szCs w:val="14"/>
          <w:color w:val="auto"/>
        </w:rPr>
        <w:t>Legislative or other actions relating to taxes could have a negative effect on us. The rules dealing with U.S. federal income taxation are constantly under review by persons involved in the legislative process and by the IRS and the U.S. Treasury Department. The U.S. House of Representatives and U.S. Senate recently passed tax reform legislation, which the President signed into law. Such legislation significantly changed the Code, including significant changes to the taxation of business entities, the deductibility of interest expense, and the tax treatment of capital investment. We cannot predict with certainty how any changes in the tax laws might affect us, our stockholders, or our portfolio investments. New legislation and any U.S. Treasury regulations, administrative interpretations or court decisions interpreting such legislation could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Certain investors are limited in their ability to make significant investments in us.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Private funds that are excluded from the definition of “investment company” either pursuant to Section 3(c)</w:t>
      </w:r>
    </w:p>
    <w:p>
      <w:pPr>
        <w:spacing w:after="0" w:line="39" w:lineRule="exact"/>
        <w:rPr>
          <w:sz w:val="20"/>
          <w:szCs w:val="20"/>
          <w:color w:val="auto"/>
        </w:rPr>
      </w:pPr>
    </w:p>
    <w:p>
      <w:pPr>
        <w:jc w:val="both"/>
        <w:ind w:left="1060" w:right="2459" w:hanging="9"/>
        <w:spacing w:after="0" w:line="298" w:lineRule="auto"/>
        <w:tabs>
          <w:tab w:leader="none" w:pos="1271" w:val="left"/>
        </w:tabs>
        <w:numPr>
          <w:ilvl w:val="0"/>
          <w:numId w:val="23"/>
        </w:numPr>
        <w:rPr>
          <w:rFonts w:ascii="Arial" w:cs="Arial" w:eastAsia="Arial" w:hAnsi="Arial"/>
          <w:sz w:val="13"/>
          <w:szCs w:val="13"/>
          <w:color w:val="auto"/>
        </w:rPr>
      </w:pPr>
      <w:r>
        <w:rPr>
          <w:rFonts w:ascii="Arial" w:cs="Arial" w:eastAsia="Arial" w:hAnsi="Arial"/>
          <w:sz w:val="13"/>
          <w:szCs w:val="13"/>
          <w:color w:val="auto"/>
        </w:rPr>
        <w:t>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18"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Even in the event the value of your investment declines, the base management fee will still be payable.</w:t>
      </w:r>
    </w:p>
    <w:p>
      <w:pPr>
        <w:spacing w:after="0" w:line="111"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 Under the terms of the Investment Advisory Agreement, the base management fee is calculated at an annual rate of 2.0% of the value of our gross assets, which we pay monthly in arrears. Effective January 1, 2017 through December 31, 2017, however, pursuant to a voluntary waiver by GSV Asset Management, we paid GSV Asset Management a base management fee of 1.75%, a 0.25% reduction from the 2.0% base management fee payable under the Investment Advisory Agreement. In addition, pursuant to the Waiver Agreement, the base management fee is calculated at an annual rate of 1.75% of our gross assets beginning as of February 1, 2018. See “Business — Investment Advisory Agreement” in Part I, Item 1 of this Form 10-K for more information.</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We incur significant costs as a result of being a publicly traded company.</w:t>
      </w:r>
    </w:p>
    <w:p>
      <w:pPr>
        <w:spacing w:after="0" w:line="77" w:lineRule="exact"/>
        <w:rPr>
          <w:sz w:val="20"/>
          <w:szCs w:val="20"/>
          <w:color w:val="auto"/>
        </w:rPr>
      </w:pPr>
    </w:p>
    <w:p>
      <w:pPr>
        <w:ind w:left="1060" w:right="2679" w:firstLine="297"/>
        <w:spacing w:after="0" w:line="255" w:lineRule="auto"/>
        <w:rPr>
          <w:sz w:val="20"/>
          <w:szCs w:val="20"/>
          <w:color w:val="auto"/>
        </w:rPr>
      </w:pPr>
      <w:r>
        <w:rPr>
          <w:rFonts w:ascii="Arial" w:cs="Arial" w:eastAsia="Arial" w:hAnsi="Arial"/>
          <w:sz w:val="15"/>
          <w:szCs w:val="15"/>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Ineffective internal controls could impact our business and operating results.</w:t>
      </w:r>
    </w:p>
    <w:p>
      <w:pPr>
        <w:spacing w:after="0" w:line="88" w:lineRule="exact"/>
        <w:rPr>
          <w:sz w:val="20"/>
          <w:szCs w:val="20"/>
          <w:color w:val="auto"/>
        </w:rPr>
      </w:pPr>
    </w:p>
    <w:p>
      <w:pPr>
        <w:ind w:left="1060" w:right="2459" w:firstLine="297"/>
        <w:spacing w:after="0" w:line="307" w:lineRule="auto"/>
        <w:rPr>
          <w:sz w:val="20"/>
          <w:szCs w:val="20"/>
          <w:color w:val="auto"/>
        </w:rPr>
      </w:pPr>
      <w:r>
        <w:rPr>
          <w:rFonts w:ascii="Arial" w:cs="Arial" w:eastAsia="Arial" w:hAnsi="Arial"/>
          <w:sz w:val="14"/>
          <w:szCs w:val="14"/>
          <w:color w:val="auto"/>
        </w:rPr>
        <w:t>Our internal control over financial reporting may not prevent or detect misstatements because of its inherent limitations, including the possibility of human error, the circumvention or overriding of controls,</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4" w:name="page45"/>
    <w:bookmarkEnd w:id="4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99"/>
        <w:spacing w:after="0" w:line="254" w:lineRule="auto"/>
        <w:rPr>
          <w:sz w:val="20"/>
          <w:szCs w:val="20"/>
          <w:color w:val="auto"/>
        </w:rPr>
      </w:pPr>
      <w:r>
        <w:rPr>
          <w:rFonts w:ascii="Arial" w:cs="Arial" w:eastAsia="Arial" w:hAnsi="Arial"/>
          <w:sz w:val="15"/>
          <w:szCs w:val="15"/>
          <w:color w:val="auto"/>
        </w:rPr>
        <w:t>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43" w:lineRule="exact"/>
        <w:rPr>
          <w:sz w:val="20"/>
          <w:szCs w:val="20"/>
          <w:color w:val="auto"/>
        </w:rPr>
      </w:pPr>
    </w:p>
    <w:p>
      <w:pPr>
        <w:jc w:val="both"/>
        <w:ind w:left="1060" w:right="2599"/>
        <w:spacing w:after="0" w:line="316" w:lineRule="auto"/>
        <w:rPr>
          <w:sz w:val="20"/>
          <w:szCs w:val="20"/>
          <w:color w:val="auto"/>
        </w:rPr>
      </w:pPr>
      <w:r>
        <w:rPr>
          <w:rFonts w:ascii="Arial" w:cs="Arial" w:eastAsia="Arial" w:hAnsi="Arial"/>
          <w:sz w:val="13"/>
          <w:szCs w:val="13"/>
          <w:b w:val="1"/>
          <w:bCs w:val="1"/>
          <w:color w:val="auto"/>
        </w:rPr>
        <w:t>We may in the future determine to fund a portion of our investments with preferred stock, which would magnify the potential for gain or loss and the risks of investing in us in the same way as our borrowings.</w:t>
      </w:r>
    </w:p>
    <w:p>
      <w:pPr>
        <w:spacing w:after="0" w:line="1" w:lineRule="exact"/>
        <w:rPr>
          <w:sz w:val="20"/>
          <w:szCs w:val="20"/>
          <w:color w:val="auto"/>
        </w:rPr>
      </w:pPr>
    </w:p>
    <w:p>
      <w:pPr>
        <w:ind w:left="1060" w:right="2619" w:firstLine="297"/>
        <w:spacing w:after="0" w:line="252" w:lineRule="auto"/>
        <w:rPr>
          <w:sz w:val="20"/>
          <w:szCs w:val="20"/>
          <w:color w:val="auto"/>
        </w:rPr>
      </w:pPr>
      <w:r>
        <w:rPr>
          <w:rFonts w:ascii="Arial" w:cs="Arial" w:eastAsia="Arial" w:hAnsi="Arial"/>
          <w:sz w:val="15"/>
          <w:szCs w:val="15"/>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48" w:lineRule="exact"/>
        <w:rPr>
          <w:sz w:val="20"/>
          <w:szCs w:val="20"/>
          <w:color w:val="auto"/>
        </w:rPr>
      </w:pPr>
    </w:p>
    <w:p>
      <w:pPr>
        <w:ind w:left="1060" w:right="2559"/>
        <w:spacing w:after="0" w:line="279" w:lineRule="auto"/>
        <w:rPr>
          <w:sz w:val="20"/>
          <w:szCs w:val="20"/>
          <w:color w:val="auto"/>
        </w:rPr>
      </w:pPr>
      <w:r>
        <w:rPr>
          <w:rFonts w:ascii="Arial" w:cs="Arial" w:eastAsia="Arial" w:hAnsi="Arial"/>
          <w:sz w:val="14"/>
          <w:szCs w:val="14"/>
          <w:b w:val="1"/>
          <w:bCs w:val="1"/>
          <w:color w:val="auto"/>
        </w:rPr>
        <w:t>Our board of directors is authorized to reclassify any unissued shares of stock into one or more classes of preferred stock, which could convey special rights and privileges to its owners.</w:t>
      </w:r>
    </w:p>
    <w:p>
      <w:pPr>
        <w:spacing w:after="0" w:line="20" w:lineRule="exact"/>
        <w:rPr>
          <w:sz w:val="20"/>
          <w:szCs w:val="20"/>
          <w:color w:val="auto"/>
        </w:rPr>
      </w:pPr>
    </w:p>
    <w:p>
      <w:pPr>
        <w:ind w:left="1060" w:right="2419" w:firstLine="297"/>
        <w:spacing w:after="0" w:line="289" w:lineRule="auto"/>
        <w:rPr>
          <w:sz w:val="20"/>
          <w:szCs w:val="20"/>
          <w:color w:val="auto"/>
        </w:rPr>
      </w:pPr>
      <w:r>
        <w:rPr>
          <w:rFonts w:ascii="Arial" w:cs="Arial" w:eastAsia="Arial" w:hAnsi="Arial"/>
          <w:sz w:val="13"/>
          <w:szCs w:val="13"/>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31" w:lineRule="exact"/>
        <w:rPr>
          <w:sz w:val="20"/>
          <w:szCs w:val="20"/>
          <w:color w:val="auto"/>
        </w:rPr>
      </w:pPr>
    </w:p>
    <w:p>
      <w:pPr>
        <w:ind w:left="1060" w:right="2719"/>
        <w:spacing w:after="0" w:line="279" w:lineRule="auto"/>
        <w:rPr>
          <w:sz w:val="20"/>
          <w:szCs w:val="20"/>
          <w:color w:val="auto"/>
        </w:rPr>
      </w:pPr>
      <w:r>
        <w:rPr>
          <w:rFonts w:ascii="Arial" w:cs="Arial" w:eastAsia="Arial" w:hAnsi="Arial"/>
          <w:sz w:val="14"/>
          <w:szCs w:val="14"/>
          <w:b w:val="1"/>
          <w:bCs w:val="1"/>
          <w:color w:val="auto"/>
        </w:rPr>
        <w:t>Our board of directors may change our investment objective, operating policies and strategies without prior notice or stockholder approval, the effects of which may be adverse.</w:t>
      </w:r>
    </w:p>
    <w:p>
      <w:pPr>
        <w:spacing w:after="0" w:line="9" w:lineRule="exact"/>
        <w:rPr>
          <w:sz w:val="20"/>
          <w:szCs w:val="20"/>
          <w:color w:val="auto"/>
        </w:rPr>
      </w:pPr>
    </w:p>
    <w:p>
      <w:pPr>
        <w:ind w:left="1060" w:right="2519" w:firstLine="297"/>
        <w:spacing w:after="0" w:line="252" w:lineRule="auto"/>
        <w:rPr>
          <w:sz w:val="20"/>
          <w:szCs w:val="20"/>
          <w:color w:val="auto"/>
        </w:rPr>
      </w:pPr>
      <w:r>
        <w:rPr>
          <w:rFonts w:ascii="Arial" w:cs="Arial" w:eastAsia="Arial" w:hAnsi="Arial"/>
          <w:sz w:val="15"/>
          <w:szCs w:val="15"/>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48" w:lineRule="exact"/>
        <w:rPr>
          <w:sz w:val="20"/>
          <w:szCs w:val="20"/>
          <w:color w:val="auto"/>
        </w:rPr>
      </w:pPr>
    </w:p>
    <w:p>
      <w:pPr>
        <w:ind w:left="1060" w:right="2459"/>
        <w:spacing w:after="0" w:line="245" w:lineRule="auto"/>
        <w:rPr>
          <w:sz w:val="20"/>
          <w:szCs w:val="20"/>
          <w:color w:val="auto"/>
        </w:rPr>
      </w:pPr>
      <w:r>
        <w:rPr>
          <w:rFonts w:ascii="Arial" w:cs="Arial" w:eastAsia="Arial" w:hAnsi="Arial"/>
          <w:sz w:val="15"/>
          <w:szCs w:val="15"/>
          <w:b w:val="1"/>
          <w:bCs w:val="1"/>
          <w:color w:val="auto"/>
        </w:rPr>
        <w:t>Provisions of the Maryland General Corporation Law and of our charter and bylaws could deter takeover attempts and have an adverse impact on the price of our common stock.</w:t>
      </w:r>
    </w:p>
    <w:p>
      <w:pPr>
        <w:spacing w:after="0" w:line="42" w:lineRule="exact"/>
        <w:rPr>
          <w:sz w:val="20"/>
          <w:szCs w:val="20"/>
          <w:color w:val="auto"/>
        </w:rPr>
      </w:pPr>
    </w:p>
    <w:p>
      <w:pPr>
        <w:ind w:left="1060" w:right="2519" w:firstLine="297"/>
        <w:spacing w:after="0" w:line="307" w:lineRule="auto"/>
        <w:rPr>
          <w:sz w:val="20"/>
          <w:szCs w:val="20"/>
          <w:color w:val="auto"/>
        </w:rPr>
      </w:pPr>
      <w:r>
        <w:rPr>
          <w:rFonts w:ascii="Arial" w:cs="Arial" w:eastAsia="Arial" w:hAnsi="Arial"/>
          <w:sz w:val="14"/>
          <w:szCs w:val="14"/>
          <w:color w:val="auto"/>
        </w:rPr>
        <w:t>Our charter and bylaws, as well as certain statutory and regulatory requirements, contain certain provisions that may have the effect of discouraging a third party from making an acquisition proposal for</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5" w:name="page46"/>
    <w:bookmarkEnd w:id="4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59"/>
        <w:spacing w:after="0" w:line="293" w:lineRule="auto"/>
        <w:rPr>
          <w:sz w:val="20"/>
          <w:szCs w:val="20"/>
          <w:color w:val="auto"/>
        </w:rPr>
      </w:pPr>
      <w:r>
        <w:rPr>
          <w:rFonts w:ascii="Arial" w:cs="Arial" w:eastAsia="Arial" w:hAnsi="Arial"/>
          <w:sz w:val="13"/>
          <w:szCs w:val="13"/>
          <w:color w:val="auto"/>
        </w:rPr>
        <w:t>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 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otherwise give the holders of our common stock the opportunity to realize a premium over the market price for our common stock.</w:t>
      </w:r>
    </w:p>
    <w:p>
      <w:pPr>
        <w:spacing w:after="0" w:line="124" w:lineRule="exact"/>
        <w:rPr>
          <w:sz w:val="20"/>
          <w:szCs w:val="20"/>
          <w:color w:val="auto"/>
        </w:rPr>
      </w:pPr>
    </w:p>
    <w:p>
      <w:pPr>
        <w:ind w:left="1060" w:right="2439"/>
        <w:spacing w:after="0" w:line="234" w:lineRule="auto"/>
        <w:rPr>
          <w:sz w:val="20"/>
          <w:szCs w:val="20"/>
          <w:color w:val="auto"/>
        </w:rPr>
      </w:pPr>
      <w:r>
        <w:rPr>
          <w:rFonts w:ascii="Arial" w:cs="Arial" w:eastAsia="Arial" w:hAnsi="Arial"/>
          <w:sz w:val="15"/>
          <w:szCs w:val="15"/>
          <w:b w:val="1"/>
          <w:b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69" w:lineRule="exact"/>
        <w:rPr>
          <w:sz w:val="20"/>
          <w:szCs w:val="20"/>
          <w:color w:val="auto"/>
        </w:rPr>
      </w:pPr>
    </w:p>
    <w:p>
      <w:pPr>
        <w:ind w:left="1060" w:right="2579" w:firstLine="297"/>
        <w:spacing w:after="0" w:line="274" w:lineRule="auto"/>
        <w:rPr>
          <w:sz w:val="20"/>
          <w:szCs w:val="20"/>
          <w:color w:val="auto"/>
        </w:rPr>
      </w:pPr>
      <w:r>
        <w:rPr>
          <w:rFonts w:ascii="Arial" w:cs="Arial" w:eastAsia="Arial" w:hAnsi="Arial"/>
          <w:sz w:val="14"/>
          <w:szCs w:val="14"/>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102" w:lineRule="exact"/>
        <w:rPr>
          <w:sz w:val="20"/>
          <w:szCs w:val="20"/>
          <w:color w:val="auto"/>
        </w:rPr>
      </w:pPr>
    </w:p>
    <w:p>
      <w:pPr>
        <w:ind w:left="1640" w:hanging="292"/>
        <w:spacing w:after="0"/>
        <w:tabs>
          <w:tab w:leader="none" w:pos="1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sudden electrical or telecommunications outages;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natural disasters such as earthquakes, tornadoes and hurricanes;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disease pandemics;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events arising from local or larger scale political or social matters, including terrorist acts; and</w:t>
      </w:r>
    </w:p>
    <w:p>
      <w:pPr>
        <w:spacing w:after="0" w:line="140" w:lineRule="exact"/>
        <w:rPr>
          <w:rFonts w:ascii="Arial" w:cs="Arial" w:eastAsia="Arial" w:hAnsi="Arial"/>
          <w:sz w:val="14"/>
          <w:szCs w:val="14"/>
          <w:color w:val="auto"/>
        </w:rPr>
      </w:pPr>
    </w:p>
    <w:p>
      <w:pPr>
        <w:ind w:left="1640" w:hanging="292"/>
        <w:spacing w:after="0"/>
        <w:tabs>
          <w:tab w:leader="none" w:pos="1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cyber-attacks.</w:t>
      </w:r>
    </w:p>
    <w:p>
      <w:pPr>
        <w:spacing w:after="0" w:line="95" w:lineRule="exact"/>
        <w:rPr>
          <w:sz w:val="20"/>
          <w:szCs w:val="20"/>
          <w:color w:val="auto"/>
        </w:rPr>
      </w:pPr>
    </w:p>
    <w:p>
      <w:pPr>
        <w:ind w:left="1060" w:right="2499" w:firstLine="297"/>
        <w:spacing w:after="0" w:line="307" w:lineRule="auto"/>
        <w:rPr>
          <w:sz w:val="20"/>
          <w:szCs w:val="20"/>
          <w:color w:val="auto"/>
        </w:rPr>
      </w:pPr>
      <w:r>
        <w:rPr>
          <w:rFonts w:ascii="Arial" w:cs="Arial" w:eastAsia="Arial" w:hAnsi="Arial"/>
          <w:sz w:val="14"/>
          <w:szCs w:val="14"/>
          <w:color w:val="auto"/>
        </w:rPr>
        <w:t>These events, in turn, could have a material adverse effect on our operating results and negatively affect the market price of our common stock and our ability to pay dividends to our stockholders.</w:t>
      </w:r>
    </w:p>
    <w:p>
      <w:pPr>
        <w:spacing w:after="0" w:line="109" w:lineRule="exact"/>
        <w:rPr>
          <w:sz w:val="20"/>
          <w:szCs w:val="20"/>
          <w:color w:val="auto"/>
        </w:rPr>
      </w:pPr>
    </w:p>
    <w:p>
      <w:pPr>
        <w:ind w:left="1060" w:right="2739"/>
        <w:spacing w:after="0" w:line="319" w:lineRule="auto"/>
        <w:rPr>
          <w:sz w:val="20"/>
          <w:szCs w:val="20"/>
          <w:color w:val="auto"/>
        </w:rPr>
      </w:pPr>
      <w:r>
        <w:rPr>
          <w:rFonts w:ascii="Arial" w:cs="Arial" w:eastAsia="Arial" w:hAnsi="Arial"/>
          <w:sz w:val="13"/>
          <w:szCs w:val="13"/>
          <w:b w:val="1"/>
          <w:bCs w:val="1"/>
          <w:color w:val="auto"/>
        </w:rPr>
        <w:t>Terrorist attacks, acts of war or natural disasters may affect any market for our securities, impact the businesses in which we invest and harm our business, operating results and financial condition.</w:t>
      </w:r>
    </w:p>
    <w:p>
      <w:pPr>
        <w:spacing w:after="0" w:line="19" w:lineRule="exact"/>
        <w:rPr>
          <w:sz w:val="20"/>
          <w:szCs w:val="20"/>
          <w:color w:val="auto"/>
        </w:rPr>
      </w:pPr>
    </w:p>
    <w:p>
      <w:pPr>
        <w:ind w:left="1060" w:right="2539" w:firstLine="297"/>
        <w:spacing w:after="0" w:line="273" w:lineRule="auto"/>
        <w:rPr>
          <w:sz w:val="20"/>
          <w:szCs w:val="20"/>
          <w:color w:val="auto"/>
        </w:rPr>
      </w:pPr>
      <w:r>
        <w:rPr>
          <w:rFonts w:ascii="Arial" w:cs="Arial" w:eastAsia="Arial" w:hAnsi="Arial"/>
          <w:sz w:val="14"/>
          <w:szCs w:val="14"/>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We face cyber-security risks.</w:t>
      </w:r>
    </w:p>
    <w:p>
      <w:pPr>
        <w:spacing w:after="0" w:line="88" w:lineRule="exact"/>
        <w:rPr>
          <w:sz w:val="20"/>
          <w:szCs w:val="20"/>
          <w:color w:val="auto"/>
        </w:rPr>
      </w:pPr>
    </w:p>
    <w:p>
      <w:pPr>
        <w:ind w:left="1060" w:right="2439" w:firstLine="297"/>
        <w:spacing w:after="0" w:line="254" w:lineRule="auto"/>
        <w:rPr>
          <w:sz w:val="20"/>
          <w:szCs w:val="20"/>
          <w:color w:val="auto"/>
        </w:rPr>
      </w:pPr>
      <w:r>
        <w:rPr>
          <w:rFonts w:ascii="Arial" w:cs="Arial" w:eastAsia="Arial" w:hAnsi="Arial"/>
          <w:sz w:val="15"/>
          <w:szCs w:val="15"/>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43" w:lineRule="exact"/>
        <w:rPr>
          <w:sz w:val="20"/>
          <w:szCs w:val="20"/>
          <w:color w:val="auto"/>
        </w:rPr>
      </w:pPr>
    </w:p>
    <w:p>
      <w:pPr>
        <w:ind w:left="1060" w:right="2759"/>
        <w:spacing w:after="0" w:line="234" w:lineRule="auto"/>
        <w:rPr>
          <w:sz w:val="20"/>
          <w:szCs w:val="20"/>
          <w:color w:val="auto"/>
        </w:rPr>
      </w:pPr>
      <w:r>
        <w:rPr>
          <w:rFonts w:ascii="Arial" w:cs="Arial" w:eastAsia="Arial" w:hAnsi="Arial"/>
          <w:sz w:val="15"/>
          <w:szCs w:val="15"/>
          <w:b w:val="1"/>
          <w:bCs w:val="1"/>
          <w:color w:val="auto"/>
        </w:rPr>
        <w:t>The failure in cyber security systems, as well as the occurrence of events unanticipated in our disaster recovery systems and management continuity planning could impair our ability to conduct business effectively.</w:t>
      </w:r>
    </w:p>
    <w:p>
      <w:pPr>
        <w:spacing w:after="0" w:line="69" w:lineRule="exact"/>
        <w:rPr>
          <w:sz w:val="20"/>
          <w:szCs w:val="20"/>
          <w:color w:val="auto"/>
        </w:rPr>
      </w:pPr>
    </w:p>
    <w:p>
      <w:pPr>
        <w:ind w:left="1060" w:right="2499" w:firstLine="297"/>
        <w:spacing w:after="0" w:line="286" w:lineRule="auto"/>
        <w:rPr>
          <w:sz w:val="20"/>
          <w:szCs w:val="20"/>
          <w:color w:val="auto"/>
        </w:rPr>
      </w:pPr>
      <w:r>
        <w:rPr>
          <w:rFonts w:ascii="Arial" w:cs="Arial" w:eastAsia="Arial" w:hAnsi="Arial"/>
          <w:sz w:val="14"/>
          <w:szCs w:val="14"/>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565150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6" w:name="page47"/>
    <w:bookmarkEnd w:id="4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919"/>
        <w:spacing w:after="0" w:line="255" w:lineRule="auto"/>
        <w:rPr>
          <w:sz w:val="20"/>
          <w:szCs w:val="20"/>
          <w:color w:val="auto"/>
        </w:rPr>
      </w:pPr>
      <w:r>
        <w:rPr>
          <w:rFonts w:ascii="Arial" w:cs="Arial" w:eastAsia="Arial" w:hAnsi="Arial"/>
          <w:sz w:val="15"/>
          <w:szCs w:val="15"/>
          <w:color w:val="auto"/>
        </w:rPr>
        <w:t>operations and financial condition, particularly if those events affect our computer-based data processing, transmission, storage, and retrieval systems or destroy data. If a significant number of our managers were unavailable in the event of a disaster, our ability to effectively conduct our business could be severely compromised.</w:t>
      </w:r>
    </w:p>
    <w:p>
      <w:pPr>
        <w:spacing w:after="0" w:line="70" w:lineRule="exact"/>
        <w:rPr>
          <w:sz w:val="20"/>
          <w:szCs w:val="20"/>
          <w:color w:val="auto"/>
        </w:rPr>
      </w:pPr>
    </w:p>
    <w:p>
      <w:pPr>
        <w:ind w:left="1060" w:right="2479" w:firstLine="297"/>
        <w:spacing w:after="0" w:line="271" w:lineRule="auto"/>
        <w:rPr>
          <w:sz w:val="20"/>
          <w:szCs w:val="20"/>
          <w:color w:val="auto"/>
        </w:rPr>
      </w:pPr>
      <w:r>
        <w:rPr>
          <w:rFonts w:ascii="Arial" w:cs="Arial" w:eastAsia="Arial" w:hAnsi="Arial"/>
          <w:sz w:val="14"/>
          <w:szCs w:val="14"/>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Risks Related to Our Convertible Senior Notes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Our stockholders may experience dilution upon the conversion of our Convertible Senior Notes.</w:t>
      </w:r>
    </w:p>
    <w:p>
      <w:pPr>
        <w:spacing w:after="0" w:line="100" w:lineRule="exact"/>
        <w:rPr>
          <w:sz w:val="20"/>
          <w:szCs w:val="20"/>
          <w:color w:val="auto"/>
        </w:rPr>
      </w:pPr>
    </w:p>
    <w:p>
      <w:pPr>
        <w:ind w:left="1060" w:right="2439" w:firstLine="297"/>
        <w:spacing w:after="0" w:line="288" w:lineRule="auto"/>
        <w:rPr>
          <w:sz w:val="20"/>
          <w:szCs w:val="20"/>
          <w:color w:val="auto"/>
        </w:rPr>
      </w:pPr>
      <w:r>
        <w:rPr>
          <w:rFonts w:ascii="Arial" w:cs="Arial" w:eastAsia="Arial" w:hAnsi="Arial"/>
          <w:sz w:val="13"/>
          <w:szCs w:val="13"/>
          <w:color w:val="auto"/>
        </w:rPr>
        <w:t>Our Convertible Senior Notes are convertible into shares of our common stock. Upon conversion, we must deliver shares of our common stock. The conversion rate of our Convertible Senior Notes is currently 83.3596 shares of common stock per $1,000 principal amount of the Convertible Senior Notes, which is equivalent to a conversion price of approximately $12.00 per share of common stock. Based on the current conversion rate, as of March 16, 2018, the maximum number of shares of common stock that would be issued upon conversion of the $64,180,000 convertible debt currently outstanding is 5,350,021. If we deliver shares of common stock upon a conversion at the time our net asset value per share exceeds the conversion price in effect at such time, our stockholders will incur dilution. In addition, our stockholders will experience dilution in their</w:t>
      </w:r>
    </w:p>
    <w:p>
      <w:pPr>
        <w:spacing w:after="0" w:line="3" w:lineRule="exact"/>
        <w:rPr>
          <w:sz w:val="20"/>
          <w:szCs w:val="20"/>
          <w:color w:val="auto"/>
        </w:rPr>
      </w:pPr>
    </w:p>
    <w:p>
      <w:pPr>
        <w:ind w:left="1060" w:right="2639"/>
        <w:spacing w:after="0" w:line="252" w:lineRule="auto"/>
        <w:rPr>
          <w:sz w:val="20"/>
          <w:szCs w:val="20"/>
          <w:color w:val="auto"/>
        </w:rPr>
      </w:pPr>
      <w:r>
        <w:rPr>
          <w:rFonts w:ascii="Arial" w:cs="Arial" w:eastAsia="Arial" w:hAnsi="Arial"/>
          <w:sz w:val="15"/>
          <w:szCs w:val="15"/>
          <w:color w:val="auto"/>
        </w:rPr>
        <w:t>ownership percentage of our common stock upon our issuance of common stock in connection with the conversion of our Convertible Senior Notes and any dividends paid on our common stock will also be paid on shares issued in connection with such conversion after such issuance.</w:t>
      </w:r>
    </w:p>
    <w:p>
      <w:pPr>
        <w:spacing w:after="0" w:line="146" w:lineRule="exact"/>
        <w:rPr>
          <w:sz w:val="20"/>
          <w:szCs w:val="20"/>
          <w:color w:val="auto"/>
        </w:rPr>
      </w:pPr>
    </w:p>
    <w:p>
      <w:pPr>
        <w:ind w:left="1060" w:right="2479"/>
        <w:spacing w:after="0" w:line="285" w:lineRule="auto"/>
        <w:rPr>
          <w:sz w:val="20"/>
          <w:szCs w:val="20"/>
          <w:color w:val="auto"/>
        </w:rPr>
      </w:pPr>
      <w:r>
        <w:rPr>
          <w:rFonts w:ascii="Arial" w:cs="Arial" w:eastAsia="Arial" w:hAnsi="Arial"/>
          <w:sz w:val="13"/>
          <w:szCs w:val="13"/>
          <w:b w:val="1"/>
          <w:bCs w:val="1"/>
          <w:color w:val="auto"/>
        </w:rPr>
        <w:t>We may not have, or have the ability to raise, the funds necessary to repurchase our Convertible Senior Notes upon a fundamental change, and our debt may contain limitations on our ability to deliver shares of our common stock upon conversion or pay cash upon repurchase of our Convertible Senior Notes.</w:t>
      </w:r>
    </w:p>
    <w:p>
      <w:pPr>
        <w:spacing w:after="0" w:line="41" w:lineRule="exact"/>
        <w:rPr>
          <w:sz w:val="20"/>
          <w:szCs w:val="20"/>
          <w:color w:val="auto"/>
        </w:rPr>
      </w:pPr>
    </w:p>
    <w:p>
      <w:pPr>
        <w:ind w:left="1060" w:right="2419" w:firstLine="297"/>
        <w:spacing w:after="0" w:line="291" w:lineRule="auto"/>
        <w:rPr>
          <w:sz w:val="20"/>
          <w:szCs w:val="20"/>
          <w:color w:val="auto"/>
        </w:rPr>
      </w:pPr>
      <w:r>
        <w:rPr>
          <w:rFonts w:ascii="Arial" w:cs="Arial" w:eastAsia="Arial" w:hAnsi="Arial"/>
          <w:sz w:val="13"/>
          <w:szCs w:val="13"/>
          <w:color w:val="auto"/>
        </w:rPr>
        <w:t>Holders of our Convertible Senior Notes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Convertible Senior Notes surrendered therefor. In addition, our ability to repurchase our Convertible Senior Notes or deliver shares of our common stock upon conversions of the Convertible Senior Notes may be limited by law, by regulatory authority or by agreements governing our indebtedness. Our failure to repurchase the Convertible Senior Notes at a time when the repurchase is required by the indenture relating to the Convertible Senior Notes or to deliver any shares of our common stock deliverable on future conversions of the Convertible Senior Notes as required by the indenture would constitute a default under the indenture. A default under the indenture or the occurrence of a fundamental change itself could also lead to a default under agreements governing our indebtedness. If the repayment of the related indebtedness were to be accelerated after any applicable notice or grace periods, we may not have sufficient funds to repay the indebtedness and repurchase our Convertible Senior Notes.</w:t>
      </w:r>
    </w:p>
    <w:p>
      <w:pPr>
        <w:spacing w:after="0" w:line="12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Provisions of our Convertible Senior Notes could discourage an acquisition of us by a third party.</w:t>
      </w:r>
    </w:p>
    <w:p>
      <w:pPr>
        <w:spacing w:after="0" w:line="100" w:lineRule="exact"/>
        <w:rPr>
          <w:sz w:val="20"/>
          <w:szCs w:val="20"/>
          <w:color w:val="auto"/>
        </w:rPr>
      </w:pPr>
    </w:p>
    <w:p>
      <w:pPr>
        <w:jc w:val="both"/>
        <w:ind w:left="1060" w:right="2659" w:firstLine="297"/>
        <w:spacing w:after="0" w:line="286" w:lineRule="auto"/>
        <w:rPr>
          <w:sz w:val="20"/>
          <w:szCs w:val="20"/>
          <w:color w:val="auto"/>
        </w:rPr>
      </w:pPr>
      <w:r>
        <w:rPr>
          <w:rFonts w:ascii="Arial" w:cs="Arial" w:eastAsia="Arial" w:hAnsi="Arial"/>
          <w:sz w:val="14"/>
          <w:szCs w:val="14"/>
          <w:color w:val="auto"/>
        </w:rPr>
        <w:t>Certain provisions of our Convertible Senior Notes could make it more difficult or more expensive for a third party to acquire us. Upon the occurrence of a fundamental change, the holders of our Convertible Senior Notes will have the right, at their option, to require us to repurchase all or a portion of their</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7" w:name="page48"/>
    <w:bookmarkEnd w:id="4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59"/>
        <w:spacing w:after="0" w:line="286" w:lineRule="auto"/>
        <w:rPr>
          <w:sz w:val="20"/>
          <w:szCs w:val="20"/>
          <w:color w:val="auto"/>
        </w:rPr>
      </w:pPr>
      <w:r>
        <w:rPr>
          <w:rFonts w:ascii="Arial" w:cs="Arial" w:eastAsia="Arial" w:hAnsi="Arial"/>
          <w:sz w:val="14"/>
          <w:szCs w:val="14"/>
          <w:color w:val="auto"/>
        </w:rPr>
        <w:t>Convertible Senior Notes, plus accrued and unpaid interest. We may also be required to increase the conversion rate of the Convertible Senior Notes in certain other circumstances, including in the event of certain fundamental changes. These provisions could discourage an acquisition of us by a third party.</w:t>
      </w:r>
    </w:p>
    <w:p>
      <w:pPr>
        <w:spacing w:after="0" w:line="123" w:lineRule="exact"/>
        <w:rPr>
          <w:sz w:val="20"/>
          <w:szCs w:val="20"/>
          <w:color w:val="auto"/>
        </w:rPr>
      </w:pPr>
    </w:p>
    <w:p>
      <w:pPr>
        <w:ind w:left="1060" w:right="2419"/>
        <w:spacing w:after="0" w:line="319" w:lineRule="auto"/>
        <w:rPr>
          <w:sz w:val="20"/>
          <w:szCs w:val="20"/>
          <w:color w:val="auto"/>
        </w:rPr>
      </w:pPr>
      <w:r>
        <w:rPr>
          <w:rFonts w:ascii="Arial" w:cs="Arial" w:eastAsia="Arial" w:hAnsi="Arial"/>
          <w:sz w:val="13"/>
          <w:szCs w:val="13"/>
          <w:b w:val="1"/>
          <w:bCs w:val="1"/>
          <w:color w:val="auto"/>
        </w:rPr>
        <w:t>Certain adverse consequences could result if our Convertible Senior Notes are treated as equity interests in us for purposes of regulations under the Employee Retirement Income Security Act of 1974.</w:t>
      </w:r>
    </w:p>
    <w:p>
      <w:pPr>
        <w:spacing w:after="0" w:line="19" w:lineRule="exact"/>
        <w:rPr>
          <w:sz w:val="20"/>
          <w:szCs w:val="20"/>
          <w:color w:val="auto"/>
        </w:rPr>
      </w:pPr>
    </w:p>
    <w:p>
      <w:pPr>
        <w:ind w:left="1060" w:right="2439" w:firstLine="297"/>
        <w:spacing w:after="0" w:line="291" w:lineRule="auto"/>
        <w:rPr>
          <w:sz w:val="20"/>
          <w:szCs w:val="20"/>
          <w:color w:val="auto"/>
        </w:rPr>
      </w:pPr>
      <w:r>
        <w:rPr>
          <w:rFonts w:ascii="Arial" w:cs="Arial" w:eastAsia="Arial" w:hAnsi="Arial"/>
          <w:sz w:val="13"/>
          <w:szCs w:val="13"/>
          <w:color w:val="auto"/>
        </w:rPr>
        <w:t>Pursuant to regulations under the Employee Retirement Income Security Act of 1974 (“ERISA”), it is possible that, due to their convertibility feature, our Convertible Senior Notes could be treated as equity interests in us. In that event, if employee benefit plans subject to Title I of ERISA, plans that are not subject to ERISA but that are subject to Section 4975 of the Code, such as individual retirement accounts, and entities that are deemed to hold the assets of such plans or accounts (such plans, accounts, and entities, “Benefit Plan Investors”) were to acquire 25% or more of the aggregate value of our Convertible Senior Notes,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parties-in-interest or disqualified persons by virtue of their provision of such services.</w:t>
      </w:r>
    </w:p>
    <w:p>
      <w:pPr>
        <w:spacing w:after="0" w:line="49" w:lineRule="exact"/>
        <w:rPr>
          <w:sz w:val="20"/>
          <w:szCs w:val="20"/>
          <w:color w:val="auto"/>
        </w:rPr>
      </w:pPr>
    </w:p>
    <w:p>
      <w:pPr>
        <w:ind w:left="1060" w:right="2519" w:firstLine="297"/>
        <w:spacing w:after="0" w:line="259" w:lineRule="auto"/>
        <w:rPr>
          <w:sz w:val="20"/>
          <w:szCs w:val="20"/>
          <w:color w:val="auto"/>
        </w:rPr>
      </w:pPr>
      <w:r>
        <w:rPr>
          <w:rFonts w:ascii="Arial" w:cs="Arial" w:eastAsia="Arial" w:hAnsi="Arial"/>
          <w:sz w:val="15"/>
          <w:szCs w:val="15"/>
          <w:color w:val="auto"/>
        </w:rPr>
        <w:t>We do not believe that our Convertible Senior Notes should be treated as equity interests in us for purposes of ERISA in light of the relevant regulations. No assurance can be given, however, that our Convertible Senior Notes will not be so treated.</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The accounting for convertible debt securities is complex and subject to uncertainty.</w:t>
      </w:r>
    </w:p>
    <w:p>
      <w:pPr>
        <w:spacing w:after="0" w:line="88" w:lineRule="exact"/>
        <w:rPr>
          <w:sz w:val="20"/>
          <w:szCs w:val="20"/>
          <w:color w:val="auto"/>
        </w:rPr>
      </w:pPr>
    </w:p>
    <w:p>
      <w:pPr>
        <w:ind w:left="1060" w:right="2459" w:firstLine="297"/>
        <w:spacing w:after="0" w:line="252" w:lineRule="auto"/>
        <w:rPr>
          <w:sz w:val="20"/>
          <w:szCs w:val="20"/>
          <w:color w:val="auto"/>
        </w:rPr>
      </w:pPr>
      <w:r>
        <w:rPr>
          <w:rFonts w:ascii="Arial" w:cs="Arial" w:eastAsia="Arial" w:hAnsi="Arial"/>
          <w:sz w:val="15"/>
          <w:szCs w:val="15"/>
          <w:color w:val="auto"/>
        </w:rPr>
        <w:t>The accounting for convertible debt securities is complex and subject to frequent scrutiny by the accounting regulatory bodies and is subject to change. The issuance of our Convertible Senior Notes may affect our earnings per share on a fully diluted basis in certain periods.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Risks Related to an Investment in Our Securities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Our common stock price may be volatile and may decrease substantially.</w:t>
      </w:r>
    </w:p>
    <w:p>
      <w:pPr>
        <w:spacing w:after="0" w:line="88" w:lineRule="exact"/>
        <w:rPr>
          <w:sz w:val="20"/>
          <w:szCs w:val="20"/>
          <w:color w:val="auto"/>
        </w:rPr>
      </w:pPr>
    </w:p>
    <w:p>
      <w:pPr>
        <w:jc w:val="both"/>
        <w:ind w:left="1060" w:right="2459" w:firstLine="297"/>
        <w:spacing w:after="0" w:line="255" w:lineRule="auto"/>
        <w:rPr>
          <w:sz w:val="20"/>
          <w:szCs w:val="20"/>
          <w:color w:val="auto"/>
        </w:rPr>
      </w:pPr>
      <w:r>
        <w:rPr>
          <w:rFonts w:ascii="Arial" w:cs="Arial" w:eastAsia="Arial" w:hAnsi="Arial"/>
          <w:sz w:val="15"/>
          <w:szCs w:val="15"/>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82" w:lineRule="exact"/>
        <w:rPr>
          <w:sz w:val="20"/>
          <w:szCs w:val="20"/>
          <w:color w:val="auto"/>
        </w:rPr>
      </w:pPr>
    </w:p>
    <w:p>
      <w:pPr>
        <w:ind w:left="1640" w:hanging="292"/>
        <w:spacing w:after="0"/>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06" w:lineRule="exact"/>
        <w:rPr>
          <w:rFonts w:ascii="Arial" w:cs="Arial" w:eastAsia="Arial" w:hAnsi="Arial"/>
          <w:sz w:val="15"/>
          <w:szCs w:val="15"/>
          <w:color w:val="auto"/>
        </w:rPr>
      </w:pPr>
    </w:p>
    <w:p>
      <w:pPr>
        <w:ind w:left="1640" w:hanging="292"/>
        <w:spacing w:after="0"/>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investor demand for our shares;</w:t>
      </w:r>
    </w:p>
    <w:p>
      <w:pPr>
        <w:spacing w:after="0" w:line="95" w:lineRule="exact"/>
        <w:rPr>
          <w:rFonts w:ascii="Arial" w:cs="Arial" w:eastAsia="Arial" w:hAnsi="Arial"/>
          <w:sz w:val="15"/>
          <w:szCs w:val="15"/>
          <w:color w:val="auto"/>
        </w:rPr>
      </w:pPr>
    </w:p>
    <w:p>
      <w:pPr>
        <w:ind w:left="1640" w:right="2839" w:hanging="292"/>
        <w:spacing w:after="0" w:line="270" w:lineRule="auto"/>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significant volatility in the market price and trading volume of securities of RICs, BDCs or other financial services companies;</w:t>
      </w:r>
    </w:p>
    <w:p>
      <w:pPr>
        <w:spacing w:after="0" w:line="69" w:lineRule="exact"/>
        <w:rPr>
          <w:rFonts w:ascii="Arial" w:cs="Arial" w:eastAsia="Arial" w:hAnsi="Arial"/>
          <w:sz w:val="15"/>
          <w:szCs w:val="15"/>
          <w:color w:val="auto"/>
        </w:rPr>
      </w:pPr>
    </w:p>
    <w:p>
      <w:pPr>
        <w:ind w:left="1640" w:hanging="292"/>
        <w:spacing w:after="0"/>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regulatory policies or tax guidelines with respect to RICs or BDCs;</w:t>
      </w:r>
    </w:p>
    <w:p>
      <w:pPr>
        <w:spacing w:after="0" w:line="106" w:lineRule="exact"/>
        <w:rPr>
          <w:rFonts w:ascii="Arial" w:cs="Arial" w:eastAsia="Arial" w:hAnsi="Arial"/>
          <w:sz w:val="15"/>
          <w:szCs w:val="15"/>
          <w:color w:val="auto"/>
        </w:rPr>
      </w:pPr>
    </w:p>
    <w:p>
      <w:pPr>
        <w:ind w:left="1640" w:hanging="292"/>
        <w:spacing w:after="0"/>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failure to qualify as a RIC for a particular taxable year, or the loss of RIC status;</w:t>
      </w:r>
    </w:p>
    <w:p>
      <w:pPr>
        <w:spacing w:after="0" w:line="106" w:lineRule="exact"/>
        <w:rPr>
          <w:rFonts w:ascii="Arial" w:cs="Arial" w:eastAsia="Arial" w:hAnsi="Arial"/>
          <w:sz w:val="15"/>
          <w:szCs w:val="15"/>
          <w:color w:val="auto"/>
        </w:rPr>
      </w:pPr>
    </w:p>
    <w:p>
      <w:pPr>
        <w:ind w:left="1640" w:right="2579" w:hanging="292"/>
        <w:spacing w:after="0" w:line="270" w:lineRule="auto"/>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actual or anticipated changes in our earnings or fluctuations in our operating results or changes in the expectations of securities analysts;</w:t>
      </w:r>
    </w:p>
    <w:p>
      <w:pPr>
        <w:spacing w:after="0" w:line="69" w:lineRule="exact"/>
        <w:rPr>
          <w:rFonts w:ascii="Arial" w:cs="Arial" w:eastAsia="Arial" w:hAnsi="Arial"/>
          <w:sz w:val="15"/>
          <w:szCs w:val="15"/>
          <w:color w:val="auto"/>
        </w:rPr>
      </w:pPr>
    </w:p>
    <w:p>
      <w:pPr>
        <w:ind w:left="1640" w:hanging="292"/>
        <w:spacing w:after="0"/>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8" w:name="page49"/>
    <w:bookmarkEnd w:id="4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40" w:hanging="292"/>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fluctuations in the valuation of our portfolio investments;</w:t>
      </w:r>
    </w:p>
    <w:p>
      <w:pPr>
        <w:spacing w:after="0" w:line="151" w:lineRule="exact"/>
        <w:rPr>
          <w:rFonts w:ascii="Arial" w:cs="Arial" w:eastAsia="Arial" w:hAnsi="Arial"/>
          <w:sz w:val="15"/>
          <w:szCs w:val="15"/>
          <w:color w:val="auto"/>
        </w:rPr>
      </w:pPr>
    </w:p>
    <w:p>
      <w:pPr>
        <w:ind w:left="1640" w:hanging="292"/>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operating performance of companies comparable to us;</w:t>
      </w:r>
    </w:p>
    <w:p>
      <w:pPr>
        <w:spacing w:after="0" w:line="151" w:lineRule="exact"/>
        <w:rPr>
          <w:rFonts w:ascii="Arial" w:cs="Arial" w:eastAsia="Arial" w:hAnsi="Arial"/>
          <w:sz w:val="15"/>
          <w:szCs w:val="15"/>
          <w:color w:val="auto"/>
        </w:rPr>
      </w:pPr>
    </w:p>
    <w:p>
      <w:pPr>
        <w:ind w:left="1640" w:hanging="292"/>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market sentiment against technology-related companies; or</w:t>
      </w:r>
    </w:p>
    <w:p>
      <w:pPr>
        <w:spacing w:after="0" w:line="151" w:lineRule="exact"/>
        <w:rPr>
          <w:rFonts w:ascii="Arial" w:cs="Arial" w:eastAsia="Arial" w:hAnsi="Arial"/>
          <w:sz w:val="15"/>
          <w:szCs w:val="15"/>
          <w:color w:val="auto"/>
        </w:rPr>
      </w:pPr>
    </w:p>
    <w:p>
      <w:pPr>
        <w:ind w:left="1640" w:hanging="292"/>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departures of any of the senior investment professionals of GSV Asset Management.</w:t>
      </w:r>
    </w:p>
    <w:p>
      <w:pPr>
        <w:spacing w:after="0" w:line="95" w:lineRule="exact"/>
        <w:rPr>
          <w:sz w:val="20"/>
          <w:szCs w:val="20"/>
          <w:color w:val="auto"/>
        </w:rPr>
      </w:pPr>
    </w:p>
    <w:p>
      <w:pPr>
        <w:ind w:left="1060" w:right="2399" w:firstLine="297"/>
        <w:spacing w:after="0" w:line="255"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45" w:lineRule="exact"/>
        <w:rPr>
          <w:sz w:val="20"/>
          <w:szCs w:val="20"/>
          <w:color w:val="auto"/>
        </w:rPr>
      </w:pPr>
    </w:p>
    <w:p>
      <w:pPr>
        <w:ind w:left="1060" w:right="2459"/>
        <w:spacing w:after="0" w:line="245" w:lineRule="auto"/>
        <w:rPr>
          <w:sz w:val="20"/>
          <w:szCs w:val="20"/>
          <w:color w:val="auto"/>
        </w:rPr>
      </w:pPr>
      <w:r>
        <w:rPr>
          <w:rFonts w:ascii="Arial" w:cs="Arial" w:eastAsia="Arial" w:hAnsi="Arial"/>
          <w:sz w:val="15"/>
          <w:szCs w:val="15"/>
          <w:b w:val="1"/>
          <w:bCs w:val="1"/>
          <w:color w:val="auto"/>
        </w:rPr>
        <w:t>Shares of our common stock have recently traded, and may in the future trade, at discounts from net asset value or at premiums that may prove to be unsustainable.</w:t>
      </w:r>
    </w:p>
    <w:p>
      <w:pPr>
        <w:spacing w:after="0" w:line="65"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Shares of BDCs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58" w:lineRule="exact"/>
        <w:rPr>
          <w:sz w:val="20"/>
          <w:szCs w:val="20"/>
          <w:color w:val="auto"/>
        </w:rPr>
      </w:pPr>
    </w:p>
    <w:p>
      <w:pPr>
        <w:ind w:left="1060" w:right="2419" w:firstLine="297"/>
        <w:spacing w:after="0" w:line="295" w:lineRule="auto"/>
        <w:rPr>
          <w:sz w:val="20"/>
          <w:szCs w:val="20"/>
          <w:color w:val="auto"/>
        </w:rPr>
      </w:pPr>
      <w:r>
        <w:rPr>
          <w:rFonts w:ascii="Arial" w:cs="Arial" w:eastAsia="Arial" w:hAnsi="Arial"/>
          <w:sz w:val="13"/>
          <w:szCs w:val="13"/>
          <w:color w:val="auto"/>
        </w:rPr>
        <w:t>The possibility that our shares will trade at a discount from net asset value or at premiums that are unsustainable are risks separate and distinct from the risk that our net asset value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15, 2018, the closing price of our common stock on the Nasdaq Capital Market was $8.77 per share, which represented an approximately 9.0% discount to our net asset value of $9.64 per share as of December 31, 2017.</w:t>
      </w:r>
    </w:p>
    <w:p>
      <w:pPr>
        <w:spacing w:after="0" w:line="122" w:lineRule="exact"/>
        <w:rPr>
          <w:sz w:val="20"/>
          <w:szCs w:val="20"/>
          <w:color w:val="auto"/>
        </w:rPr>
      </w:pPr>
    </w:p>
    <w:p>
      <w:pPr>
        <w:ind w:left="1060" w:right="2439"/>
        <w:spacing w:after="0" w:line="230" w:lineRule="auto"/>
        <w:rPr>
          <w:sz w:val="20"/>
          <w:szCs w:val="20"/>
          <w:color w:val="auto"/>
        </w:rPr>
      </w:pPr>
      <w:r>
        <w:rPr>
          <w:rFonts w:ascii="Arial" w:cs="Arial" w:eastAsia="Arial" w:hAnsi="Arial"/>
          <w:sz w:val="15"/>
          <w:szCs w:val="15"/>
          <w:b w:val="1"/>
          <w:b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68" w:lineRule="exact"/>
        <w:rPr>
          <w:sz w:val="20"/>
          <w:szCs w:val="20"/>
          <w:color w:val="auto"/>
        </w:rPr>
      </w:pPr>
    </w:p>
    <w:p>
      <w:pPr>
        <w:ind w:left="1060" w:right="2479" w:firstLine="297"/>
        <w:spacing w:after="0" w:line="293" w:lineRule="auto"/>
        <w:rPr>
          <w:sz w:val="20"/>
          <w:szCs w:val="20"/>
          <w:color w:val="auto"/>
        </w:rPr>
      </w:pPr>
      <w:r>
        <w:rPr>
          <w:rFonts w:ascii="Arial" w:cs="Arial" w:eastAsia="Arial" w:hAnsi="Arial"/>
          <w:sz w:val="13"/>
          <w:szCs w:val="13"/>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50"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federal tax purposes, which may result in higher tax liability when the</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49" w:name="page50"/>
    <w:bookmarkEnd w:id="4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19"/>
        <w:spacing w:after="0" w:line="255" w:lineRule="auto"/>
        <w:rPr>
          <w:sz w:val="20"/>
          <w:szCs w:val="20"/>
          <w:color w:val="auto"/>
        </w:rPr>
      </w:pPr>
      <w:r>
        <w:rPr>
          <w:rFonts w:ascii="Arial" w:cs="Arial" w:eastAsia="Arial" w:hAnsi="Arial"/>
          <w:sz w:val="15"/>
          <w:szCs w:val="15"/>
          <w:color w:val="auto"/>
        </w:rPr>
        <w:t>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45" w:lineRule="exact"/>
        <w:rPr>
          <w:sz w:val="20"/>
          <w:szCs w:val="20"/>
          <w:color w:val="auto"/>
        </w:rPr>
      </w:pPr>
    </w:p>
    <w:p>
      <w:pPr>
        <w:ind w:left="1060" w:right="2419"/>
        <w:spacing w:after="0" w:line="245" w:lineRule="auto"/>
        <w:rPr>
          <w:sz w:val="20"/>
          <w:szCs w:val="20"/>
          <w:color w:val="auto"/>
        </w:rPr>
      </w:pPr>
      <w:r>
        <w:rPr>
          <w:rFonts w:ascii="Arial" w:cs="Arial" w:eastAsia="Arial" w:hAnsi="Arial"/>
          <w:sz w:val="15"/>
          <w:szCs w:val="15"/>
          <w:b w:val="1"/>
          <w:bCs w:val="1"/>
          <w:color w:val="auto"/>
        </w:rPr>
        <w:t>We have broad discretion over the use of proceeds from our offerings, to the extent they are successful, and will use proceeds in part to satisfy operating expenses.</w:t>
      </w:r>
    </w:p>
    <w:p>
      <w:pPr>
        <w:spacing w:after="0" w:line="65" w:lineRule="exact"/>
        <w:rPr>
          <w:sz w:val="20"/>
          <w:szCs w:val="20"/>
          <w:color w:val="auto"/>
        </w:rPr>
      </w:pPr>
    </w:p>
    <w:p>
      <w:pPr>
        <w:ind w:left="1060" w:right="2439" w:firstLine="297"/>
        <w:spacing w:after="0" w:line="271" w:lineRule="auto"/>
        <w:rPr>
          <w:sz w:val="20"/>
          <w:szCs w:val="20"/>
          <w:color w:val="auto"/>
        </w:rPr>
      </w:pPr>
      <w:r>
        <w:rPr>
          <w:rFonts w:ascii="Arial" w:cs="Arial" w:eastAsia="Arial" w:hAnsi="Arial"/>
          <w:sz w:val="14"/>
          <w:szCs w:val="14"/>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0" w:name="page51"/>
    <w:bookmarkEnd w:id="5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1B.  Unresolved Staff Comments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Not applicable.</w:t>
      </w:r>
    </w:p>
    <w:p>
      <w:pPr>
        <w:spacing w:after="0" w:line="236"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88" w:lineRule="exact"/>
        <w:rPr>
          <w:sz w:val="20"/>
          <w:szCs w:val="20"/>
          <w:color w:val="auto"/>
        </w:rPr>
      </w:pPr>
    </w:p>
    <w:p>
      <w:pPr>
        <w:ind w:left="1060" w:right="2479" w:firstLine="297"/>
        <w:spacing w:after="0" w:line="255" w:lineRule="auto"/>
        <w:rPr>
          <w:sz w:val="20"/>
          <w:szCs w:val="20"/>
          <w:color w:val="auto"/>
        </w:rPr>
      </w:pPr>
      <w:r>
        <w:rPr>
          <w:rFonts w:ascii="Arial" w:cs="Arial" w:eastAsia="Arial" w:hAnsi="Arial"/>
          <w:sz w:val="15"/>
          <w:szCs w:val="15"/>
          <w:color w:val="auto"/>
        </w:rPr>
        <w:t>Our corporate headquarters are located at 2925 Woodside Road, Woodside, California, 94062, in the offices of GSV Asset Management. We do not own or lease any office space directly; however, we will pay a portion of the rent as allocated to us by GSV Capital Service Company. Our office facilities are suitable and adequate for our business as it is presently conducted.</w:t>
      </w:r>
    </w:p>
    <w:p>
      <w:pPr>
        <w:spacing w:after="0" w:line="200"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88" w:lineRule="exact"/>
        <w:rPr>
          <w:sz w:val="20"/>
          <w:szCs w:val="20"/>
          <w:color w:val="auto"/>
        </w:rPr>
      </w:pPr>
    </w:p>
    <w:p>
      <w:pPr>
        <w:jc w:val="both"/>
        <w:ind w:left="1060" w:right="2439" w:firstLine="297"/>
        <w:spacing w:after="0" w:line="259" w:lineRule="auto"/>
        <w:rPr>
          <w:sz w:val="20"/>
          <w:szCs w:val="20"/>
          <w:color w:val="auto"/>
        </w:rPr>
      </w:pPr>
      <w:r>
        <w:rPr>
          <w:rFonts w:ascii="Arial" w:cs="Arial" w:eastAsia="Arial" w:hAnsi="Arial"/>
          <w:sz w:val="15"/>
          <w:szCs w:val="15"/>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96"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1" w:name="page52"/>
    <w:bookmarkEnd w:id="5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PART II</w:t>
      </w:r>
    </w:p>
    <w:p>
      <w:pPr>
        <w:spacing w:after="0" w:line="207" w:lineRule="exact"/>
        <w:rPr>
          <w:sz w:val="20"/>
          <w:szCs w:val="20"/>
          <w:color w:val="auto"/>
        </w:rPr>
      </w:pPr>
    </w:p>
    <w:p>
      <w:pPr>
        <w:ind w:left="1640" w:right="2539" w:hanging="594"/>
        <w:spacing w:after="0" w:line="245" w:lineRule="auto"/>
        <w:tabs>
          <w:tab w:leader="none" w:pos="1620" w:val="left"/>
        </w:tabs>
        <w:rPr>
          <w:sz w:val="20"/>
          <w:szCs w:val="20"/>
          <w:color w:val="auto"/>
        </w:rPr>
      </w:pPr>
      <w:r>
        <w:rPr>
          <w:rFonts w:ascii="Arial" w:cs="Arial" w:eastAsia="Arial" w:hAnsi="Arial"/>
          <w:sz w:val="15"/>
          <w:szCs w:val="15"/>
          <w:b w:val="1"/>
          <w:bCs w:val="1"/>
          <w:color w:val="auto"/>
        </w:rPr>
        <w:t>Item 5.</w:t>
        <w:tab/>
        <w:t>Market for Registrant’s Common Equity, Related Stockholder Matters and Issuer Purchases of Equity Securities</w:t>
      </w:r>
    </w:p>
    <w:p>
      <w:pPr>
        <w:spacing w:after="0" w:line="65" w:lineRule="exact"/>
        <w:rPr>
          <w:sz w:val="20"/>
          <w:szCs w:val="20"/>
          <w:color w:val="auto"/>
        </w:rPr>
      </w:pPr>
    </w:p>
    <w:p>
      <w:pPr>
        <w:ind w:left="1060" w:right="2419" w:firstLine="297"/>
        <w:spacing w:after="0" w:line="254" w:lineRule="auto"/>
        <w:rPr>
          <w:sz w:val="20"/>
          <w:szCs w:val="20"/>
          <w:color w:val="auto"/>
        </w:rPr>
      </w:pPr>
      <w:r>
        <w:rPr>
          <w:rFonts w:ascii="Arial" w:cs="Arial" w:eastAsia="Arial" w:hAnsi="Arial"/>
          <w:sz w:val="15"/>
          <w:szCs w:val="15"/>
          <w:color w:val="auto"/>
        </w:rPr>
        <w:t>Our common stock is traded on the Nasdaq Capital Market under the symbol “GSVC.” The following table sets forth the high and low closing market prices for our common stock for each fiscal quarter for the years ended December 31, 2017 and 2016. The closing market prices reported below have been adjusted to give retroactive effect to material changes resulting from stock dividends. The reported closing market price of our common stock on March 15, 2018 was $8.77.</w:t>
      </w:r>
    </w:p>
    <w:p>
      <w:pPr>
        <w:spacing w:after="0" w:line="85" w:lineRule="exact"/>
        <w:rPr>
          <w:sz w:val="20"/>
          <w:szCs w:val="20"/>
          <w:color w:val="auto"/>
        </w:rPr>
      </w:pPr>
    </w:p>
    <w:tbl>
      <w:tblPr>
        <w:tblLayout w:type="fixed"/>
        <w:tblInd w:w="1640" w:type="dxa"/>
        <w:tblCellMar>
          <w:top w:w="0" w:type="dxa"/>
          <w:left w:w="0" w:type="dxa"/>
          <w:bottom w:w="0" w:type="dxa"/>
          <w:right w:w="0" w:type="dxa"/>
        </w:tblCellMar>
      </w:tblPr>
      <w:tr>
        <w:trPr>
          <w:trHeight w:val="152"/>
        </w:trPr>
        <w:tc>
          <w:tcPr>
            <w:tcW w:w="4700" w:type="dxa"/>
            <w:vAlign w:val="bottom"/>
          </w:tcPr>
          <w:p>
            <w:pPr>
              <w:spacing w:after="0"/>
              <w:rPr>
                <w:sz w:val="13"/>
                <w:szCs w:val="13"/>
                <w:color w:val="auto"/>
              </w:rPr>
            </w:pPr>
          </w:p>
        </w:tc>
        <w:tc>
          <w:tcPr>
            <w:tcW w:w="90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rPr>
              <w:t>Price Range</w:t>
            </w:r>
          </w:p>
        </w:tc>
      </w:tr>
      <w:tr>
        <w:trPr>
          <w:trHeight w:val="22"/>
        </w:trPr>
        <w:tc>
          <w:tcPr>
            <w:tcW w:w="47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59"/>
        </w:trPr>
        <w:tc>
          <w:tcPr>
            <w:tcW w:w="4700" w:type="dxa"/>
            <w:vAlign w:val="bottom"/>
          </w:tcPr>
          <w:p>
            <w:pPr>
              <w:spacing w:after="0"/>
              <w:rPr>
                <w:sz w:val="13"/>
                <w:szCs w:val="13"/>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High</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Low</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Fiscal 2017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12"/>
        </w:trPr>
        <w:tc>
          <w:tcPr>
            <w:tcW w:w="4700" w:type="dxa"/>
            <w:vAlign w:val="bottom"/>
          </w:tcPr>
          <w:p>
            <w:pPr>
              <w:spacing w:after="0"/>
              <w:rPr>
                <w:sz w:val="20"/>
                <w:szCs w:val="20"/>
                <w:color w:val="auto"/>
              </w:rPr>
            </w:pPr>
            <w:r>
              <w:rPr>
                <w:rFonts w:ascii="Arial" w:cs="Arial" w:eastAsia="Arial" w:hAnsi="Arial"/>
                <w:sz w:val="15"/>
                <w:szCs w:val="15"/>
                <w:color w:val="auto"/>
              </w:rPr>
              <w:t>Fourth Quarter</w:t>
            </w:r>
          </w:p>
        </w:tc>
        <w:tc>
          <w:tcPr>
            <w:tcW w:w="360" w:type="dxa"/>
            <w:vAlign w:val="bottom"/>
          </w:tcPr>
          <w:p>
            <w:pPr>
              <w:jc w:val="right"/>
              <w:spacing w:after="0"/>
              <w:rPr>
                <w:sz w:val="20"/>
                <w:szCs w:val="20"/>
                <w:color w:val="auto"/>
              </w:rPr>
            </w:pPr>
            <w:r>
              <w:rPr>
                <w:rFonts w:ascii="Arial" w:cs="Arial" w:eastAsia="Arial" w:hAnsi="Arial"/>
                <w:sz w:val="15"/>
                <w:szCs w:val="15"/>
                <w:color w:val="auto"/>
                <w:w w:val="90"/>
              </w:rPr>
              <w:t>$6.62</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$5.27</w:t>
            </w:r>
          </w:p>
        </w:tc>
      </w:tr>
      <w:tr>
        <w:trPr>
          <w:trHeight w:val="21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r>
      <w:tr>
        <w:trPr>
          <w:trHeight w:val="223"/>
        </w:trPr>
        <w:tc>
          <w:tcPr>
            <w:tcW w:w="4700" w:type="dxa"/>
            <w:vAlign w:val="bottom"/>
          </w:tcPr>
          <w:p>
            <w:pPr>
              <w:spacing w:after="0"/>
              <w:rPr>
                <w:sz w:val="20"/>
                <w:szCs w:val="20"/>
                <w:color w:val="auto"/>
              </w:rPr>
            </w:pPr>
            <w:r>
              <w:rPr>
                <w:rFonts w:ascii="Arial" w:cs="Arial" w:eastAsia="Arial" w:hAnsi="Arial"/>
                <w:sz w:val="15"/>
                <w:szCs w:val="15"/>
                <w:color w:val="auto"/>
              </w:rPr>
              <w:t>Second Quarter</w:t>
            </w:r>
          </w:p>
        </w:tc>
        <w:tc>
          <w:tcPr>
            <w:tcW w:w="360" w:type="dxa"/>
            <w:vAlign w:val="bottom"/>
          </w:tcPr>
          <w:p>
            <w:pPr>
              <w:jc w:val="right"/>
              <w:spacing w:after="0"/>
              <w:rPr>
                <w:sz w:val="20"/>
                <w:szCs w:val="20"/>
                <w:color w:val="auto"/>
              </w:rPr>
            </w:pPr>
            <w:r>
              <w:rPr>
                <w:rFonts w:ascii="Arial" w:cs="Arial" w:eastAsia="Arial" w:hAnsi="Arial"/>
                <w:sz w:val="15"/>
                <w:szCs w:val="15"/>
                <w:color w:val="auto"/>
              </w:rPr>
              <w:t>4.71</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4.29</w:t>
            </w: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312"/>
        </w:trPr>
        <w:tc>
          <w:tcPr>
            <w:tcW w:w="4700" w:type="dxa"/>
            <w:vAlign w:val="bottom"/>
          </w:tcPr>
          <w:p>
            <w:pPr>
              <w:spacing w:after="0"/>
              <w:rPr>
                <w:sz w:val="20"/>
                <w:szCs w:val="20"/>
                <w:color w:val="auto"/>
              </w:rPr>
            </w:pPr>
            <w:r>
              <w:rPr>
                <w:rFonts w:ascii="Arial" w:cs="Arial" w:eastAsia="Arial" w:hAnsi="Arial"/>
                <w:sz w:val="15"/>
                <w:szCs w:val="15"/>
                <w:b w:val="1"/>
                <w:bCs w:val="1"/>
                <w:color w:val="auto"/>
              </w:rPr>
              <w:t>Fiscal 2016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Fourth Quarter</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$5.15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$4.50</w:t>
            </w:r>
          </w:p>
        </w:tc>
      </w:tr>
      <w:tr>
        <w:trPr>
          <w:trHeight w:val="223"/>
        </w:trPr>
        <w:tc>
          <w:tcPr>
            <w:tcW w:w="4700" w:type="dxa"/>
            <w:vAlign w:val="bottom"/>
          </w:tcPr>
          <w:p>
            <w:pPr>
              <w:spacing w:after="0"/>
              <w:rPr>
                <w:sz w:val="20"/>
                <w:szCs w:val="20"/>
                <w:color w:val="auto"/>
              </w:rPr>
            </w:pPr>
            <w:r>
              <w:rPr>
                <w:rFonts w:ascii="Arial" w:cs="Arial" w:eastAsia="Arial" w:hAnsi="Arial"/>
                <w:sz w:val="15"/>
                <w:szCs w:val="15"/>
                <w:color w:val="auto"/>
              </w:rPr>
              <w:t>Third Quarter</w:t>
            </w:r>
          </w:p>
        </w:tc>
        <w:tc>
          <w:tcPr>
            <w:tcW w:w="360" w:type="dxa"/>
            <w:vAlign w:val="bottom"/>
          </w:tcPr>
          <w:p>
            <w:pPr>
              <w:jc w:val="right"/>
              <w:spacing w:after="0"/>
              <w:rPr>
                <w:sz w:val="20"/>
                <w:szCs w:val="20"/>
                <w:color w:val="auto"/>
              </w:rPr>
            </w:pPr>
            <w:r>
              <w:rPr>
                <w:rFonts w:ascii="Arial" w:cs="Arial" w:eastAsia="Arial" w:hAnsi="Arial"/>
                <w:sz w:val="15"/>
                <w:szCs w:val="15"/>
                <w:color w:val="auto"/>
              </w:rPr>
              <w:t>5.85</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4.61</w:t>
            </w: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Second Quarter</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w:t>
            </w:r>
          </w:p>
        </w:tc>
      </w:tr>
      <w:tr>
        <w:trPr>
          <w:trHeight w:val="223"/>
        </w:trPr>
        <w:tc>
          <w:tcPr>
            <w:tcW w:w="4700" w:type="dxa"/>
            <w:vAlign w:val="bottom"/>
          </w:tcPr>
          <w:p>
            <w:pPr>
              <w:spacing w:after="0"/>
              <w:rPr>
                <w:sz w:val="20"/>
                <w:szCs w:val="20"/>
                <w:color w:val="auto"/>
              </w:rPr>
            </w:pPr>
            <w:r>
              <w:rPr>
                <w:rFonts w:ascii="Arial" w:cs="Arial" w:eastAsia="Arial" w:hAnsi="Arial"/>
                <w:sz w:val="15"/>
                <w:szCs w:val="15"/>
                <w:color w:val="auto"/>
              </w:rPr>
              <w:t>First Quarter</w:t>
            </w:r>
          </w:p>
        </w:tc>
        <w:tc>
          <w:tcPr>
            <w:tcW w:w="360" w:type="dxa"/>
            <w:vAlign w:val="bottom"/>
          </w:tcPr>
          <w:p>
            <w:pPr>
              <w:jc w:val="right"/>
              <w:spacing w:after="0"/>
              <w:rPr>
                <w:sz w:val="20"/>
                <w:szCs w:val="20"/>
                <w:color w:val="auto"/>
              </w:rPr>
            </w:pPr>
            <w:r>
              <w:rPr>
                <w:rFonts w:ascii="Arial" w:cs="Arial" w:eastAsia="Arial" w:hAnsi="Arial"/>
                <w:sz w:val="15"/>
                <w:szCs w:val="15"/>
                <w:color w:val="auto"/>
              </w:rPr>
              <w:t>6.73</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-1458595</wp:posOffset>
            </wp:positionV>
            <wp:extent cx="33235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3590" cy="6985"/>
                    </a:xfrm>
                    <a:prstGeom prst="rect">
                      <a:avLst/>
                    </a:prstGeom>
                    <a:noFill/>
                  </pic:spPr>
                </pic:pic>
              </a:graphicData>
            </a:graphic>
          </wp:anchor>
        </w:drawing>
      </w:r>
    </w:p>
    <w:p>
      <w:pPr>
        <w:spacing w:after="0" w:line="30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Holders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As of March 9, 2018, there were 3 holders of record of our common stock (including Cede &amp; Co.).</w:t>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Distributions</w:t>
      </w:r>
    </w:p>
    <w:p>
      <w:pPr>
        <w:spacing w:after="0" w:line="88" w:lineRule="exact"/>
        <w:rPr>
          <w:sz w:val="20"/>
          <w:szCs w:val="20"/>
          <w:color w:val="auto"/>
        </w:rPr>
      </w:pPr>
    </w:p>
    <w:p>
      <w:pPr>
        <w:ind w:left="1060" w:right="2439" w:firstLine="297"/>
        <w:spacing w:after="0" w:line="288" w:lineRule="auto"/>
        <w:rPr>
          <w:sz w:val="20"/>
          <w:szCs w:val="20"/>
          <w:color w:val="auto"/>
        </w:rPr>
      </w:pPr>
      <w:r>
        <w:rPr>
          <w:rFonts w:ascii="Arial" w:cs="Arial" w:eastAsia="Arial" w:hAnsi="Arial"/>
          <w:sz w:val="13"/>
          <w:szCs w:val="13"/>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w:t>
      </w:r>
    </w:p>
    <w:p>
      <w:pPr>
        <w:spacing w:after="0" w:line="2" w:lineRule="exact"/>
        <w:rPr>
          <w:sz w:val="20"/>
          <w:szCs w:val="20"/>
          <w:color w:val="auto"/>
        </w:rPr>
      </w:pPr>
    </w:p>
    <w:p>
      <w:pPr>
        <w:ind w:left="1060" w:right="2439" w:hanging="9"/>
        <w:spacing w:after="0" w:line="291" w:lineRule="auto"/>
        <w:tabs>
          <w:tab w:leader="none" w:pos="1271" w:val="left"/>
        </w:tabs>
        <w:numPr>
          <w:ilvl w:val="0"/>
          <w:numId w:val="27"/>
        </w:numPr>
        <w:rPr>
          <w:rFonts w:ascii="Arial" w:cs="Arial" w:eastAsia="Arial" w:hAnsi="Arial"/>
          <w:sz w:val="13"/>
          <w:szCs w:val="13"/>
          <w:color w:val="auto"/>
        </w:rPr>
      </w:pPr>
      <w:r>
        <w:rPr>
          <w:rFonts w:ascii="Arial" w:cs="Arial" w:eastAsia="Arial" w:hAnsi="Arial"/>
          <w:sz w:val="13"/>
          <w:szCs w:val="13"/>
          <w:color w:val="auto"/>
        </w:rPr>
        <w:t>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8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2" w:name="page53"/>
    <w:bookmarkEnd w:id="5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519" w:firstLine="297"/>
        <w:spacing w:after="0" w:line="279" w:lineRule="auto"/>
        <w:rPr>
          <w:sz w:val="20"/>
          <w:szCs w:val="20"/>
          <w:color w:val="auto"/>
        </w:rPr>
      </w:pPr>
      <w:r>
        <w:rPr>
          <w:rFonts w:ascii="Arial" w:cs="Arial" w:eastAsia="Arial" w:hAnsi="Arial"/>
          <w:sz w:val="14"/>
          <w:szCs w:val="14"/>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2017. The table is divided by fiscal year according to record date:</w:t>
      </w:r>
    </w:p>
    <w:p>
      <w:pPr>
        <w:spacing w:after="0" w:line="77"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2"/>
              </w:rPr>
              <w:t>Amount</w:t>
            </w:r>
          </w:p>
        </w:tc>
      </w:tr>
      <w:tr>
        <w:trPr>
          <w:trHeight w:val="152"/>
        </w:trPr>
        <w:tc>
          <w:tcPr>
            <w:tcW w:w="352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 Declared</w:t>
            </w:r>
          </w:p>
        </w:tc>
        <w:tc>
          <w:tcPr>
            <w:tcW w:w="13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Record Date</w:t>
            </w:r>
          </w:p>
        </w:tc>
        <w:tc>
          <w:tcPr>
            <w:tcW w:w="13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Payment Date</w:t>
            </w:r>
          </w:p>
        </w:tc>
        <w:tc>
          <w:tcPr>
            <w:tcW w:w="5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per Share</w:t>
            </w:r>
          </w:p>
        </w:tc>
      </w:tr>
      <w:tr>
        <w:trPr>
          <w:trHeight w:val="22"/>
        </w:trPr>
        <w:tc>
          <w:tcPr>
            <w:tcW w:w="1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3"/>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Fiscal 2015:</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3520" w:type="dxa"/>
            <w:vAlign w:val="bottom"/>
            <w:gridSpan w:val="3"/>
          </w:tcPr>
          <w:p>
            <w:pPr>
              <w:ind w:left="160"/>
              <w:spacing w:after="0" w:line="223" w:lineRule="exact"/>
              <w:rPr>
                <w:sz w:val="20"/>
                <w:szCs w:val="20"/>
                <w:color w:val="auto"/>
              </w:rPr>
            </w:pPr>
            <w:r>
              <w:rPr>
                <w:rFonts w:ascii="Arial" w:cs="Arial" w:eastAsia="Arial" w:hAnsi="Arial"/>
                <w:sz w:val="15"/>
                <w:szCs w:val="15"/>
                <w:color w:val="auto"/>
              </w:rPr>
              <w:t>November 4, 2015</w:t>
            </w:r>
            <w:r>
              <w:rPr>
                <w:rFonts w:ascii="Arial" w:cs="Arial" w:eastAsia="Arial" w:hAnsi="Arial"/>
                <w:sz w:val="22"/>
                <w:szCs w:val="22"/>
                <w:color w:val="auto"/>
                <w:vertAlign w:val="superscript"/>
              </w:rPr>
              <w:t>(1)</w:t>
            </w:r>
          </w:p>
        </w:tc>
        <w:tc>
          <w:tcPr>
            <w:tcW w:w="138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November 16, 2015</w:t>
            </w:r>
          </w:p>
        </w:tc>
        <w:tc>
          <w:tcPr>
            <w:tcW w:w="138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 2015</w:t>
            </w:r>
          </w:p>
        </w:tc>
        <w:tc>
          <w:tcPr>
            <w:tcW w:w="520" w:type="dxa"/>
            <w:vAlign w:val="bottom"/>
            <w:gridSpan w:val="3"/>
          </w:tcPr>
          <w:p>
            <w:pPr>
              <w:jc w:val="right"/>
              <w:ind w:right="80"/>
              <w:spacing w:after="0"/>
              <w:rPr>
                <w:sz w:val="20"/>
                <w:szCs w:val="20"/>
                <w:color w:val="auto"/>
              </w:rPr>
            </w:pPr>
            <w:r>
              <w:rPr>
                <w:rFonts w:ascii="Arial" w:cs="Arial" w:eastAsia="Arial" w:hAnsi="Arial"/>
                <w:sz w:val="15"/>
                <w:szCs w:val="15"/>
                <w:color w:val="auto"/>
              </w:rPr>
              <w:t>$2.76</w:t>
            </w:r>
          </w:p>
        </w:tc>
      </w:tr>
      <w:tr>
        <w:trPr>
          <w:trHeight w:val="212"/>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Fiscal 2016:</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520" w:type="dxa"/>
            <w:vAlign w:val="bottom"/>
            <w:tcBorders>
              <w:bottom w:val="single" w:sz="8" w:color="CCEEFF"/>
            </w:tcBorders>
            <w:gridSpan w:val="3"/>
          </w:tcPr>
          <w:p>
            <w:pPr>
              <w:ind w:left="160"/>
              <w:spacing w:after="0" w:line="234" w:lineRule="exact"/>
              <w:rPr>
                <w:sz w:val="20"/>
                <w:szCs w:val="20"/>
                <w:color w:val="auto"/>
              </w:rPr>
            </w:pPr>
            <w:r>
              <w:rPr>
                <w:rFonts w:ascii="Arial" w:cs="Arial" w:eastAsia="Arial" w:hAnsi="Arial"/>
                <w:sz w:val="15"/>
                <w:szCs w:val="15"/>
                <w:color w:val="auto"/>
              </w:rPr>
              <w:t>August 3, 2016</w:t>
            </w:r>
            <w:r>
              <w:rPr>
                <w:rFonts w:ascii="Arial" w:cs="Arial" w:eastAsia="Arial" w:hAnsi="Arial"/>
                <w:sz w:val="22"/>
                <w:szCs w:val="22"/>
                <w:color w:val="auto"/>
                <w:vertAlign w:val="superscript"/>
              </w:rPr>
              <w:t>(2)</w:t>
            </w:r>
          </w:p>
        </w:tc>
        <w:tc>
          <w:tcPr>
            <w:tcW w:w="138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5"/>
                <w:szCs w:val="15"/>
                <w:color w:val="auto"/>
                <w:w w:val="91"/>
              </w:rPr>
              <w:t>August 16, 2016</w:t>
            </w:r>
          </w:p>
        </w:tc>
        <w:tc>
          <w:tcPr>
            <w:tcW w:w="13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5"/>
                <w:szCs w:val="15"/>
                <w:color w:val="auto"/>
                <w:w w:val="89"/>
              </w:rPr>
              <w:t>August 24, 2016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80" w:type="dxa"/>
            <w:vAlign w:val="bottom"/>
            <w:tcBorders>
              <w:bottom w:val="single" w:sz="8" w:color="CCEEFF"/>
            </w:tcBorders>
          </w:tcPr>
          <w:p>
            <w:pPr>
              <w:spacing w:after="0"/>
              <w:rPr>
                <w:sz w:val="20"/>
                <w:szCs w:val="20"/>
                <w:color w:val="auto"/>
              </w:rPr>
            </w:pPr>
          </w:p>
        </w:tc>
      </w:tr>
      <w:tr>
        <w:trPr>
          <w:trHeight w:val="203"/>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2.80</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75"/>
        </w:trPr>
        <w:tc>
          <w:tcPr>
            <w:tcW w:w="162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-297180</wp:posOffset>
            </wp:positionV>
            <wp:extent cx="43084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-863600</wp:posOffset>
            </wp:positionV>
            <wp:extent cx="1136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-863600</wp:posOffset>
            </wp:positionV>
            <wp:extent cx="1136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-863600</wp:posOffset>
            </wp:positionV>
            <wp:extent cx="11366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03" w:lineRule="exact"/>
        <w:rPr>
          <w:sz w:val="20"/>
          <w:szCs w:val="20"/>
          <w:color w:val="auto"/>
        </w:rPr>
      </w:pPr>
    </w:p>
    <w:p>
      <w:pPr>
        <w:ind w:left="1340" w:right="2559" w:hanging="289"/>
        <w:spacing w:after="0" w:line="295" w:lineRule="auto"/>
        <w:tabs>
          <w:tab w:leader="none" w:pos="1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69" w:lineRule="exact"/>
        <w:rPr>
          <w:rFonts w:ascii="Arial" w:cs="Arial" w:eastAsia="Arial" w:hAnsi="Arial"/>
          <w:sz w:val="13"/>
          <w:szCs w:val="13"/>
          <w:color w:val="auto"/>
        </w:rPr>
      </w:pPr>
    </w:p>
    <w:p>
      <w:pPr>
        <w:ind w:left="1340" w:right="2479" w:hanging="289"/>
        <w:spacing w:after="0" w:line="270" w:lineRule="auto"/>
        <w:tabs>
          <w:tab w:leader="none" w:pos="1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Of the total distribution of $887,240 on August 24, 2016, $820,753 represented a distribution from realized gains, and $66,487 represented a return of capital.</w:t>
      </w:r>
    </w:p>
    <w:p>
      <w:pPr>
        <w:spacing w:after="0" w:line="58" w:lineRule="exact"/>
        <w:rPr>
          <w:sz w:val="20"/>
          <w:szCs w:val="20"/>
          <w:color w:val="auto"/>
        </w:rPr>
      </w:pPr>
    </w:p>
    <w:p>
      <w:pPr>
        <w:ind w:left="1060" w:right="2399" w:firstLine="297"/>
        <w:spacing w:after="0" w:line="274" w:lineRule="auto"/>
        <w:rPr>
          <w:sz w:val="20"/>
          <w:szCs w:val="20"/>
          <w:color w:val="auto"/>
        </w:rPr>
      </w:pPr>
      <w:r>
        <w:rPr>
          <w:rFonts w:ascii="Arial" w:cs="Arial" w:eastAsia="Arial" w:hAnsi="Arial"/>
          <w:sz w:val="14"/>
          <w:szCs w:val="14"/>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58" w:lineRule="exact"/>
        <w:rPr>
          <w:sz w:val="20"/>
          <w:szCs w:val="20"/>
          <w:color w:val="auto"/>
        </w:rPr>
      </w:pPr>
    </w:p>
    <w:p>
      <w:pPr>
        <w:ind w:left="1060" w:right="2459" w:firstLine="297"/>
        <w:spacing w:after="0" w:line="268" w:lineRule="auto"/>
        <w:rPr>
          <w:sz w:val="20"/>
          <w:szCs w:val="20"/>
          <w:color w:val="auto"/>
        </w:rPr>
      </w:pPr>
      <w:r>
        <w:rPr>
          <w:rFonts w:ascii="Arial" w:cs="Arial" w:eastAsia="Arial" w:hAnsi="Arial"/>
          <w:sz w:val="14"/>
          <w:szCs w:val="14"/>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w:t>
      </w:r>
    </w:p>
    <w:p>
      <w:pPr>
        <w:ind w:left="1060" w:right="2479"/>
        <w:spacing w:after="0" w:line="270" w:lineRule="auto"/>
        <w:rPr>
          <w:sz w:val="20"/>
          <w:szCs w:val="20"/>
          <w:color w:val="auto"/>
        </w:rPr>
      </w:pPr>
      <w:r>
        <w:rPr>
          <w:rFonts w:ascii="Arial" w:cs="Arial" w:eastAsia="Arial" w:hAnsi="Arial"/>
          <w:sz w:val="14"/>
          <w:szCs w:val="14"/>
          <w:color w:val="auto"/>
        </w:rPr>
        <w:t>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GSV Asset Management. Stockholders that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1060" w:right="2459" w:firstLine="297"/>
        <w:spacing w:after="0" w:line="274" w:lineRule="auto"/>
        <w:rPr>
          <w:sz w:val="20"/>
          <w:szCs w:val="20"/>
          <w:color w:val="auto"/>
        </w:rPr>
      </w:pPr>
      <w:r>
        <w:rPr>
          <w:rFonts w:ascii="Arial" w:cs="Arial" w:eastAsia="Arial" w:hAnsi="Arial"/>
          <w:sz w:val="14"/>
          <w:szCs w:val="14"/>
          <w:color w:val="auto"/>
        </w:rPr>
        <w:t xml:space="preserve">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 — Significant Accounting Policies — </w:t>
      </w:r>
      <w:r>
        <w:rPr>
          <w:rFonts w:ascii="Arial" w:cs="Arial" w:eastAsia="Arial" w:hAnsi="Arial"/>
          <w:sz w:val="14"/>
          <w:szCs w:val="14"/>
          <w:i w:val="1"/>
          <w:iCs w:val="1"/>
          <w:color w:val="auto"/>
        </w:rPr>
        <w:t>U.S. Federal and State Income Taxes</w:t>
      </w:r>
      <w:r>
        <w:rPr>
          <w:rFonts w:ascii="Arial" w:cs="Arial" w:eastAsia="Arial" w:hAnsi="Arial"/>
          <w:sz w:val="14"/>
          <w:szCs w:val="14"/>
          <w:color w:val="auto"/>
        </w:rPr>
        <w:t>” and “Note 9 — Income Taxes” to our consolidated financial statements for the year ended</w:t>
      </w:r>
    </w:p>
    <w:p>
      <w:pPr>
        <w:spacing w:after="0" w:line="19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3" w:name="page54"/>
    <w:bookmarkEnd w:id="5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59"/>
        <w:spacing w:after="0" w:line="254" w:lineRule="auto"/>
        <w:rPr>
          <w:sz w:val="20"/>
          <w:szCs w:val="20"/>
          <w:color w:val="auto"/>
        </w:rPr>
      </w:pPr>
      <w:r>
        <w:rPr>
          <w:rFonts w:ascii="Arial" w:cs="Arial" w:eastAsia="Arial" w:hAnsi="Arial"/>
          <w:sz w:val="15"/>
          <w:szCs w:val="15"/>
          <w:color w:val="auto"/>
        </w:rPr>
        <w:t>December 31, 2017 for more information. The GSVC Holdings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Performance Graph</w:t>
      </w:r>
    </w:p>
    <w:p>
      <w:pPr>
        <w:spacing w:after="0" w:line="88" w:lineRule="exact"/>
        <w:rPr>
          <w:sz w:val="20"/>
          <w:szCs w:val="20"/>
          <w:color w:val="auto"/>
        </w:rPr>
      </w:pPr>
    </w:p>
    <w:p>
      <w:pPr>
        <w:ind w:left="1060" w:right="2419" w:firstLine="297"/>
        <w:spacing w:after="0" w:line="272" w:lineRule="auto"/>
        <w:rPr>
          <w:sz w:val="20"/>
          <w:szCs w:val="20"/>
          <w:color w:val="auto"/>
        </w:rPr>
      </w:pPr>
      <w:r>
        <w:rPr>
          <w:rFonts w:ascii="Arial" w:cs="Arial" w:eastAsia="Arial" w:hAnsi="Arial"/>
          <w:sz w:val="14"/>
          <w:szCs w:val="14"/>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2017. The graph assumes that, on December 31, 2012, a person invested $100.00 in our common stock, at the closing price of our common stock on December 31, 2012,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43815</wp:posOffset>
            </wp:positionV>
            <wp:extent cx="3564255" cy="23812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4255"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28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4"/>
              </w:rPr>
              <w:t>12/31/12</w:t>
            </w:r>
          </w:p>
        </w:tc>
        <w:tc>
          <w:tcPr>
            <w:tcW w:w="1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9"/>
              </w:rPr>
              <w:t>12/31/13</w:t>
            </w:r>
          </w:p>
        </w:tc>
        <w:tc>
          <w:tcPr>
            <w:tcW w:w="1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9"/>
              </w:rPr>
              <w:t>12/31/14</w:t>
            </w:r>
          </w:p>
        </w:tc>
        <w:tc>
          <w:tcPr>
            <w:tcW w:w="1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9"/>
              </w:rPr>
              <w:t>12/31/15</w:t>
            </w: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12/31/16</w:t>
            </w: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12/31/17</w:t>
            </w: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GSVC</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$100.00</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$143.42</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$102.37</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$111.15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84.58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91.64</w:t>
            </w:r>
          </w:p>
        </w:tc>
      </w:tr>
      <w:tr>
        <w:trPr>
          <w:trHeight w:val="212"/>
        </w:trPr>
        <w:tc>
          <w:tcPr>
            <w:tcW w:w="288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680" w:type="dxa"/>
            <w:vAlign w:val="bottom"/>
            <w:gridSpan w:val="2"/>
          </w:tcPr>
          <w:p>
            <w:pPr>
              <w:jc w:val="center"/>
              <w:ind w:right="140"/>
              <w:spacing w:after="0"/>
              <w:rPr>
                <w:sz w:val="20"/>
                <w:szCs w:val="20"/>
                <w:color w:val="auto"/>
              </w:rPr>
            </w:pPr>
            <w:r>
              <w:rPr>
                <w:rFonts w:ascii="Arial" w:cs="Arial" w:eastAsia="Arial" w:hAnsi="Arial"/>
                <w:sz w:val="15"/>
                <w:szCs w:val="15"/>
                <w:color w:val="auto"/>
                <w:w w:val="92"/>
              </w:rPr>
              <w:t>$100.00</w:t>
            </w:r>
          </w:p>
        </w:tc>
        <w:tc>
          <w:tcPr>
            <w:tcW w:w="680" w:type="dxa"/>
            <w:vAlign w:val="bottom"/>
            <w:gridSpan w:val="2"/>
          </w:tcPr>
          <w:p>
            <w:pPr>
              <w:jc w:val="center"/>
              <w:ind w:right="140"/>
              <w:spacing w:after="0"/>
              <w:rPr>
                <w:sz w:val="20"/>
                <w:szCs w:val="20"/>
                <w:color w:val="auto"/>
              </w:rPr>
            </w:pPr>
            <w:r>
              <w:rPr>
                <w:rFonts w:ascii="Arial" w:cs="Arial" w:eastAsia="Arial" w:hAnsi="Arial"/>
                <w:sz w:val="15"/>
                <w:szCs w:val="15"/>
                <w:color w:val="auto"/>
                <w:w w:val="92"/>
              </w:rPr>
              <w:t>$129.60</w:t>
            </w:r>
          </w:p>
        </w:tc>
        <w:tc>
          <w:tcPr>
            <w:tcW w:w="680" w:type="dxa"/>
            <w:vAlign w:val="bottom"/>
            <w:gridSpan w:val="2"/>
          </w:tcPr>
          <w:p>
            <w:pPr>
              <w:jc w:val="center"/>
              <w:ind w:right="140"/>
              <w:spacing w:after="0"/>
              <w:rPr>
                <w:sz w:val="20"/>
                <w:szCs w:val="20"/>
                <w:color w:val="auto"/>
              </w:rPr>
            </w:pPr>
            <w:r>
              <w:rPr>
                <w:rFonts w:ascii="Arial" w:cs="Arial" w:eastAsia="Arial" w:hAnsi="Arial"/>
                <w:sz w:val="15"/>
                <w:szCs w:val="15"/>
                <w:color w:val="auto"/>
                <w:w w:val="92"/>
              </w:rPr>
              <w:t>$144.36</w:t>
            </w:r>
          </w:p>
        </w:tc>
        <w:tc>
          <w:tcPr>
            <w:tcW w:w="680" w:type="dxa"/>
            <w:vAlign w:val="bottom"/>
            <w:gridSpan w:val="2"/>
          </w:tcPr>
          <w:p>
            <w:pPr>
              <w:jc w:val="center"/>
              <w:ind w:right="140"/>
              <w:spacing w:after="0"/>
              <w:rPr>
                <w:sz w:val="20"/>
                <w:szCs w:val="20"/>
                <w:color w:val="auto"/>
              </w:rPr>
            </w:pPr>
            <w:r>
              <w:rPr>
                <w:rFonts w:ascii="Arial" w:cs="Arial" w:eastAsia="Arial" w:hAnsi="Arial"/>
                <w:sz w:val="15"/>
                <w:szCs w:val="15"/>
                <w:color w:val="auto"/>
                <w:w w:val="92"/>
              </w:rPr>
              <w:t>$143.31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87"/>
              </w:rPr>
              <w:t>156.98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187.47</w:t>
            </w: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Nasdaq Stock Index</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$100.00</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$138.32</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$156.85</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2"/>
              </w:rPr>
              <w:t>$165.84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7"/>
              </w:rPr>
              <w:t>178.28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228.63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-410210</wp:posOffset>
            </wp:positionV>
            <wp:extent cx="1136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-410210</wp:posOffset>
            </wp:positionV>
            <wp:extent cx="11366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-410210</wp:posOffset>
            </wp:positionV>
            <wp:extent cx="11366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-410210</wp:posOffset>
            </wp:positionV>
            <wp:extent cx="11366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-410210</wp:posOffset>
            </wp:positionV>
            <wp:extent cx="22606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60600" cy="6985"/>
                    </a:xfrm>
                    <a:prstGeom prst="rect">
                      <a:avLst/>
                    </a:prstGeom>
                    <a:noFill/>
                  </pic:spPr>
                </pic:pic>
              </a:graphicData>
            </a:graphic>
          </wp:anchor>
        </w:drawing>
      </w:r>
    </w:p>
    <w:p>
      <w:pPr>
        <w:spacing w:after="0" w:line="226" w:lineRule="exact"/>
        <w:rPr>
          <w:sz w:val="20"/>
          <w:szCs w:val="20"/>
          <w:color w:val="auto"/>
        </w:rPr>
      </w:pPr>
    </w:p>
    <w:p>
      <w:pPr>
        <w:ind w:left="1060" w:right="2399" w:firstLine="297"/>
        <w:spacing w:after="0" w:line="279" w:lineRule="auto"/>
        <w:rPr>
          <w:sz w:val="20"/>
          <w:szCs w:val="20"/>
          <w:color w:val="auto"/>
        </w:rPr>
      </w:pPr>
      <w:r>
        <w:rPr>
          <w:rFonts w:ascii="Arial" w:cs="Arial" w:eastAsia="Arial" w:hAnsi="Arial"/>
          <w:sz w:val="14"/>
          <w:szCs w:val="14"/>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Sales of Unregistered Equity Securities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We did not engage in any sales of unregistered securities during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4" w:name="page55"/>
    <w:bookmarkEnd w:id="5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Issuer Purchases of Equity Securities</w:t>
      </w:r>
      <w:r>
        <w:rPr>
          <w:rFonts w:ascii="Arial" w:cs="Arial" w:eastAsia="Arial" w:hAnsi="Arial"/>
          <w:sz w:val="22"/>
          <w:szCs w:val="22"/>
          <w:b w:val="1"/>
          <w:bCs w:val="1"/>
          <w:color w:val="auto"/>
          <w:vertAlign w:val="superscript"/>
        </w:rPr>
        <w:t>(1)</w:t>
      </w:r>
    </w:p>
    <w:p>
      <w:pPr>
        <w:spacing w:after="0" w:line="4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Information relating to the Company’s purchases of its common stock during the year ended December 31,</w:t>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2017 is as follows:</w:t>
      </w:r>
    </w:p>
    <w:p>
      <w:pPr>
        <w:spacing w:after="0" w:line="95"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2"/>
              </w:rPr>
              <w:t>Approximate</w:t>
            </w: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jc w:val="center"/>
              <w:ind w:right="180"/>
              <w:spacing w:after="0" w:line="134" w:lineRule="exact"/>
              <w:rPr>
                <w:sz w:val="20"/>
                <w:szCs w:val="20"/>
                <w:color w:val="auto"/>
              </w:rPr>
            </w:pPr>
            <w:r>
              <w:rPr>
                <w:rFonts w:ascii="Arial" w:cs="Arial" w:eastAsia="Arial" w:hAnsi="Arial"/>
                <w:sz w:val="12"/>
                <w:szCs w:val="12"/>
                <w:b w:val="1"/>
                <w:bCs w:val="1"/>
                <w:color w:val="auto"/>
                <w:w w:val="90"/>
              </w:rPr>
              <w:t>Total Number</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Dollar Value of</w:t>
            </w: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jc w:val="center"/>
              <w:ind w:right="240"/>
              <w:spacing w:after="0"/>
              <w:rPr>
                <w:sz w:val="20"/>
                <w:szCs w:val="20"/>
                <w:color w:val="auto"/>
              </w:rPr>
            </w:pPr>
            <w:r>
              <w:rPr>
                <w:rFonts w:ascii="Arial" w:cs="Arial" w:eastAsia="Arial" w:hAnsi="Arial"/>
                <w:sz w:val="12"/>
                <w:szCs w:val="12"/>
                <w:b w:val="1"/>
                <w:bCs w:val="1"/>
                <w:color w:val="auto"/>
                <w:w w:val="90"/>
              </w:rPr>
              <w:t>Total</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jc w:val="center"/>
              <w:ind w:right="400"/>
              <w:spacing w:after="0" w:line="134" w:lineRule="exact"/>
              <w:rPr>
                <w:sz w:val="20"/>
                <w:szCs w:val="20"/>
                <w:color w:val="auto"/>
              </w:rPr>
            </w:pPr>
            <w:r>
              <w:rPr>
                <w:rFonts w:ascii="Arial" w:cs="Arial" w:eastAsia="Arial" w:hAnsi="Arial"/>
                <w:sz w:val="12"/>
                <w:szCs w:val="12"/>
                <w:b w:val="1"/>
                <w:bCs w:val="1"/>
                <w:color w:val="auto"/>
                <w:w w:val="84"/>
              </w:rPr>
              <w:t>of Shares</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Shares that May</w:t>
            </w:r>
          </w:p>
        </w:tc>
        <w:tc>
          <w:tcPr>
            <w:tcW w:w="0" w:type="dxa"/>
            <w:vAlign w:val="bottom"/>
          </w:tcPr>
          <w:p>
            <w:pPr>
              <w:spacing w:after="0"/>
              <w:rPr>
                <w:sz w:val="1"/>
                <w:szCs w:val="1"/>
                <w:color w:val="auto"/>
              </w:rPr>
            </w:pPr>
          </w:p>
        </w:tc>
      </w:tr>
      <w:tr>
        <w:trPr>
          <w:trHeight w:val="123"/>
        </w:trPr>
        <w:tc>
          <w:tcPr>
            <w:tcW w:w="1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4"/>
          </w:tcPr>
          <w:p>
            <w:pPr>
              <w:jc w:val="center"/>
              <w:ind w:right="180"/>
              <w:spacing w:after="0" w:line="123" w:lineRule="exact"/>
              <w:rPr>
                <w:sz w:val="20"/>
                <w:szCs w:val="20"/>
                <w:color w:val="auto"/>
              </w:rPr>
            </w:pPr>
            <w:r>
              <w:rPr>
                <w:rFonts w:ascii="Arial" w:cs="Arial" w:eastAsia="Arial" w:hAnsi="Arial"/>
                <w:sz w:val="12"/>
                <w:szCs w:val="12"/>
                <w:b w:val="1"/>
                <w:bCs w:val="1"/>
                <w:color w:val="auto"/>
                <w:w w:val="84"/>
              </w:rPr>
              <w:t>Purchased as</w:t>
            </w:r>
          </w:p>
        </w:tc>
        <w:tc>
          <w:tcPr>
            <w:tcW w:w="94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86"/>
              </w:rPr>
              <w:t>Yet Be Purchased</w:t>
            </w: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4"/>
          </w:tcPr>
          <w:p>
            <w:pPr>
              <w:jc w:val="center"/>
              <w:ind w:right="180"/>
              <w:spacing w:after="0" w:line="134" w:lineRule="exact"/>
              <w:rPr>
                <w:sz w:val="20"/>
                <w:szCs w:val="20"/>
                <w:color w:val="auto"/>
              </w:rPr>
            </w:pPr>
            <w:r>
              <w:rPr>
                <w:rFonts w:ascii="Arial" w:cs="Arial" w:eastAsia="Arial" w:hAnsi="Arial"/>
                <w:sz w:val="12"/>
                <w:szCs w:val="12"/>
                <w:b w:val="1"/>
                <w:bCs w:val="1"/>
                <w:color w:val="auto"/>
                <w:w w:val="89"/>
              </w:rPr>
              <w:t>Number of</w:t>
            </w:r>
          </w:p>
        </w:tc>
        <w:tc>
          <w:tcPr>
            <w:tcW w:w="72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88"/>
              </w:rPr>
              <w:t>Average</w:t>
            </w:r>
          </w:p>
        </w:tc>
        <w:tc>
          <w:tcPr>
            <w:tcW w:w="112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1"/>
              </w:rPr>
              <w:t>Part of Publicly</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Under the Share</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84"/>
              </w:rPr>
              <w:t>Shares</w:t>
            </w: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92"/>
              </w:rPr>
              <w:t>Price Paid</w:t>
            </w:r>
          </w:p>
        </w:tc>
        <w:tc>
          <w:tcPr>
            <w:tcW w:w="1120" w:type="dxa"/>
            <w:vAlign w:val="bottom"/>
            <w:gridSpan w:val="4"/>
          </w:tcPr>
          <w:p>
            <w:pPr>
              <w:jc w:val="center"/>
              <w:ind w:right="180"/>
              <w:spacing w:after="0" w:line="129" w:lineRule="exact"/>
              <w:rPr>
                <w:sz w:val="20"/>
                <w:szCs w:val="20"/>
                <w:color w:val="auto"/>
              </w:rPr>
            </w:pPr>
            <w:r>
              <w:rPr>
                <w:rFonts w:ascii="Arial" w:cs="Arial" w:eastAsia="Arial" w:hAnsi="Arial"/>
                <w:sz w:val="12"/>
                <w:szCs w:val="12"/>
                <w:b w:val="1"/>
                <w:bCs w:val="1"/>
                <w:color w:val="auto"/>
                <w:w w:val="87"/>
              </w:rPr>
              <w:t>Announced</w:t>
            </w:r>
          </w:p>
        </w:tc>
        <w:tc>
          <w:tcPr>
            <w:tcW w:w="9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Repurchase</w:t>
            </w:r>
          </w:p>
        </w:tc>
        <w:tc>
          <w:tcPr>
            <w:tcW w:w="0" w:type="dxa"/>
            <w:vAlign w:val="bottom"/>
          </w:tcPr>
          <w:p>
            <w:pPr>
              <w:spacing w:after="0"/>
              <w:rPr>
                <w:sz w:val="1"/>
                <w:szCs w:val="1"/>
                <w:color w:val="auto"/>
              </w:rPr>
            </w:pPr>
          </w:p>
        </w:tc>
      </w:tr>
      <w:tr>
        <w:trPr>
          <w:trHeight w:val="190"/>
        </w:trPr>
        <w:tc>
          <w:tcPr>
            <w:tcW w:w="306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60" w:type="dxa"/>
            <w:vAlign w:val="bottom"/>
          </w:tcPr>
          <w:p>
            <w:pPr>
              <w:spacing w:after="0"/>
              <w:rPr>
                <w:sz w:val="16"/>
                <w:szCs w:val="16"/>
                <w:color w:val="auto"/>
              </w:rPr>
            </w:pPr>
          </w:p>
        </w:tc>
        <w:tc>
          <w:tcPr>
            <w:tcW w:w="800" w:type="dxa"/>
            <w:vAlign w:val="bottom"/>
            <w:gridSpan w:val="4"/>
          </w:tcPr>
          <w:p>
            <w:pPr>
              <w:jc w:val="center"/>
              <w:ind w:right="160"/>
              <w:spacing w:after="0" w:line="189" w:lineRule="exact"/>
              <w:rPr>
                <w:sz w:val="20"/>
                <w:szCs w:val="20"/>
                <w:color w:val="auto"/>
              </w:rPr>
            </w:pPr>
            <w:r>
              <w:rPr>
                <w:rFonts w:ascii="Arial" w:cs="Arial" w:eastAsia="Arial" w:hAnsi="Arial"/>
                <w:sz w:val="12"/>
                <w:szCs w:val="12"/>
                <w:b w:val="1"/>
                <w:bCs w:val="1"/>
                <w:color w:val="auto"/>
                <w:w w:val="85"/>
              </w:rPr>
              <w:t>Purchased</w:t>
            </w:r>
            <w:r>
              <w:rPr>
                <w:rFonts w:ascii="Arial" w:cs="Arial" w:eastAsia="Arial" w:hAnsi="Arial"/>
                <w:sz w:val="17"/>
                <w:szCs w:val="17"/>
                <w:b w:val="1"/>
                <w:bCs w:val="1"/>
                <w:color w:val="auto"/>
                <w:w w:val="85"/>
                <w:vertAlign w:val="superscript"/>
              </w:rPr>
              <w:t>(2)</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Per Share</w:t>
            </w:r>
          </w:p>
        </w:tc>
        <w:tc>
          <w:tcPr>
            <w:tcW w:w="112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9"/>
              </w:rPr>
              <w:t>Plans or Programs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3"/>
              </w:rPr>
              <w:t>Program</w:t>
            </w:r>
          </w:p>
        </w:tc>
        <w:tc>
          <w:tcPr>
            <w:tcW w:w="0" w:type="dxa"/>
            <w:vAlign w:val="bottom"/>
          </w:tcPr>
          <w:p>
            <w:pPr>
              <w:spacing w:after="0"/>
              <w:rPr>
                <w:sz w:val="1"/>
                <w:szCs w:val="1"/>
                <w:color w:val="auto"/>
              </w:rPr>
            </w:pPr>
          </w:p>
        </w:tc>
      </w:tr>
      <w:tr>
        <w:trPr>
          <w:trHeight w:val="203"/>
        </w:trPr>
        <w:tc>
          <w:tcPr>
            <w:tcW w:w="3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August 1 through August 31, 2017</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301,712</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rPr>
              <w:t>$4.60</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291,712</w:t>
            </w: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rPr>
              <w:t>$ 3,658,307</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September 1 through September 30, 2017</w:t>
            </w:r>
          </w:p>
        </w:tc>
        <w:tc>
          <w:tcPr>
            <w:tcW w:w="800" w:type="dxa"/>
            <w:vAlign w:val="bottom"/>
            <w:gridSpan w:val="4"/>
          </w:tcPr>
          <w:p>
            <w:pPr>
              <w:jc w:val="right"/>
              <w:ind w:right="60"/>
              <w:spacing w:after="0"/>
              <w:rPr>
                <w:sz w:val="20"/>
                <w:szCs w:val="20"/>
                <w:color w:val="auto"/>
              </w:rPr>
            </w:pPr>
            <w:r>
              <w:rPr>
                <w:rFonts w:ascii="Arial" w:cs="Arial" w:eastAsia="Arial" w:hAnsi="Arial"/>
                <w:sz w:val="15"/>
                <w:szCs w:val="15"/>
                <w:color w:val="auto"/>
              </w:rPr>
              <w:t>323,322</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5"/>
                <w:szCs w:val="15"/>
                <w:color w:val="auto"/>
              </w:rPr>
              <w:t>5.16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282,397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5"/>
                <w:szCs w:val="15"/>
                <w:color w:val="auto"/>
              </w:rPr>
              <w:t>2,199,190</w:t>
            </w:r>
          </w:p>
        </w:tc>
        <w:tc>
          <w:tcPr>
            <w:tcW w:w="0" w:type="dxa"/>
            <w:vAlign w:val="bottom"/>
          </w:tcPr>
          <w:p>
            <w:pPr>
              <w:spacing w:after="0"/>
              <w:rPr>
                <w:sz w:val="1"/>
                <w:szCs w:val="1"/>
                <w:color w:val="auto"/>
              </w:rPr>
            </w:pPr>
          </w:p>
        </w:tc>
      </w:tr>
      <w:tr>
        <w:trPr>
          <w:trHeight w:val="21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October 1 through October 31, 2017</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250,212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5.77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249,365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rPr>
              <w:t>759,263</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November 1 through November 30, 2017</w:t>
            </w:r>
          </w:p>
        </w:tc>
        <w:tc>
          <w:tcPr>
            <w:tcW w:w="800" w:type="dxa"/>
            <w:vAlign w:val="bottom"/>
            <w:gridSpan w:val="4"/>
          </w:tcPr>
          <w:p>
            <w:pPr>
              <w:jc w:val="right"/>
              <w:ind w:right="60"/>
              <w:spacing w:after="0"/>
              <w:rPr>
                <w:sz w:val="20"/>
                <w:szCs w:val="20"/>
                <w:color w:val="auto"/>
              </w:rPr>
            </w:pPr>
            <w:r>
              <w:rPr>
                <w:rFonts w:ascii="Arial" w:cs="Arial" w:eastAsia="Arial" w:hAnsi="Arial"/>
                <w:sz w:val="15"/>
                <w:szCs w:val="15"/>
                <w:color w:val="auto"/>
              </w:rPr>
              <w:t>111,973</w:t>
            </w:r>
          </w:p>
        </w:tc>
        <w:tc>
          <w:tcPr>
            <w:tcW w:w="1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5"/>
                <w:szCs w:val="15"/>
                <w:color w:val="auto"/>
              </w:rPr>
              <w:t>6.23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111,184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5"/>
                <w:szCs w:val="15"/>
                <w:color w:val="auto"/>
              </w:rPr>
              <w:t>5,066,123</w:t>
            </w:r>
          </w:p>
        </w:tc>
        <w:tc>
          <w:tcPr>
            <w:tcW w:w="0" w:type="dxa"/>
            <w:vAlign w:val="bottom"/>
          </w:tcPr>
          <w:p>
            <w:pPr>
              <w:spacing w:after="0"/>
              <w:rPr>
                <w:sz w:val="1"/>
                <w:szCs w:val="1"/>
                <w:color w:val="auto"/>
              </w:rPr>
            </w:pPr>
          </w:p>
        </w:tc>
      </w:tr>
      <w:tr>
        <w:trPr>
          <w:trHeight w:val="235"/>
        </w:trPr>
        <w:tc>
          <w:tcPr>
            <w:tcW w:w="3060" w:type="dxa"/>
            <w:vAlign w:val="bottom"/>
            <w:gridSpan w:val="2"/>
            <w:shd w:val="clear" w:color="auto" w:fill="CCEEFF"/>
          </w:tcPr>
          <w:p>
            <w:pPr>
              <w:ind w:left="20"/>
              <w:spacing w:after="0" w:line="234" w:lineRule="exact"/>
              <w:rPr>
                <w:sz w:val="20"/>
                <w:szCs w:val="20"/>
                <w:color w:val="auto"/>
              </w:rPr>
            </w:pPr>
            <w:r>
              <w:rPr>
                <w:rFonts w:ascii="Arial" w:cs="Arial" w:eastAsia="Arial" w:hAnsi="Arial"/>
                <w:sz w:val="15"/>
                <w:szCs w:val="15"/>
                <w:color w:val="auto"/>
              </w:rPr>
              <w:t>December 1 through December 31, 2017</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rPr>
              <w:t>5,066,123</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CCEEFF"/>
            </w:tcBorders>
            <w:gridSpan w:val="2"/>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987,219</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934,658</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-1005840</wp:posOffset>
            </wp:positionV>
            <wp:extent cx="10604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-1005840</wp:posOffset>
            </wp:positionV>
            <wp:extent cx="990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-1005840</wp:posOffset>
            </wp:positionV>
            <wp:extent cx="990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-1005840</wp:posOffset>
            </wp:positionV>
            <wp:extent cx="990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48" w:lineRule="exact"/>
        <w:rPr>
          <w:sz w:val="20"/>
          <w:szCs w:val="20"/>
          <w:color w:val="auto"/>
        </w:rPr>
      </w:pPr>
    </w:p>
    <w:p>
      <w:pPr>
        <w:ind w:left="1340" w:right="2419" w:hanging="289"/>
        <w:spacing w:after="0" w:line="269"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August 8, 2017, we announced the $5.0 million discretionary open-market share repurchase program of shares of our common stock, $0.01 par value per share, of up to $5.0 million until the earlier of (i) August 6, 2018 or (ii) the repurchase of $5.0 million in aggregate amount of our common stock (the “Share Repurchase Program”).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December 31, 2017, we repurchased 360,549 shares of our common stock for approximately $2.1 million under the Share Repurchase Program.</w:t>
      </w:r>
    </w:p>
    <w:p>
      <w:pPr>
        <w:spacing w:after="0" w:line="122" w:lineRule="exact"/>
        <w:rPr>
          <w:rFonts w:ascii="Arial" w:cs="Arial" w:eastAsia="Arial" w:hAnsi="Arial"/>
          <w:sz w:val="14"/>
          <w:szCs w:val="14"/>
          <w:color w:val="auto"/>
        </w:rPr>
      </w:pPr>
    </w:p>
    <w:p>
      <w:pPr>
        <w:ind w:left="1340" w:right="2919" w:hanging="289"/>
        <w:spacing w:after="0" w:line="270" w:lineRule="auto"/>
        <w:tabs>
          <w:tab w:leader="none" w:pos="1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purchases of our common stock made on the open market by or on behalf of any “affiliated purchaser,” as defined in Exchange Act Rule 10b-18(a)(3), of the Company.</w:t>
      </w:r>
    </w:p>
    <w:p>
      <w:pPr>
        <w:spacing w:after="0" w:line="125" w:lineRule="exact"/>
        <w:rPr>
          <w:rFonts w:ascii="Arial" w:cs="Arial" w:eastAsia="Arial" w:hAnsi="Arial"/>
          <w:sz w:val="15"/>
          <w:szCs w:val="15"/>
          <w:color w:val="auto"/>
        </w:rPr>
      </w:pPr>
    </w:p>
    <w:p>
      <w:pPr>
        <w:ind w:left="1340" w:right="2439" w:hanging="289"/>
        <w:spacing w:after="0" w:line="307" w:lineRule="auto"/>
        <w:tabs>
          <w:tab w:leader="none" w:pos="1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Subsequent to year-end, through March 16, 2018, we repurchased an additional 179,807 shares of our common stock pursuant to the Share Repurchase Program at an average price of $6.90 per share. As of March 16, 2018, considering repurchases of our common stock subsequent to period-end, the dollar value of shares that may yet be purchased by us under the Share Repurchase Program is approximately $3.8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5" w:name="page56"/>
    <w:bookmarkEnd w:id="5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88" w:lineRule="exact"/>
        <w:rPr>
          <w:sz w:val="20"/>
          <w:szCs w:val="20"/>
          <w:color w:val="auto"/>
        </w:rPr>
      </w:pPr>
    </w:p>
    <w:p>
      <w:pPr>
        <w:ind w:left="1060" w:right="2459" w:firstLine="297"/>
        <w:spacing w:after="0" w:line="307" w:lineRule="auto"/>
        <w:rPr>
          <w:sz w:val="20"/>
          <w:szCs w:val="20"/>
          <w:color w:val="auto"/>
        </w:rPr>
      </w:pPr>
      <w:r>
        <w:rPr>
          <w:rFonts w:ascii="Arial" w:cs="Arial" w:eastAsia="Arial" w:hAnsi="Arial"/>
          <w:sz w:val="13"/>
          <w:szCs w:val="13"/>
          <w:color w:val="auto"/>
        </w:rPr>
        <w:t>The following selected financial and other data for the fiscal years ended December 31, 2017, 2016, 2015, 2014 and 2013, respectively, have been derived from our audited financial statements. The data should be read in conjunction with “Management’s Discussion and Analysis of Financial Condition and Results of Operations” in Part II, Item 7 of this Form 10-K and consolidated financial statements and notes thereto contained in this report.</w:t>
      </w:r>
    </w:p>
    <w:p>
      <w:pPr>
        <w:spacing w:after="0" w:line="54" w:lineRule="exact"/>
        <w:rPr>
          <w:sz w:val="20"/>
          <w:szCs w:val="20"/>
          <w:color w:val="auto"/>
        </w:rPr>
      </w:pPr>
    </w:p>
    <w:tbl>
      <w:tblPr>
        <w:tblLayout w:type="fixed"/>
        <w:tblInd w:w="1040" w:type="dxa"/>
        <w:tblCellMar>
          <w:top w:w="0" w:type="dxa"/>
          <w:left w:w="0" w:type="dxa"/>
          <w:bottom w:w="0" w:type="dxa"/>
          <w:right w:w="0" w:type="dxa"/>
        </w:tblCellMar>
      </w:tblPr>
      <w:tr>
        <w:trPr>
          <w:trHeight w:val="157"/>
        </w:trPr>
        <w:tc>
          <w:tcPr>
            <w:tcW w:w="2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2"/>
                <w:szCs w:val="12"/>
                <w:b w:val="1"/>
                <w:bCs w:val="1"/>
                <w:color w:val="auto"/>
                <w:w w:val="89"/>
              </w:rPr>
              <w:t>Year Ended December 31,</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24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2013</w:t>
            </w:r>
          </w:p>
        </w:tc>
        <w:tc>
          <w:tcPr>
            <w:tcW w:w="60" w:type="dxa"/>
            <w:vAlign w:val="bottom"/>
            <w:tcBorders>
              <w:bottom w:val="single" w:sz="8" w:color="CCEEFF"/>
            </w:tcBorders>
          </w:tcPr>
          <w:p>
            <w:pPr>
              <w:spacing w:after="0"/>
              <w:rPr>
                <w:sz w:val="13"/>
                <w:szCs w:val="13"/>
                <w:color w:val="auto"/>
              </w:rPr>
            </w:pPr>
          </w:p>
        </w:tc>
      </w:tr>
      <w:tr>
        <w:trPr>
          <w:trHeight w:val="164"/>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Statement Data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480" w:type="dxa"/>
            <w:vAlign w:val="bottom"/>
          </w:tcPr>
          <w:p>
            <w:pPr>
              <w:ind w:left="160"/>
              <w:spacing w:after="0"/>
              <w:rPr>
                <w:sz w:val="20"/>
                <w:szCs w:val="20"/>
                <w:color w:val="auto"/>
              </w:rPr>
            </w:pPr>
            <w:r>
              <w:rPr>
                <w:rFonts w:ascii="Arial" w:cs="Arial" w:eastAsia="Arial" w:hAnsi="Arial"/>
                <w:sz w:val="13"/>
                <w:szCs w:val="13"/>
                <w:color w:val="auto"/>
              </w:rPr>
              <w:t>Total Investment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852,768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736,283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290,896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185,946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48,951</w:t>
            </w:r>
          </w:p>
        </w:tc>
      </w:tr>
      <w:tr>
        <w:trPr>
          <w:trHeight w:val="167"/>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Gross Operating Expenses</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22,439,855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1,999,646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26,978,235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21,775,939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22,083,875</w:t>
            </w:r>
          </w:p>
        </w:tc>
      </w:tr>
      <w:tr>
        <w:trPr>
          <w:trHeight w:val="167"/>
        </w:trPr>
        <w:tc>
          <w:tcPr>
            <w:tcW w:w="2480" w:type="dxa"/>
            <w:vAlign w:val="bottom"/>
          </w:tcPr>
          <w:p>
            <w:pPr>
              <w:ind w:left="300"/>
              <w:spacing w:after="0"/>
              <w:rPr>
                <w:sz w:val="20"/>
                <w:szCs w:val="20"/>
                <w:color w:val="auto"/>
              </w:rPr>
            </w:pPr>
            <w:r>
              <w:rPr>
                <w:rFonts w:ascii="Arial" w:cs="Arial" w:eastAsia="Arial" w:hAnsi="Arial"/>
                <w:sz w:val="13"/>
                <w:szCs w:val="13"/>
                <w:color w:val="auto"/>
              </w:rPr>
              <w:t>Management fee waiver</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(708,272)</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79"/>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Operating Expenses</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21,731,583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1,999,646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26,978,235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21,775,939</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22,083,875</w:t>
            </w:r>
          </w:p>
        </w:tc>
      </w:tr>
      <w:tr>
        <w:trPr>
          <w:trHeight w:val="156"/>
        </w:trPr>
        <w:tc>
          <w:tcPr>
            <w:tcW w:w="2480" w:type="dxa"/>
            <w:vAlign w:val="bottom"/>
          </w:tcPr>
          <w:p>
            <w:pPr>
              <w:ind w:left="160"/>
              <w:spacing w:after="0"/>
              <w:rPr>
                <w:sz w:val="20"/>
                <w:szCs w:val="20"/>
                <w:color w:val="auto"/>
              </w:rPr>
            </w:pPr>
            <w:r>
              <w:rPr>
                <w:rFonts w:ascii="Arial" w:cs="Arial" w:eastAsia="Arial" w:hAnsi="Arial"/>
                <w:sz w:val="13"/>
                <w:szCs w:val="13"/>
                <w:color w:val="auto"/>
              </w:rPr>
              <w:t>Benefit (Reversal of benefit) from taxes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2480" w:type="dxa"/>
            <w:vAlign w:val="bottom"/>
          </w:tcPr>
          <w:p>
            <w:pPr>
              <w:ind w:left="300"/>
              <w:spacing w:after="0" w:line="201" w:lineRule="exact"/>
              <w:rPr>
                <w:sz w:val="20"/>
                <w:szCs w:val="20"/>
                <w:color w:val="auto"/>
              </w:rPr>
            </w:pPr>
            <w:r>
              <w:rPr>
                <w:rFonts w:ascii="Arial" w:cs="Arial" w:eastAsia="Arial" w:hAnsi="Arial"/>
                <w:sz w:val="13"/>
                <w:szCs w:val="13"/>
                <w:color w:val="auto"/>
              </w:rPr>
              <w:t>on net investment loss</w:t>
            </w:r>
            <w:r>
              <w:rPr>
                <w:rFonts w:ascii="Arial" w:cs="Arial" w:eastAsia="Arial" w:hAnsi="Arial"/>
                <w:sz w:val="20"/>
                <w:szCs w:val="20"/>
                <w:color w:val="auto"/>
                <w:vertAlign w:val="superscript"/>
              </w:rPr>
              <w:t>(4)</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(21,969,370)</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8,810,102</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13,159,268</w:t>
            </w:r>
          </w:p>
        </w:tc>
      </w:tr>
      <w:tr>
        <w:trPr>
          <w:trHeight w:val="179"/>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Investment Loss</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(20,878,815)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(1,263,363)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(48,656,709)</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(12,779,891)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(8,875,656)</w:t>
            </w:r>
          </w:p>
        </w:tc>
      </w:tr>
      <w:tr>
        <w:trPr>
          <w:trHeight w:val="181"/>
        </w:trPr>
        <w:tc>
          <w:tcPr>
            <w:tcW w:w="2480" w:type="dxa"/>
            <w:vAlign w:val="bottom"/>
          </w:tcPr>
          <w:p>
            <w:pPr>
              <w:ind w:left="160"/>
              <w:spacing w:after="0"/>
              <w:rPr>
                <w:sz w:val="20"/>
                <w:szCs w:val="20"/>
                <w:color w:val="auto"/>
              </w:rPr>
            </w:pPr>
            <w:r>
              <w:rPr>
                <w:rFonts w:ascii="Arial" w:cs="Arial" w:eastAsia="Arial" w:hAnsi="Arial"/>
                <w:sz w:val="13"/>
                <w:szCs w:val="13"/>
                <w:color w:val="auto"/>
              </w:rPr>
              <w:t>Net realized gain (loss) on</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5"/>
        </w:trPr>
        <w:tc>
          <w:tcPr>
            <w:tcW w:w="2480" w:type="dxa"/>
            <w:vAlign w:val="bottom"/>
          </w:tcPr>
          <w:p>
            <w:pPr>
              <w:ind w:left="300"/>
              <w:spacing w:after="0"/>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913,982</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(2,634,471)</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54,144,229</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23,926,124</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w w:val="94"/>
              </w:rPr>
              <w:t>(21,706,021)</w:t>
            </w:r>
          </w:p>
        </w:tc>
      </w:tr>
      <w:tr>
        <w:trPr>
          <w:trHeight w:val="156"/>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Benefit from/(Provision for) taxes on net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1"/>
        </w:trPr>
        <w:tc>
          <w:tcPr>
            <w:tcW w:w="2480" w:type="dxa"/>
            <w:vAlign w:val="bottom"/>
            <w:shd w:val="clear" w:color="auto" w:fill="CCEEFF"/>
          </w:tcPr>
          <w:p>
            <w:pPr>
              <w:ind w:left="300"/>
              <w:spacing w:after="0" w:line="201" w:lineRule="exact"/>
              <w:rPr>
                <w:sz w:val="20"/>
                <w:szCs w:val="20"/>
                <w:color w:val="auto"/>
              </w:rPr>
            </w:pPr>
            <w:r>
              <w:rPr>
                <w:rFonts w:ascii="Arial" w:cs="Arial" w:eastAsia="Arial" w:hAnsi="Arial"/>
                <w:sz w:val="13"/>
                <w:szCs w:val="13"/>
                <w:color w:val="auto"/>
              </w:rPr>
              <w:t>realized loss/gain on investments</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342,802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(9,769,036)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9,426,234</w:t>
            </w:r>
          </w:p>
        </w:tc>
      </w:tr>
      <w:tr>
        <w:trPr>
          <w:trHeight w:val="181"/>
        </w:trPr>
        <w:tc>
          <w:tcPr>
            <w:tcW w:w="2480" w:type="dxa"/>
            <w:vAlign w:val="bottom"/>
          </w:tcPr>
          <w:p>
            <w:pPr>
              <w:ind w:left="160"/>
              <w:spacing w:after="0"/>
              <w:rPr>
                <w:sz w:val="20"/>
                <w:szCs w:val="20"/>
                <w:color w:val="auto"/>
              </w:rPr>
            </w:pPr>
            <w:r>
              <w:rPr>
                <w:rFonts w:ascii="Arial" w:cs="Arial" w:eastAsia="Arial" w:hAnsi="Arial"/>
                <w:sz w:val="13"/>
                <w:szCs w:val="13"/>
                <w:color w:val="auto"/>
              </w:rPr>
              <w:t>Net change in unrealized appreciation/</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5"/>
        </w:trPr>
        <w:tc>
          <w:tcPr>
            <w:tcW w:w="2480" w:type="dxa"/>
            <w:vAlign w:val="bottom"/>
          </w:tcPr>
          <w:p>
            <w:pPr>
              <w:ind w:left="300"/>
              <w:spacing w:after="0"/>
              <w:rPr>
                <w:sz w:val="20"/>
                <w:szCs w:val="20"/>
                <w:color w:val="auto"/>
              </w:rPr>
            </w:pPr>
            <w:r>
              <w:rPr>
                <w:rFonts w:ascii="Arial" w:cs="Arial" w:eastAsia="Arial" w:hAnsi="Arial"/>
                <w:sz w:val="13"/>
                <w:szCs w:val="13"/>
                <w:color w:val="auto"/>
              </w:rPr>
              <w:t>(depreciation) of investments</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34,775,696</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(73,213,845)</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(13,422,245)</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(5,811,797)</w:t>
            </w: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87,445,149</w:t>
            </w:r>
          </w:p>
        </w:tc>
      </w:tr>
      <w:tr>
        <w:trPr>
          <w:trHeight w:val="181"/>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Benefit from/(Provision for) taxes on</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31"/>
        </w:trPr>
        <w:tc>
          <w:tcPr>
            <w:tcW w:w="2480" w:type="dxa"/>
            <w:vAlign w:val="bottom"/>
            <w:shd w:val="clear" w:color="auto" w:fill="CCEEFF"/>
          </w:tcPr>
          <w:p>
            <w:pPr>
              <w:ind w:left="300"/>
              <w:spacing w:after="0" w:line="131" w:lineRule="exact"/>
              <w:rPr>
                <w:sz w:val="20"/>
                <w:szCs w:val="20"/>
                <w:color w:val="auto"/>
              </w:rPr>
            </w:pPr>
            <w:r>
              <w:rPr>
                <w:rFonts w:ascii="Arial" w:cs="Arial" w:eastAsia="Arial" w:hAnsi="Arial"/>
                <w:sz w:val="13"/>
                <w:szCs w:val="13"/>
                <w:color w:val="auto"/>
              </w:rPr>
              <w:t>unrealized depreciation/appreciation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1"/>
        </w:trPr>
        <w:tc>
          <w:tcPr>
            <w:tcW w:w="2480" w:type="dxa"/>
            <w:vAlign w:val="bottom"/>
            <w:shd w:val="clear" w:color="auto" w:fill="CCEEFF"/>
          </w:tcPr>
          <w:p>
            <w:pPr>
              <w:ind w:left="300"/>
              <w:spacing w:after="0" w:line="201" w:lineRule="exact"/>
              <w:rPr>
                <w:sz w:val="20"/>
                <w:szCs w:val="20"/>
                <w:color w:val="auto"/>
              </w:rPr>
            </w:pPr>
            <w:r>
              <w:rPr>
                <w:rFonts w:ascii="Arial" w:cs="Arial" w:eastAsia="Arial" w:hAnsi="Arial"/>
                <w:sz w:val="13"/>
                <w:szCs w:val="13"/>
                <w:color w:val="auto"/>
              </w:rPr>
              <w:t>of investments</w:t>
            </w:r>
            <w:r>
              <w:rPr>
                <w:rFonts w:ascii="Arial" w:cs="Arial" w:eastAsia="Arial" w:hAnsi="Arial"/>
                <w:sz w:val="20"/>
                <w:szCs w:val="20"/>
                <w:color w:val="auto"/>
                <w:vertAlign w:val="superscript"/>
              </w:rPr>
              <w:t>(4)(5)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2,757,070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2,116,784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16,058,080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2,371,829</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4"/>
              </w:rPr>
              <w:t>(30,906,063)</w:t>
            </w:r>
          </w:p>
        </w:tc>
      </w:tr>
      <w:tr>
        <w:trPr>
          <w:trHeight w:val="181"/>
        </w:trPr>
        <w:tc>
          <w:tcPr>
            <w:tcW w:w="2480" w:type="dxa"/>
            <w:vAlign w:val="bottom"/>
          </w:tcPr>
          <w:p>
            <w:pPr>
              <w:ind w:left="20"/>
              <w:spacing w:after="0"/>
              <w:rPr>
                <w:sz w:val="20"/>
                <w:szCs w:val="20"/>
                <w:color w:val="auto"/>
              </w:rPr>
            </w:pPr>
            <w:r>
              <w:rPr>
                <w:rFonts w:ascii="Arial" w:cs="Arial" w:eastAsia="Arial" w:hAnsi="Arial"/>
                <w:sz w:val="13"/>
                <w:szCs w:val="13"/>
                <w:color w:val="auto"/>
              </w:rPr>
              <w:t>Net increase/(decrease) in net assets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5"/>
        </w:trPr>
        <w:tc>
          <w:tcPr>
            <w:tcW w:w="2480" w:type="dxa"/>
            <w:vAlign w:val="bottom"/>
          </w:tcPr>
          <w:p>
            <w:pPr>
              <w:ind w:left="160"/>
              <w:spacing w:after="0"/>
              <w:rPr>
                <w:sz w:val="20"/>
                <w:szCs w:val="20"/>
                <w:color w:val="auto"/>
              </w:rPr>
            </w:pPr>
            <w:r>
              <w:rPr>
                <w:rFonts w:ascii="Arial" w:cs="Arial" w:eastAsia="Arial" w:hAnsi="Arial"/>
                <w:sz w:val="13"/>
                <w:szCs w:val="13"/>
                <w:color w:val="auto"/>
              </w:rPr>
              <w:t>resulting from operations</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17,567,933</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(74,994,895)</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8,466,157</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(2,062,771)</w:t>
            </w: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35,383,643</w:t>
            </w:r>
          </w:p>
        </w:tc>
      </w:tr>
      <w:tr>
        <w:trPr>
          <w:trHeight w:val="268"/>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Per Common Share Data</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3"/>
                <w:szCs w:val="13"/>
                <w:color w:val="auto"/>
              </w:rPr>
              <w:t>Weighted-Average Common Shares: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9"/>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21,924,490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22,181,003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19,327,938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19,320,100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19,320,100</w:t>
            </w:r>
          </w:p>
        </w:tc>
      </w:tr>
      <w:tr>
        <w:trPr>
          <w:trHeight w:val="179"/>
        </w:trPr>
        <w:tc>
          <w:tcPr>
            <w:tcW w:w="2480" w:type="dxa"/>
            <w:vAlign w:val="bottom"/>
          </w:tcPr>
          <w:p>
            <w:pPr>
              <w:ind w:left="160"/>
              <w:spacing w:after="0"/>
              <w:rPr>
                <w:sz w:val="20"/>
                <w:szCs w:val="20"/>
                <w:color w:val="auto"/>
              </w:rPr>
            </w:pPr>
            <w:r>
              <w:rPr>
                <w:rFonts w:ascii="Arial" w:cs="Arial" w:eastAsia="Arial" w:hAnsi="Arial"/>
                <w:sz w:val="13"/>
                <w:szCs w:val="13"/>
                <w:color w:val="auto"/>
              </w:rPr>
              <w:t>Diluted</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21,924,490</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22,181,003</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19,327,938</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19,320,100</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20,541,014</w:t>
            </w:r>
          </w:p>
        </w:tc>
      </w:tr>
      <w:tr>
        <w:trPr>
          <w:trHeight w:val="270"/>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net assets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156"/>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resulting from operations per average</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5"/>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3"/>
                <w:szCs w:val="13"/>
                <w:color w:val="auto"/>
              </w:rPr>
              <w:t>Basic</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0.80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(3.38)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0.44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(0.11)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1.83</w:t>
            </w:r>
          </w:p>
        </w:tc>
      </w:tr>
      <w:tr>
        <w:trPr>
          <w:trHeight w:val="179"/>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0.80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(3.38)</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0.44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w:t>
            </w:r>
          </w:p>
        </w:tc>
      </w:tr>
      <w:tr>
        <w:trPr>
          <w:trHeight w:val="190"/>
        </w:trPr>
        <w:tc>
          <w:tcPr>
            <w:tcW w:w="2480" w:type="dxa"/>
            <w:vAlign w:val="bottom"/>
          </w:tcPr>
          <w:p>
            <w:pPr>
              <w:ind w:left="20"/>
              <w:spacing w:after="0" w:line="189" w:lineRule="exact"/>
              <w:rPr>
                <w:sz w:val="20"/>
                <w:szCs w:val="20"/>
                <w:color w:val="auto"/>
              </w:rPr>
            </w:pPr>
            <w:r>
              <w:rPr>
                <w:rFonts w:ascii="Arial" w:cs="Arial" w:eastAsia="Arial" w:hAnsi="Arial"/>
                <w:sz w:val="13"/>
                <w:szCs w:val="13"/>
                <w:color w:val="auto"/>
              </w:rPr>
              <w:t>Net asset value per share</w:t>
            </w:r>
            <w:r>
              <w:rPr>
                <w:rFonts w:ascii="Arial" w:cs="Arial" w:eastAsia="Arial" w:hAnsi="Arial"/>
                <w:sz w:val="20"/>
                <w:szCs w:val="20"/>
                <w:color w:val="auto"/>
                <w:vertAlign w:val="superscript"/>
              </w:rPr>
              <w:t>(1)</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9.64</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8.66</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12.08</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14.80</w:t>
            </w: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14.91</w:t>
            </w:r>
          </w:p>
        </w:tc>
      </w:tr>
      <w:tr>
        <w:trPr>
          <w:trHeight w:val="179"/>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 price at year-end</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9.37</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8.63</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12.09</w:t>
            </w:r>
          </w:p>
        </w:tc>
      </w:tr>
      <w:tr>
        <w:trPr>
          <w:trHeight w:val="179"/>
        </w:trPr>
        <w:tc>
          <w:tcPr>
            <w:tcW w:w="2480" w:type="dxa"/>
            <w:vAlign w:val="bottom"/>
          </w:tcPr>
          <w:p>
            <w:pPr>
              <w:ind w:left="20"/>
              <w:spacing w:after="0"/>
              <w:rPr>
                <w:sz w:val="20"/>
                <w:szCs w:val="20"/>
                <w:color w:val="auto"/>
              </w:rPr>
            </w:pPr>
            <w:r>
              <w:rPr>
                <w:rFonts w:ascii="Arial" w:cs="Arial" w:eastAsia="Arial" w:hAnsi="Arial"/>
                <w:sz w:val="13"/>
                <w:szCs w:val="13"/>
                <w:color w:val="auto"/>
              </w:rPr>
              <w:t>Distributions declared</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0.04</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79"/>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Outstanding at Year End</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21,246,345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22,181,003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22,181,003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8"/>
              </w:rPr>
              <w:t>19,320,100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19,320,100</w:t>
            </w:r>
          </w:p>
        </w:tc>
      </w:tr>
      <w:tr>
        <w:trPr>
          <w:trHeight w:val="190"/>
        </w:trPr>
        <w:tc>
          <w:tcPr>
            <w:tcW w:w="248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Balance Sheet Data</w:t>
            </w:r>
            <w:r>
              <w:rPr>
                <w:rFonts w:ascii="Arial" w:cs="Arial" w:eastAsia="Arial" w:hAnsi="Arial"/>
                <w:sz w:val="20"/>
                <w:szCs w:val="20"/>
                <w:b w:val="1"/>
                <w:bCs w:val="1"/>
                <w:color w:val="auto"/>
                <w:vertAlign w:val="superscript"/>
              </w:rPr>
              <w:t>(3)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248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Total Assets</w:t>
            </w:r>
            <w:r>
              <w:rPr>
                <w:rFonts w:ascii="Arial" w:cs="Arial" w:eastAsia="Arial" w:hAnsi="Arial"/>
                <w:sz w:val="20"/>
                <w:szCs w:val="20"/>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381,682,536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300,964,426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397,843,071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482,979,027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1"/>
              </w:rPr>
              <w:t>374,569,437</w:t>
            </w:r>
          </w:p>
        </w:tc>
      </w:tr>
      <w:tr>
        <w:trPr>
          <w:trHeight w:val="181"/>
        </w:trPr>
        <w:tc>
          <w:tcPr>
            <w:tcW w:w="2480" w:type="dxa"/>
            <w:vAlign w:val="bottom"/>
          </w:tcPr>
          <w:p>
            <w:pPr>
              <w:ind w:left="160"/>
              <w:spacing w:after="0"/>
              <w:rPr>
                <w:sz w:val="20"/>
                <w:szCs w:val="20"/>
                <w:color w:val="auto"/>
              </w:rPr>
            </w:pPr>
            <w:r>
              <w:rPr>
                <w:rFonts w:ascii="Arial" w:cs="Arial" w:eastAsia="Arial" w:hAnsi="Arial"/>
                <w:sz w:val="13"/>
                <w:szCs w:val="13"/>
                <w:color w:val="auto"/>
                <w:w w:val="98"/>
              </w:rPr>
              <w:t>Convertible Senior Notes payable 5.25%</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5"/>
        </w:trPr>
        <w:tc>
          <w:tcPr>
            <w:tcW w:w="2480" w:type="dxa"/>
            <w:vAlign w:val="bottom"/>
          </w:tcPr>
          <w:p>
            <w:pPr>
              <w:ind w:left="300"/>
              <w:spacing w:after="0"/>
              <w:rPr>
                <w:sz w:val="20"/>
                <w:szCs w:val="20"/>
                <w:color w:val="auto"/>
              </w:rPr>
            </w:pPr>
            <w:r>
              <w:rPr>
                <w:rFonts w:ascii="Arial" w:cs="Arial" w:eastAsia="Arial" w:hAnsi="Arial"/>
                <w:sz w:val="13"/>
                <w:szCs w:val="13"/>
                <w:color w:val="auto"/>
              </w:rPr>
              <w:t>due September 15, 2018</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68,382,549</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67,512,798</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66,649,047</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65,795,284</w:t>
            </w: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64,957,174</w:t>
            </w:r>
          </w:p>
        </w:tc>
      </w:tr>
      <w:tr>
        <w:trPr>
          <w:trHeight w:val="181"/>
        </w:trPr>
        <w:tc>
          <w:tcPr>
            <w:tcW w:w="2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Convertible Senior Notes embedded</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65"/>
        </w:trPr>
        <w:tc>
          <w:tcPr>
            <w:tcW w:w="2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derivative liability</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799,000</w:t>
            </w:r>
          </w:p>
        </w:tc>
      </w:tr>
      <w:tr>
        <w:trPr>
          <w:trHeight w:val="179"/>
        </w:trPr>
        <w:tc>
          <w:tcPr>
            <w:tcW w:w="2480" w:type="dxa"/>
            <w:vAlign w:val="bottom"/>
          </w:tcPr>
          <w:p>
            <w:pPr>
              <w:ind w:left="160"/>
              <w:spacing w:after="0"/>
              <w:rPr>
                <w:sz w:val="20"/>
                <w:szCs w:val="20"/>
                <w:color w:val="auto"/>
              </w:rPr>
            </w:pPr>
            <w:r>
              <w:rPr>
                <w:rFonts w:ascii="Arial" w:cs="Arial" w:eastAsia="Arial" w:hAnsi="Arial"/>
                <w:sz w:val="13"/>
                <w:szCs w:val="13"/>
                <w:color w:val="auto"/>
              </w:rPr>
              <w:t>Total Liabilities</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176,919,670</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108,835,616</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129,832,126</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197,075,354</w:t>
            </w: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86,602,993</w:t>
            </w:r>
          </w:p>
        </w:tc>
      </w:tr>
      <w:tr>
        <w:trPr>
          <w:trHeight w:val="179"/>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Assets</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204,762,866</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192,128,810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268,010,945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285,903,673</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1"/>
              </w:rPr>
              <w:t>287,966,444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-4577080</wp:posOffset>
            </wp:positionV>
            <wp:extent cx="285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-4577080</wp:posOffset>
            </wp:positionV>
            <wp:extent cx="8509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3825240</wp:posOffset>
            </wp:positionH>
            <wp:positionV relativeFrom="paragraph">
              <wp:posOffset>-4577080</wp:posOffset>
            </wp:positionV>
            <wp:extent cx="8509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-4577080</wp:posOffset>
            </wp:positionV>
            <wp:extent cx="8509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-4577080</wp:posOffset>
            </wp:positionV>
            <wp:extent cx="212598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2598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113665</wp:posOffset>
            </wp:positionV>
            <wp:extent cx="102044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93" w:lineRule="exact"/>
        <w:rPr>
          <w:sz w:val="20"/>
          <w:szCs w:val="20"/>
          <w:color w:val="auto"/>
        </w:rPr>
      </w:pPr>
    </w:p>
    <w:p>
      <w:pPr>
        <w:ind w:left="1340" w:hanging="289"/>
        <w:spacing w:after="0"/>
        <w:tabs>
          <w:tab w:leader="none" w:pos="1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Net asset value per share is based on basic shares outstanding at the end of the period.</w:t>
      </w:r>
    </w:p>
    <w:p>
      <w:pPr>
        <w:spacing w:after="0" w:line="106" w:lineRule="exact"/>
        <w:rPr>
          <w:rFonts w:ascii="Arial" w:cs="Arial" w:eastAsia="Arial" w:hAnsi="Arial"/>
          <w:sz w:val="15"/>
          <w:szCs w:val="15"/>
          <w:color w:val="auto"/>
        </w:rPr>
      </w:pPr>
    </w:p>
    <w:p>
      <w:pPr>
        <w:ind w:left="1340" w:right="2539" w:hanging="289"/>
        <w:spacing w:after="0" w:line="286"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the year ended December 31, 2013, total assets increased due to the issuance of Convertible Senior Notes in September 2013. During the year ended December 31, 2014, total assets increased due to the purchase of a U.S. Treasury bill on margin. During the year ended December 31, 2015, total</w:t>
      </w:r>
    </w:p>
    <w:p>
      <w:pPr>
        <w:spacing w:after="0" w:line="18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6" w:name="page57"/>
    <w:bookmarkEnd w:id="5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right="2499"/>
        <w:spacing w:after="0" w:line="273" w:lineRule="auto"/>
        <w:rPr>
          <w:sz w:val="20"/>
          <w:szCs w:val="20"/>
          <w:color w:val="auto"/>
        </w:rPr>
      </w:pPr>
      <w:r>
        <w:rPr>
          <w:rFonts w:ascii="Arial" w:cs="Arial" w:eastAsia="Arial" w:hAnsi="Arial"/>
          <w:sz w:val="14"/>
          <w:szCs w:val="14"/>
          <w:color w:val="auto"/>
        </w:rPr>
        <w:t>assets decreased due to a declared dividend, which was paid on December 31, 2015. During the year ended December 31, 2016, total assets and net assets decreased due to a change in unrealized depreciation of investments and net realized losses on investments. During the year ended December 31, 2017, total assets and net assets increased due to a change in unrealized appreciation of investments and net realized gains on investments. For further discussion of factors that affected our total assets and net assets refer to “Management’s Discussion and Analysis of Financial Condition and Results of Operations — Results of Operations” in Part II, Item 7 of this Form 10-K.</w:t>
      </w:r>
    </w:p>
    <w:p>
      <w:pPr>
        <w:spacing w:after="0" w:line="124" w:lineRule="exact"/>
        <w:rPr>
          <w:sz w:val="20"/>
          <w:szCs w:val="20"/>
          <w:color w:val="auto"/>
        </w:rPr>
      </w:pPr>
    </w:p>
    <w:p>
      <w:pPr>
        <w:ind w:left="1340" w:hanging="289"/>
        <w:spacing w:after="0"/>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Deferred debt issuance costs of $1,947,572, $2,667,069 and $3,378,121, as of December 31, 2015,</w:t>
      </w:r>
    </w:p>
    <w:p>
      <w:pPr>
        <w:spacing w:after="0" w:line="27" w:lineRule="exact"/>
        <w:rPr>
          <w:rFonts w:ascii="Arial" w:cs="Arial" w:eastAsia="Arial" w:hAnsi="Arial"/>
          <w:sz w:val="14"/>
          <w:szCs w:val="14"/>
          <w:color w:val="auto"/>
        </w:rPr>
      </w:pPr>
    </w:p>
    <w:p>
      <w:pPr>
        <w:ind w:left="1340" w:right="2479"/>
        <w:spacing w:after="0" w:line="298" w:lineRule="auto"/>
        <w:rPr>
          <w:rFonts w:ascii="Arial" w:cs="Arial" w:eastAsia="Arial" w:hAnsi="Arial"/>
          <w:sz w:val="14"/>
          <w:szCs w:val="14"/>
          <w:color w:val="auto"/>
        </w:rPr>
      </w:pPr>
      <w:r>
        <w:rPr>
          <w:rFonts w:ascii="Arial" w:cs="Arial" w:eastAsia="Arial" w:hAnsi="Arial"/>
          <w:sz w:val="13"/>
          <w:szCs w:val="13"/>
          <w:color w:val="auto"/>
        </w:rPr>
        <w:t>2014 and 2013, respectively, related to the Company’s issuance of the Convertible Senior Notes were previously classified as “Deferred financing costs” as of December 31, 2015, 2014 and 2013. In accordance with ASU 2015-03, each of these balances has been retrospectively reclassified as a direct deduction from the Convertible Senior Notes. Refer to “Note 10 — Debt Capital Activities” of the consolidated financial statements as of December 31, 2017 included in this annual report on Form 10-K for further detail.</w:t>
      </w:r>
    </w:p>
    <w:p>
      <w:pPr>
        <w:spacing w:after="0" w:line="99" w:lineRule="exact"/>
        <w:rPr>
          <w:rFonts w:ascii="Arial" w:cs="Arial" w:eastAsia="Arial" w:hAnsi="Arial"/>
          <w:sz w:val="14"/>
          <w:szCs w:val="14"/>
          <w:color w:val="auto"/>
        </w:rPr>
      </w:pPr>
    </w:p>
    <w:p>
      <w:pPr>
        <w:ind w:left="1340" w:right="2419" w:hanging="289"/>
        <w:spacing w:after="0" w:line="255" w:lineRule="auto"/>
        <w:tabs>
          <w:tab w:leader="none" w:pos="1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Due to our change in tax status to a RIC from a C Corporation, the associated accrued benefits from and provisions for taxes from previous years were reversed for the year ended December 31, 2015. Refer to “Note 9 — Income Taxes” to our consolidated financial statements as of December 31, 2017 included in this annual report on Form 10-K for further detail.</w:t>
      </w:r>
    </w:p>
    <w:p>
      <w:pPr>
        <w:spacing w:after="0" w:line="126" w:lineRule="exact"/>
        <w:rPr>
          <w:rFonts w:ascii="Arial" w:cs="Arial" w:eastAsia="Arial" w:hAnsi="Arial"/>
          <w:sz w:val="15"/>
          <w:szCs w:val="15"/>
          <w:color w:val="auto"/>
        </w:rPr>
      </w:pPr>
    </w:p>
    <w:p>
      <w:pPr>
        <w:ind w:left="1340" w:right="2519" w:hanging="289"/>
        <w:spacing w:after="0" w:line="299" w:lineRule="auto"/>
        <w:tabs>
          <w:tab w:leader="none" w:pos="1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During the year ended December 31, 2017, we recognized a net benefit from taxes on unrealized depreciation of $2,757,070 despite recording a net change in unrealized appreciation of approximately $34.8 million. The net tax benefit from taxes on unrealized depreciation for the year ended December 31, 2017 was the result of an approximately $4.1 million decrease in built-in gains tax liability due to the recently passed tax legislation that reduced the U.S. corporate federal income tax rate from 35% to 21%, partially offset by a $1.3 million increase in the net deferred tax liability generated by the GSVC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7" w:name="page58"/>
    <w:bookmarkEnd w:id="5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Forward-Looking statements</w:t>
      </w:r>
    </w:p>
    <w:p>
      <w:pPr>
        <w:spacing w:after="0" w:line="88" w:lineRule="exact"/>
        <w:rPr>
          <w:sz w:val="20"/>
          <w:szCs w:val="20"/>
          <w:color w:val="auto"/>
        </w:rPr>
      </w:pPr>
    </w:p>
    <w:p>
      <w:pPr>
        <w:ind w:left="1060" w:right="2499" w:firstLine="297"/>
        <w:spacing w:after="0" w:line="274" w:lineRule="auto"/>
        <w:rPr>
          <w:sz w:val="20"/>
          <w:szCs w:val="20"/>
          <w:color w:val="auto"/>
        </w:rPr>
      </w:pPr>
      <w:r>
        <w:rPr>
          <w:rFonts w:ascii="Arial" w:cs="Arial" w:eastAsia="Arial" w:hAnsi="Arial"/>
          <w:sz w:val="14"/>
          <w:szCs w:val="14"/>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8" w:lineRule="exact"/>
        <w:rPr>
          <w:sz w:val="20"/>
          <w:szCs w:val="20"/>
          <w:color w:val="auto"/>
        </w:rPr>
      </w:pPr>
    </w:p>
    <w:p>
      <w:pPr>
        <w:ind w:left="1060" w:right="3199" w:firstLine="297"/>
        <w:spacing w:after="0" w:line="270" w:lineRule="auto"/>
        <w:rPr>
          <w:sz w:val="20"/>
          <w:szCs w:val="20"/>
          <w:color w:val="auto"/>
        </w:rPr>
      </w:pPr>
      <w:r>
        <w:rPr>
          <w:rFonts w:ascii="Arial" w:cs="Arial" w:eastAsia="Arial" w:hAnsi="Arial"/>
          <w:sz w:val="15"/>
          <w:szCs w:val="15"/>
          <w:color w:val="auto"/>
        </w:rPr>
        <w:t>The forward-looking statements contained in this annual report on Form 10-K involve risks and uncertainties, including, without limitation, statements as to:</w:t>
      </w:r>
    </w:p>
    <w:p>
      <w:pPr>
        <w:spacing w:after="0" w:line="92" w:lineRule="exact"/>
        <w:rPr>
          <w:sz w:val="20"/>
          <w:szCs w:val="20"/>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future operating results;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business prospects and the prospects of our portfolio companies;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impact of investments that we expect to make;</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contractual arrangements and relationships with third parties;</w:t>
      </w:r>
    </w:p>
    <w:p>
      <w:pPr>
        <w:spacing w:after="0" w:line="128" w:lineRule="exact"/>
        <w:rPr>
          <w:rFonts w:ascii="Arial" w:cs="Arial" w:eastAsia="Arial" w:hAnsi="Arial"/>
          <w:sz w:val="15"/>
          <w:szCs w:val="15"/>
          <w:color w:val="auto"/>
        </w:rPr>
      </w:pPr>
    </w:p>
    <w:p>
      <w:pPr>
        <w:ind w:left="1640" w:right="2499" w:hanging="292"/>
        <w:spacing w:after="0" w:line="270" w:lineRule="auto"/>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dependence of our future success on the general economy and its impact on the industries in which we invest;</w:t>
      </w:r>
    </w:p>
    <w:p>
      <w:pPr>
        <w:spacing w:after="0" w:line="91"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ability of our portfolio companies to achieve their objectives;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expected financings and investments;</w:t>
      </w:r>
    </w:p>
    <w:p>
      <w:pPr>
        <w:spacing w:after="0" w:line="128"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adequacy of our cash resources and working capital; and</w:t>
      </w:r>
    </w:p>
    <w:p>
      <w:pPr>
        <w:spacing w:after="0" w:line="117" w:lineRule="exact"/>
        <w:rPr>
          <w:rFonts w:ascii="Arial" w:cs="Arial" w:eastAsia="Arial" w:hAnsi="Arial"/>
          <w:sz w:val="15"/>
          <w:szCs w:val="15"/>
          <w:color w:val="auto"/>
        </w:rPr>
      </w:pPr>
    </w:p>
    <w:p>
      <w:pPr>
        <w:ind w:left="1640" w:hanging="292"/>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timing of cash flows, if any, from the operations of our portfolio companies.</w:t>
      </w:r>
    </w:p>
    <w:p>
      <w:pPr>
        <w:spacing w:after="0" w:line="95" w:lineRule="exact"/>
        <w:rPr>
          <w:sz w:val="20"/>
          <w:szCs w:val="20"/>
          <w:color w:val="auto"/>
        </w:rPr>
      </w:pPr>
    </w:p>
    <w:p>
      <w:pPr>
        <w:ind w:left="1060" w:right="2539" w:firstLine="297"/>
        <w:spacing w:after="0" w:line="317" w:lineRule="auto"/>
        <w:rPr>
          <w:sz w:val="20"/>
          <w:szCs w:val="20"/>
          <w:color w:val="auto"/>
        </w:rPr>
      </w:pPr>
      <w:r>
        <w:rPr>
          <w:rFonts w:ascii="Arial" w:cs="Arial" w:eastAsia="Arial" w:hAnsi="Arial"/>
          <w:sz w:val="13"/>
          <w:szCs w:val="13"/>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6" w:lineRule="exact"/>
        <w:rPr>
          <w:sz w:val="20"/>
          <w:szCs w:val="20"/>
          <w:color w:val="auto"/>
        </w:rPr>
      </w:pPr>
    </w:p>
    <w:p>
      <w:pPr>
        <w:ind w:left="1640" w:right="2739" w:hanging="292"/>
        <w:spacing w:after="0" w:line="307" w:lineRule="auto"/>
        <w:tabs>
          <w:tab w:leader="none" w:pos="1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 economic downturn could impair our portfolio companies’ ability to continue to operate, which could lead to the loss of some or all of our investments in such portfolio companies;</w:t>
      </w:r>
    </w:p>
    <w:p>
      <w:pPr>
        <w:spacing w:after="0" w:line="67" w:lineRule="exact"/>
        <w:rPr>
          <w:rFonts w:ascii="Arial" w:cs="Arial" w:eastAsia="Arial" w:hAnsi="Arial"/>
          <w:sz w:val="14"/>
          <w:szCs w:val="14"/>
          <w:color w:val="auto"/>
        </w:rPr>
      </w:pPr>
    </w:p>
    <w:p>
      <w:pPr>
        <w:ind w:left="1640" w:right="2859" w:hanging="292"/>
        <w:spacing w:after="0" w:line="307" w:lineRule="auto"/>
        <w:tabs>
          <w:tab w:leader="none" w:pos="1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 economic downturn could disproportionately impact the market sectors in which a significant portion of our portfolio is concentrated, causing us to suffer losses in our portfolio;</w:t>
      </w:r>
    </w:p>
    <w:p>
      <w:pPr>
        <w:spacing w:after="0" w:line="67" w:lineRule="exact"/>
        <w:rPr>
          <w:rFonts w:ascii="Arial" w:cs="Arial" w:eastAsia="Arial" w:hAnsi="Arial"/>
          <w:sz w:val="14"/>
          <w:szCs w:val="14"/>
          <w:color w:val="auto"/>
        </w:rPr>
      </w:pPr>
    </w:p>
    <w:p>
      <w:pPr>
        <w:ind w:left="1640" w:right="2839" w:hanging="292"/>
        <w:spacing w:after="0" w:line="270" w:lineRule="auto"/>
        <w:tabs>
          <w:tab w:leader="none" w:pos="1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contraction of available credit and/or an inability to access the equity markets could impair our investment activities;</w:t>
      </w:r>
    </w:p>
    <w:p>
      <w:pPr>
        <w:spacing w:after="0" w:line="91" w:lineRule="exact"/>
        <w:rPr>
          <w:rFonts w:ascii="Arial" w:cs="Arial" w:eastAsia="Arial" w:hAnsi="Arial"/>
          <w:sz w:val="15"/>
          <w:szCs w:val="15"/>
          <w:color w:val="auto"/>
        </w:rPr>
      </w:pPr>
    </w:p>
    <w:p>
      <w:pPr>
        <w:ind w:left="1640" w:right="2459" w:hanging="292"/>
        <w:spacing w:after="0" w:line="270" w:lineRule="auto"/>
        <w:tabs>
          <w:tab w:leader="none" w:pos="1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interest rate volatility could adversely affect our results, particularly because we use leverage as part of our investment strategy; and</w:t>
      </w:r>
    </w:p>
    <w:p>
      <w:pPr>
        <w:spacing w:after="0" w:line="91" w:lineRule="exact"/>
        <w:rPr>
          <w:rFonts w:ascii="Arial" w:cs="Arial" w:eastAsia="Arial" w:hAnsi="Arial"/>
          <w:sz w:val="15"/>
          <w:szCs w:val="15"/>
          <w:color w:val="auto"/>
        </w:rPr>
      </w:pPr>
    </w:p>
    <w:p>
      <w:pPr>
        <w:ind w:left="1640" w:right="2439" w:hanging="292"/>
        <w:spacing w:after="0" w:line="270" w:lineRule="auto"/>
        <w:tabs>
          <w:tab w:leader="none" w:pos="1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risks, uncertainties and other factors we identify in “Risk Factors” in this annual report on Form 10-K, and in our filings with the SEC.</w:t>
      </w:r>
    </w:p>
    <w:p>
      <w:pPr>
        <w:spacing w:after="0" w:line="58" w:lineRule="exact"/>
        <w:rPr>
          <w:sz w:val="20"/>
          <w:szCs w:val="20"/>
          <w:color w:val="auto"/>
        </w:rPr>
      </w:pPr>
    </w:p>
    <w:p>
      <w:pPr>
        <w:ind w:left="1060" w:right="2479" w:firstLine="297"/>
        <w:spacing w:after="0" w:line="271"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in Part I, Item 1A of this Form 10-K. You should not place undue reliance on these forward-looking statements, which apply only as of the date of this annual report on Form 10-K.</w:t>
      </w:r>
    </w:p>
    <w:p>
      <w:pPr>
        <w:spacing w:after="0" w:line="20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8" w:name="page59"/>
    <w:bookmarkEnd w:id="5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679" w:firstLine="297"/>
        <w:spacing w:after="0" w:line="259" w:lineRule="auto"/>
        <w:rPr>
          <w:sz w:val="20"/>
          <w:szCs w:val="20"/>
          <w:color w:val="auto"/>
        </w:rPr>
      </w:pPr>
      <w:r>
        <w:rPr>
          <w:rFonts w:ascii="Arial" w:cs="Arial" w:eastAsia="Arial" w:hAnsi="Arial"/>
          <w:sz w:val="15"/>
          <w:szCs w:val="15"/>
          <w:color w:val="auto"/>
        </w:rPr>
        <w:t>The following analysis of our financial condition and results of operations should be read in conjunction with our consolidated financial statements and the related notes thereto contained in “Item 8. Financial Statements and Supplementary Data” of this annual report on Form 10-K.</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Overview</w:t>
      </w:r>
    </w:p>
    <w:p>
      <w:pPr>
        <w:spacing w:after="0" w:line="88" w:lineRule="exact"/>
        <w:rPr>
          <w:sz w:val="20"/>
          <w:szCs w:val="20"/>
          <w:color w:val="auto"/>
        </w:rPr>
      </w:pPr>
    </w:p>
    <w:p>
      <w:pPr>
        <w:ind w:left="1060" w:right="2399" w:firstLine="297"/>
        <w:spacing w:after="0" w:line="290" w:lineRule="auto"/>
        <w:rPr>
          <w:sz w:val="20"/>
          <w:szCs w:val="20"/>
          <w:color w:val="auto"/>
        </w:rPr>
      </w:pPr>
      <w:r>
        <w:rPr>
          <w:rFonts w:ascii="Arial" w:cs="Arial" w:eastAsia="Arial" w:hAnsi="Arial"/>
          <w:sz w:val="13"/>
          <w:szCs w:val="13"/>
          <w:color w:val="auto"/>
        </w:rPr>
        <w:t>We are an externally managed, non-diversified closed-end management investment company that has elected to be regulated as a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 See “Business — Regulation as a Business Development Company” in Part I, Item 1 of this Form 10-K for more information.</w:t>
      </w:r>
    </w:p>
    <w:p>
      <w:pPr>
        <w:spacing w:after="0" w:line="234" w:lineRule="exact"/>
        <w:rPr>
          <w:sz w:val="20"/>
          <w:szCs w:val="20"/>
          <w:color w:val="auto"/>
        </w:rPr>
      </w:pPr>
    </w:p>
    <w:p>
      <w:pPr>
        <w:ind w:left="1060" w:right="2419" w:firstLine="297"/>
        <w:spacing w:after="0" w:line="255" w:lineRule="auto"/>
        <w:rPr>
          <w:sz w:val="20"/>
          <w:szCs w:val="20"/>
          <w:color w:val="auto"/>
        </w:rPr>
      </w:pPr>
      <w:r>
        <w:rPr>
          <w:rFonts w:ascii="Arial" w:cs="Arial" w:eastAsia="Arial" w:hAnsi="Arial"/>
          <w:sz w:val="15"/>
          <w:szCs w:val="15"/>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70" w:lineRule="exact"/>
        <w:rPr>
          <w:sz w:val="20"/>
          <w:szCs w:val="20"/>
          <w:color w:val="auto"/>
        </w:rPr>
      </w:pPr>
    </w:p>
    <w:p>
      <w:pPr>
        <w:ind w:left="1060" w:right="2519" w:firstLine="297"/>
        <w:spacing w:after="0" w:line="272" w:lineRule="auto"/>
        <w:rPr>
          <w:sz w:val="20"/>
          <w:szCs w:val="20"/>
          <w:color w:val="auto"/>
        </w:rPr>
      </w:pPr>
      <w:r>
        <w:rPr>
          <w:rFonts w:ascii="Arial" w:cs="Arial" w:eastAsia="Arial" w:hAnsi="Arial"/>
          <w:sz w:val="14"/>
          <w:szCs w:val="14"/>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58"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57" w:lineRule="exact"/>
        <w:rPr>
          <w:sz w:val="20"/>
          <w:szCs w:val="20"/>
          <w:color w:val="auto"/>
        </w:rPr>
      </w:pPr>
    </w:p>
    <w:p>
      <w:pPr>
        <w:ind w:left="1060" w:right="2419" w:firstLine="297"/>
        <w:spacing w:after="0" w:line="254" w:lineRule="auto"/>
        <w:rPr>
          <w:sz w:val="20"/>
          <w:szCs w:val="20"/>
          <w:color w:val="auto"/>
        </w:rPr>
      </w:pPr>
      <w:r>
        <w:rPr>
          <w:rFonts w:ascii="Arial" w:cs="Arial" w:eastAsia="Arial" w:hAnsi="Arial"/>
          <w:sz w:val="15"/>
          <w:szCs w:val="15"/>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GSV Asset Management’s investment professionals to focus our investments in companies and industries that are more likely to result in beneficial returns to our stockholders.</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Management Transition and Board Changes</w:t>
      </w:r>
    </w:p>
    <w:p>
      <w:pPr>
        <w:spacing w:after="0" w:line="84" w:lineRule="exact"/>
        <w:rPr>
          <w:sz w:val="20"/>
          <w:szCs w:val="20"/>
          <w:color w:val="auto"/>
        </w:rPr>
      </w:pPr>
    </w:p>
    <w:p>
      <w:pPr>
        <w:ind w:left="1060" w:right="2659" w:firstLine="297"/>
        <w:spacing w:after="0" w:line="270" w:lineRule="auto"/>
        <w:rPr>
          <w:sz w:val="20"/>
          <w:szCs w:val="20"/>
          <w:color w:val="auto"/>
        </w:rPr>
      </w:pPr>
      <w:r>
        <w:rPr>
          <w:rFonts w:ascii="Arial" w:cs="Arial" w:eastAsia="Arial" w:hAnsi="Arial"/>
          <w:sz w:val="15"/>
          <w:szCs w:val="15"/>
          <w:color w:val="auto"/>
        </w:rPr>
        <w:t>On March 15, 2017, each of Catherine J. Friedman and Bradford C. Koenig resigned as a member of our board of directors, effective as of March 17, 2017.</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59" w:name="page60"/>
    <w:bookmarkEnd w:id="5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On March 16, 2017, our board of directors appointed Marc Mazur to fill the vacancy created by</w:t>
      </w:r>
    </w:p>
    <w:p>
      <w:pPr>
        <w:spacing w:after="0" w:line="16" w:lineRule="exact"/>
        <w:rPr>
          <w:sz w:val="20"/>
          <w:szCs w:val="20"/>
          <w:color w:val="auto"/>
        </w:rPr>
      </w:pPr>
    </w:p>
    <w:p>
      <w:pPr>
        <w:ind w:left="1060" w:right="2619"/>
        <w:spacing w:after="0" w:line="292" w:lineRule="auto"/>
        <w:rPr>
          <w:sz w:val="20"/>
          <w:szCs w:val="20"/>
          <w:color w:val="auto"/>
        </w:rPr>
      </w:pPr>
      <w:r>
        <w:rPr>
          <w:rFonts w:ascii="Arial" w:cs="Arial" w:eastAsia="Arial" w:hAnsi="Arial"/>
          <w:sz w:val="14"/>
          <w:szCs w:val="14"/>
          <w:color w:val="auto"/>
        </w:rPr>
        <w:t>Ms. Friedman’s resignation and to serve as a member of the board of directors, effective March 17, 2017, until our 2019 annual meeting of stockholders and until his successor is duly elected and qualifies.</w:t>
      </w:r>
    </w:p>
    <w:p>
      <w:pPr>
        <w:spacing w:after="0" w:line="45" w:lineRule="exact"/>
        <w:rPr>
          <w:sz w:val="20"/>
          <w:szCs w:val="20"/>
          <w:color w:val="auto"/>
        </w:rPr>
      </w:pPr>
    </w:p>
    <w:p>
      <w:pPr>
        <w:ind w:left="1060" w:right="2519" w:firstLine="297"/>
        <w:spacing w:after="0" w:line="286" w:lineRule="auto"/>
        <w:rPr>
          <w:sz w:val="20"/>
          <w:szCs w:val="20"/>
          <w:color w:val="auto"/>
        </w:rPr>
      </w:pPr>
      <w:r>
        <w:rPr>
          <w:rFonts w:ascii="Arial" w:cs="Arial" w:eastAsia="Arial" w:hAnsi="Arial"/>
          <w:sz w:val="14"/>
          <w:szCs w:val="14"/>
          <w:color w:val="auto"/>
        </w:rPr>
        <w:t>In addition, on March 16, 2017, our board of directors appointed David S. Pottruck to fill the vacancy created by Mr. Koenig’s resignation and to serve as a member of our board of directors, effective May 31, 2017, until our 2018 annual meeting of stockholders and until his successor is duly elected and qualifies.</w:t>
      </w:r>
    </w:p>
    <w:p>
      <w:pPr>
        <w:spacing w:after="0" w:line="49" w:lineRule="exact"/>
        <w:rPr>
          <w:sz w:val="20"/>
          <w:szCs w:val="20"/>
          <w:color w:val="auto"/>
        </w:rPr>
      </w:pPr>
    </w:p>
    <w:p>
      <w:pPr>
        <w:ind w:left="1060" w:right="2519" w:firstLine="297"/>
        <w:spacing w:after="0" w:line="302" w:lineRule="auto"/>
        <w:rPr>
          <w:sz w:val="20"/>
          <w:szCs w:val="20"/>
          <w:color w:val="auto"/>
        </w:rPr>
      </w:pPr>
      <w:r>
        <w:rPr>
          <w:rFonts w:ascii="Arial" w:cs="Arial" w:eastAsia="Arial" w:hAnsi="Arial"/>
          <w:sz w:val="13"/>
          <w:szCs w:val="13"/>
          <w:color w:val="auto"/>
        </w:rPr>
        <w:t>On August 8, 2017, we announced Michael Moe’s resignation as our Chief Executive Officer, effective August 11, 2017, and that our board of directors had appointed Mark Klein, a member of our board of directors and a consultant to GSV Asset Management, to serve as our Chief Executive Officer, effective August 11, 2017. Mr. Moe continues to serve as Executive Chairman of our board of directors. Further information regarding the management transition can be found in our Current Report on Form 8-K, filed with the SEC on August 8, 2017.</w:t>
      </w:r>
    </w:p>
    <w:p>
      <w:pPr>
        <w:spacing w:after="0" w:line="41" w:lineRule="exact"/>
        <w:rPr>
          <w:sz w:val="20"/>
          <w:szCs w:val="20"/>
          <w:color w:val="auto"/>
        </w:rPr>
      </w:pPr>
    </w:p>
    <w:p>
      <w:pPr>
        <w:ind w:left="1060" w:right="2479" w:firstLine="297"/>
        <w:spacing w:after="0" w:line="291" w:lineRule="auto"/>
        <w:rPr>
          <w:sz w:val="20"/>
          <w:szCs w:val="20"/>
          <w:color w:val="auto"/>
        </w:rPr>
      </w:pPr>
      <w:r>
        <w:rPr>
          <w:rFonts w:ascii="Arial" w:cs="Arial" w:eastAsia="Arial" w:hAnsi="Arial"/>
          <w:sz w:val="13"/>
          <w:szCs w:val="13"/>
          <w:color w:val="auto"/>
        </w:rPr>
        <w:t>On October 17, 2017, Mark Flynn resigned from his positions as our President and as a member of our board of directors, effective October 17, 2017. In connection with Mr. Flynn’s resignation, our board of directors reduced the number of directors that constitutes the full board to six (6) directors from seven (7) directors.</w:t>
      </w:r>
    </w:p>
    <w:p>
      <w:pPr>
        <w:spacing w:after="0" w:line="2" w:lineRule="exact"/>
        <w:rPr>
          <w:sz w:val="20"/>
          <w:szCs w:val="20"/>
          <w:color w:val="auto"/>
        </w:rPr>
      </w:pPr>
    </w:p>
    <w:p>
      <w:pPr>
        <w:ind w:left="1060" w:right="2739"/>
        <w:spacing w:after="0" w:line="256" w:lineRule="auto"/>
        <w:rPr>
          <w:sz w:val="20"/>
          <w:szCs w:val="20"/>
          <w:color w:val="auto"/>
        </w:rPr>
      </w:pPr>
      <w:r>
        <w:rPr>
          <w:rFonts w:ascii="Arial" w:cs="Arial" w:eastAsia="Arial" w:hAnsi="Arial"/>
          <w:sz w:val="15"/>
          <w:szCs w:val="15"/>
          <w:color w:val="auto"/>
        </w:rPr>
        <w:t>Mr. Flynn continues to provide services to GSV Asset Management pursuant to a consulting agreement with GSV Asset Management.</w:t>
      </w:r>
    </w:p>
    <w:p>
      <w:pPr>
        <w:spacing w:after="0" w:line="68" w:lineRule="exact"/>
        <w:rPr>
          <w:sz w:val="20"/>
          <w:szCs w:val="20"/>
          <w:color w:val="auto"/>
        </w:rPr>
      </w:pPr>
    </w:p>
    <w:p>
      <w:pPr>
        <w:ind w:left="1060" w:right="2419" w:firstLine="297"/>
        <w:spacing w:after="0" w:line="307" w:lineRule="auto"/>
        <w:rPr>
          <w:sz w:val="20"/>
          <w:szCs w:val="20"/>
          <w:color w:val="auto"/>
        </w:rPr>
      </w:pPr>
      <w:r>
        <w:rPr>
          <w:rFonts w:ascii="Arial" w:cs="Arial" w:eastAsia="Arial" w:hAnsi="Arial"/>
          <w:sz w:val="13"/>
          <w:szCs w:val="13"/>
          <w:color w:val="auto"/>
        </w:rPr>
        <w:t>In addition, our board of directors appointed William Tanona to serve as our President, effective October 17, 2017, in order to fill the vacancy created by Mr. Flynn’s resignation. Mr. Tanona previously served, and continues to serve, as our Chief Financial Officer, Treasurer and Corporate Secretary. Further information regarding the management transition can be found in our Current Report on Form 8-K, filed with the SEC on October 18, 2017.</w:t>
      </w:r>
    </w:p>
    <w:p>
      <w:pPr>
        <w:spacing w:after="0" w:line="11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Portfolio and Investment Activity</w:t>
      </w:r>
    </w:p>
    <w:p>
      <w:pPr>
        <w:spacing w:after="0" w:line="88" w:lineRule="exact"/>
        <w:rPr>
          <w:sz w:val="20"/>
          <w:szCs w:val="20"/>
          <w:color w:val="auto"/>
        </w:rPr>
      </w:pPr>
    </w:p>
    <w:p>
      <w:pPr>
        <w:ind w:left="1060" w:right="2539" w:firstLine="297"/>
        <w:spacing w:after="0" w:line="279" w:lineRule="auto"/>
        <w:rPr>
          <w:sz w:val="20"/>
          <w:szCs w:val="20"/>
          <w:color w:val="auto"/>
        </w:rPr>
      </w:pPr>
      <w:r>
        <w:rPr>
          <w:rFonts w:ascii="Arial" w:cs="Arial" w:eastAsia="Arial" w:hAnsi="Arial"/>
          <w:sz w:val="14"/>
          <w:szCs w:val="14"/>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2017, of all of our portfolio investments, excluding U.S. Treasury bills, was $220,588,493.</w:t>
      </w:r>
    </w:p>
    <w:p>
      <w:pPr>
        <w:spacing w:after="0" w:line="55" w:lineRule="exact"/>
        <w:rPr>
          <w:sz w:val="20"/>
          <w:szCs w:val="20"/>
          <w:color w:val="auto"/>
        </w:rPr>
      </w:pPr>
    </w:p>
    <w:p>
      <w:pPr>
        <w:ind w:left="1060" w:right="2419" w:firstLine="297"/>
        <w:spacing w:after="0" w:line="274" w:lineRule="auto"/>
        <w:rPr>
          <w:sz w:val="20"/>
          <w:szCs w:val="20"/>
          <w:color w:val="auto"/>
        </w:rPr>
      </w:pPr>
      <w:r>
        <w:rPr>
          <w:rFonts w:ascii="Arial" w:cs="Arial" w:eastAsia="Arial" w:hAnsi="Arial"/>
          <w:sz w:val="14"/>
          <w:szCs w:val="14"/>
          <w:color w:val="auto"/>
        </w:rPr>
        <w:t>During the year ended December 31, 2017 we did not fund any new investments; however, we capitalized fees of $191,274, primarily due to the sale or disposal of portfolio company investments, and received 125,000 Series B warrants upon the May 29, 2017 extension of the unsecured promissory note to NestGSV, Inc. (d/b/a GSV Labs, Inc.). During the year we realized a net investment gain of approximately $0.9 million due to the sales and write-offs of some of our investments. The table below summarizes the portfolio investments we sold or wrote-off during the quarter and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0"/>
        </w:trPr>
        <w:tc>
          <w:tcPr>
            <w:tcW w:w="4140" w:type="dxa"/>
            <w:vAlign w:val="bottom"/>
            <w:gridSpan w:val="2"/>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786"/>
        </w:trPr>
        <w:tc>
          <w:tcPr>
            <w:tcW w:w="10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w w:val="94"/>
              </w:rPr>
              <w:t>Quarter Ended December 31, 2017</w:t>
            </w: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w w:val="93"/>
              </w:rPr>
              <w:t>Year Ended December 31, 2017</w:t>
            </w:r>
          </w:p>
        </w:tc>
      </w:tr>
      <w:tr>
        <w:trPr>
          <w:trHeight w:val="119"/>
        </w:trPr>
        <w:tc>
          <w:tcPr>
            <w:tcW w:w="10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6"/>
              <w:spacing w:after="0" w:line="120" w:lineRule="exact"/>
              <w:rPr>
                <w:sz w:val="20"/>
                <w:szCs w:val="20"/>
                <w:color w:val="auto"/>
              </w:rPr>
            </w:pPr>
            <w:r>
              <w:rPr>
                <w:rFonts w:ascii="Arial" w:cs="Arial" w:eastAsia="Arial" w:hAnsi="Arial"/>
                <w:sz w:val="12"/>
                <w:szCs w:val="12"/>
                <w:b w:val="1"/>
                <w:bCs w:val="1"/>
                <w:color w:val="auto"/>
              </w:rPr>
              <w:t>Realized</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86"/>
              <w:spacing w:after="0" w:line="120" w:lineRule="exact"/>
              <w:rPr>
                <w:sz w:val="20"/>
                <w:szCs w:val="20"/>
                <w:color w:val="auto"/>
              </w:rPr>
            </w:pPr>
            <w:r>
              <w:rPr>
                <w:rFonts w:ascii="Arial" w:cs="Arial" w:eastAsia="Arial" w:hAnsi="Arial"/>
                <w:sz w:val="12"/>
                <w:szCs w:val="12"/>
                <w:b w:val="1"/>
                <w:bCs w:val="1"/>
                <w:color w:val="auto"/>
              </w:rPr>
              <w:t>Realized</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2"/>
                <w:szCs w:val="12"/>
                <w:b w:val="1"/>
                <w:bCs w:val="1"/>
                <w:color w:val="auto"/>
              </w:rPr>
              <w:t>Portfolio Company</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w w:val="91"/>
              </w:rPr>
              <w:t>Net Proceeds</w:t>
            </w:r>
          </w:p>
        </w:tc>
        <w:tc>
          <w:tcPr>
            <w:tcW w:w="14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w w:val="82"/>
              </w:rPr>
              <w:t>Gains/(Losses)</w:t>
            </w:r>
            <w:r>
              <w:rPr>
                <w:rFonts w:ascii="Arial" w:cs="Arial" w:eastAsia="Arial" w:hAnsi="Arial"/>
                <w:sz w:val="17"/>
                <w:szCs w:val="17"/>
                <w:b w:val="1"/>
                <w:bCs w:val="1"/>
                <w:color w:val="auto"/>
                <w:w w:val="82"/>
                <w:vertAlign w:val="superscript"/>
              </w:rPr>
              <w:t>(1)</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88"/>
              </w:rPr>
              <w:t>Net Proceeds</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b w:val="1"/>
                <w:bCs w:val="1"/>
                <w:color w:val="auto"/>
                <w:w w:val="80"/>
              </w:rPr>
              <w:t>Gains/(Losses)</w:t>
            </w:r>
            <w:r>
              <w:rPr>
                <w:rFonts w:ascii="Arial" w:cs="Arial" w:eastAsia="Arial" w:hAnsi="Arial"/>
                <w:sz w:val="17"/>
                <w:szCs w:val="17"/>
                <w:b w:val="1"/>
                <w:bCs w:val="1"/>
                <w:color w:val="auto"/>
                <w:w w:val="80"/>
                <w:vertAlign w:val="superscript"/>
              </w:rPr>
              <w:t>(1)</w:t>
            </w: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r>
      <w:tr>
        <w:trPr>
          <w:trHeight w:val="181"/>
        </w:trPr>
        <w:tc>
          <w:tcPr>
            <w:tcW w:w="1040" w:type="dxa"/>
            <w:vAlign w:val="bottom"/>
          </w:tcPr>
          <w:p>
            <w:pPr>
              <w:spacing w:after="0"/>
              <w:rPr>
                <w:sz w:val="15"/>
                <w:szCs w:val="15"/>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AliphCom, Inc. (d/b/a Jawbone)</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(793,152)</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AlwaysOn, 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9"/>
              </w:rPr>
              <w:t>(1,903,414)</w:t>
            </w:r>
          </w:p>
        </w:tc>
      </w:tr>
      <w:tr>
        <w:trPr>
          <w:trHeight w:val="201"/>
        </w:trPr>
        <w:tc>
          <w:tcPr>
            <w:tcW w:w="10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Beamreach Solar, Inc. (f/k/a Solexel, Inc.)</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(14,272,840)</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Cricket Media (f/k/a ePals Corporation)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9"/>
              </w:rPr>
              <w:t>(2,448,959)</w:t>
            </w:r>
          </w:p>
        </w:tc>
      </w:tr>
      <w:tr>
        <w:trPr>
          <w:trHeight w:val="201"/>
        </w:trPr>
        <w:tc>
          <w:tcPr>
            <w:tcW w:w="10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EarlyShares.com, Inc.</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(312,438)</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Orchestra One, Inc. (f/k/a Learnist, 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9"/>
              </w:rPr>
              <w:t>(4,959,614)</w:t>
            </w:r>
          </w:p>
        </w:tc>
      </w:tr>
      <w:tr>
        <w:trPr>
          <w:trHeight w:val="201"/>
        </w:trPr>
        <w:tc>
          <w:tcPr>
            <w:tcW w:w="10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Global Education Learning (Holdings) Ltd.</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(675,495)</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Snap, 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4,033,360</w:t>
            </w:r>
          </w:p>
        </w:tc>
        <w:tc>
          <w:tcPr>
            <w:tcW w:w="80" w:type="dxa"/>
            <w:vAlign w:val="bottom"/>
          </w:tcPr>
          <w:p>
            <w:pPr>
              <w:spacing w:after="0"/>
              <w:rPr>
                <w:sz w:val="17"/>
                <w:szCs w:val="17"/>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31,090</w:t>
            </w:r>
          </w:p>
        </w:tc>
      </w:tr>
      <w:tr>
        <w:trPr>
          <w:trHeight w:val="212"/>
        </w:trPr>
        <w:tc>
          <w:tcPr>
            <w:tcW w:w="1040" w:type="dxa"/>
            <w:vAlign w:val="bottom"/>
          </w:tcPr>
          <w:p>
            <w:pPr>
              <w:spacing w:after="0"/>
              <w:rPr>
                <w:sz w:val="18"/>
                <w:szCs w:val="18"/>
                <w:color w:val="auto"/>
              </w:rPr>
            </w:pPr>
          </w:p>
        </w:tc>
        <w:tc>
          <w:tcPr>
            <w:tcW w:w="3100" w:type="dxa"/>
            <w:vAlign w:val="bottom"/>
            <w:shd w:val="clear" w:color="auto" w:fill="CCEEFF"/>
          </w:tcPr>
          <w:p>
            <w:pPr>
              <w:ind w:left="20"/>
              <w:spacing w:after="0" w:line="212" w:lineRule="exact"/>
              <w:rPr>
                <w:sz w:val="20"/>
                <w:szCs w:val="20"/>
                <w:color w:val="auto"/>
              </w:rPr>
            </w:pPr>
            <w:r>
              <w:rPr>
                <w:rFonts w:ascii="Arial" w:cs="Arial" w:eastAsia="Arial" w:hAnsi="Arial"/>
                <w:sz w:val="15"/>
                <w:szCs w:val="15"/>
                <w:color w:val="auto"/>
              </w:rPr>
              <w:t>JAMF Holdings, Inc.</w:t>
            </w:r>
            <w:r>
              <w:rPr>
                <w:rFonts w:ascii="Arial" w:cs="Arial" w:eastAsia="Arial" w:hAnsi="Arial"/>
                <w:sz w:val="22"/>
                <w:szCs w:val="22"/>
                <w:color w:val="auto"/>
                <w:vertAlign w:val="superscript"/>
              </w:rPr>
              <w:t>(2)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34,931,287</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25,474,575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34,931,287</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93"/>
              </w:rPr>
              <w:t>25,474,575</w:t>
            </w:r>
          </w:p>
        </w:tc>
      </w:tr>
      <w:tr>
        <w:trPr>
          <w:trHeight w:val="212"/>
        </w:trPr>
        <w:tc>
          <w:tcPr>
            <w:tcW w:w="1040" w:type="dxa"/>
            <w:vAlign w:val="bottom"/>
          </w:tcPr>
          <w:p>
            <w:pPr>
              <w:spacing w:after="0"/>
              <w:rPr>
                <w:sz w:val="18"/>
                <w:szCs w:val="18"/>
                <w:color w:val="auto"/>
              </w:rPr>
            </w:pPr>
          </w:p>
        </w:tc>
        <w:tc>
          <w:tcPr>
            <w:tcW w:w="3100" w:type="dxa"/>
            <w:vAlign w:val="bottom"/>
          </w:tcPr>
          <w:p>
            <w:pPr>
              <w:ind w:left="20"/>
              <w:spacing w:after="0" w:line="212" w:lineRule="exact"/>
              <w:rPr>
                <w:sz w:val="20"/>
                <w:szCs w:val="20"/>
                <w:color w:val="auto"/>
              </w:rPr>
            </w:pPr>
            <w:r>
              <w:rPr>
                <w:rFonts w:ascii="Arial" w:cs="Arial" w:eastAsia="Arial" w:hAnsi="Arial"/>
                <w:sz w:val="15"/>
                <w:szCs w:val="15"/>
                <w:color w:val="auto"/>
              </w:rPr>
              <w:t>Spotify Technology S.A.</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13,896,600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5"/>
              </w:rPr>
              <w:t>10,299,111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13,896,600</w:t>
            </w:r>
          </w:p>
        </w:tc>
        <w:tc>
          <w:tcPr>
            <w:tcW w:w="80" w:type="dxa"/>
            <w:vAlign w:val="bottom"/>
          </w:tcPr>
          <w:p>
            <w:pPr>
              <w:spacing w:after="0"/>
              <w:rPr>
                <w:sz w:val="18"/>
                <w:szCs w:val="18"/>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w w:val="93"/>
              </w:rPr>
              <w:t>10,299,111</w:t>
            </w:r>
          </w:p>
        </w:tc>
      </w:tr>
      <w:tr>
        <w:trPr>
          <w:trHeight w:val="201"/>
        </w:trPr>
        <w:tc>
          <w:tcPr>
            <w:tcW w:w="10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Dataminr, Inc.</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4,803,384</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1,635,673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4,803,384</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1,635,673</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Whittle Schools, LLC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4,575,000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(181,045)</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4,575,000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(181,045)</w:t>
            </w:r>
          </w:p>
        </w:tc>
      </w:tr>
      <w:tr>
        <w:trPr>
          <w:trHeight w:val="212"/>
        </w:trPr>
        <w:tc>
          <w:tcPr>
            <w:tcW w:w="1040" w:type="dxa"/>
            <w:vAlign w:val="bottom"/>
          </w:tcPr>
          <w:p>
            <w:pPr>
              <w:spacing w:after="0"/>
              <w:rPr>
                <w:sz w:val="18"/>
                <w:szCs w:val="18"/>
                <w:color w:val="auto"/>
              </w:rPr>
            </w:pPr>
          </w:p>
        </w:tc>
        <w:tc>
          <w:tcPr>
            <w:tcW w:w="3100" w:type="dxa"/>
            <w:vAlign w:val="bottom"/>
            <w:shd w:val="clear" w:color="auto" w:fill="CCEEFF"/>
          </w:tcPr>
          <w:p>
            <w:pPr>
              <w:ind w:left="20"/>
              <w:spacing w:after="0" w:line="212" w:lineRule="exact"/>
              <w:rPr>
                <w:sz w:val="20"/>
                <w:szCs w:val="20"/>
                <w:color w:val="auto"/>
              </w:rPr>
            </w:pPr>
            <w:r>
              <w:rPr>
                <w:rFonts w:ascii="Arial" w:cs="Arial" w:eastAsia="Arial" w:hAnsi="Arial"/>
                <w:sz w:val="15"/>
                <w:szCs w:val="15"/>
                <w:color w:val="auto"/>
              </w:rPr>
              <w:t>Chegg, Inc.</w:t>
            </w:r>
            <w:r>
              <w:rPr>
                <w:rFonts w:ascii="Arial" w:cs="Arial" w:eastAsia="Arial" w:hAnsi="Arial"/>
                <w:sz w:val="22"/>
                <w:szCs w:val="22"/>
                <w:color w:val="auto"/>
                <w:vertAlign w:val="superscript"/>
              </w:rPr>
              <w:t>(3)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4,506,108</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1,241,122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10,246,005</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2,231,611</w:t>
            </w:r>
          </w:p>
        </w:tc>
      </w:tr>
      <w:tr>
        <w:trPr>
          <w:trHeight w:val="212"/>
        </w:trPr>
        <w:tc>
          <w:tcPr>
            <w:tcW w:w="1040" w:type="dxa"/>
            <w:vAlign w:val="bottom"/>
          </w:tcPr>
          <w:p>
            <w:pPr>
              <w:spacing w:after="0"/>
              <w:rPr>
                <w:sz w:val="18"/>
                <w:szCs w:val="18"/>
                <w:color w:val="auto"/>
              </w:rPr>
            </w:pPr>
          </w:p>
        </w:tc>
        <w:tc>
          <w:tcPr>
            <w:tcW w:w="3100" w:type="dxa"/>
            <w:vAlign w:val="bottom"/>
          </w:tcPr>
          <w:p>
            <w:pPr>
              <w:ind w:left="20"/>
              <w:spacing w:after="0" w:line="212" w:lineRule="exact"/>
              <w:rPr>
                <w:sz w:val="20"/>
                <w:szCs w:val="20"/>
                <w:color w:val="auto"/>
              </w:rPr>
            </w:pPr>
            <w:r>
              <w:rPr>
                <w:rFonts w:ascii="Arial" w:cs="Arial" w:eastAsia="Arial" w:hAnsi="Arial"/>
                <w:sz w:val="15"/>
                <w:szCs w:val="15"/>
                <w:color w:val="auto"/>
              </w:rPr>
              <w:t>Strategic Data Command, LLC</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2,454,652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1,524,374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2,454,652</w:t>
            </w:r>
          </w:p>
        </w:tc>
        <w:tc>
          <w:tcPr>
            <w:tcW w:w="80" w:type="dxa"/>
            <w:vAlign w:val="bottom"/>
          </w:tcPr>
          <w:p>
            <w:pPr>
              <w:spacing w:after="0"/>
              <w:rPr>
                <w:sz w:val="18"/>
                <w:szCs w:val="18"/>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1,524,374</w:t>
            </w:r>
          </w:p>
        </w:tc>
      </w:tr>
      <w:tr>
        <w:trPr>
          <w:trHeight w:val="212"/>
        </w:trPr>
        <w:tc>
          <w:tcPr>
            <w:tcW w:w="1040" w:type="dxa"/>
            <w:vAlign w:val="bottom"/>
          </w:tcPr>
          <w:p>
            <w:pPr>
              <w:spacing w:after="0"/>
              <w:rPr>
                <w:sz w:val="18"/>
                <w:szCs w:val="18"/>
                <w:color w:val="auto"/>
              </w:rPr>
            </w:pPr>
          </w:p>
        </w:tc>
        <w:tc>
          <w:tcPr>
            <w:tcW w:w="3100" w:type="dxa"/>
            <w:vAlign w:val="bottom"/>
            <w:shd w:val="clear" w:color="auto" w:fill="CCEEFF"/>
          </w:tcPr>
          <w:p>
            <w:pPr>
              <w:ind w:left="20"/>
              <w:spacing w:after="0" w:line="212" w:lineRule="exact"/>
              <w:rPr>
                <w:sz w:val="20"/>
                <w:szCs w:val="20"/>
                <w:color w:val="auto"/>
              </w:rPr>
            </w:pPr>
            <w:r>
              <w:rPr>
                <w:rFonts w:ascii="Arial" w:cs="Arial" w:eastAsia="Arial" w:hAnsi="Arial"/>
                <w:sz w:val="15"/>
                <w:szCs w:val="15"/>
                <w:color w:val="auto"/>
              </w:rPr>
              <w:t>Palantir Technologies, Inc.</w:t>
            </w:r>
            <w:r>
              <w:rPr>
                <w:rFonts w:ascii="Arial" w:cs="Arial" w:eastAsia="Arial" w:hAnsi="Arial"/>
                <w:sz w:val="22"/>
                <w:szCs w:val="22"/>
                <w:color w:val="auto"/>
                <w:vertAlign w:val="superscript"/>
              </w:rPr>
              <w:t>(3)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2,091,501</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1,078,692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2,091,501</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1,078,692</w:t>
            </w:r>
          </w:p>
        </w:tc>
      </w:tr>
      <w:tr>
        <w:trPr>
          <w:trHeight w:val="201"/>
        </w:trPr>
        <w:tc>
          <w:tcPr>
            <w:tcW w:w="104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Circle Media (f/k/a S3 Digital Corp. (d/b/a S3i)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(1,839,914)</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9"/>
              </w:rPr>
              <w:t>(1,839,914)</w:t>
            </w:r>
          </w:p>
        </w:tc>
      </w:tr>
      <w:tr>
        <w:trPr>
          <w:trHeight w:val="212"/>
        </w:trPr>
        <w:tc>
          <w:tcPr>
            <w:tcW w:w="104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Handle Financial, Inc. (f/k/a PayNearMe, Inc.)</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1"/>
              </w:rPr>
              <w:t>(14,000,398)</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(14,000,398)</w:t>
            </w: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192"/>
        </w:trPr>
        <w:tc>
          <w:tcPr>
            <w:tcW w:w="104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5"/>
                <w:szCs w:val="15"/>
                <w:color w:val="auto"/>
              </w:rPr>
              <w:t>Total Disposals</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87"/>
              </w:rPr>
              <w:t>67,258,532</w:t>
            </w: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5"/>
              </w:rPr>
              <w:t>25,232,190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77,031,789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887,857</w:t>
            </w:r>
          </w:p>
        </w:tc>
      </w:tr>
      <w:tr>
        <w:trPr>
          <w:trHeight w:val="20"/>
        </w:trPr>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-2366010</wp:posOffset>
            </wp:positionV>
            <wp:extent cx="2857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-2366010</wp:posOffset>
            </wp:positionV>
            <wp:extent cx="5651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-2366010</wp:posOffset>
            </wp:positionV>
            <wp:extent cx="5651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-2366010</wp:posOffset>
            </wp:positionV>
            <wp:extent cx="5651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-2366010</wp:posOffset>
            </wp:positionV>
            <wp:extent cx="5651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127635</wp:posOffset>
            </wp:positionV>
            <wp:extent cx="102044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82" w:lineRule="exact"/>
        <w:rPr>
          <w:sz w:val="20"/>
          <w:szCs w:val="20"/>
          <w:color w:val="auto"/>
        </w:rPr>
      </w:pPr>
    </w:p>
    <w:p>
      <w:pPr>
        <w:ind w:left="1340" w:right="2679" w:hanging="289"/>
        <w:spacing w:after="0" w:line="270" w:lineRule="auto"/>
        <w:tabs>
          <w:tab w:leader="none" w:pos="1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Realized gains/(losses) exclude any realized gains/(losses) incurred on the maturity of our U.S. Treasury investments.</w:t>
      </w:r>
    </w:p>
    <w:p>
      <w:pPr>
        <w:spacing w:after="0" w:line="35" w:lineRule="exact"/>
        <w:rPr>
          <w:rFonts w:ascii="Arial" w:cs="Arial" w:eastAsia="Arial" w:hAnsi="Arial"/>
          <w:sz w:val="15"/>
          <w:szCs w:val="15"/>
          <w:color w:val="auto"/>
        </w:rPr>
      </w:pPr>
    </w:p>
    <w:p>
      <w:pPr>
        <w:jc w:val="both"/>
        <w:ind w:left="1340" w:right="2519" w:hanging="289"/>
        <w:spacing w:after="0" w:line="286" w:lineRule="auto"/>
        <w:tabs>
          <w:tab w:leader="none" w:pos="1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Net proceeds does not reflect amounts expected to be received from the sale of these investments currently being held in escrow. Refer to “Note 2 — Significant Accounting Policies — </w:t>
      </w:r>
      <w:r>
        <w:rPr>
          <w:rFonts w:ascii="Arial" w:cs="Arial" w:eastAsia="Arial" w:hAnsi="Arial"/>
          <w:sz w:val="14"/>
          <w:szCs w:val="14"/>
          <w:i w:val="1"/>
          <w:iCs w:val="1"/>
          <w:color w:val="auto"/>
        </w:rPr>
        <w:t>Escrow Proceeds Receivable</w:t>
      </w:r>
      <w:r>
        <w:rPr>
          <w:rFonts w:ascii="Arial" w:cs="Arial" w:eastAsia="Arial" w:hAnsi="Arial"/>
          <w:sz w:val="14"/>
          <w:szCs w:val="14"/>
          <w:color w:val="auto"/>
        </w:rPr>
        <w:t>” to our consolidated financial statements as of December 31, 2017 for further detail.</w:t>
      </w:r>
    </w:p>
    <w:p>
      <w:pPr>
        <w:spacing w:after="0" w:line="27" w:lineRule="exact"/>
        <w:rPr>
          <w:rFonts w:ascii="Arial" w:cs="Arial" w:eastAsia="Arial" w:hAnsi="Arial"/>
          <w:sz w:val="14"/>
          <w:szCs w:val="14"/>
          <w:color w:val="auto"/>
        </w:rPr>
      </w:pPr>
    </w:p>
    <w:p>
      <w:pPr>
        <w:ind w:left="1340" w:right="2479" w:hanging="289"/>
        <w:spacing w:after="0" w:line="259" w:lineRule="auto"/>
        <w:tabs>
          <w:tab w:leader="none" w:pos="1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only a partial sale of our investment in the denoted portfolio companies. Refer to our Consolidated Schedule of Investments as of December 31, 2017 for the remaining investments held in these portfolio companies as of December 31, 2017.</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2016 — Portfolio and Investment Activity</w:t>
      </w:r>
    </w:p>
    <w:p>
      <w:pPr>
        <w:spacing w:after="0" w:line="84" w:lineRule="exact"/>
        <w:rPr>
          <w:sz w:val="20"/>
          <w:szCs w:val="20"/>
          <w:color w:val="auto"/>
        </w:rPr>
      </w:pPr>
    </w:p>
    <w:p>
      <w:pPr>
        <w:ind w:left="1060" w:right="2599" w:firstLine="297"/>
        <w:spacing w:after="0" w:line="270" w:lineRule="auto"/>
        <w:rPr>
          <w:sz w:val="20"/>
          <w:szCs w:val="20"/>
          <w:color w:val="auto"/>
        </w:rPr>
      </w:pPr>
      <w:r>
        <w:rPr>
          <w:rFonts w:ascii="Arial" w:cs="Arial" w:eastAsia="Arial" w:hAnsi="Arial"/>
          <w:sz w:val="15"/>
          <w:szCs w:val="15"/>
          <w:color w:val="auto"/>
        </w:rPr>
        <w:t>The table below summarizes the portfolio investments we purchased during the year ended December 31, 2016:</w:t>
      </w:r>
    </w:p>
    <w:p>
      <w:pPr>
        <w:spacing w:after="0" w:line="70"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Year Ended</w:t>
            </w:r>
          </w:p>
        </w:tc>
      </w:tr>
      <w:tr>
        <w:trPr>
          <w:trHeight w:val="152"/>
        </w:trPr>
        <w:tc>
          <w:tcPr>
            <w:tcW w:w="5060" w:type="dxa"/>
            <w:vAlign w:val="bottom"/>
          </w:tcPr>
          <w:p>
            <w:pPr>
              <w:spacing w:after="0"/>
              <w:rPr>
                <w:sz w:val="20"/>
                <w:szCs w:val="20"/>
                <w:color w:val="auto"/>
              </w:rPr>
            </w:pPr>
            <w:r>
              <w:rPr>
                <w:rFonts w:ascii="Arial" w:cs="Arial" w:eastAsia="Arial" w:hAnsi="Arial"/>
                <w:sz w:val="12"/>
                <w:szCs w:val="12"/>
                <w:b w:val="1"/>
                <w:bCs w:val="1"/>
                <w:color w:val="auto"/>
              </w:rPr>
              <w:t>Fundings by Portfolio Company (Industry)</w:t>
            </w:r>
          </w:p>
        </w:tc>
        <w:tc>
          <w:tcPr>
            <w:tcW w:w="1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w w:val="86"/>
              </w:rPr>
              <w:t>December 31, 2016</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3"/>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Beamreach Solar, Inc. (f/k/a Solexel, Inc.) (Solar Power)</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120" w:type="dxa"/>
            <w:vAlign w:val="bottom"/>
            <w:shd w:val="clear" w:color="auto" w:fill="CCEEFF"/>
          </w:tcPr>
          <w:p>
            <w:pPr>
              <w:spacing w:after="0"/>
              <w:rPr>
                <w:sz w:val="17"/>
                <w:szCs w:val="17"/>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Curious.com Inc. (Online Education)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2,000,003</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Fullbridge, Inc. (Business Education)</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1,000,000</w:t>
            </w:r>
          </w:p>
        </w:tc>
        <w:tc>
          <w:tcPr>
            <w:tcW w:w="120" w:type="dxa"/>
            <w:vAlign w:val="bottom"/>
            <w:shd w:val="clear" w:color="auto" w:fill="CCEEFF"/>
          </w:tcPr>
          <w:p>
            <w:pPr>
              <w:spacing w:after="0"/>
              <w:rPr>
                <w:sz w:val="18"/>
                <w:szCs w:val="18"/>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Lytro, Inc. (Light Field Imaging Platform)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3,000,002</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NestGSV, Inc. (d/b/a GSV Labs, Inc.) (Global Innovation Platform)</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1,526,000</w:t>
            </w:r>
          </w:p>
        </w:tc>
        <w:tc>
          <w:tcPr>
            <w:tcW w:w="120" w:type="dxa"/>
            <w:vAlign w:val="bottom"/>
            <w:shd w:val="clear" w:color="auto" w:fill="CCEEFF"/>
          </w:tcPr>
          <w:p>
            <w:pPr>
              <w:spacing w:after="0"/>
              <w:rPr>
                <w:sz w:val="18"/>
                <w:szCs w:val="18"/>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Ozy Media, Inc. (Digital Media Platform)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2,000,000</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Snap Inc. (f/k/a Snapchat, Inc.) (Social Communication)</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3,999,990</w:t>
            </w:r>
          </w:p>
        </w:tc>
        <w:tc>
          <w:tcPr>
            <w:tcW w:w="120" w:type="dxa"/>
            <w:vAlign w:val="bottom"/>
            <w:shd w:val="clear" w:color="auto" w:fill="CCEEFF"/>
          </w:tcPr>
          <w:p>
            <w:pPr>
              <w:spacing w:after="0"/>
              <w:rPr>
                <w:sz w:val="18"/>
                <w:szCs w:val="18"/>
                <w:color w:val="auto"/>
              </w:rPr>
            </w:pPr>
          </w:p>
        </w:tc>
      </w:tr>
      <w:tr>
        <w:trPr>
          <w:trHeight w:val="234"/>
        </w:trPr>
        <w:tc>
          <w:tcPr>
            <w:tcW w:w="5060" w:type="dxa"/>
            <w:vAlign w:val="bottom"/>
            <w:tcBorders>
              <w:bottom w:val="single" w:sz="8" w:color="CCEEFF"/>
            </w:tcBorders>
          </w:tcPr>
          <w:p>
            <w:pPr>
              <w:spacing w:after="0" w:line="234" w:lineRule="exact"/>
              <w:rPr>
                <w:sz w:val="20"/>
                <w:szCs w:val="20"/>
                <w:color w:val="auto"/>
              </w:rPr>
            </w:pPr>
            <w:r>
              <w:rPr>
                <w:rFonts w:ascii="Arial" w:cs="Arial" w:eastAsia="Arial" w:hAnsi="Arial"/>
                <w:sz w:val="15"/>
                <w:szCs w:val="15"/>
                <w:color w:val="auto"/>
              </w:rPr>
              <w:t>Capitalized Fees</w:t>
            </w:r>
            <w:r>
              <w:rPr>
                <w:rFonts w:ascii="Arial" w:cs="Arial" w:eastAsia="Arial" w:hAnsi="Arial"/>
                <w:sz w:val="22"/>
                <w:szCs w:val="22"/>
                <w:color w:val="auto"/>
                <w:vertAlign w:val="superscript"/>
              </w:rPr>
              <w:t>(1)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27,347</w:t>
            </w:r>
          </w:p>
        </w:tc>
        <w:tc>
          <w:tcPr>
            <w:tcW w:w="120" w:type="dxa"/>
            <w:vAlign w:val="bottom"/>
            <w:tcBorders>
              <w:bottom w:val="single" w:sz="8" w:color="CCEEFF"/>
            </w:tcBorders>
          </w:tcPr>
          <w:p>
            <w:pPr>
              <w:spacing w:after="0"/>
              <w:rPr>
                <w:sz w:val="20"/>
                <w:szCs w:val="20"/>
                <w:color w:val="auto"/>
              </w:rPr>
            </w:pPr>
          </w:p>
        </w:tc>
      </w:tr>
      <w:tr>
        <w:trPr>
          <w:trHeight w:val="19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Total Gross Payments</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13,803,342</w:t>
            </w:r>
          </w:p>
        </w:tc>
        <w:tc>
          <w:tcPr>
            <w:tcW w:w="120" w:type="dxa"/>
            <w:vAlign w:val="bottom"/>
            <w:shd w:val="clear" w:color="auto" w:fill="CCEEFF"/>
          </w:tcPr>
          <w:p>
            <w:pPr>
              <w:spacing w:after="0"/>
              <w:rPr>
                <w:sz w:val="16"/>
                <w:szCs w:val="16"/>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-140970</wp:posOffset>
            </wp:positionV>
            <wp:extent cx="392557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25570" cy="6985"/>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-1239520</wp:posOffset>
            </wp:positionV>
            <wp:extent cx="11366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120650</wp:posOffset>
            </wp:positionV>
            <wp:extent cx="102044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71" w:lineRule="exact"/>
        <w:rPr>
          <w:sz w:val="20"/>
          <w:szCs w:val="20"/>
          <w:color w:val="auto"/>
        </w:rPr>
      </w:pPr>
    </w:p>
    <w:p>
      <w:pPr>
        <w:ind w:left="1340" w:right="2799" w:hanging="289"/>
        <w:spacing w:after="0" w:line="349" w:lineRule="auto"/>
        <w:tabs>
          <w:tab w:leader="none" w:pos="1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Capitalized fees represent costs such as legal and other fees associated with entering into or exiting a portfolio company investment or the ongoing due diligence and other costs associated with an existing</w:t>
      </w:r>
    </w:p>
    <w:p>
      <w:pPr>
        <w:spacing w:after="0" w:line="14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1" w:name="page62"/>
    <w:bookmarkEnd w:id="6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right="2519"/>
        <w:spacing w:after="0" w:line="259" w:lineRule="auto"/>
        <w:rPr>
          <w:sz w:val="20"/>
          <w:szCs w:val="20"/>
          <w:color w:val="auto"/>
        </w:rPr>
      </w:pPr>
      <w:r>
        <w:rPr>
          <w:rFonts w:ascii="Arial" w:cs="Arial" w:eastAsia="Arial" w:hAnsi="Arial"/>
          <w:sz w:val="15"/>
          <w:szCs w:val="15"/>
          <w:color w:val="auto"/>
        </w:rPr>
        <w:t xml:space="preserve">portfolio company investment. Refer to “Note 2 — Significant Accounting Policies — </w:t>
      </w:r>
      <w:r>
        <w:rPr>
          <w:rFonts w:ascii="Arial" w:cs="Arial" w:eastAsia="Arial" w:hAnsi="Arial"/>
          <w:sz w:val="15"/>
          <w:szCs w:val="15"/>
          <w:i w:val="1"/>
          <w:iCs w:val="1"/>
          <w:color w:val="auto"/>
        </w:rPr>
        <w:t>Investment</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 Costs and Escrow Deposits</w:t>
      </w:r>
      <w:r>
        <w:rPr>
          <w:rFonts w:ascii="Arial" w:cs="Arial" w:eastAsia="Arial" w:hAnsi="Arial"/>
          <w:sz w:val="15"/>
          <w:szCs w:val="15"/>
          <w:color w:val="auto"/>
        </w:rPr>
        <w:t>” to our consolidated financial statements as of December 31, 2017</w:t>
      </w:r>
      <w:r>
        <w:rPr>
          <w:rFonts w:ascii="Arial" w:cs="Arial" w:eastAsia="Arial" w:hAnsi="Arial"/>
          <w:sz w:val="15"/>
          <w:szCs w:val="15"/>
          <w:i w:val="1"/>
          <w:iCs w:val="1"/>
          <w:color w:val="auto"/>
        </w:rPr>
        <w:t xml:space="preserve"> </w:t>
      </w:r>
      <w:r>
        <w:rPr>
          <w:rFonts w:ascii="Arial" w:cs="Arial" w:eastAsia="Arial" w:hAnsi="Arial"/>
          <w:sz w:val="15"/>
          <w:szCs w:val="15"/>
          <w:color w:val="auto"/>
        </w:rPr>
        <w:t>for further detail.</w:t>
      </w:r>
    </w:p>
    <w:p>
      <w:pPr>
        <w:spacing w:after="0" w:line="5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table below summarizes the portfolio investments we sold or wrote-off during the year ended</w:t>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December 31, 2016:</w:t>
      </w:r>
    </w:p>
    <w:p>
      <w:pPr>
        <w:spacing w:after="0" w:line="101"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6"/>
          </w:tcPr>
          <w:p>
            <w:pPr>
              <w:jc w:val="right"/>
              <w:ind w:right="100"/>
              <w:spacing w:after="0"/>
              <w:rPr>
                <w:sz w:val="20"/>
                <w:szCs w:val="20"/>
                <w:color w:val="auto"/>
              </w:rPr>
            </w:pPr>
            <w:r>
              <w:rPr>
                <w:rFonts w:ascii="Arial" w:cs="Arial" w:eastAsia="Arial" w:hAnsi="Arial"/>
                <w:sz w:val="12"/>
                <w:szCs w:val="12"/>
                <w:b w:val="1"/>
                <w:bCs w:val="1"/>
                <w:color w:val="auto"/>
                <w:w w:val="89"/>
              </w:rPr>
              <w:t>Year Ended December 31, 2016</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4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Portfolio Company</w:t>
            </w: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w w:val="88"/>
              </w:rPr>
              <w:t>Net Proceeds</w:t>
            </w:r>
          </w:p>
        </w:tc>
        <w:tc>
          <w:tcPr>
            <w:tcW w:w="8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w w:val="86"/>
              </w:rPr>
              <w:t>Realized</w:t>
            </w:r>
          </w:p>
        </w:tc>
        <w:tc>
          <w:tcPr>
            <w:tcW w:w="22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52"/>
        </w:trPr>
        <w:tc>
          <w:tcPr>
            <w:tcW w:w="442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w w:val="76"/>
              </w:rPr>
              <w:t>Gains/(Losses)</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Bloom Energy Corporation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2,973,438</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(882,162)</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line="223" w:lineRule="exact"/>
              <w:rPr>
                <w:sz w:val="20"/>
                <w:szCs w:val="20"/>
                <w:color w:val="auto"/>
              </w:rPr>
            </w:pPr>
            <w:r>
              <w:rPr>
                <w:rFonts w:ascii="Arial" w:cs="Arial" w:eastAsia="Arial" w:hAnsi="Arial"/>
                <w:sz w:val="15"/>
                <w:szCs w:val="15"/>
                <w:color w:val="auto"/>
              </w:rPr>
              <w:t>Gilt Groupe Holdings, Inc.</w:t>
            </w:r>
            <w:r>
              <w:rPr>
                <w:rFonts w:ascii="Arial" w:cs="Arial" w:eastAsia="Arial" w:hAnsi="Arial"/>
                <w:sz w:val="22"/>
                <w:szCs w:val="22"/>
                <w:color w:val="auto"/>
                <w:vertAlign w:val="superscript"/>
              </w:rPr>
              <w:t>(2)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429,261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w w:val="88"/>
              </w:rPr>
              <w:t>(6,165,173)</w:t>
            </w:r>
          </w:p>
        </w:tc>
        <w:tc>
          <w:tcPr>
            <w:tcW w:w="0" w:type="dxa"/>
            <w:vAlign w:val="bottom"/>
          </w:tcPr>
          <w:p>
            <w:pPr>
              <w:spacing w:after="0"/>
              <w:rPr>
                <w:sz w:val="1"/>
                <w:szCs w:val="1"/>
                <w:color w:val="auto"/>
              </w:rPr>
            </w:pPr>
          </w:p>
        </w:tc>
      </w:tr>
      <w:tr>
        <w:trPr>
          <w:trHeight w:val="212"/>
        </w:trPr>
        <w:tc>
          <w:tcPr>
            <w:tcW w:w="4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Lyft, Inc.</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7,651,890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2"/>
              </w:rPr>
              <w:t>4,430,220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gridSpan w:val="2"/>
          </w:tcPr>
          <w:p>
            <w:pPr>
              <w:spacing w:after="0"/>
              <w:rPr>
                <w:sz w:val="20"/>
                <w:szCs w:val="20"/>
                <w:color w:val="auto"/>
              </w:rPr>
            </w:pPr>
            <w:r>
              <w:rPr>
                <w:rFonts w:ascii="Arial" w:cs="Arial" w:eastAsia="Arial" w:hAnsi="Arial"/>
                <w:sz w:val="15"/>
                <w:szCs w:val="15"/>
                <w:color w:val="auto"/>
              </w:rPr>
              <w:t>NestGSV, Inc.</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4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Twitter, Inc.</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14,578,469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gridSpan w:val="2"/>
          </w:tcPr>
          <w:p>
            <w:pPr>
              <w:spacing w:after="0"/>
              <w:rPr>
                <w:sz w:val="20"/>
                <w:szCs w:val="20"/>
                <w:color w:val="auto"/>
              </w:rPr>
            </w:pPr>
            <w:r>
              <w:rPr>
                <w:rFonts w:ascii="Arial" w:cs="Arial" w:eastAsia="Arial" w:hAnsi="Arial"/>
                <w:sz w:val="15"/>
                <w:szCs w:val="15"/>
                <w:color w:val="auto"/>
              </w:rPr>
              <w:t>Upwork Global Inc. (f/k/a Odesk Corporation)</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108,531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rPr>
              <w:t>(77,819)</w:t>
            </w: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tcPr>
          <w:p>
            <w:pPr>
              <w:spacing w:after="0"/>
              <w:rPr>
                <w:sz w:val="20"/>
                <w:szCs w:val="20"/>
                <w:color w:val="auto"/>
              </w:rPr>
            </w:pPr>
            <w:r>
              <w:rPr>
                <w:rFonts w:ascii="Arial" w:cs="Arial" w:eastAsia="Arial" w:hAnsi="Arial"/>
                <w:sz w:val="15"/>
                <w:szCs w:val="15"/>
                <w:color w:val="auto"/>
              </w:rPr>
              <w:t>Total Disposals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26,241,589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w w:val="88"/>
              </w:rPr>
              <w:t>(2,388,331)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-1125855</wp:posOffset>
            </wp:positionV>
            <wp:extent cx="1136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-1125855</wp:posOffset>
            </wp:positionV>
            <wp:extent cx="1136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120650</wp:posOffset>
            </wp:positionV>
            <wp:extent cx="102044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48" w:lineRule="exact"/>
        <w:rPr>
          <w:sz w:val="20"/>
          <w:szCs w:val="20"/>
          <w:color w:val="auto"/>
        </w:rPr>
      </w:pPr>
    </w:p>
    <w:p>
      <w:pPr>
        <w:jc w:val="both"/>
        <w:ind w:left="1340" w:right="2679" w:hanging="289"/>
        <w:spacing w:after="0" w:line="322" w:lineRule="auto"/>
        <w:tabs>
          <w:tab w:leader="none" w:pos="1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Realized gains/(losses) exclude any realized gains/(losses) incurred on the maturity of our U.S. Treasury investments as well as realized losses of $246,714 from our investments in warrants of FullBridge, Inc.</w:t>
      </w:r>
    </w:p>
    <w:p>
      <w:pPr>
        <w:ind w:left="1340" w:right="2579" w:hanging="289"/>
        <w:spacing w:after="0" w:line="259" w:lineRule="auto"/>
        <w:tabs>
          <w:tab w:leader="none" w:pos="1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$1,991 of the proceeds received from Gilt Groupe Holdings, Inc. represents an excess distribution of proceeds received as part of the January 2016 sale of Gilt Groupe Holdings, Inc. to Hudson’s Bay Co., the parent company of Saks Fifth Avenue.</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2015 — Portfolio and Investment Activity</w:t>
      </w:r>
    </w:p>
    <w:p>
      <w:pPr>
        <w:spacing w:after="0" w:line="51" w:lineRule="exact"/>
        <w:rPr>
          <w:sz w:val="20"/>
          <w:szCs w:val="20"/>
          <w:color w:val="auto"/>
        </w:rPr>
      </w:pPr>
    </w:p>
    <w:p>
      <w:pPr>
        <w:ind w:left="1060" w:right="2599" w:firstLine="297"/>
        <w:spacing w:after="0" w:line="270" w:lineRule="auto"/>
        <w:rPr>
          <w:sz w:val="20"/>
          <w:szCs w:val="20"/>
          <w:color w:val="auto"/>
        </w:rPr>
      </w:pPr>
      <w:r>
        <w:rPr>
          <w:rFonts w:ascii="Arial" w:cs="Arial" w:eastAsia="Arial" w:hAnsi="Arial"/>
          <w:sz w:val="15"/>
          <w:szCs w:val="15"/>
          <w:color w:val="auto"/>
        </w:rPr>
        <w:t>The table below summarizes the portfolio investments we purchased during the year ended December 31, 2015:</w:t>
      </w:r>
    </w:p>
    <w:p>
      <w:pPr>
        <w:spacing w:after="0" w:line="81"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Year Ended</w:t>
            </w:r>
          </w:p>
        </w:tc>
      </w:tr>
      <w:tr>
        <w:trPr>
          <w:trHeight w:val="152"/>
        </w:trPr>
        <w:tc>
          <w:tcPr>
            <w:tcW w:w="5060" w:type="dxa"/>
            <w:vAlign w:val="bottom"/>
          </w:tcPr>
          <w:p>
            <w:pPr>
              <w:spacing w:after="0"/>
              <w:rPr>
                <w:sz w:val="20"/>
                <w:szCs w:val="20"/>
                <w:color w:val="auto"/>
              </w:rPr>
            </w:pPr>
            <w:r>
              <w:rPr>
                <w:rFonts w:ascii="Arial" w:cs="Arial" w:eastAsia="Arial" w:hAnsi="Arial"/>
                <w:sz w:val="12"/>
                <w:szCs w:val="12"/>
                <w:b w:val="1"/>
                <w:bCs w:val="1"/>
                <w:color w:val="auto"/>
              </w:rPr>
              <w:t>Fundings by Portfolio Company (Industry)</w:t>
            </w:r>
          </w:p>
        </w:tc>
        <w:tc>
          <w:tcPr>
            <w:tcW w:w="1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w w:val="86"/>
              </w:rPr>
              <w:t>December 31, 2015</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3"/>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NestGSV, Inc. (d/b/a GSV Labs, Inc.) (Global Innovation Platform)</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3,499,999</w:t>
            </w:r>
          </w:p>
        </w:tc>
        <w:tc>
          <w:tcPr>
            <w:tcW w:w="120" w:type="dxa"/>
            <w:vAlign w:val="bottom"/>
            <w:shd w:val="clear" w:color="auto" w:fill="CCEEFF"/>
          </w:tcPr>
          <w:p>
            <w:pPr>
              <w:spacing w:after="0"/>
              <w:rPr>
                <w:sz w:val="17"/>
                <w:szCs w:val="17"/>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Fullbridge, Inc. (Business Education)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964,042</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Lyft, Inc. (Peer to Peer Ridesharing)</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2,499,985</w:t>
            </w:r>
          </w:p>
        </w:tc>
        <w:tc>
          <w:tcPr>
            <w:tcW w:w="120" w:type="dxa"/>
            <w:vAlign w:val="bottom"/>
            <w:shd w:val="clear" w:color="auto" w:fill="CCEEFF"/>
          </w:tcPr>
          <w:p>
            <w:pPr>
              <w:spacing w:after="0"/>
              <w:rPr>
                <w:sz w:val="18"/>
                <w:szCs w:val="18"/>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Handle Financial, Inc. (f/k/a PayNearMe, Inc.). (Cash Payment Network)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3,999,998</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GSV Sustainability Partners (Clean Technology)</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2,300,000</w:t>
            </w:r>
          </w:p>
        </w:tc>
        <w:tc>
          <w:tcPr>
            <w:tcW w:w="120" w:type="dxa"/>
            <w:vAlign w:val="bottom"/>
            <w:shd w:val="clear" w:color="auto" w:fill="CCEEFF"/>
          </w:tcPr>
          <w:p>
            <w:pPr>
              <w:spacing w:after="0"/>
              <w:rPr>
                <w:sz w:val="18"/>
                <w:szCs w:val="18"/>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Earlyshares.com, Inc. (Equity Crowdfunding)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50,000</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Enjoy Technology, Inc. (On-Demand Commerce)</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4,000,000</w:t>
            </w:r>
          </w:p>
        </w:tc>
        <w:tc>
          <w:tcPr>
            <w:tcW w:w="120" w:type="dxa"/>
            <w:vAlign w:val="bottom"/>
            <w:shd w:val="clear" w:color="auto" w:fill="CCEEFF"/>
          </w:tcPr>
          <w:p>
            <w:pPr>
              <w:spacing w:after="0"/>
              <w:rPr>
                <w:sz w:val="18"/>
                <w:szCs w:val="18"/>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Aspiration Partners, Inc. (Financial Services)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999,975</w:t>
            </w:r>
          </w:p>
        </w:tc>
        <w:tc>
          <w:tcPr>
            <w:tcW w:w="120" w:type="dxa"/>
            <w:vAlign w:val="bottom"/>
          </w:tcPr>
          <w:p>
            <w:pPr>
              <w:spacing w:after="0"/>
              <w:rPr>
                <w:sz w:val="18"/>
                <w:szCs w:val="18"/>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Declara, Inc. (Social Cognitive Learning)</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2,000,000</w:t>
            </w:r>
          </w:p>
        </w:tc>
        <w:tc>
          <w:tcPr>
            <w:tcW w:w="120" w:type="dxa"/>
            <w:vAlign w:val="bottom"/>
            <w:shd w:val="clear" w:color="auto" w:fill="CCEEFF"/>
          </w:tcPr>
          <w:p>
            <w:pPr>
              <w:spacing w:after="0"/>
              <w:rPr>
                <w:sz w:val="18"/>
                <w:szCs w:val="18"/>
                <w:color w:val="auto"/>
              </w:rPr>
            </w:pPr>
          </w:p>
        </w:tc>
      </w:tr>
      <w:tr>
        <w:trPr>
          <w:trHeight w:val="212"/>
        </w:trPr>
        <w:tc>
          <w:tcPr>
            <w:tcW w:w="5060" w:type="dxa"/>
            <w:vAlign w:val="bottom"/>
          </w:tcPr>
          <w:p>
            <w:pPr>
              <w:spacing w:after="0"/>
              <w:rPr>
                <w:sz w:val="20"/>
                <w:szCs w:val="20"/>
                <w:color w:val="auto"/>
              </w:rPr>
            </w:pPr>
            <w:r>
              <w:rPr>
                <w:rFonts w:ascii="Arial" w:cs="Arial" w:eastAsia="Arial" w:hAnsi="Arial"/>
                <w:sz w:val="15"/>
                <w:szCs w:val="15"/>
                <w:color w:val="auto"/>
              </w:rPr>
              <w:t>EdSurge, Inc. (Education Media Platform)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500,000</w:t>
            </w:r>
          </w:p>
        </w:tc>
        <w:tc>
          <w:tcPr>
            <w:tcW w:w="120" w:type="dxa"/>
            <w:vAlign w:val="bottom"/>
          </w:tcPr>
          <w:p>
            <w:pPr>
              <w:spacing w:after="0"/>
              <w:rPr>
                <w:sz w:val="18"/>
                <w:szCs w:val="18"/>
                <w:color w:val="auto"/>
              </w:rPr>
            </w:pPr>
          </w:p>
        </w:tc>
      </w:tr>
      <w:tr>
        <w:trPr>
          <w:trHeight w:val="22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Circle Media (f/k/a S3 Digital Corp. (d/b/a S3i)) (Sports Analytics)</w:t>
            </w:r>
          </w:p>
        </w:tc>
        <w:tc>
          <w:tcPr>
            <w:tcW w:w="1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120" w:type="dxa"/>
            <w:vAlign w:val="bottom"/>
            <w:shd w:val="clear" w:color="auto" w:fill="CCEEFF"/>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5"/>
                <w:szCs w:val="15"/>
                <w:color w:val="auto"/>
              </w:rPr>
              <w:t>Spotify Technology S.A. (Music Streaming Service)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87"/>
              </w:rPr>
              <w:t>10,001,100</w:t>
            </w:r>
          </w:p>
        </w:tc>
        <w:tc>
          <w:tcPr>
            <w:tcW w:w="120" w:type="dxa"/>
            <w:vAlign w:val="bottom"/>
          </w:tcPr>
          <w:p>
            <w:pPr>
              <w:spacing w:after="0"/>
              <w:rPr>
                <w:sz w:val="19"/>
                <w:szCs w:val="19"/>
                <w:color w:val="auto"/>
              </w:rPr>
            </w:pPr>
          </w:p>
        </w:tc>
      </w:tr>
      <w:tr>
        <w:trPr>
          <w:trHeight w:val="246"/>
        </w:trPr>
        <w:tc>
          <w:tcPr>
            <w:tcW w:w="5060" w:type="dxa"/>
            <w:vAlign w:val="bottom"/>
            <w:tcBorders>
              <w:bottom w:val="single" w:sz="8" w:color="CCEEFF"/>
            </w:tcBorders>
            <w:shd w:val="clear" w:color="auto" w:fill="CCEEFF"/>
          </w:tcPr>
          <w:p>
            <w:pPr>
              <w:spacing w:after="0" w:line="246" w:lineRule="exact"/>
              <w:rPr>
                <w:sz w:val="20"/>
                <w:szCs w:val="20"/>
                <w:color w:val="auto"/>
              </w:rPr>
            </w:pPr>
            <w:r>
              <w:rPr>
                <w:rFonts w:ascii="Arial" w:cs="Arial" w:eastAsia="Arial" w:hAnsi="Arial"/>
                <w:sz w:val="15"/>
                <w:szCs w:val="15"/>
                <w:color w:val="auto"/>
              </w:rPr>
              <w:t>Capitalized Fees</w:t>
            </w:r>
            <w:r>
              <w:rPr>
                <w:rFonts w:ascii="Arial" w:cs="Arial" w:eastAsia="Arial" w:hAnsi="Arial"/>
                <w:sz w:val="22"/>
                <w:szCs w:val="22"/>
                <w:color w:val="auto"/>
                <w:vertAlign w:val="superscript"/>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115,420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3"/>
        </w:trPr>
        <w:tc>
          <w:tcPr>
            <w:tcW w:w="5060" w:type="dxa"/>
            <w:vAlign w:val="bottom"/>
          </w:tcPr>
          <w:p>
            <w:pPr>
              <w:spacing w:after="0"/>
              <w:rPr>
                <w:sz w:val="20"/>
                <w:szCs w:val="20"/>
                <w:color w:val="auto"/>
              </w:rPr>
            </w:pPr>
            <w:r>
              <w:rPr>
                <w:rFonts w:ascii="Arial" w:cs="Arial" w:eastAsia="Arial" w:hAnsi="Arial"/>
                <w:sz w:val="15"/>
                <w:szCs w:val="15"/>
                <w:color w:val="auto"/>
              </w:rPr>
              <w:t>Total Gross Payments</w:t>
            </w:r>
          </w:p>
        </w:tc>
        <w:tc>
          <w:tcPr>
            <w:tcW w:w="3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87"/>
              </w:rPr>
              <w:t>30,955,519</w:t>
            </w:r>
          </w:p>
        </w:tc>
        <w:tc>
          <w:tcPr>
            <w:tcW w:w="12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-1941195</wp:posOffset>
            </wp:positionV>
            <wp:extent cx="1136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120650</wp:posOffset>
            </wp:positionV>
            <wp:extent cx="102044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37" w:lineRule="exact"/>
        <w:rPr>
          <w:sz w:val="20"/>
          <w:szCs w:val="20"/>
          <w:color w:val="auto"/>
        </w:rPr>
      </w:pPr>
    </w:p>
    <w:p>
      <w:pPr>
        <w:ind w:left="1340" w:right="2519" w:hanging="289"/>
        <w:spacing w:after="0" w:line="254" w:lineRule="auto"/>
        <w:tabs>
          <w:tab w:leader="none" w:pos="13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Capitalized fees represent costs such as legal and other fees associated with entering into or exiting a portfolio company investment or the ongoing due diligence and other costs associated with an existing portfolio company investment. Refer to “Note 2 — Significant Accounting Policies — </w:t>
      </w:r>
      <w:r>
        <w:rPr>
          <w:rFonts w:ascii="Arial" w:cs="Arial" w:eastAsia="Arial" w:hAnsi="Arial"/>
          <w:sz w:val="15"/>
          <w:szCs w:val="15"/>
          <w:i w:val="1"/>
          <w:iCs w:val="1"/>
          <w:color w:val="auto"/>
        </w:rPr>
        <w:t>Investment</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 Costs and Escrow Deposits</w:t>
      </w:r>
      <w:r>
        <w:rPr>
          <w:rFonts w:ascii="Arial" w:cs="Arial" w:eastAsia="Arial" w:hAnsi="Arial"/>
          <w:sz w:val="15"/>
          <w:szCs w:val="15"/>
          <w:color w:val="auto"/>
        </w:rPr>
        <w:t>” to our consolidated financial statements as of December 31, 2017</w:t>
      </w:r>
      <w:r>
        <w:rPr>
          <w:rFonts w:ascii="Arial" w:cs="Arial" w:eastAsia="Arial" w:hAnsi="Arial"/>
          <w:sz w:val="15"/>
          <w:szCs w:val="15"/>
          <w:i w:val="1"/>
          <w:iCs w:val="1"/>
          <w:color w:val="auto"/>
        </w:rPr>
        <w:t xml:space="preserve"> </w:t>
      </w:r>
      <w:r>
        <w:rPr>
          <w:rFonts w:ascii="Arial" w:cs="Arial" w:eastAsia="Arial" w:hAnsi="Arial"/>
          <w:sz w:val="15"/>
          <w:szCs w:val="15"/>
          <w:color w:val="auto"/>
        </w:rPr>
        <w:t>for further detail.</w:t>
      </w:r>
    </w:p>
    <w:p>
      <w:pPr>
        <w:spacing w:after="0" w:line="21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2" w:name="page63"/>
    <w:bookmarkEnd w:id="6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table below summarizes the portfolio investments we sold or wrote-off during the year ended</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December 31, 2015:</w:t>
      </w:r>
    </w:p>
    <w:p>
      <w:pPr>
        <w:spacing w:after="0" w:line="101"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ind w:right="28"/>
              <w:spacing w:after="0"/>
              <w:rPr>
                <w:sz w:val="20"/>
                <w:szCs w:val="20"/>
                <w:color w:val="auto"/>
              </w:rPr>
            </w:pPr>
            <w:r>
              <w:rPr>
                <w:rFonts w:ascii="Arial" w:cs="Arial" w:eastAsia="Arial" w:hAnsi="Arial"/>
                <w:sz w:val="12"/>
                <w:szCs w:val="12"/>
                <w:b w:val="1"/>
                <w:bCs w:val="1"/>
                <w:color w:val="auto"/>
                <w:w w:val="93"/>
              </w:rPr>
              <w:t>Year Ended December 31, 2015</w:t>
            </w:r>
          </w:p>
        </w:tc>
      </w:tr>
      <w:tr>
        <w:trPr>
          <w:trHeight w:val="22"/>
        </w:trPr>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5"/>
        </w:trPr>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168"/>
              <w:spacing w:after="0" w:line="125" w:lineRule="exact"/>
              <w:rPr>
                <w:sz w:val="20"/>
                <w:szCs w:val="20"/>
                <w:color w:val="auto"/>
              </w:rPr>
            </w:pPr>
            <w:r>
              <w:rPr>
                <w:rFonts w:ascii="Arial" w:cs="Arial" w:eastAsia="Arial" w:hAnsi="Arial"/>
                <w:sz w:val="12"/>
                <w:szCs w:val="12"/>
                <w:b w:val="1"/>
                <w:bCs w:val="1"/>
                <w:color w:val="auto"/>
              </w:rPr>
              <w:t>Realized</w:t>
            </w:r>
          </w:p>
        </w:tc>
      </w:tr>
      <w:tr>
        <w:trPr>
          <w:trHeight w:val="201"/>
        </w:trPr>
        <w:tc>
          <w:tcPr>
            <w:tcW w:w="300" w:type="dxa"/>
            <w:vAlign w:val="bottom"/>
          </w:tcPr>
          <w:p>
            <w:pPr>
              <w:spacing w:after="0"/>
              <w:rPr>
                <w:sz w:val="17"/>
                <w:szCs w:val="17"/>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Net Proceeds</w:t>
            </w: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8"/>
              </w:rPr>
              <w:t>Gains/(Losses)</w:t>
            </w:r>
            <w:r>
              <w:rPr>
                <w:rFonts w:ascii="Arial" w:cs="Arial" w:eastAsia="Arial" w:hAnsi="Arial"/>
                <w:sz w:val="17"/>
                <w:szCs w:val="17"/>
                <w:b w:val="1"/>
                <w:bCs w:val="1"/>
                <w:color w:val="auto"/>
                <w:w w:val="78"/>
                <w:vertAlign w:val="superscript"/>
              </w:rPr>
              <w:t>(1)</w:t>
            </w:r>
          </w:p>
        </w:tc>
      </w:tr>
      <w:tr>
        <w:trPr>
          <w:trHeight w:val="203"/>
        </w:trPr>
        <w:tc>
          <w:tcPr>
            <w:tcW w:w="300" w:type="dxa"/>
            <w:vAlign w:val="bottom"/>
          </w:tcPr>
          <w:p>
            <w:pPr>
              <w:spacing w:after="0"/>
              <w:rPr>
                <w:sz w:val="17"/>
                <w:szCs w:val="17"/>
                <w:color w:val="auto"/>
              </w:rPr>
            </w:pPr>
          </w:p>
        </w:tc>
        <w:tc>
          <w:tcPr>
            <w:tcW w:w="4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2U, Inc. (f/k/a 2tor, Inc.)</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6"/>
              </w:rPr>
              <w:t>$47,192,835</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$37,160,718</w:t>
            </w:r>
          </w:p>
        </w:tc>
      </w:tr>
      <w:tr>
        <w:trPr>
          <w:trHeight w:val="211"/>
        </w:trPr>
        <w:tc>
          <w:tcPr>
            <w:tcW w:w="4720" w:type="dxa"/>
            <w:vAlign w:val="bottom"/>
            <w:gridSpan w:val="4"/>
          </w:tcPr>
          <w:p>
            <w:pPr>
              <w:ind w:left="300"/>
              <w:spacing w:after="0"/>
              <w:rPr>
                <w:sz w:val="20"/>
                <w:szCs w:val="20"/>
                <w:color w:val="auto"/>
              </w:rPr>
            </w:pPr>
            <w:r>
              <w:rPr>
                <w:rFonts w:ascii="Arial" w:cs="Arial" w:eastAsia="Arial" w:hAnsi="Arial"/>
                <w:sz w:val="15"/>
                <w:szCs w:val="15"/>
                <w:color w:val="auto"/>
              </w:rPr>
              <w:t>DailyBreak, Inc.</w:t>
            </w:r>
          </w:p>
        </w:tc>
        <w:tc>
          <w:tcPr>
            <w:tcW w:w="740" w:type="dxa"/>
            <w:vAlign w:val="bottom"/>
          </w:tcPr>
          <w:p>
            <w:pPr>
              <w:jc w:val="right"/>
              <w:spacing w:after="0"/>
              <w:rPr>
                <w:sz w:val="20"/>
                <w:szCs w:val="20"/>
                <w:color w:val="auto"/>
              </w:rPr>
            </w:pPr>
            <w:r>
              <w:rPr>
                <w:rFonts w:ascii="Arial" w:cs="Arial" w:eastAsia="Arial" w:hAnsi="Arial"/>
                <w:sz w:val="15"/>
                <w:szCs w:val="15"/>
                <w:color w:val="auto"/>
              </w:rPr>
              <w:t>3,000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(2,854,204)</w:t>
            </w:r>
          </w:p>
        </w:tc>
      </w:tr>
      <w:tr>
        <w:trPr>
          <w:trHeight w:val="224"/>
        </w:trPr>
        <w:tc>
          <w:tcPr>
            <w:tcW w:w="300" w:type="dxa"/>
            <w:vAlign w:val="bottom"/>
          </w:tcPr>
          <w:p>
            <w:pPr>
              <w:spacing w:after="0"/>
              <w:rPr>
                <w:sz w:val="19"/>
                <w:szCs w:val="19"/>
                <w:color w:val="auto"/>
              </w:rPr>
            </w:pPr>
          </w:p>
        </w:tc>
        <w:tc>
          <w:tcPr>
            <w:tcW w:w="4420" w:type="dxa"/>
            <w:vAlign w:val="bottom"/>
            <w:tcBorders>
              <w:right w:val="single" w:sz="8" w:color="CCEEFF"/>
            </w:tcBorders>
            <w:gridSpan w:val="3"/>
            <w:shd w:val="clear" w:color="auto" w:fill="CCEEFF"/>
          </w:tcPr>
          <w:p>
            <w:pPr>
              <w:spacing w:after="0" w:line="224" w:lineRule="exact"/>
              <w:rPr>
                <w:sz w:val="20"/>
                <w:szCs w:val="20"/>
                <w:color w:val="auto"/>
              </w:rPr>
            </w:pPr>
            <w:r>
              <w:rPr>
                <w:rFonts w:ascii="Arial" w:cs="Arial" w:eastAsia="Arial" w:hAnsi="Arial"/>
                <w:sz w:val="15"/>
                <w:szCs w:val="15"/>
                <w:color w:val="auto"/>
              </w:rPr>
              <w:t>Global Education Learning (Holdings) Ltd.</w:t>
            </w:r>
            <w:r>
              <w:rPr>
                <w:rFonts w:ascii="Arial" w:cs="Arial" w:eastAsia="Arial" w:hAnsi="Arial"/>
                <w:sz w:val="22"/>
                <w:szCs w:val="22"/>
                <w:color w:val="auto"/>
                <w:vertAlign w:val="superscript"/>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3,660,394</w:t>
            </w:r>
          </w:p>
        </w:tc>
        <w:tc>
          <w:tcPr>
            <w:tcW w:w="22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4720" w:type="dxa"/>
            <w:vAlign w:val="bottom"/>
            <w:gridSpan w:val="4"/>
          </w:tcPr>
          <w:p>
            <w:pPr>
              <w:ind w:left="300"/>
              <w:spacing w:after="0"/>
              <w:rPr>
                <w:sz w:val="20"/>
                <w:szCs w:val="20"/>
                <w:color w:val="auto"/>
              </w:rPr>
            </w:pPr>
            <w:r>
              <w:rPr>
                <w:rFonts w:ascii="Arial" w:cs="Arial" w:eastAsia="Arial" w:hAnsi="Arial"/>
                <w:sz w:val="15"/>
                <w:szCs w:val="15"/>
                <w:color w:val="auto"/>
              </w:rPr>
              <w:t>NewZoom, Inc.</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(260,476)</w:t>
            </w:r>
          </w:p>
        </w:tc>
      </w:tr>
      <w:tr>
        <w:trPr>
          <w:trHeight w:val="212"/>
        </w:trPr>
        <w:tc>
          <w:tcPr>
            <w:tcW w:w="300" w:type="dxa"/>
            <w:vAlign w:val="bottom"/>
          </w:tcPr>
          <w:p>
            <w:pPr>
              <w:spacing w:after="0"/>
              <w:rPr>
                <w:sz w:val="18"/>
                <w:szCs w:val="18"/>
                <w:color w:val="auto"/>
              </w:rPr>
            </w:pPr>
          </w:p>
        </w:tc>
        <w:tc>
          <w:tcPr>
            <w:tcW w:w="4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SugarCRM, Inc.</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1,874,000</w:t>
            </w: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549,710</w:t>
            </w:r>
          </w:p>
        </w:tc>
      </w:tr>
      <w:tr>
        <w:trPr>
          <w:trHeight w:val="211"/>
        </w:trPr>
        <w:tc>
          <w:tcPr>
            <w:tcW w:w="4720" w:type="dxa"/>
            <w:vAlign w:val="bottom"/>
            <w:gridSpan w:val="4"/>
          </w:tcPr>
          <w:p>
            <w:pPr>
              <w:ind w:left="300"/>
              <w:spacing w:after="0"/>
              <w:rPr>
                <w:sz w:val="20"/>
                <w:szCs w:val="20"/>
                <w:color w:val="auto"/>
              </w:rPr>
            </w:pPr>
            <w:r>
              <w:rPr>
                <w:rFonts w:ascii="Arial" w:cs="Arial" w:eastAsia="Arial" w:hAnsi="Arial"/>
                <w:sz w:val="15"/>
                <w:szCs w:val="15"/>
                <w:color w:val="auto"/>
              </w:rPr>
              <w:t>Twitter, Inc.</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40,166,211</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26,886,514</w:t>
            </w:r>
          </w:p>
        </w:tc>
      </w:tr>
      <w:tr>
        <w:trPr>
          <w:trHeight w:val="224"/>
        </w:trPr>
        <w:tc>
          <w:tcPr>
            <w:tcW w:w="300" w:type="dxa"/>
            <w:vAlign w:val="bottom"/>
          </w:tcPr>
          <w:p>
            <w:pPr>
              <w:spacing w:after="0"/>
              <w:rPr>
                <w:sz w:val="19"/>
                <w:szCs w:val="19"/>
                <w:color w:val="auto"/>
              </w:rPr>
            </w:pPr>
          </w:p>
        </w:tc>
        <w:tc>
          <w:tcPr>
            <w:tcW w:w="4420" w:type="dxa"/>
            <w:vAlign w:val="bottom"/>
            <w:tcBorders>
              <w:right w:val="single" w:sz="8" w:color="CCEEFF"/>
            </w:tcBorders>
            <w:gridSpan w:val="3"/>
            <w:shd w:val="clear" w:color="auto" w:fill="CCEEFF"/>
          </w:tcPr>
          <w:p>
            <w:pPr>
              <w:spacing w:after="0" w:line="224" w:lineRule="exact"/>
              <w:rPr>
                <w:sz w:val="20"/>
                <w:szCs w:val="20"/>
                <w:color w:val="auto"/>
              </w:rPr>
            </w:pPr>
            <w:r>
              <w:rPr>
                <w:rFonts w:ascii="Arial" w:cs="Arial" w:eastAsia="Arial" w:hAnsi="Arial"/>
                <w:sz w:val="15"/>
                <w:szCs w:val="15"/>
                <w:color w:val="auto"/>
              </w:rPr>
              <w:t>Totus Solutions, Inc.</w:t>
            </w:r>
            <w:r>
              <w:rPr>
                <w:rFonts w:ascii="Arial" w:cs="Arial" w:eastAsia="Arial" w:hAnsi="Arial"/>
                <w:sz w:val="22"/>
                <w:szCs w:val="22"/>
                <w:color w:val="auto"/>
                <w:vertAlign w:val="superscript"/>
              </w:rPr>
              <w:t>(3)</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50,000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(6,052,203)</w:t>
            </w:r>
          </w:p>
        </w:tc>
      </w:tr>
      <w:tr>
        <w:trPr>
          <w:trHeight w:val="217"/>
        </w:trPr>
        <w:tc>
          <w:tcPr>
            <w:tcW w:w="30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5"/>
                <w:szCs w:val="15"/>
                <w:color w:val="auto"/>
              </w:rPr>
              <w:t>The rSmart Group, Inc.</w:t>
            </w:r>
          </w:p>
        </w:tc>
        <w:tc>
          <w:tcPr>
            <w:tcW w:w="740" w:type="dxa"/>
            <w:vAlign w:val="bottom"/>
          </w:tcPr>
          <w:p>
            <w:pPr>
              <w:jc w:val="right"/>
              <w:spacing w:after="0"/>
              <w:rPr>
                <w:sz w:val="20"/>
                <w:szCs w:val="20"/>
                <w:color w:val="auto"/>
              </w:rPr>
            </w:pPr>
            <w:r>
              <w:rPr>
                <w:rFonts w:ascii="Arial" w:cs="Arial" w:eastAsia="Arial" w:hAnsi="Arial"/>
                <w:sz w:val="15"/>
                <w:szCs w:val="15"/>
                <w:color w:val="auto"/>
              </w:rPr>
              <w:t>5,000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(1,264,160)</w:t>
            </w:r>
          </w:p>
        </w:tc>
      </w:tr>
      <w:tr>
        <w:trPr>
          <w:trHeight w:val="20"/>
        </w:trPr>
        <w:tc>
          <w:tcPr>
            <w:tcW w:w="300" w:type="dxa"/>
            <w:vAlign w:val="bottom"/>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Total Disposals</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92,951,440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54,165,899</w:t>
            </w:r>
          </w:p>
        </w:tc>
      </w:tr>
      <w:tr>
        <w:trPr>
          <w:trHeight w:val="20"/>
        </w:trPr>
        <w:tc>
          <w:tcPr>
            <w:tcW w:w="30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-311150</wp:posOffset>
            </wp:positionV>
            <wp:extent cx="3556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-311150</wp:posOffset>
            </wp:positionV>
            <wp:extent cx="341566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15665"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-1416685</wp:posOffset>
            </wp:positionV>
            <wp:extent cx="11366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-1416685</wp:posOffset>
            </wp:positionV>
            <wp:extent cx="11366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48" w:lineRule="exact"/>
        <w:rPr>
          <w:sz w:val="20"/>
          <w:szCs w:val="20"/>
          <w:color w:val="auto"/>
        </w:rPr>
      </w:pPr>
    </w:p>
    <w:p>
      <w:pPr>
        <w:ind w:left="1340" w:right="2619" w:hanging="289"/>
        <w:spacing w:after="0" w:line="270" w:lineRule="auto"/>
        <w:tabs>
          <w:tab w:leader="none" w:pos="1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Realized gains/(losses) excludes any realized gains/(losses) incurred on the maturity of our U.S. Treasury investments.</w:t>
      </w:r>
    </w:p>
    <w:p>
      <w:pPr>
        <w:spacing w:after="0" w:line="114" w:lineRule="exact"/>
        <w:rPr>
          <w:rFonts w:ascii="Arial" w:cs="Arial" w:eastAsia="Arial" w:hAnsi="Arial"/>
          <w:sz w:val="15"/>
          <w:szCs w:val="15"/>
          <w:color w:val="auto"/>
        </w:rPr>
      </w:pPr>
    </w:p>
    <w:p>
      <w:pPr>
        <w:ind w:left="1340" w:hanging="289"/>
        <w:spacing w:after="0"/>
        <w:tabs>
          <w:tab w:leader="none" w:pos="1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Represents a tax distribution from Global Education Learning (Holdings) Ltd.</w:t>
      </w:r>
    </w:p>
    <w:p>
      <w:pPr>
        <w:spacing w:after="0" w:line="162" w:lineRule="exact"/>
        <w:rPr>
          <w:rFonts w:ascii="Arial" w:cs="Arial" w:eastAsia="Arial" w:hAnsi="Arial"/>
          <w:sz w:val="15"/>
          <w:szCs w:val="15"/>
          <w:color w:val="auto"/>
        </w:rPr>
      </w:pPr>
    </w:p>
    <w:p>
      <w:pPr>
        <w:ind w:left="1340" w:hanging="289"/>
        <w:spacing w:after="0"/>
        <w:tabs>
          <w:tab w:leader="none" w:pos="1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Represents sales of multiple share classes as well a debt investment in Totus Solutions, Inc.</w:t>
      </w:r>
    </w:p>
    <w:p>
      <w:pPr>
        <w:spacing w:after="0" w:line="17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On August 8, 2017, we announced the $5.0 million discretionary Share Repurchase Program.</w:t>
      </w:r>
    </w:p>
    <w:p>
      <w:pPr>
        <w:spacing w:after="0" w:line="95" w:lineRule="exact"/>
        <w:rPr>
          <w:sz w:val="20"/>
          <w:szCs w:val="20"/>
          <w:color w:val="auto"/>
        </w:rPr>
      </w:pPr>
    </w:p>
    <w:p>
      <w:pPr>
        <w:ind w:left="1060" w:right="2539" w:firstLine="297"/>
        <w:spacing w:after="0" w:line="273" w:lineRule="auto"/>
        <w:rPr>
          <w:sz w:val="20"/>
          <w:szCs w:val="20"/>
          <w:color w:val="auto"/>
        </w:rPr>
      </w:pPr>
      <w:r>
        <w:rPr>
          <w:rFonts w:ascii="Arial" w:cs="Arial" w:eastAsia="Arial" w:hAnsi="Arial"/>
          <w:sz w:val="14"/>
          <w:szCs w:val="14"/>
          <w:color w:val="auto"/>
        </w:rPr>
        <w:t>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w:t>
      </w:r>
    </w:p>
    <w:p>
      <w:pPr>
        <w:spacing w:after="0" w:line="57" w:lineRule="exact"/>
        <w:rPr>
          <w:sz w:val="20"/>
          <w:szCs w:val="20"/>
          <w:color w:val="auto"/>
        </w:rPr>
      </w:pPr>
    </w:p>
    <w:p>
      <w:pPr>
        <w:ind w:left="1060" w:right="2599" w:firstLine="297"/>
        <w:spacing w:after="0" w:line="270" w:lineRule="auto"/>
        <w:rPr>
          <w:sz w:val="20"/>
          <w:szCs w:val="20"/>
          <w:color w:val="auto"/>
        </w:rPr>
      </w:pPr>
      <w:r>
        <w:rPr>
          <w:rFonts w:ascii="Arial" w:cs="Arial" w:eastAsia="Arial" w:hAnsi="Arial"/>
          <w:sz w:val="15"/>
          <w:szCs w:val="15"/>
          <w:color w:val="auto"/>
        </w:rPr>
        <w:t>During the three months ended December 31, 2017, we repurchased 360,549 shares of our common stock for approximately $2.1 million under the Share Repurchase Program.</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Tender Offer for Convertible Senior Notes due 2018</w:t>
      </w:r>
    </w:p>
    <w:p>
      <w:pPr>
        <w:spacing w:after="0" w:line="84" w:lineRule="exact"/>
        <w:rPr>
          <w:sz w:val="20"/>
          <w:szCs w:val="20"/>
          <w:color w:val="auto"/>
        </w:rPr>
      </w:pPr>
    </w:p>
    <w:p>
      <w:pPr>
        <w:ind w:left="1060" w:right="2419" w:firstLine="297"/>
        <w:spacing w:after="0" w:line="276" w:lineRule="auto"/>
        <w:rPr>
          <w:sz w:val="20"/>
          <w:szCs w:val="20"/>
          <w:color w:val="auto"/>
        </w:rPr>
      </w:pPr>
      <w:r>
        <w:rPr>
          <w:rFonts w:ascii="Arial" w:cs="Arial" w:eastAsia="Arial" w:hAnsi="Arial"/>
          <w:sz w:val="14"/>
          <w:szCs w:val="14"/>
          <w:color w:val="auto"/>
        </w:rPr>
        <w:t>On December 15, 2017, we announced the commencement of a cash tender offer (the “Tender Offer”) to purchase any and all of our $69.0 million aggregate principal amount of Convertible Senior Notes. As of the expiration of the Tender Offer on January 17, 2018, approximately $4.8 million aggregate principal amount of the Convertible Senior Notes, representing approximately 7.0% of the outstanding Convertible Senior Notes, were validly tendered and not validly withdrawn pursuant to the Tender Offer.</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Recent Developments</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Portfolio Activity</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Please refer to “Note 11 — Subsequent Events” to our consolidated financial statements as of December 31,</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2017 for details regarding our portfolio activity from January 1, 2018 through March 16, 2018.</w:t>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3" w:name="page64"/>
    <w:bookmarkEnd w:id="6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84" w:lineRule="exact"/>
        <w:rPr>
          <w:sz w:val="20"/>
          <w:szCs w:val="20"/>
          <w:color w:val="auto"/>
        </w:rPr>
      </w:pPr>
    </w:p>
    <w:p>
      <w:pPr>
        <w:ind w:left="1060" w:right="2439" w:firstLine="297"/>
        <w:spacing w:after="0" w:line="279" w:lineRule="auto"/>
        <w:rPr>
          <w:sz w:val="20"/>
          <w:szCs w:val="20"/>
          <w:color w:val="auto"/>
        </w:rPr>
      </w:pPr>
      <w:r>
        <w:rPr>
          <w:rFonts w:ascii="Arial" w:cs="Arial" w:eastAsia="Arial" w:hAnsi="Arial"/>
          <w:sz w:val="14"/>
          <w:szCs w:val="14"/>
          <w:color w:val="auto"/>
        </w:rPr>
        <w:t>From January 1, 2018 through March 16, 2018, we repurchased 179,807 shares of our common stock pursuant to the Share Repurchase Program at an average price of $6.90 per share. See “Market for Registrant’s Common Equity, Related Stockholder Matters and Issuer Purchases of Equity Securities” in Part II, Item 5 of this Form 10-K for more information about the Share Repurchase Program.</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Tender Offer for Convertible Senior Notes due 2018</w:t>
      </w:r>
    </w:p>
    <w:p>
      <w:pPr>
        <w:spacing w:after="0" w:line="84" w:lineRule="exact"/>
        <w:rPr>
          <w:sz w:val="20"/>
          <w:szCs w:val="20"/>
          <w:color w:val="auto"/>
        </w:rPr>
      </w:pPr>
    </w:p>
    <w:p>
      <w:pPr>
        <w:ind w:left="1060" w:right="2959" w:firstLine="297"/>
        <w:spacing w:after="0" w:line="317" w:lineRule="auto"/>
        <w:rPr>
          <w:sz w:val="20"/>
          <w:szCs w:val="20"/>
          <w:color w:val="auto"/>
        </w:rPr>
      </w:pPr>
      <w:r>
        <w:rPr>
          <w:rFonts w:ascii="Arial" w:cs="Arial" w:eastAsia="Arial" w:hAnsi="Arial"/>
          <w:sz w:val="13"/>
          <w:szCs w:val="13"/>
          <w:color w:val="auto"/>
        </w:rPr>
        <w:t>As of the expiration of the Tender Offer on January 17, 2018, approximately $4.8 million aggregate principal amount of the Convertible Senior Notes, representing approximately 7.0% of the outstanding Convertible Senior Notes, were validly tendered and not validly withdrawn pursuant to the Tender Offer.</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Fee Waiver Agreement</w:t>
      </w:r>
    </w:p>
    <w:p>
      <w:pPr>
        <w:spacing w:after="0" w:line="84" w:lineRule="exact"/>
        <w:rPr>
          <w:sz w:val="20"/>
          <w:szCs w:val="20"/>
          <w:color w:val="auto"/>
        </w:rPr>
      </w:pPr>
    </w:p>
    <w:p>
      <w:pPr>
        <w:ind w:left="1060" w:right="2399" w:firstLine="297"/>
        <w:spacing w:after="0" w:line="295" w:lineRule="auto"/>
        <w:rPr>
          <w:sz w:val="20"/>
          <w:szCs w:val="20"/>
          <w:color w:val="auto"/>
        </w:rPr>
      </w:pPr>
      <w:r>
        <w:rPr>
          <w:rFonts w:ascii="Arial" w:cs="Arial" w:eastAsia="Arial" w:hAnsi="Arial"/>
          <w:sz w:val="13"/>
          <w:szCs w:val="13"/>
          <w:color w:val="auto"/>
        </w:rPr>
        <w:t>On February 5, 2018, we announced that GSV Asset Management had agreed to reduce the fees payable under the Investment Advisory Agreement pursuant to the Waiver Agreement. The Waiver Agreement is effective February 1, 2018 and changes the fee structure set forth in the Investment Advisory Agreement by: (i) reducing the base management fee from 2.00% to 1.75%; and (ii) creating certain high-water marks that must be reached before any incentive fee is paid to GSV Asset Management. In addition, pursuant to the Waiver Agreement, GSV Asset Management has agreed to forfeit $5.0 million of its previously accrued but unpaid incentive fees, and to waive base management fees on cash balances until the Convertible Senior Notes mature or are retired. See “Business — Investment Advisory Agreement” in Part I, Item I of this Form 10-K for more information.</w:t>
      </w:r>
    </w:p>
    <w:p>
      <w:pPr>
        <w:spacing w:after="0" w:line="48" w:lineRule="exact"/>
        <w:rPr>
          <w:sz w:val="20"/>
          <w:szCs w:val="20"/>
          <w:color w:val="auto"/>
        </w:rPr>
      </w:pPr>
    </w:p>
    <w:p>
      <w:pPr>
        <w:jc w:val="both"/>
        <w:ind w:left="1060" w:right="2559" w:firstLine="297"/>
        <w:spacing w:after="0" w:line="259" w:lineRule="auto"/>
        <w:rPr>
          <w:sz w:val="20"/>
          <w:szCs w:val="20"/>
          <w:color w:val="auto"/>
        </w:rPr>
      </w:pPr>
      <w:r>
        <w:rPr>
          <w:rFonts w:ascii="Arial" w:cs="Arial" w:eastAsia="Arial" w:hAnsi="Arial"/>
          <w:sz w:val="15"/>
          <w:szCs w:val="15"/>
          <w:color w:val="auto"/>
        </w:rPr>
        <w:t>For the avoidance of doubt, after these changes take effect, under no circumstances will the aggregate fees earned by GSV Asset Management in any quarterly period be higher than those aggregate fees that would have been earned prior to the effectiveness of the Waiver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4" w:name="page65"/>
    <w:bookmarkEnd w:id="6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Results of Operations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Operating results for the years ended December 31, 2017, 2016 and 2015 are as follows:</w:t>
      </w:r>
    </w:p>
    <w:p>
      <w:pPr>
        <w:spacing w:after="0" w:line="122"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16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8"/>
          </w:tcPr>
          <w:p>
            <w:pPr>
              <w:jc w:val="center"/>
              <w:ind w:right="140"/>
              <w:spacing w:after="0"/>
              <w:rPr>
                <w:sz w:val="20"/>
                <w:szCs w:val="20"/>
                <w:color w:val="auto"/>
              </w:rPr>
            </w:pPr>
            <w:r>
              <w:rPr>
                <w:rFonts w:ascii="Arial" w:cs="Arial" w:eastAsia="Arial" w:hAnsi="Arial"/>
                <w:sz w:val="12"/>
                <w:szCs w:val="12"/>
                <w:b w:val="1"/>
                <w:bCs w:val="1"/>
                <w:color w:val="auto"/>
                <w:w w:val="89"/>
              </w:rPr>
              <w:t>Year Ended December 31,</w:t>
            </w:r>
          </w:p>
        </w:tc>
      </w:tr>
      <w:tr>
        <w:trPr>
          <w:trHeight w:val="22"/>
        </w:trPr>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Arial" w:cs="Arial" w:eastAsia="Arial" w:hAnsi="Arial"/>
                <w:sz w:val="12"/>
                <w:szCs w:val="12"/>
                <w:b w:val="1"/>
                <w:bCs w:val="1"/>
                <w:color w:val="auto"/>
              </w:rPr>
              <w:t>2015</w:t>
            </w:r>
          </w:p>
        </w:tc>
        <w:tc>
          <w:tcPr>
            <w:tcW w:w="60" w:type="dxa"/>
            <w:vAlign w:val="bottom"/>
          </w:tcPr>
          <w:p>
            <w:pPr>
              <w:spacing w:after="0"/>
              <w:rPr>
                <w:sz w:val="14"/>
                <w:szCs w:val="14"/>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1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852,768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736,283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290,896</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304,672</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523,488</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244,115</w:t>
            </w:r>
          </w:p>
        </w:tc>
      </w:tr>
      <w:tr>
        <w:trPr>
          <w:trHeight w:val="224"/>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Dividend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475,000</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46,781</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Other income</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73,096</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212,795</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31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Operating Expenses</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22,439,855</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1,999,646</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26,978,235</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Management fee waiver</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(708,272)</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22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Net Operating Expenses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3"/>
              </w:rPr>
              <w:t>21,731,583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1,999,646</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95"/>
              </w:rPr>
              <w:t>26,978,235</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Management fees</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5,666,176</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6,896,347</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8,044,801</w:t>
            </w:r>
          </w:p>
        </w:tc>
      </w:tr>
      <w:tr>
        <w:trPr>
          <w:trHeight w:val="224"/>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Incentive fees/(reversal of incentive fee accrual)</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7,151,641</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(15,188,121)</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8,170,326</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Costs incurred under Administration Agreement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1,874,839</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2,545,316</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2,681,079</w:t>
            </w:r>
          </w:p>
        </w:tc>
      </w:tr>
      <w:tr>
        <w:trPr>
          <w:trHeight w:val="224"/>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Directors’ fees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328,480</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345,000</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373,676</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Professional fees</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2,068,668</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1,966,906</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1,357,988</w:t>
            </w:r>
          </w:p>
        </w:tc>
      </w:tr>
      <w:tr>
        <w:trPr>
          <w:trHeight w:val="224"/>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4,696,819</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4,731,430</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4,961,169</w:t>
            </w:r>
          </w:p>
        </w:tc>
      </w:tr>
      <w:tr>
        <w:trPr>
          <w:trHeight w:val="223"/>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Tax expense</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52,901</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880,778</w:t>
            </w:r>
          </w:p>
        </w:tc>
      </w:tr>
      <w:tr>
        <w:trPr>
          <w:trHeight w:val="224"/>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expenses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600,331</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702,768</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509,418</w:t>
            </w: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Gain on fair value adjustment for embedded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derivative</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(1,000)</w:t>
            </w:r>
          </w:p>
        </w:tc>
      </w:tr>
      <w:tr>
        <w:trPr>
          <w:trHeight w:val="18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Reversal of benefit from taxes on net investment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43"/>
        </w:trPr>
        <w:tc>
          <w:tcPr>
            <w:tcW w:w="412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15"/>
                <w:szCs w:val="15"/>
                <w:color w:val="auto"/>
              </w:rPr>
              <w:t>loss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9"/>
              </w:rPr>
              <w:t>(21,969,370)</w:t>
            </w:r>
          </w:p>
        </w:tc>
      </w:tr>
      <w:tr>
        <w:trPr>
          <w:trHeight w:val="234"/>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Net investment loss</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(20,878,815)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(1,263,363)</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89"/>
              </w:rPr>
              <w:t>(48,656,709)</w:t>
            </w:r>
          </w:p>
        </w:tc>
      </w:tr>
      <w:tr>
        <w:trPr>
          <w:trHeight w:val="235"/>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realized gain/(loss) on investments</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913,982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(2,634,471)</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54,144,229</w:t>
            </w: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Reversal of provision for taxes on net realized gains 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120" w:type="dxa"/>
            <w:vAlign w:val="bottom"/>
            <w:gridSpan w:val="2"/>
          </w:tcPr>
          <w:p>
            <w:pPr>
              <w:ind w:left="160"/>
              <w:spacing w:after="0" w:line="243" w:lineRule="exact"/>
              <w:rPr>
                <w:sz w:val="20"/>
                <w:szCs w:val="20"/>
                <w:color w:val="auto"/>
              </w:rPr>
            </w:pPr>
            <w:r>
              <w:rPr>
                <w:rFonts w:ascii="Arial" w:cs="Arial" w:eastAsia="Arial" w:hAnsi="Arial"/>
                <w:sz w:val="15"/>
                <w:szCs w:val="15"/>
                <w:color w:val="auto"/>
              </w:rPr>
              <w:t>investments</w:t>
            </w:r>
            <w:r>
              <w:rPr>
                <w:rFonts w:ascii="Arial" w:cs="Arial" w:eastAsia="Arial" w:hAnsi="Arial"/>
                <w:sz w:val="22"/>
                <w:szCs w:val="22"/>
                <w:color w:val="auto"/>
                <w:vertAlign w:val="superscript"/>
              </w:rPr>
              <w:t>(1)</w:t>
            </w: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342,802</w:t>
            </w:r>
          </w:p>
        </w:tc>
      </w:tr>
      <w:tr>
        <w:trPr>
          <w:trHeight w:val="21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change in unrealized appreciation/(depreciation) of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0"/>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34,775,696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(73,213,845)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9"/>
              </w:rPr>
              <w:t>(13,422,245)</w:t>
            </w:r>
          </w:p>
        </w:tc>
      </w:tr>
      <w:tr>
        <w:trPr>
          <w:trHeight w:val="246"/>
        </w:trPr>
        <w:tc>
          <w:tcPr>
            <w:tcW w:w="4120" w:type="dxa"/>
            <w:vAlign w:val="bottom"/>
            <w:gridSpan w:val="2"/>
          </w:tcPr>
          <w:p>
            <w:pPr>
              <w:ind w:left="20"/>
              <w:spacing w:after="0" w:line="245" w:lineRule="exact"/>
              <w:rPr>
                <w:sz w:val="20"/>
                <w:szCs w:val="20"/>
                <w:color w:val="auto"/>
              </w:rPr>
            </w:pPr>
            <w:r>
              <w:rPr>
                <w:rFonts w:ascii="Arial" w:cs="Arial" w:eastAsia="Arial" w:hAnsi="Arial"/>
                <w:sz w:val="15"/>
                <w:szCs w:val="15"/>
                <w:color w:val="auto"/>
                <w:w w:val="93"/>
              </w:rPr>
              <w:t>Benefit from taxes on unrealized depreciation of investments</w:t>
            </w:r>
            <w:r>
              <w:rPr>
                <w:rFonts w:ascii="Arial" w:cs="Arial" w:eastAsia="Arial" w:hAnsi="Arial"/>
                <w:sz w:val="22"/>
                <w:szCs w:val="22"/>
                <w:color w:val="auto"/>
                <w:w w:val="93"/>
                <w:vertAlign w:val="superscript"/>
              </w:rPr>
              <w:t>(1)(2)</w:t>
            </w: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2,757,070</w:t>
            </w: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2,116,784</w:t>
            </w: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16,058,080</w:t>
            </w:r>
          </w:p>
        </w:tc>
      </w:tr>
      <w:tr>
        <w:trPr>
          <w:trHeight w:val="21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increase/(decrease) in net assets resulting from</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0"/>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17,567,933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(74,994,895)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8,466,157</w:t>
            </w:r>
          </w:p>
        </w:tc>
      </w:tr>
      <w:tr>
        <w:trPr>
          <w:trHeight w:val="223"/>
        </w:trPr>
        <w:tc>
          <w:tcPr>
            <w:tcW w:w="1620" w:type="dxa"/>
            <w:vAlign w:val="bottom"/>
            <w:tcBorders>
              <w:bottom w:val="single" w:sz="8" w:color="auto"/>
            </w:tcBorders>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-4116705</wp:posOffset>
            </wp:positionV>
            <wp:extent cx="285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-4116705</wp:posOffset>
            </wp:positionV>
            <wp:extent cx="5651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-4116705</wp:posOffset>
            </wp:positionV>
            <wp:extent cx="318897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8970" cy="6985"/>
                    </a:xfrm>
                    <a:prstGeom prst="rect">
                      <a:avLst/>
                    </a:prstGeom>
                    <a:noFill/>
                  </pic:spPr>
                </pic:pic>
              </a:graphicData>
            </a:graphic>
          </wp:anchor>
        </w:drawing>
      </w:r>
    </w:p>
    <w:p>
      <w:pPr>
        <w:spacing w:after="0" w:line="148" w:lineRule="exact"/>
        <w:rPr>
          <w:sz w:val="20"/>
          <w:szCs w:val="20"/>
          <w:color w:val="auto"/>
        </w:rPr>
      </w:pPr>
    </w:p>
    <w:p>
      <w:pPr>
        <w:ind w:left="1340" w:right="2439" w:hanging="289"/>
        <w:spacing w:after="0" w:line="255" w:lineRule="auto"/>
        <w:tabs>
          <w:tab w:leader="none" w:pos="1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Due to our change in tax status to a RIC from a C Corporation, the associated accrued benefits from and provisions for taxes from previous years were reversed for the year ended December 31, 2015. Refer to “Note 9 — Income Taxes” to our consolidated financial statements as of December 31, 2017 included in this annual report on Form 10-K for further detail.</w:t>
      </w:r>
    </w:p>
    <w:p>
      <w:pPr>
        <w:spacing w:after="0" w:line="126" w:lineRule="exact"/>
        <w:rPr>
          <w:rFonts w:ascii="Arial" w:cs="Arial" w:eastAsia="Arial" w:hAnsi="Arial"/>
          <w:sz w:val="15"/>
          <w:szCs w:val="15"/>
          <w:color w:val="auto"/>
        </w:rPr>
      </w:pPr>
    </w:p>
    <w:p>
      <w:pPr>
        <w:ind w:left="1340" w:right="2519" w:hanging="289"/>
        <w:spacing w:after="0" w:line="274" w:lineRule="auto"/>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During the year ended December 31, 2017, we recognized a net benefit from taxes on unrealized depreciation despite recording a net change in unrealized appreciation of approximately $34.8 million. The net tax benefit was the result of a decrease in built-in gains tax liability due to the recently passed tax legislation, partially offset by an increase in the net deferred tax liability generated by the GSVC Holdings. Refer to “Note 9 — Income Taxes” to our consolidated financial statements as of December 31, 2017 included in this annual report on Form 10-K for further detail.</w:t>
      </w: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5" w:name="page66"/>
    <w:bookmarkEnd w:id="6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Total Investment Income</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year ended December 31, 2017 as compared to the year ended December 31, 2016</w:t>
      </w:r>
    </w:p>
    <w:p>
      <w:pPr>
        <w:spacing w:after="0" w:line="51" w:lineRule="exact"/>
        <w:rPr>
          <w:sz w:val="20"/>
          <w:szCs w:val="20"/>
          <w:color w:val="auto"/>
        </w:rPr>
      </w:pPr>
    </w:p>
    <w:p>
      <w:pPr>
        <w:ind w:left="1060" w:right="2399" w:firstLine="297"/>
        <w:spacing w:after="0" w:line="302" w:lineRule="auto"/>
        <w:rPr>
          <w:sz w:val="20"/>
          <w:szCs w:val="20"/>
          <w:color w:val="auto"/>
        </w:rPr>
      </w:pPr>
      <w:r>
        <w:rPr>
          <w:rFonts w:ascii="Arial" w:cs="Arial" w:eastAsia="Arial" w:hAnsi="Arial"/>
          <w:sz w:val="13"/>
          <w:szCs w:val="13"/>
          <w:color w:val="auto"/>
        </w:rPr>
        <w:t>Investment income increased to $852,768 for the year ended December 31, 2017, from $736,283 for the year ended December 31, 2016. The increase was primarily due to increased dividend income which was partially offset by reversals of interest accruals. The increase in dividend income resulted from a $475,000 dividend received from our investment in SPBRX, INC. (f/k/a GSV Sustainability Partners, Inc.). Interest income also increased due to increased interest income from our investment in NestGSV, Inc. (d/b/a GSV Labs, Inc.)</w:t>
      </w:r>
    </w:p>
    <w:p>
      <w:pPr>
        <w:spacing w:after="0" w:line="97"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year ended December 31, 2016 as compared to the year ended December 31, 2015</w:t>
      </w:r>
    </w:p>
    <w:p>
      <w:pPr>
        <w:spacing w:after="0" w:line="51" w:lineRule="exact"/>
        <w:rPr>
          <w:sz w:val="20"/>
          <w:szCs w:val="20"/>
          <w:color w:val="auto"/>
        </w:rPr>
      </w:pPr>
    </w:p>
    <w:p>
      <w:pPr>
        <w:ind w:left="1060" w:right="2399" w:firstLine="297"/>
        <w:spacing w:after="0" w:line="269" w:lineRule="auto"/>
        <w:rPr>
          <w:sz w:val="20"/>
          <w:szCs w:val="20"/>
          <w:color w:val="auto"/>
        </w:rPr>
      </w:pPr>
      <w:r>
        <w:rPr>
          <w:rFonts w:ascii="Arial" w:cs="Arial" w:eastAsia="Arial" w:hAnsi="Arial"/>
          <w:sz w:val="14"/>
          <w:szCs w:val="14"/>
          <w:color w:val="auto"/>
        </w:rPr>
        <w:t>Investment income increased to $736,283 for the year ended December 31, 2016, from $290,896 for the year ended December 31, 2015. The increase was primarily due to increased interest income and other income received in 2016. The increase in interest income resulted from our acquisition of interest-bearing debt investments during the fiscal year ended December 31, 2016. As of December 31, 2016, the cost of our debt investments increased to $8,849,434 from $4,177,804 as of December 31, 2015. The increase in other income between periods resulted from the proceeds from Michael Moe’s sale of common shares of 2U, Inc. (f/k/a 2tor, Inc.), one of our former portfolio companies, that Mr. Moe received while serving on 2U, Inc.’s board of directors. The sales proceeds were remitted directly to the Company pursuant to GSV Asset Management’s internal policy whereby any fees or compensation received by a manager, partner, officer or employee of GSV Asset Management in exchange for serving as a director of, or providing consulting services to, any of our portfolio companies will be transferred to us, net of any personal taxes incurred, upon such receipt for the benefit of us and our stockholders.</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18"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year ended December 31, 2017 as compared to the year ended December 31, 2016</w:t>
      </w:r>
    </w:p>
    <w:p>
      <w:pPr>
        <w:spacing w:after="0" w:line="62"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Total operating expenses, net of waiver of management fees, increased to $21,731,583 for the year ended December 31, 2017, from $1,999,646 for the year ended December 31, 2016, primarily due to incentive fee accruals for the year ended December 31, 2017 as well as the reversal of incentive fee accruals during fiscal year 2016, and, to a lesser extent, increased professional fees, which include legal, valuation, audit and consulting fees. We accrued incentive fees during the year ended December 31, 2017, as a result of the unrealized appreciation of our portfolio investments in the aggregate during the period. The increase in total operating expenses during the year ended December 31, 2017, was partially offset by lower management fees due to lower average gross assets outstanding, and GSV Asset Management’s voluntary 0.25% reduction to the base management fee payable under the Investment Advisory Agreement, as well as a decrease in costs incurred under the Administration Agreement.</w:t>
      </w:r>
    </w:p>
    <w:p>
      <w:pPr>
        <w:spacing w:after="0" w:line="108"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year ended December 31, 2016 as compared to the year ended December 31, 2015</w:t>
      </w:r>
    </w:p>
    <w:p>
      <w:pPr>
        <w:spacing w:after="0" w:line="62" w:lineRule="exact"/>
        <w:rPr>
          <w:sz w:val="20"/>
          <w:szCs w:val="20"/>
          <w:color w:val="auto"/>
        </w:rPr>
      </w:pPr>
    </w:p>
    <w:p>
      <w:pPr>
        <w:ind w:left="1060" w:right="2459" w:firstLine="297"/>
        <w:spacing w:after="0" w:line="292" w:lineRule="auto"/>
        <w:rPr>
          <w:sz w:val="20"/>
          <w:szCs w:val="20"/>
          <w:color w:val="auto"/>
        </w:rPr>
      </w:pPr>
      <w:r>
        <w:rPr>
          <w:rFonts w:ascii="Arial" w:cs="Arial" w:eastAsia="Arial" w:hAnsi="Arial"/>
          <w:sz w:val="13"/>
          <w:szCs w:val="13"/>
          <w:color w:val="auto"/>
        </w:rPr>
        <w:t>Total operating expenses decreased to $1,999,646 for the year ended December 31, 2016, from $26,978,235 for the year ended December 31, 2015. Total operating expenses decreased primarily as a result of the reversal of previously accrued incentive fees during the year ended December 31, 2016, which was the result of the realization of $2,634,471 in net losses on investments in the year ended December 31, 2016, as compared to $54,144,229 in net realized gains on investments in the year ended December 31, 2015. The unrealized depreciation of our portfolio investments in the aggregate during the year ended December 31, 2016 also contributed to the reversal of previously accrued incentive fees. Total operating expenses also decreased due to lower management fees resulting from lower average gross assets outstanding, as well as a decrease in interest expense resulting from lower average borrowings under the $18.0 million senior secured credit facility with Silicon Valley Bank (the “SVB Credit Facility”). There was also no income tax expense incurred for the year ended December 31, 2016. These decreases were minimally offset by an increase in other expenses and professional fees, which include legal, valuation, audit and consulting fees.</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Net Investment Loss</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year ended December 31, 2017 as compared to the year ended December 31, 2016</w:t>
      </w:r>
    </w:p>
    <w:p>
      <w:pPr>
        <w:spacing w:after="0" w:line="51" w:lineRule="exact"/>
        <w:rPr>
          <w:sz w:val="20"/>
          <w:szCs w:val="20"/>
          <w:color w:val="auto"/>
        </w:rPr>
      </w:pPr>
    </w:p>
    <w:p>
      <w:pPr>
        <w:ind w:left="1060" w:right="2459" w:firstLine="297"/>
        <w:spacing w:after="0" w:line="349" w:lineRule="auto"/>
        <w:rPr>
          <w:sz w:val="20"/>
          <w:szCs w:val="20"/>
          <w:color w:val="auto"/>
        </w:rPr>
      </w:pPr>
      <w:r>
        <w:rPr>
          <w:rFonts w:ascii="Arial" w:cs="Arial" w:eastAsia="Arial" w:hAnsi="Arial"/>
          <w:sz w:val="13"/>
          <w:szCs w:val="13"/>
          <w:color w:val="auto"/>
        </w:rPr>
        <w:t>For the year ended December 31, 2017, we recognized a net investment loss of $20,878,815, compared to a net investment loss of $1,263,363 for the year ended December 31, 2016. The increase in net investment</w:t>
      </w:r>
    </w:p>
    <w:p>
      <w:pPr>
        <w:spacing w:after="0" w:line="14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6" w:name="page67"/>
    <w:bookmarkEnd w:id="6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60" w:right="2539"/>
        <w:spacing w:after="0" w:line="259" w:lineRule="auto"/>
        <w:rPr>
          <w:sz w:val="20"/>
          <w:szCs w:val="20"/>
          <w:color w:val="auto"/>
        </w:rPr>
      </w:pPr>
      <w:r>
        <w:rPr>
          <w:rFonts w:ascii="Arial" w:cs="Arial" w:eastAsia="Arial" w:hAnsi="Arial"/>
          <w:sz w:val="15"/>
          <w:szCs w:val="15"/>
          <w:color w:val="auto"/>
        </w:rPr>
        <w:t>loss resulted primarily from the large increase in our operating expenses for the year ended December 31, 2017, as discussed above. For the years ended December 31, 2017 and 2016, we recognized no benefit from taxes on net investment loss.</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For the year ended December 31, 2016 as compared to the year ended December 31, 2015</w:t>
      </w:r>
    </w:p>
    <w:p>
      <w:pPr>
        <w:spacing w:after="0" w:line="84" w:lineRule="exact"/>
        <w:rPr>
          <w:sz w:val="20"/>
          <w:szCs w:val="20"/>
          <w:color w:val="auto"/>
        </w:rPr>
      </w:pPr>
    </w:p>
    <w:p>
      <w:pPr>
        <w:ind w:left="1060" w:right="2539" w:firstLine="297"/>
        <w:spacing w:after="0" w:line="299" w:lineRule="auto"/>
        <w:rPr>
          <w:sz w:val="20"/>
          <w:szCs w:val="20"/>
          <w:color w:val="auto"/>
        </w:rPr>
      </w:pPr>
      <w:r>
        <w:rPr>
          <w:rFonts w:ascii="Arial" w:cs="Arial" w:eastAsia="Arial" w:hAnsi="Arial"/>
          <w:sz w:val="13"/>
          <w:szCs w:val="13"/>
          <w:color w:val="auto"/>
        </w:rPr>
        <w:t>For the year ended December 31, 2016, we recognized a net investment loss of $1,263,363, compared to a net investment loss of $48,656,709 for the year ended December 31, 2015. The decrease in net investment loss resulted primarily from the large decrease in our operating expenses for the year ended December 31, 2016, as discussed above, as well as the fact that we recognized no benefit from taxes on net investment loss for the year ended December 31, 2016, as compared to the year ended December 31, 2015, where we recognized a $21,969,370 reversal of our previously accrued benefit from taxes on net investment loss.</w:t>
      </w:r>
    </w:p>
    <w:p>
      <w:pPr>
        <w:spacing w:after="0" w:line="43" w:lineRule="exact"/>
        <w:rPr>
          <w:sz w:val="20"/>
          <w:szCs w:val="20"/>
          <w:color w:val="auto"/>
        </w:rPr>
      </w:pPr>
    </w:p>
    <w:p>
      <w:pPr>
        <w:ind w:left="1060" w:right="2459" w:firstLine="297"/>
        <w:spacing w:after="0" w:line="279" w:lineRule="auto"/>
        <w:rPr>
          <w:sz w:val="20"/>
          <w:szCs w:val="20"/>
          <w:color w:val="auto"/>
        </w:rPr>
      </w:pPr>
      <w:r>
        <w:rPr>
          <w:rFonts w:ascii="Arial" w:cs="Arial" w:eastAsia="Arial" w:hAnsi="Arial"/>
          <w:sz w:val="14"/>
          <w:szCs w:val="14"/>
          <w:color w:val="auto"/>
        </w:rPr>
        <w:t>Our election to be treated as a RIC resulted in no new tax provisions or benefits being accrued following the appropriate reversals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Net Realized Gain/(Loss) on Investments</w:t>
      </w:r>
    </w:p>
    <w:p>
      <w:pPr>
        <w:spacing w:after="0" w:line="84" w:lineRule="exact"/>
        <w:rPr>
          <w:sz w:val="20"/>
          <w:szCs w:val="20"/>
          <w:color w:val="auto"/>
        </w:rPr>
      </w:pPr>
    </w:p>
    <w:p>
      <w:pPr>
        <w:ind w:left="1060" w:right="2439" w:firstLine="297"/>
        <w:spacing w:after="0" w:line="276" w:lineRule="auto"/>
        <w:rPr>
          <w:sz w:val="20"/>
          <w:szCs w:val="20"/>
          <w:color w:val="auto"/>
        </w:rPr>
      </w:pPr>
      <w:r>
        <w:rPr>
          <w:rFonts w:ascii="Arial" w:cs="Arial" w:eastAsia="Arial" w:hAnsi="Arial"/>
          <w:sz w:val="14"/>
          <w:szCs w:val="14"/>
          <w:color w:val="auto"/>
        </w:rPr>
        <w:t>For the year ended December 31, 2017, we recognized net realized gains of $913,982, compared to net realized losses of $2,634,471 for the year ended December 31, 2016 and net realized gains of $54,144,229 for the year ended December 31, 2015. The components of our net realized gains and losses on portfolio investments for the years ended December 31, 2017, 2016, and 2015, excluding U.S. Treasury investments, are reflected in the tables above, under “— Portfolio and Investment Activity.”</w:t>
      </w:r>
    </w:p>
    <w:p>
      <w:pPr>
        <w:spacing w:after="0" w:line="56" w:lineRule="exact"/>
        <w:rPr>
          <w:sz w:val="20"/>
          <w:szCs w:val="20"/>
          <w:color w:val="auto"/>
        </w:rPr>
      </w:pPr>
    </w:p>
    <w:p>
      <w:pPr>
        <w:ind w:left="1060" w:right="2439" w:firstLine="297"/>
        <w:spacing w:after="0" w:line="317" w:lineRule="auto"/>
        <w:rPr>
          <w:sz w:val="20"/>
          <w:szCs w:val="20"/>
          <w:color w:val="auto"/>
        </w:rPr>
      </w:pPr>
      <w:r>
        <w:rPr>
          <w:rFonts w:ascii="Arial" w:cs="Arial" w:eastAsia="Arial" w:hAnsi="Arial"/>
          <w:sz w:val="13"/>
          <w:szCs w:val="13"/>
          <w:color w:val="auto"/>
        </w:rPr>
        <w:t>For the year ended December 31, 2017, we recognized no provision for taxes on our net realized capital gains due to our election to be treated as a RIC. For the year ended December 31, 2016, we recognized no benefit from taxes on our net realized capital losses due to our election to be treated as a RIC.</w:t>
      </w:r>
    </w:p>
    <w:p>
      <w:pPr>
        <w:spacing w:after="0" w:line="33" w:lineRule="exact"/>
        <w:rPr>
          <w:sz w:val="20"/>
          <w:szCs w:val="20"/>
          <w:color w:val="auto"/>
        </w:rPr>
      </w:pPr>
    </w:p>
    <w:p>
      <w:pPr>
        <w:jc w:val="both"/>
        <w:ind w:left="1060" w:right="2499" w:firstLine="297"/>
        <w:spacing w:after="0" w:line="307" w:lineRule="auto"/>
        <w:rPr>
          <w:sz w:val="20"/>
          <w:szCs w:val="20"/>
          <w:color w:val="auto"/>
        </w:rPr>
      </w:pPr>
      <w:r>
        <w:rPr>
          <w:rFonts w:ascii="Arial" w:cs="Arial" w:eastAsia="Arial" w:hAnsi="Arial"/>
          <w:sz w:val="13"/>
          <w:szCs w:val="13"/>
          <w:color w:val="auto"/>
        </w:rPr>
        <w:t>For the year ended December 31, 2015, we reversed a previously accrued provision of $342,802 for taxes on net realized capital gains due to our election to be treated as a RIC. Typically for a taxable entity, net realized capital gains would generate a provision for taxes; however, as a result of our election to be treated as a RIC, we reversed the previously accrued provisions for taxes on net realized capital gains from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7" w:name="page68"/>
    <w:bookmarkEnd w:id="6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Net Change in Unrealized Appreciation/(Depreciation) of Investments</w:t>
      </w:r>
    </w:p>
    <w:p>
      <w:pPr>
        <w:spacing w:after="0" w:line="84" w:lineRule="exact"/>
        <w:rPr>
          <w:sz w:val="20"/>
          <w:szCs w:val="20"/>
          <w:color w:val="auto"/>
        </w:rPr>
      </w:pPr>
    </w:p>
    <w:p>
      <w:pPr>
        <w:ind w:left="1060" w:right="2459" w:firstLine="297"/>
        <w:spacing w:after="0" w:line="302" w:lineRule="auto"/>
        <w:rPr>
          <w:sz w:val="20"/>
          <w:szCs w:val="20"/>
          <w:color w:val="auto"/>
        </w:rPr>
      </w:pPr>
      <w:r>
        <w:rPr>
          <w:rFonts w:ascii="Arial" w:cs="Arial" w:eastAsia="Arial" w:hAnsi="Arial"/>
          <w:sz w:val="13"/>
          <w:szCs w:val="13"/>
          <w:color w:val="auto"/>
        </w:rPr>
        <w:t>For the year ended December 31, 2017, we had a net change in unrealized appreciation of $34,775,696. For the year ended December 31, 2016, we had a net change in unrealized depreciation of $73,213,845. For the year ended December 31, 2015, we had a net change in unrealized depreciation of $13,422,245. The following tables summarize, by portfolio company, the significant changes in unrealized appreciation and/or depreciation of our investment portfolio for the years ended December 31, 2017, 2016 and 2015.</w:t>
      </w:r>
    </w:p>
    <w:p>
      <w:pPr>
        <w:spacing w:after="0" w:line="64"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Net Change in</w:t>
            </w:r>
          </w:p>
        </w:tc>
      </w:tr>
      <w:tr>
        <w:trPr>
          <w:trHeight w:val="134"/>
        </w:trPr>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2"/>
              </w:rPr>
              <w:t>Unrealized</w:t>
            </w:r>
          </w:p>
        </w:tc>
      </w:tr>
      <w:tr>
        <w:trPr>
          <w:trHeight w:val="134"/>
        </w:trPr>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1"/>
              </w:rPr>
              <w:t>Appreciation/</w:t>
            </w:r>
          </w:p>
        </w:tc>
      </w:tr>
      <w:tr>
        <w:trPr>
          <w:trHeight w:val="134"/>
        </w:trPr>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9"/>
              </w:rPr>
              <w:t>(Depreciation)</w:t>
            </w:r>
          </w:p>
        </w:tc>
      </w:tr>
      <w:tr>
        <w:trPr>
          <w:trHeight w:val="134"/>
        </w:trPr>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jc w:val="center"/>
              <w:ind w:right="40"/>
              <w:spacing w:after="0" w:line="134" w:lineRule="exact"/>
              <w:rPr>
                <w:sz w:val="20"/>
                <w:szCs w:val="20"/>
                <w:color w:val="auto"/>
              </w:rPr>
            </w:pPr>
            <w:r>
              <w:rPr>
                <w:rFonts w:ascii="Arial" w:cs="Arial" w:eastAsia="Arial" w:hAnsi="Arial"/>
                <w:sz w:val="12"/>
                <w:szCs w:val="12"/>
                <w:b w:val="1"/>
                <w:bCs w:val="1"/>
                <w:color w:val="auto"/>
                <w:w w:val="90"/>
              </w:rPr>
              <w:t>For the Year Ended</w:t>
            </w:r>
          </w:p>
        </w:tc>
      </w:tr>
      <w:tr>
        <w:trPr>
          <w:trHeight w:val="152"/>
        </w:trPr>
        <w:tc>
          <w:tcPr>
            <w:tcW w:w="5280" w:type="dxa"/>
            <w:vAlign w:val="bottom"/>
            <w:gridSpan w:val="3"/>
          </w:tcPr>
          <w:p>
            <w:pPr>
              <w:ind w:left="300"/>
              <w:spacing w:after="0"/>
              <w:rPr>
                <w:sz w:val="20"/>
                <w:szCs w:val="20"/>
                <w:color w:val="auto"/>
              </w:rPr>
            </w:pPr>
            <w:r>
              <w:rPr>
                <w:rFonts w:ascii="Arial" w:cs="Arial" w:eastAsia="Arial" w:hAnsi="Arial"/>
                <w:sz w:val="12"/>
                <w:szCs w:val="12"/>
                <w:b w:val="1"/>
                <w:bCs w:val="1"/>
                <w:color w:val="auto"/>
              </w:rPr>
              <w:t>Portfolio Company</w:t>
            </w:r>
          </w:p>
        </w:tc>
        <w:tc>
          <w:tcPr>
            <w:tcW w:w="18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December 31, 2017</w:t>
            </w:r>
          </w:p>
        </w:tc>
      </w:tr>
      <w:tr>
        <w:trPr>
          <w:trHeight w:val="22"/>
        </w:trPr>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92"/>
        </w:trPr>
        <w:tc>
          <w:tcPr>
            <w:tcW w:w="300" w:type="dxa"/>
            <w:vAlign w:val="bottom"/>
          </w:tcPr>
          <w:p>
            <w:pPr>
              <w:spacing w:after="0"/>
              <w:rPr>
                <w:sz w:val="16"/>
                <w:szCs w:val="16"/>
                <w:color w:val="auto"/>
              </w:rPr>
            </w:pPr>
          </w:p>
        </w:tc>
        <w:tc>
          <w:tcPr>
            <w:tcW w:w="4980" w:type="dxa"/>
            <w:vAlign w:val="bottom"/>
            <w:gridSpan w:val="2"/>
            <w:shd w:val="clear" w:color="auto" w:fill="CCEEFF"/>
          </w:tcPr>
          <w:p>
            <w:pPr>
              <w:spacing w:after="0" w:line="192" w:lineRule="exact"/>
              <w:rPr>
                <w:sz w:val="20"/>
                <w:szCs w:val="20"/>
                <w:color w:val="auto"/>
              </w:rPr>
            </w:pPr>
            <w:r>
              <w:rPr>
                <w:rFonts w:ascii="Arial" w:cs="Arial" w:eastAsia="Arial" w:hAnsi="Arial"/>
                <w:sz w:val="15"/>
                <w:szCs w:val="15"/>
                <w:color w:val="auto"/>
              </w:rPr>
              <w:t>Spotify Technology S.A.</w:t>
            </w:r>
            <w:r>
              <w:rPr>
                <w:rFonts w:ascii="Arial" w:cs="Arial" w:eastAsia="Arial" w:hAnsi="Arial"/>
                <w:sz w:val="22"/>
                <w:szCs w:val="22"/>
                <w:color w:val="auto"/>
                <w:vertAlign w:val="superscript"/>
              </w:rPr>
              <w:t>(2)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$ 15,394,865</w:t>
            </w:r>
          </w:p>
        </w:tc>
        <w:tc>
          <w:tcPr>
            <w:tcW w:w="140" w:type="dxa"/>
            <w:vAlign w:val="bottom"/>
            <w:shd w:val="clear" w:color="auto" w:fill="CCEEFF"/>
          </w:tcPr>
          <w:p>
            <w:pPr>
              <w:spacing w:after="0"/>
              <w:rPr>
                <w:sz w:val="16"/>
                <w:szCs w:val="16"/>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tcPr>
          <w:p>
            <w:pPr>
              <w:spacing w:after="0" w:line="212" w:lineRule="exact"/>
              <w:rPr>
                <w:sz w:val="20"/>
                <w:szCs w:val="20"/>
                <w:color w:val="auto"/>
              </w:rPr>
            </w:pPr>
            <w:r>
              <w:rPr>
                <w:rFonts w:ascii="Arial" w:cs="Arial" w:eastAsia="Arial" w:hAnsi="Arial"/>
                <w:sz w:val="15"/>
                <w:szCs w:val="15"/>
                <w:color w:val="auto"/>
              </w:rPr>
              <w:t>Beamreach Solar, Inc. (f/k/a Solexel, Inc.)</w:t>
            </w:r>
            <w:r>
              <w:rPr>
                <w:rFonts w:ascii="Arial" w:cs="Arial" w:eastAsia="Arial" w:hAnsi="Arial"/>
                <w:sz w:val="22"/>
                <w:szCs w:val="22"/>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14,272,843</w:t>
            </w:r>
          </w:p>
        </w:tc>
        <w:tc>
          <w:tcPr>
            <w:tcW w:w="140" w:type="dxa"/>
            <w:vAlign w:val="bottom"/>
          </w:tcPr>
          <w:p>
            <w:pPr>
              <w:spacing w:after="0"/>
              <w:rPr>
                <w:sz w:val="18"/>
                <w:szCs w:val="18"/>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Handle Financial, Inc. (f/k/a PayNearMe, Inc.)</w:t>
            </w:r>
            <w:r>
              <w:rPr>
                <w:rFonts w:ascii="Arial" w:cs="Arial" w:eastAsia="Arial" w:hAnsi="Arial"/>
                <w:sz w:val="22"/>
                <w:szCs w:val="22"/>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13,835,988</w:t>
            </w:r>
          </w:p>
        </w:tc>
        <w:tc>
          <w:tcPr>
            <w:tcW w:w="140" w:type="dxa"/>
            <w:vAlign w:val="bottom"/>
            <w:shd w:val="clear" w:color="auto" w:fill="CCEEFF"/>
          </w:tcPr>
          <w:p>
            <w:pPr>
              <w:spacing w:after="0"/>
              <w:rPr>
                <w:sz w:val="18"/>
                <w:szCs w:val="18"/>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tcPr>
          <w:p>
            <w:pPr>
              <w:spacing w:after="0" w:line="212" w:lineRule="exact"/>
              <w:rPr>
                <w:sz w:val="20"/>
                <w:szCs w:val="20"/>
                <w:color w:val="auto"/>
              </w:rPr>
            </w:pPr>
            <w:r>
              <w:rPr>
                <w:rFonts w:ascii="Arial" w:cs="Arial" w:eastAsia="Arial" w:hAnsi="Arial"/>
                <w:sz w:val="15"/>
                <w:szCs w:val="15"/>
                <w:color w:val="auto"/>
              </w:rPr>
              <w:t>Chegg, Inc.</w:t>
            </w:r>
            <w:r>
              <w:rPr>
                <w:rFonts w:ascii="Arial" w:cs="Arial" w:eastAsia="Arial" w:hAnsi="Arial"/>
                <w:sz w:val="22"/>
                <w:szCs w:val="22"/>
                <w:color w:val="auto"/>
                <w:vertAlign w:val="superscript"/>
              </w:rPr>
              <w:t>(2)</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7,445,390</w:t>
            </w:r>
          </w:p>
        </w:tc>
        <w:tc>
          <w:tcPr>
            <w:tcW w:w="140" w:type="dxa"/>
            <w:vAlign w:val="bottom"/>
          </w:tcPr>
          <w:p>
            <w:pPr>
              <w:spacing w:after="0"/>
              <w:rPr>
                <w:sz w:val="18"/>
                <w:szCs w:val="18"/>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Orchestra One, Inc. (f/k/a Learnist Inc.)</w:t>
            </w:r>
            <w:r>
              <w:rPr>
                <w:rFonts w:ascii="Arial" w:cs="Arial" w:eastAsia="Arial" w:hAnsi="Arial"/>
                <w:sz w:val="22"/>
                <w:szCs w:val="22"/>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4,959,614</w:t>
            </w:r>
          </w:p>
        </w:tc>
        <w:tc>
          <w:tcPr>
            <w:tcW w:w="140" w:type="dxa"/>
            <w:vAlign w:val="bottom"/>
            <w:shd w:val="clear" w:color="auto" w:fill="CCEEFF"/>
          </w:tcPr>
          <w:p>
            <w:pPr>
              <w:spacing w:after="0"/>
              <w:rPr>
                <w:sz w:val="18"/>
                <w:szCs w:val="18"/>
                <w:color w:val="auto"/>
              </w:rPr>
            </w:pP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Dropbox Inc.</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4,685,212</w:t>
            </w:r>
          </w:p>
        </w:tc>
        <w:tc>
          <w:tcPr>
            <w:tcW w:w="140" w:type="dxa"/>
            <w:vAlign w:val="bottom"/>
          </w:tcPr>
          <w:p>
            <w:pPr>
              <w:spacing w:after="0"/>
              <w:rPr>
                <w:sz w:val="17"/>
                <w:szCs w:val="17"/>
                <w:color w:val="auto"/>
              </w:rPr>
            </w:pPr>
          </w:p>
        </w:tc>
      </w:tr>
      <w:tr>
        <w:trPr>
          <w:trHeight w:val="201"/>
        </w:trPr>
        <w:tc>
          <w:tcPr>
            <w:tcW w:w="30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NestGSV, Inc. (d/b/a GSV Labs, Inc.)</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4,308,957</w:t>
            </w:r>
          </w:p>
        </w:tc>
        <w:tc>
          <w:tcPr>
            <w:tcW w:w="140" w:type="dxa"/>
            <w:vAlign w:val="bottom"/>
            <w:shd w:val="clear" w:color="auto" w:fill="CCEEFF"/>
          </w:tcPr>
          <w:p>
            <w:pPr>
              <w:spacing w:after="0"/>
              <w:rPr>
                <w:sz w:val="17"/>
                <w:szCs w:val="17"/>
                <w:color w:val="auto"/>
              </w:rPr>
            </w:pP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Coursera, Inc.</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3,849,819</w:t>
            </w:r>
          </w:p>
        </w:tc>
        <w:tc>
          <w:tcPr>
            <w:tcW w:w="140" w:type="dxa"/>
            <w:vAlign w:val="bottom"/>
          </w:tcPr>
          <w:p>
            <w:pPr>
              <w:spacing w:after="0"/>
              <w:rPr>
                <w:sz w:val="17"/>
                <w:szCs w:val="17"/>
                <w:color w:val="auto"/>
              </w:rPr>
            </w:pPr>
          </w:p>
        </w:tc>
      </w:tr>
      <w:tr>
        <w:trPr>
          <w:trHeight w:val="201"/>
        </w:trPr>
        <w:tc>
          <w:tcPr>
            <w:tcW w:w="30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StormWind, LLC</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3,832,681</w:t>
            </w:r>
          </w:p>
        </w:tc>
        <w:tc>
          <w:tcPr>
            <w:tcW w:w="140" w:type="dxa"/>
            <w:vAlign w:val="bottom"/>
            <w:shd w:val="clear" w:color="auto" w:fill="CCEEFF"/>
          </w:tcPr>
          <w:p>
            <w:pPr>
              <w:spacing w:after="0"/>
              <w:rPr>
                <w:sz w:val="17"/>
                <w:szCs w:val="17"/>
                <w:color w:val="auto"/>
              </w:rPr>
            </w:pP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Lyft, Inc.</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2,671,022</w:t>
            </w:r>
          </w:p>
        </w:tc>
        <w:tc>
          <w:tcPr>
            <w:tcW w:w="140" w:type="dxa"/>
            <w:vAlign w:val="bottom"/>
          </w:tcPr>
          <w:p>
            <w:pPr>
              <w:spacing w:after="0"/>
              <w:rPr>
                <w:sz w:val="17"/>
                <w:szCs w:val="17"/>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Cricket Media (f/k/a ePals Inc.)</w:t>
            </w:r>
            <w:r>
              <w:rPr>
                <w:rFonts w:ascii="Arial" w:cs="Arial" w:eastAsia="Arial" w:hAnsi="Arial"/>
                <w:sz w:val="22"/>
                <w:szCs w:val="22"/>
                <w:color w:val="auto"/>
                <w:vertAlign w:val="superscript"/>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2,448,959</w:t>
            </w:r>
          </w:p>
        </w:tc>
        <w:tc>
          <w:tcPr>
            <w:tcW w:w="140" w:type="dxa"/>
            <w:vAlign w:val="bottom"/>
            <w:shd w:val="clear" w:color="auto" w:fill="CCEEFF"/>
          </w:tcPr>
          <w:p>
            <w:pPr>
              <w:spacing w:after="0"/>
              <w:rPr>
                <w:sz w:val="18"/>
                <w:szCs w:val="18"/>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tcPr>
          <w:p>
            <w:pPr>
              <w:spacing w:after="0" w:line="212" w:lineRule="exact"/>
              <w:rPr>
                <w:sz w:val="20"/>
                <w:szCs w:val="20"/>
                <w:color w:val="auto"/>
              </w:rPr>
            </w:pPr>
            <w:r>
              <w:rPr>
                <w:rFonts w:ascii="Arial" w:cs="Arial" w:eastAsia="Arial" w:hAnsi="Arial"/>
                <w:sz w:val="15"/>
                <w:szCs w:val="15"/>
                <w:color w:val="auto"/>
              </w:rPr>
              <w:t>AlwaysOn, Inc.</w:t>
            </w:r>
            <w:r>
              <w:rPr>
                <w:rFonts w:ascii="Arial" w:cs="Arial" w:eastAsia="Arial" w:hAnsi="Arial"/>
                <w:sz w:val="22"/>
                <w:szCs w:val="22"/>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1,903,414</w:t>
            </w:r>
          </w:p>
        </w:tc>
        <w:tc>
          <w:tcPr>
            <w:tcW w:w="140" w:type="dxa"/>
            <w:vAlign w:val="bottom"/>
          </w:tcPr>
          <w:p>
            <w:pPr>
              <w:spacing w:after="0"/>
              <w:rPr>
                <w:sz w:val="18"/>
                <w:szCs w:val="18"/>
                <w:color w:val="auto"/>
              </w:rPr>
            </w:pPr>
          </w:p>
        </w:tc>
      </w:tr>
      <w:tr>
        <w:trPr>
          <w:trHeight w:val="201"/>
        </w:trPr>
        <w:tc>
          <w:tcPr>
            <w:tcW w:w="30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Aspiration Partners, Inc.</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1,440,417</w:t>
            </w:r>
          </w:p>
        </w:tc>
        <w:tc>
          <w:tcPr>
            <w:tcW w:w="140" w:type="dxa"/>
            <w:vAlign w:val="bottom"/>
            <w:shd w:val="clear" w:color="auto" w:fill="CCEEFF"/>
          </w:tcPr>
          <w:p>
            <w:pPr>
              <w:spacing w:after="0"/>
              <w:rPr>
                <w:sz w:val="17"/>
                <w:szCs w:val="17"/>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tcPr>
          <w:p>
            <w:pPr>
              <w:spacing w:after="0" w:line="212" w:lineRule="exact"/>
              <w:rPr>
                <w:sz w:val="20"/>
                <w:szCs w:val="20"/>
                <w:color w:val="auto"/>
              </w:rPr>
            </w:pPr>
            <w:r>
              <w:rPr>
                <w:rFonts w:ascii="Arial" w:cs="Arial" w:eastAsia="Arial" w:hAnsi="Arial"/>
                <w:sz w:val="15"/>
                <w:szCs w:val="15"/>
                <w:color w:val="auto"/>
              </w:rPr>
              <w:t>Circle Media (f.k.a. S3 Digital Corp.(d/b/a S3i)</w:t>
            </w:r>
            <w:r>
              <w:rPr>
                <w:rFonts w:ascii="Arial" w:cs="Arial" w:eastAsia="Arial" w:hAnsi="Arial"/>
                <w:sz w:val="22"/>
                <w:szCs w:val="22"/>
                <w:color w:val="auto"/>
                <w:vertAlign w:val="superscript"/>
              </w:rPr>
              <w:t>(1)</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1,325,033</w:t>
            </w:r>
          </w:p>
        </w:tc>
        <w:tc>
          <w:tcPr>
            <w:tcW w:w="140" w:type="dxa"/>
            <w:vAlign w:val="bottom"/>
          </w:tcPr>
          <w:p>
            <w:pPr>
              <w:spacing w:after="0"/>
              <w:rPr>
                <w:sz w:val="18"/>
                <w:szCs w:val="18"/>
                <w:color w:val="auto"/>
              </w:rPr>
            </w:pP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Strategic Data Command, LLC</w:t>
            </w:r>
            <w:r>
              <w:rPr>
                <w:rFonts w:ascii="Arial" w:cs="Arial" w:eastAsia="Arial" w:hAnsi="Arial"/>
                <w:sz w:val="22"/>
                <w:szCs w:val="22"/>
                <w:color w:val="auto"/>
                <w:vertAlign w:val="superscript"/>
              </w:rPr>
              <w:t>(2)</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(1,063,278)</w:t>
            </w: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Maven Research, Inc.</w:t>
            </w:r>
          </w:p>
        </w:tc>
        <w:tc>
          <w:tcPr>
            <w:tcW w:w="1220" w:type="dxa"/>
            <w:vAlign w:val="bottom"/>
            <w:gridSpan w:val="4"/>
          </w:tcPr>
          <w:p>
            <w:pPr>
              <w:jc w:val="right"/>
              <w:ind w:right="80"/>
              <w:spacing w:after="0"/>
              <w:rPr>
                <w:sz w:val="20"/>
                <w:szCs w:val="20"/>
                <w:color w:val="auto"/>
              </w:rPr>
            </w:pPr>
            <w:r>
              <w:rPr>
                <w:rFonts w:ascii="Arial" w:cs="Arial" w:eastAsia="Arial" w:hAnsi="Arial"/>
                <w:sz w:val="15"/>
                <w:szCs w:val="15"/>
                <w:color w:val="auto"/>
              </w:rPr>
              <w:t>(1,672,521)</w:t>
            </w: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Dataminr, Inc.</w:t>
            </w:r>
            <w:r>
              <w:rPr>
                <w:rFonts w:ascii="Arial" w:cs="Arial" w:eastAsia="Arial" w:hAnsi="Arial"/>
                <w:sz w:val="22"/>
                <w:szCs w:val="22"/>
                <w:color w:val="auto"/>
                <w:vertAlign w:val="superscript"/>
              </w:rPr>
              <w:t>(2)</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(2,348,736)</w:t>
            </w: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General Assembly Space, Inc.</w:t>
            </w:r>
          </w:p>
        </w:tc>
        <w:tc>
          <w:tcPr>
            <w:tcW w:w="1220" w:type="dxa"/>
            <w:vAlign w:val="bottom"/>
            <w:gridSpan w:val="4"/>
          </w:tcPr>
          <w:p>
            <w:pPr>
              <w:jc w:val="right"/>
              <w:ind w:right="80"/>
              <w:spacing w:after="0"/>
              <w:rPr>
                <w:sz w:val="20"/>
                <w:szCs w:val="20"/>
                <w:color w:val="auto"/>
              </w:rPr>
            </w:pPr>
            <w:r>
              <w:rPr>
                <w:rFonts w:ascii="Arial" w:cs="Arial" w:eastAsia="Arial" w:hAnsi="Arial"/>
                <w:sz w:val="15"/>
                <w:szCs w:val="15"/>
                <w:color w:val="auto"/>
              </w:rPr>
              <w:t>(2,905,898)</w:t>
            </w:r>
          </w:p>
        </w:tc>
      </w:tr>
      <w:tr>
        <w:trPr>
          <w:trHeight w:val="201"/>
        </w:trPr>
        <w:tc>
          <w:tcPr>
            <w:tcW w:w="30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SugarCRM, Inc.</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(2,893,050)</w:t>
            </w: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SPBRX, INC. (f/k/a GSV Sustainability Partners, Inc.)</w:t>
            </w:r>
          </w:p>
        </w:tc>
        <w:tc>
          <w:tcPr>
            <w:tcW w:w="1220" w:type="dxa"/>
            <w:vAlign w:val="bottom"/>
            <w:gridSpan w:val="4"/>
          </w:tcPr>
          <w:p>
            <w:pPr>
              <w:jc w:val="right"/>
              <w:ind w:right="80"/>
              <w:spacing w:after="0"/>
              <w:rPr>
                <w:sz w:val="20"/>
                <w:szCs w:val="20"/>
                <w:color w:val="auto"/>
              </w:rPr>
            </w:pPr>
            <w:r>
              <w:rPr>
                <w:rFonts w:ascii="Arial" w:cs="Arial" w:eastAsia="Arial" w:hAnsi="Arial"/>
                <w:sz w:val="15"/>
                <w:szCs w:val="15"/>
                <w:color w:val="auto"/>
              </w:rPr>
              <w:t>(3,239,916)</w:t>
            </w: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JAMF Holdings, Inc.</w:t>
            </w:r>
            <w:r>
              <w:rPr>
                <w:rFonts w:ascii="Arial" w:cs="Arial" w:eastAsia="Arial" w:hAnsi="Arial"/>
                <w:sz w:val="22"/>
                <w:szCs w:val="22"/>
                <w:color w:val="auto"/>
                <w:vertAlign w:val="superscript"/>
              </w:rPr>
              <w:t>(2)</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(3,856,826)</w:t>
            </w: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Curious.com, Inc.</w:t>
            </w:r>
          </w:p>
        </w:tc>
        <w:tc>
          <w:tcPr>
            <w:tcW w:w="1220" w:type="dxa"/>
            <w:vAlign w:val="bottom"/>
            <w:gridSpan w:val="4"/>
          </w:tcPr>
          <w:p>
            <w:pPr>
              <w:jc w:val="right"/>
              <w:ind w:right="80"/>
              <w:spacing w:after="0"/>
              <w:rPr>
                <w:sz w:val="20"/>
                <w:szCs w:val="20"/>
                <w:color w:val="auto"/>
              </w:rPr>
            </w:pPr>
            <w:r>
              <w:rPr>
                <w:rFonts w:ascii="Arial" w:cs="Arial" w:eastAsia="Arial" w:hAnsi="Arial"/>
                <w:sz w:val="15"/>
                <w:szCs w:val="15"/>
                <w:color w:val="auto"/>
              </w:rPr>
              <w:t>(4,470,877)</w:t>
            </w:r>
          </w:p>
        </w:tc>
      </w:tr>
      <w:tr>
        <w:trPr>
          <w:trHeight w:val="212"/>
        </w:trPr>
        <w:tc>
          <w:tcPr>
            <w:tcW w:w="300" w:type="dxa"/>
            <w:vAlign w:val="bottom"/>
          </w:tcPr>
          <w:p>
            <w:pPr>
              <w:spacing w:after="0"/>
              <w:rPr>
                <w:sz w:val="18"/>
                <w:szCs w:val="18"/>
                <w:color w:val="auto"/>
              </w:rPr>
            </w:pPr>
          </w:p>
        </w:tc>
        <w:tc>
          <w:tcPr>
            <w:tcW w:w="4980" w:type="dxa"/>
            <w:vAlign w:val="bottom"/>
            <w:gridSpan w:val="2"/>
            <w:shd w:val="clear" w:color="auto" w:fill="CCEEFF"/>
          </w:tcPr>
          <w:p>
            <w:pPr>
              <w:spacing w:after="0" w:line="212" w:lineRule="exact"/>
              <w:rPr>
                <w:sz w:val="20"/>
                <w:szCs w:val="20"/>
                <w:color w:val="auto"/>
              </w:rPr>
            </w:pPr>
            <w:r>
              <w:rPr>
                <w:rFonts w:ascii="Arial" w:cs="Arial" w:eastAsia="Arial" w:hAnsi="Arial"/>
                <w:sz w:val="15"/>
                <w:szCs w:val="15"/>
                <w:color w:val="auto"/>
              </w:rPr>
              <w:t>Palantir Technologies, Inc.</w:t>
            </w:r>
            <w:r>
              <w:rPr>
                <w:rFonts w:ascii="Arial" w:cs="Arial" w:eastAsia="Arial" w:hAnsi="Arial"/>
                <w:sz w:val="22"/>
                <w:szCs w:val="22"/>
                <w:color w:val="auto"/>
                <w:vertAlign w:val="superscript"/>
              </w:rPr>
              <w:t>(2)</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(5,424,238)</w:t>
            </w: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Ozy Media, Inc.</w:t>
            </w:r>
          </w:p>
        </w:tc>
        <w:tc>
          <w:tcPr>
            <w:tcW w:w="1220" w:type="dxa"/>
            <w:vAlign w:val="bottom"/>
            <w:gridSpan w:val="4"/>
          </w:tcPr>
          <w:p>
            <w:pPr>
              <w:jc w:val="right"/>
              <w:ind w:right="80"/>
              <w:spacing w:after="0"/>
              <w:rPr>
                <w:sz w:val="20"/>
                <w:szCs w:val="20"/>
                <w:color w:val="auto"/>
              </w:rPr>
            </w:pPr>
            <w:r>
              <w:rPr>
                <w:rFonts w:ascii="Arial" w:cs="Arial" w:eastAsia="Arial" w:hAnsi="Arial"/>
                <w:sz w:val="15"/>
                <w:szCs w:val="15"/>
                <w:color w:val="auto"/>
              </w:rPr>
              <w:t>(5,518,893)</w:t>
            </w:r>
          </w:p>
        </w:tc>
      </w:tr>
      <w:tr>
        <w:trPr>
          <w:trHeight w:val="201"/>
        </w:trPr>
        <w:tc>
          <w:tcPr>
            <w:tcW w:w="300" w:type="dxa"/>
            <w:vAlign w:val="bottom"/>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Declara Inc.</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(6,111,907)</w:t>
            </w:r>
          </w:p>
        </w:tc>
      </w:tr>
      <w:tr>
        <w:trPr>
          <w:trHeight w:val="201"/>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Lytro, Inc.</w:t>
            </w:r>
          </w:p>
        </w:tc>
        <w:tc>
          <w:tcPr>
            <w:tcW w:w="1220" w:type="dxa"/>
            <w:vAlign w:val="bottom"/>
            <w:gridSpan w:val="4"/>
          </w:tcPr>
          <w:p>
            <w:pPr>
              <w:jc w:val="right"/>
              <w:ind w:right="80"/>
              <w:spacing w:after="0"/>
              <w:rPr>
                <w:sz w:val="20"/>
                <w:szCs w:val="20"/>
                <w:color w:val="auto"/>
              </w:rPr>
            </w:pPr>
            <w:r>
              <w:rPr>
                <w:rFonts w:ascii="Arial" w:cs="Arial" w:eastAsia="Arial" w:hAnsi="Arial"/>
                <w:sz w:val="15"/>
                <w:szCs w:val="15"/>
                <w:color w:val="auto"/>
              </w:rPr>
              <w:t>(8,793,884)</w:t>
            </w:r>
          </w:p>
        </w:tc>
      </w:tr>
      <w:tr>
        <w:trPr>
          <w:trHeight w:val="223"/>
        </w:trPr>
        <w:tc>
          <w:tcPr>
            <w:tcW w:w="300" w:type="dxa"/>
            <w:vAlign w:val="bottom"/>
          </w:tcPr>
          <w:p>
            <w:pPr>
              <w:spacing w:after="0"/>
              <w:rPr>
                <w:sz w:val="19"/>
                <w:szCs w:val="19"/>
                <w:color w:val="auto"/>
              </w:rPr>
            </w:pPr>
          </w:p>
        </w:tc>
        <w:tc>
          <w:tcPr>
            <w:tcW w:w="498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5"/>
                <w:szCs w:val="15"/>
                <w:color w:val="auto"/>
              </w:rPr>
              <w:t>Other</w:t>
            </w:r>
            <w:r>
              <w:rPr>
                <w:rFonts w:ascii="Arial" w:cs="Arial" w:eastAsia="Arial" w:hAnsi="Arial"/>
                <w:sz w:val="22"/>
                <w:szCs w:val="22"/>
                <w:color w:val="auto"/>
                <w:vertAlign w:val="superscript"/>
              </w:rPr>
              <w:t>(3)</w:t>
            </w: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701,506</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92"/>
        </w:trPr>
        <w:tc>
          <w:tcPr>
            <w:tcW w:w="5280" w:type="dxa"/>
            <w:vAlign w:val="bottom"/>
            <w:gridSpan w:val="3"/>
          </w:tcPr>
          <w:p>
            <w:pPr>
              <w:ind w:left="300"/>
              <w:spacing w:after="0"/>
              <w:rPr>
                <w:sz w:val="20"/>
                <w:szCs w:val="20"/>
                <w:color w:val="auto"/>
              </w:rPr>
            </w:pPr>
            <w:r>
              <w:rPr>
                <w:rFonts w:ascii="Arial" w:cs="Arial" w:eastAsia="Arial" w:hAnsi="Arial"/>
                <w:sz w:val="15"/>
                <w:szCs w:val="15"/>
                <w:color w:val="auto"/>
              </w:rPr>
              <w:t>Total</w:t>
            </w:r>
          </w:p>
        </w:tc>
        <w:tc>
          <w:tcPr>
            <w:tcW w:w="1080" w:type="dxa"/>
            <w:vAlign w:val="bottom"/>
            <w:gridSpan w:val="3"/>
          </w:tcPr>
          <w:p>
            <w:pPr>
              <w:jc w:val="right"/>
              <w:spacing w:after="0"/>
              <w:rPr>
                <w:sz w:val="20"/>
                <w:szCs w:val="20"/>
                <w:color w:val="auto"/>
              </w:rPr>
            </w:pPr>
            <w:r>
              <w:rPr>
                <w:rFonts w:ascii="Arial" w:cs="Arial" w:eastAsia="Arial" w:hAnsi="Arial"/>
                <w:sz w:val="15"/>
                <w:szCs w:val="15"/>
                <w:color w:val="auto"/>
              </w:rPr>
              <w:t>$ 34,775,696</w:t>
            </w:r>
          </w:p>
        </w:tc>
        <w:tc>
          <w:tcPr>
            <w:tcW w:w="14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-3832860</wp:posOffset>
            </wp:positionV>
            <wp:extent cx="1136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14" w:lineRule="exact"/>
        <w:rPr>
          <w:sz w:val="20"/>
          <w:szCs w:val="20"/>
          <w:color w:val="auto"/>
        </w:rPr>
      </w:pPr>
    </w:p>
    <w:p>
      <w:pPr>
        <w:ind w:left="1340" w:right="2559" w:hanging="289"/>
        <w:spacing w:after="0" w:line="270" w:lineRule="auto"/>
        <w:tabs>
          <w:tab w:leader="none" w:pos="1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change in unrealized appreciation for this investment resulted from writing off an investment that was previously reduced in value to zero.</w:t>
      </w:r>
    </w:p>
    <w:p>
      <w:pPr>
        <w:spacing w:after="0" w:line="80" w:lineRule="exact"/>
        <w:rPr>
          <w:rFonts w:ascii="Arial" w:cs="Arial" w:eastAsia="Arial" w:hAnsi="Arial"/>
          <w:sz w:val="15"/>
          <w:szCs w:val="15"/>
          <w:color w:val="auto"/>
        </w:rPr>
      </w:pPr>
    </w:p>
    <w:p>
      <w:pPr>
        <w:ind w:left="1340" w:right="2419" w:hanging="289"/>
        <w:spacing w:after="0" w:line="259" w:lineRule="auto"/>
        <w:tabs>
          <w:tab w:leader="none" w:pos="1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change in unrealized appreciation/(depreciation) reflected for these investments resulted from the full or partial sale of the relevant investment, which resulted in the reversal of previously accrued unrealized appreciation/(depreciation).</w:t>
      </w:r>
    </w:p>
    <w:p>
      <w:pPr>
        <w:spacing w:after="0" w:line="88" w:lineRule="exact"/>
        <w:rPr>
          <w:rFonts w:ascii="Arial" w:cs="Arial" w:eastAsia="Arial" w:hAnsi="Arial"/>
          <w:sz w:val="15"/>
          <w:szCs w:val="15"/>
          <w:color w:val="auto"/>
        </w:rPr>
      </w:pPr>
    </w:p>
    <w:p>
      <w:pPr>
        <w:jc w:val="both"/>
        <w:ind w:left="1340" w:right="2459" w:hanging="289"/>
        <w:spacing w:after="0" w:line="259" w:lineRule="auto"/>
        <w:tabs>
          <w:tab w:leader="none" w:pos="1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 represents investments (including U.S. Treasury bills and U.S. Treasury strips) for which individual change in unrealized appreciation/(depreciation) was less than $1,000,000 for the year ended December 31, 2017.</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40"/>
        </w:trPr>
        <w:tc>
          <w:tcPr>
            <w:tcW w:w="3160" w:type="dxa"/>
            <w:vAlign w:val="bottom"/>
            <w:gridSpan w:val="2"/>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08"/>
        </w:trPr>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Net Change in</w:t>
            </w:r>
          </w:p>
        </w:tc>
      </w:tr>
      <w:tr>
        <w:trPr>
          <w:trHeight w:val="134"/>
        </w:trPr>
        <w:tc>
          <w:tcPr>
            <w:tcW w:w="1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120"/>
              <w:spacing w:after="0" w:line="134" w:lineRule="exact"/>
              <w:rPr>
                <w:sz w:val="20"/>
                <w:szCs w:val="20"/>
                <w:color w:val="auto"/>
              </w:rPr>
            </w:pPr>
            <w:r>
              <w:rPr>
                <w:rFonts w:ascii="Arial" w:cs="Arial" w:eastAsia="Arial" w:hAnsi="Arial"/>
                <w:sz w:val="12"/>
                <w:szCs w:val="12"/>
                <w:b w:val="1"/>
                <w:bCs w:val="1"/>
                <w:color w:val="auto"/>
                <w:w w:val="92"/>
              </w:rPr>
              <w:t>Unrealized</w:t>
            </w:r>
          </w:p>
        </w:tc>
      </w:tr>
      <w:tr>
        <w:trPr>
          <w:trHeight w:val="134"/>
        </w:trPr>
        <w:tc>
          <w:tcPr>
            <w:tcW w:w="1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100"/>
              <w:spacing w:after="0" w:line="134" w:lineRule="exact"/>
              <w:rPr>
                <w:sz w:val="20"/>
                <w:szCs w:val="20"/>
                <w:color w:val="auto"/>
              </w:rPr>
            </w:pPr>
            <w:r>
              <w:rPr>
                <w:rFonts w:ascii="Arial" w:cs="Arial" w:eastAsia="Arial" w:hAnsi="Arial"/>
                <w:sz w:val="12"/>
                <w:szCs w:val="12"/>
                <w:b w:val="1"/>
                <w:bCs w:val="1"/>
                <w:color w:val="auto"/>
                <w:w w:val="91"/>
              </w:rPr>
              <w:t>Appreciation/</w:t>
            </w:r>
          </w:p>
        </w:tc>
      </w:tr>
      <w:tr>
        <w:trPr>
          <w:trHeight w:val="134"/>
        </w:trPr>
        <w:tc>
          <w:tcPr>
            <w:tcW w:w="1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120"/>
              <w:spacing w:after="0" w:line="134" w:lineRule="exact"/>
              <w:rPr>
                <w:sz w:val="20"/>
                <w:szCs w:val="20"/>
                <w:color w:val="auto"/>
              </w:rPr>
            </w:pPr>
            <w:r>
              <w:rPr>
                <w:rFonts w:ascii="Arial" w:cs="Arial" w:eastAsia="Arial" w:hAnsi="Arial"/>
                <w:sz w:val="12"/>
                <w:szCs w:val="12"/>
                <w:b w:val="1"/>
                <w:bCs w:val="1"/>
                <w:color w:val="auto"/>
                <w:w w:val="89"/>
              </w:rPr>
              <w:t>(Depreciation)</w:t>
            </w:r>
          </w:p>
        </w:tc>
      </w:tr>
      <w:tr>
        <w:trPr>
          <w:trHeight w:val="134"/>
        </w:trPr>
        <w:tc>
          <w:tcPr>
            <w:tcW w:w="1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0"/>
              </w:rPr>
              <w:t>For the Year Ended</w:t>
            </w:r>
          </w:p>
        </w:tc>
      </w:tr>
      <w:tr>
        <w:trPr>
          <w:trHeight w:val="152"/>
        </w:trPr>
        <w:tc>
          <w:tcPr>
            <w:tcW w:w="1040" w:type="dxa"/>
            <w:vAlign w:val="bottom"/>
          </w:tcPr>
          <w:p>
            <w:pPr>
              <w:spacing w:after="0"/>
              <w:rPr>
                <w:sz w:val="13"/>
                <w:szCs w:val="13"/>
                <w:color w:val="auto"/>
              </w:rPr>
            </w:pPr>
          </w:p>
        </w:tc>
        <w:tc>
          <w:tcPr>
            <w:tcW w:w="2120" w:type="dxa"/>
            <w:vAlign w:val="bottom"/>
          </w:tcPr>
          <w:p>
            <w:pPr>
              <w:ind w:left="20"/>
              <w:spacing w:after="0"/>
              <w:rPr>
                <w:sz w:val="20"/>
                <w:szCs w:val="20"/>
                <w:color w:val="auto"/>
              </w:rPr>
            </w:pPr>
            <w:r>
              <w:rPr>
                <w:rFonts w:ascii="Arial" w:cs="Arial" w:eastAsia="Arial" w:hAnsi="Arial"/>
                <w:sz w:val="12"/>
                <w:szCs w:val="12"/>
                <w:b w:val="1"/>
                <w:bCs w:val="1"/>
                <w:color w:val="auto"/>
              </w:rPr>
              <w:t>Portfolio Company</w:t>
            </w:r>
          </w:p>
        </w:tc>
        <w:tc>
          <w:tcPr>
            <w:tcW w:w="160" w:type="dxa"/>
            <w:vAlign w:val="bottom"/>
          </w:tcPr>
          <w:p>
            <w:pPr>
              <w:spacing w:after="0"/>
              <w:rPr>
                <w:sz w:val="13"/>
                <w:szCs w:val="13"/>
                <w:color w:val="auto"/>
              </w:rPr>
            </w:pPr>
          </w:p>
        </w:tc>
        <w:tc>
          <w:tcPr>
            <w:tcW w:w="1040" w:type="dxa"/>
            <w:vAlign w:val="bottom"/>
            <w:gridSpan w:val="4"/>
          </w:tcPr>
          <w:p>
            <w:pPr>
              <w:jc w:val="center"/>
              <w:spacing w:after="0"/>
              <w:rPr>
                <w:sz w:val="20"/>
                <w:szCs w:val="20"/>
                <w:color w:val="auto"/>
              </w:rPr>
            </w:pPr>
            <w:r>
              <w:rPr>
                <w:rFonts w:ascii="Arial" w:cs="Arial" w:eastAsia="Arial" w:hAnsi="Arial"/>
                <w:sz w:val="12"/>
                <w:szCs w:val="12"/>
                <w:b w:val="1"/>
                <w:bCs w:val="1"/>
                <w:color w:val="auto"/>
                <w:w w:val="88"/>
              </w:rPr>
              <w:t>December 31, 2016</w:t>
            </w:r>
          </w:p>
        </w:tc>
      </w:tr>
      <w:tr>
        <w:trPr>
          <w:trHeight w:val="22"/>
        </w:trPr>
        <w:tc>
          <w:tcPr>
            <w:tcW w:w="10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3"/>
        </w:trPr>
        <w:tc>
          <w:tcPr>
            <w:tcW w:w="1040" w:type="dxa"/>
            <w:vAlign w:val="bottom"/>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Palantir Technologies, Inc.</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 (14,844,283)</w:t>
            </w:r>
          </w:p>
        </w:tc>
      </w:tr>
      <w:tr>
        <w:trPr>
          <w:trHeight w:val="190"/>
        </w:trPr>
        <w:tc>
          <w:tcPr>
            <w:tcW w:w="10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Beamreach Solar, Inc. (f/k/a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Arial" w:cs="Arial" w:eastAsia="Arial" w:hAnsi="Arial"/>
                <w:sz w:val="15"/>
                <w:szCs w:val="15"/>
                <w:color w:val="auto"/>
              </w:rPr>
              <w:t>Solexel,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(14,281,910)</w:t>
            </w:r>
          </w:p>
        </w:tc>
      </w:tr>
      <w:tr>
        <w:trPr>
          <w:trHeight w:val="196"/>
        </w:trPr>
        <w:tc>
          <w:tcPr>
            <w:tcW w:w="1040" w:type="dxa"/>
            <w:vAlign w:val="bottom"/>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Handle Financial, Inc. (f/k/a</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1040" w:type="dxa"/>
            <w:vAlign w:val="bottom"/>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PayNearMe, Inc.).</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(13,810,477)</w:t>
            </w: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Dropbox,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(9,041,704)</w:t>
            </w:r>
          </w:p>
        </w:tc>
      </w:tr>
      <w:tr>
        <w:trPr>
          <w:trHeight w:val="212"/>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Fullbridge, Inc.</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(5,904,068)</w:t>
            </w: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Dataminr,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(5,875,388)</w:t>
            </w:r>
          </w:p>
        </w:tc>
      </w:tr>
      <w:tr>
        <w:trPr>
          <w:trHeight w:val="212"/>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Avenues Global Holdings, LLC</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(4,886,897)</w:t>
            </w: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Declara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(4,506,983)</w:t>
            </w:r>
          </w:p>
        </w:tc>
      </w:tr>
      <w:tr>
        <w:trPr>
          <w:trHeight w:val="224"/>
        </w:trPr>
        <w:tc>
          <w:tcPr>
            <w:tcW w:w="1040" w:type="dxa"/>
            <w:vAlign w:val="bottom"/>
          </w:tcPr>
          <w:p>
            <w:pPr>
              <w:spacing w:after="0"/>
              <w:rPr>
                <w:sz w:val="19"/>
                <w:szCs w:val="19"/>
                <w:color w:val="auto"/>
              </w:rPr>
            </w:pPr>
          </w:p>
        </w:tc>
        <w:tc>
          <w:tcPr>
            <w:tcW w:w="2120" w:type="dxa"/>
            <w:vAlign w:val="bottom"/>
            <w:shd w:val="clear" w:color="auto" w:fill="CCEEFF"/>
          </w:tcPr>
          <w:p>
            <w:pPr>
              <w:ind w:left="20"/>
              <w:spacing w:after="0" w:line="224" w:lineRule="exact"/>
              <w:rPr>
                <w:sz w:val="20"/>
                <w:szCs w:val="20"/>
                <w:color w:val="auto"/>
              </w:rPr>
            </w:pPr>
            <w:r>
              <w:rPr>
                <w:rFonts w:ascii="Arial" w:cs="Arial" w:eastAsia="Arial" w:hAnsi="Arial"/>
                <w:sz w:val="15"/>
                <w:szCs w:val="15"/>
                <w:color w:val="auto"/>
              </w:rPr>
              <w:t>Twitter, Inc.</w:t>
            </w:r>
            <w:r>
              <w:rPr>
                <w:rFonts w:ascii="Arial" w:cs="Arial" w:eastAsia="Arial" w:hAnsi="Arial"/>
                <w:sz w:val="22"/>
                <w:szCs w:val="22"/>
                <w:color w:val="auto"/>
                <w:vertAlign w:val="superscript"/>
              </w:rPr>
              <w:t>(2)</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(4,254,018)</w:t>
            </w: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SugarCRM,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(3,866,388)</w:t>
            </w:r>
          </w:p>
        </w:tc>
      </w:tr>
      <w:tr>
        <w:trPr>
          <w:trHeight w:val="224"/>
        </w:trPr>
        <w:tc>
          <w:tcPr>
            <w:tcW w:w="1040" w:type="dxa"/>
            <w:vAlign w:val="bottom"/>
          </w:tcPr>
          <w:p>
            <w:pPr>
              <w:spacing w:after="0"/>
              <w:rPr>
                <w:sz w:val="19"/>
                <w:szCs w:val="19"/>
                <w:color w:val="auto"/>
              </w:rPr>
            </w:pPr>
          </w:p>
        </w:tc>
        <w:tc>
          <w:tcPr>
            <w:tcW w:w="2120" w:type="dxa"/>
            <w:vAlign w:val="bottom"/>
            <w:shd w:val="clear" w:color="auto" w:fill="CCEEFF"/>
          </w:tcPr>
          <w:p>
            <w:pPr>
              <w:ind w:left="20"/>
              <w:spacing w:after="0" w:line="224" w:lineRule="exact"/>
              <w:rPr>
                <w:sz w:val="20"/>
                <w:szCs w:val="20"/>
                <w:color w:val="auto"/>
              </w:rPr>
            </w:pPr>
            <w:r>
              <w:rPr>
                <w:rFonts w:ascii="Arial" w:cs="Arial" w:eastAsia="Arial" w:hAnsi="Arial"/>
                <w:sz w:val="15"/>
                <w:szCs w:val="15"/>
                <w:color w:val="auto"/>
              </w:rPr>
              <w:t>Lyft, Inc.</w:t>
            </w:r>
            <w:r>
              <w:rPr>
                <w:rFonts w:ascii="Arial" w:cs="Arial" w:eastAsia="Arial" w:hAnsi="Arial"/>
                <w:sz w:val="22"/>
                <w:szCs w:val="22"/>
                <w:color w:val="auto"/>
                <w:vertAlign w:val="superscript"/>
              </w:rPr>
              <w:t>(2)</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(3,305,991)</w:t>
            </w:r>
          </w:p>
        </w:tc>
      </w:tr>
      <w:tr>
        <w:trPr>
          <w:trHeight w:val="190"/>
        </w:trPr>
        <w:tc>
          <w:tcPr>
            <w:tcW w:w="10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w w:val="97"/>
              </w:rPr>
              <w:t>NestGSV, Inc. (d/b/a GSV Labs,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Arial" w:cs="Arial" w:eastAsia="Arial" w:hAnsi="Arial"/>
                <w:sz w:val="15"/>
                <w:szCs w:val="15"/>
                <w:color w:val="auto"/>
              </w:rPr>
              <w:t>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(2,827,142)</w:t>
            </w:r>
          </w:p>
        </w:tc>
      </w:tr>
      <w:tr>
        <w:trPr>
          <w:trHeight w:val="218"/>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Curious.com Inc.</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(2,011,360)</w:t>
            </w:r>
          </w:p>
        </w:tc>
      </w:tr>
      <w:tr>
        <w:trPr>
          <w:trHeight w:val="190"/>
        </w:trPr>
        <w:tc>
          <w:tcPr>
            <w:tcW w:w="10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SPBRX, INC. (f/k/a GSV</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104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Arial" w:cs="Arial" w:eastAsia="Arial" w:hAnsi="Arial"/>
                <w:sz w:val="15"/>
                <w:szCs w:val="15"/>
                <w:color w:val="auto"/>
              </w:rPr>
              <w:t>Sustainability Partners,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(1,940,222)</w:t>
            </w:r>
          </w:p>
        </w:tc>
      </w:tr>
      <w:tr>
        <w:trPr>
          <w:trHeight w:val="218"/>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Ozy Media, Inc.</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5"/>
                <w:szCs w:val="15"/>
                <w:color w:val="auto"/>
              </w:rPr>
              <w:t>(1,518,995)</w:t>
            </w: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Knewton, Inc.</w:t>
            </w:r>
          </w:p>
        </w:tc>
        <w:tc>
          <w:tcPr>
            <w:tcW w:w="1200" w:type="dxa"/>
            <w:vAlign w:val="bottom"/>
            <w:gridSpan w:val="5"/>
          </w:tcPr>
          <w:p>
            <w:pPr>
              <w:jc w:val="right"/>
              <w:ind w:right="60"/>
              <w:spacing w:after="0"/>
              <w:rPr>
                <w:sz w:val="20"/>
                <w:szCs w:val="20"/>
                <w:color w:val="auto"/>
              </w:rPr>
            </w:pPr>
            <w:r>
              <w:rPr>
                <w:rFonts w:ascii="Arial" w:cs="Arial" w:eastAsia="Arial" w:hAnsi="Arial"/>
                <w:sz w:val="15"/>
                <w:szCs w:val="15"/>
                <w:color w:val="auto"/>
              </w:rPr>
              <w:t>(1,171,677)</w:t>
            </w:r>
          </w:p>
        </w:tc>
      </w:tr>
      <w:tr>
        <w:trPr>
          <w:trHeight w:val="212"/>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Strategic Data Command, LLC</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1,050,905</w:t>
            </w:r>
          </w:p>
        </w:tc>
        <w:tc>
          <w:tcPr>
            <w:tcW w:w="100" w:type="dxa"/>
            <w:vAlign w:val="bottom"/>
            <w:shd w:val="clear" w:color="auto" w:fill="CCEEFF"/>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General Assembly Space, Inc.</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2,225,392</w:t>
            </w:r>
          </w:p>
        </w:tc>
        <w:tc>
          <w:tcPr>
            <w:tcW w:w="100" w:type="dxa"/>
            <w:vAlign w:val="bottom"/>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Spotify Technology S.A.</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2,711,991</w:t>
            </w:r>
          </w:p>
        </w:tc>
        <w:tc>
          <w:tcPr>
            <w:tcW w:w="100" w:type="dxa"/>
            <w:vAlign w:val="bottom"/>
            <w:shd w:val="clear" w:color="auto" w:fill="CCEEFF"/>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JAMF Holdings, Inc.</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3,133,955</w:t>
            </w:r>
          </w:p>
        </w:tc>
        <w:tc>
          <w:tcPr>
            <w:tcW w:w="100" w:type="dxa"/>
            <w:vAlign w:val="bottom"/>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Course Hero, Inc.</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5,532,303</w:t>
            </w:r>
          </w:p>
        </w:tc>
        <w:tc>
          <w:tcPr>
            <w:tcW w:w="100" w:type="dxa"/>
            <w:vAlign w:val="bottom"/>
            <w:shd w:val="clear" w:color="auto" w:fill="CCEEFF"/>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2120" w:type="dxa"/>
            <w:vAlign w:val="bottom"/>
          </w:tcPr>
          <w:p>
            <w:pPr>
              <w:ind w:left="20"/>
              <w:spacing w:after="0" w:line="223" w:lineRule="exact"/>
              <w:rPr>
                <w:sz w:val="20"/>
                <w:szCs w:val="20"/>
                <w:color w:val="auto"/>
              </w:rPr>
            </w:pPr>
            <w:r>
              <w:rPr>
                <w:rFonts w:ascii="Arial" w:cs="Arial" w:eastAsia="Arial" w:hAnsi="Arial"/>
                <w:sz w:val="15"/>
                <w:szCs w:val="15"/>
                <w:color w:val="auto"/>
              </w:rPr>
              <w:t>Gilt Groupe Holdings, Inc.</w:t>
            </w:r>
            <w:r>
              <w:rPr>
                <w:rFonts w:ascii="Arial" w:cs="Arial" w:eastAsia="Arial" w:hAnsi="Arial"/>
                <w:sz w:val="22"/>
                <w:szCs w:val="22"/>
                <w:color w:val="auto"/>
                <w:vertAlign w:val="superscript"/>
              </w:rPr>
              <w:t>(2)</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6,055,046</w:t>
            </w:r>
          </w:p>
        </w:tc>
        <w:tc>
          <w:tcPr>
            <w:tcW w:w="100" w:type="dxa"/>
            <w:vAlign w:val="bottom"/>
          </w:tcPr>
          <w:p>
            <w:pPr>
              <w:spacing w:after="0"/>
              <w:rPr>
                <w:sz w:val="19"/>
                <w:szCs w:val="19"/>
                <w:color w:val="auto"/>
              </w:rPr>
            </w:pPr>
          </w:p>
        </w:tc>
      </w:tr>
      <w:tr>
        <w:trPr>
          <w:trHeight w:val="234"/>
        </w:trPr>
        <w:tc>
          <w:tcPr>
            <w:tcW w:w="1040" w:type="dxa"/>
            <w:vAlign w:val="bottom"/>
          </w:tcPr>
          <w:p>
            <w:pPr>
              <w:spacing w:after="0"/>
              <w:rPr>
                <w:sz w:val="20"/>
                <w:szCs w:val="20"/>
                <w:color w:val="auto"/>
              </w:rPr>
            </w:pPr>
          </w:p>
        </w:tc>
        <w:tc>
          <w:tcPr>
            <w:tcW w:w="2120" w:type="dxa"/>
            <w:vAlign w:val="bottom"/>
            <w:shd w:val="clear" w:color="auto" w:fill="CCEEFF"/>
          </w:tcPr>
          <w:p>
            <w:pPr>
              <w:ind w:left="20"/>
              <w:spacing w:after="0" w:line="234" w:lineRule="exact"/>
              <w:rPr>
                <w:sz w:val="20"/>
                <w:szCs w:val="20"/>
                <w:color w:val="auto"/>
              </w:rPr>
            </w:pPr>
            <w:r>
              <w:rPr>
                <w:rFonts w:ascii="Arial" w:cs="Arial" w:eastAsia="Arial" w:hAnsi="Arial"/>
                <w:sz w:val="15"/>
                <w:szCs w:val="15"/>
                <w:color w:val="auto"/>
              </w:rPr>
              <w:t>Other</w:t>
            </w:r>
            <w:r>
              <w:rPr>
                <w:rFonts w:ascii="Arial" w:cs="Arial" w:eastAsia="Arial" w:hAnsi="Arial"/>
                <w:sz w:val="22"/>
                <w:szCs w:val="22"/>
                <w:color w:val="auto"/>
                <w:vertAlign w:val="superscript"/>
              </w:rPr>
              <w:t>(3)</w:t>
            </w:r>
          </w:p>
        </w:tc>
        <w:tc>
          <w:tcPr>
            <w:tcW w:w="240" w:type="dxa"/>
            <w:vAlign w:val="bottom"/>
            <w:gridSpan w:val="2"/>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124,066</w:t>
            </w:r>
          </w:p>
        </w:tc>
        <w:tc>
          <w:tcPr>
            <w:tcW w:w="100" w:type="dxa"/>
            <w:vAlign w:val="bottom"/>
            <w:shd w:val="clear" w:color="auto" w:fill="CCEEFF"/>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r>
      <w:tr>
        <w:trPr>
          <w:trHeight w:val="203"/>
        </w:trPr>
        <w:tc>
          <w:tcPr>
            <w:tcW w:w="104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w w:val="90"/>
              </w:rPr>
              <w:t>$ (73,213,845)</w:t>
            </w:r>
          </w:p>
        </w:tc>
      </w:tr>
      <w:tr>
        <w:trPr>
          <w:trHeight w:val="20"/>
        </w:trPr>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163195</wp:posOffset>
            </wp:positionV>
            <wp:extent cx="102044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0445" cy="698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-3754755</wp:posOffset>
            </wp:positionV>
            <wp:extent cx="9906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Net Change in</w:t>
            </w:r>
          </w:p>
        </w:tc>
      </w:tr>
      <w:tr>
        <w:trPr>
          <w:trHeight w:val="134"/>
        </w:trPr>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2"/>
              </w:rPr>
              <w:t>Unrealized</w:t>
            </w:r>
          </w:p>
        </w:tc>
      </w:tr>
      <w:tr>
        <w:trPr>
          <w:trHeight w:val="134"/>
        </w:trPr>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00"/>
              <w:spacing w:after="0" w:line="134" w:lineRule="exact"/>
              <w:rPr>
                <w:sz w:val="20"/>
                <w:szCs w:val="20"/>
                <w:color w:val="auto"/>
              </w:rPr>
            </w:pPr>
            <w:r>
              <w:rPr>
                <w:rFonts w:ascii="Arial" w:cs="Arial" w:eastAsia="Arial" w:hAnsi="Arial"/>
                <w:sz w:val="12"/>
                <w:szCs w:val="12"/>
                <w:b w:val="1"/>
                <w:bCs w:val="1"/>
                <w:color w:val="auto"/>
                <w:w w:val="91"/>
              </w:rPr>
              <w:t>Appreciation/</w:t>
            </w:r>
          </w:p>
        </w:tc>
      </w:tr>
      <w:tr>
        <w:trPr>
          <w:trHeight w:val="134"/>
        </w:trPr>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9"/>
              </w:rPr>
              <w:t>(Depreciation)</w:t>
            </w:r>
          </w:p>
        </w:tc>
      </w:tr>
      <w:tr>
        <w:trPr>
          <w:trHeight w:val="134"/>
        </w:trPr>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right="40"/>
              <w:spacing w:after="0" w:line="134" w:lineRule="exact"/>
              <w:rPr>
                <w:sz w:val="20"/>
                <w:szCs w:val="20"/>
                <w:color w:val="auto"/>
              </w:rPr>
            </w:pPr>
            <w:r>
              <w:rPr>
                <w:rFonts w:ascii="Arial" w:cs="Arial" w:eastAsia="Arial" w:hAnsi="Arial"/>
                <w:sz w:val="12"/>
                <w:szCs w:val="12"/>
                <w:b w:val="1"/>
                <w:bCs w:val="1"/>
                <w:color w:val="auto"/>
                <w:w w:val="90"/>
              </w:rPr>
              <w:t>For the Year Ended</w:t>
            </w:r>
          </w:p>
        </w:tc>
      </w:tr>
      <w:tr>
        <w:trPr>
          <w:trHeight w:val="152"/>
        </w:trPr>
        <w:tc>
          <w:tcPr>
            <w:tcW w:w="2280" w:type="dxa"/>
            <w:vAlign w:val="bottom"/>
            <w:gridSpan w:val="2"/>
          </w:tcPr>
          <w:p>
            <w:pPr>
              <w:ind w:left="20"/>
              <w:spacing w:after="0"/>
              <w:rPr>
                <w:sz w:val="20"/>
                <w:szCs w:val="20"/>
                <w:color w:val="auto"/>
              </w:rPr>
            </w:pPr>
            <w:r>
              <w:rPr>
                <w:rFonts w:ascii="Arial" w:cs="Arial" w:eastAsia="Arial" w:hAnsi="Arial"/>
                <w:sz w:val="12"/>
                <w:szCs w:val="12"/>
                <w:b w:val="1"/>
                <w:bCs w:val="1"/>
                <w:color w:val="auto"/>
              </w:rPr>
              <w:t>Portfolio Company</w:t>
            </w:r>
          </w:p>
        </w:tc>
        <w:tc>
          <w:tcPr>
            <w:tcW w:w="10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December 31, 2015</w:t>
            </w:r>
          </w:p>
        </w:tc>
      </w:tr>
      <w:tr>
        <w:trPr>
          <w:trHeight w:val="22"/>
        </w:trPr>
        <w:tc>
          <w:tcPr>
            <w:tcW w:w="2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4"/>
        </w:trPr>
        <w:tc>
          <w:tcPr>
            <w:tcW w:w="2120" w:type="dxa"/>
            <w:vAlign w:val="bottom"/>
            <w:shd w:val="clear" w:color="auto" w:fill="CCEEFF"/>
          </w:tcPr>
          <w:p>
            <w:pPr>
              <w:ind w:left="20"/>
              <w:spacing w:after="0" w:line="214" w:lineRule="exact"/>
              <w:rPr>
                <w:sz w:val="20"/>
                <w:szCs w:val="20"/>
                <w:color w:val="auto"/>
              </w:rPr>
            </w:pPr>
            <w:r>
              <w:rPr>
                <w:rFonts w:ascii="Arial" w:cs="Arial" w:eastAsia="Arial" w:hAnsi="Arial"/>
                <w:sz w:val="15"/>
                <w:szCs w:val="15"/>
                <w:color w:val="auto"/>
              </w:rPr>
              <w:t>2U, Inc. (f/k/a 2tor, Inc.)</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8"/>
              </w:rPr>
              <w:t>$ (13,310,392)</w:t>
            </w:r>
          </w:p>
        </w:tc>
      </w:tr>
      <w:tr>
        <w:trPr>
          <w:trHeight w:val="212"/>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Palantir Technologies, Inc.</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10,877,933</w:t>
            </w:r>
          </w:p>
        </w:tc>
      </w:tr>
      <w:tr>
        <w:trPr>
          <w:trHeight w:val="21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Dataminr, Inc.</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7,443,644</w:t>
            </w:r>
          </w:p>
        </w:tc>
      </w:tr>
      <w:tr>
        <w:trPr>
          <w:trHeight w:val="212"/>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Lyft, Inc.</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6,466,730</w:t>
            </w:r>
          </w:p>
        </w:tc>
      </w:tr>
      <w:tr>
        <w:trPr>
          <w:trHeight w:val="224"/>
        </w:trPr>
        <w:tc>
          <w:tcPr>
            <w:tcW w:w="22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5"/>
                <w:szCs w:val="15"/>
                <w:color w:val="auto"/>
              </w:rPr>
              <w:t>Totus Solutions, Inc.</w:t>
            </w:r>
            <w:r>
              <w:rPr>
                <w:rFonts w:ascii="Arial" w:cs="Arial" w:eastAsia="Arial" w:hAnsi="Arial"/>
                <w:sz w:val="22"/>
                <w:szCs w:val="22"/>
                <w:color w:val="auto"/>
                <w:vertAlign w:val="superscript"/>
              </w:rPr>
              <w:t>(1)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5,894,116</w:t>
            </w:r>
          </w:p>
        </w:tc>
      </w:tr>
      <w:tr>
        <w:trPr>
          <w:trHeight w:val="212"/>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General Assembly Space, Inc.</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5,395,948</w:t>
            </w:r>
          </w:p>
        </w:tc>
      </w:tr>
      <w:tr>
        <w:trPr>
          <w:trHeight w:val="224"/>
        </w:trPr>
        <w:tc>
          <w:tcPr>
            <w:tcW w:w="22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5"/>
                <w:szCs w:val="15"/>
                <w:color w:val="auto"/>
              </w:rPr>
              <w:t>Dailybreak, Inc.</w:t>
            </w:r>
            <w:r>
              <w:rPr>
                <w:rFonts w:ascii="Arial" w:cs="Arial" w:eastAsia="Arial" w:hAnsi="Arial"/>
                <w:sz w:val="22"/>
                <w:szCs w:val="22"/>
                <w:color w:val="auto"/>
                <w:vertAlign w:val="superscript"/>
              </w:rPr>
              <w:t>(1)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2,857,204</w:t>
            </w:r>
          </w:p>
        </w:tc>
      </w:tr>
      <w:tr>
        <w:trPr>
          <w:trHeight w:val="223"/>
        </w:trPr>
        <w:tc>
          <w:tcPr>
            <w:tcW w:w="228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The rSmart Group, Inc.</w:t>
            </w:r>
            <w:r>
              <w:rPr>
                <w:rFonts w:ascii="Arial" w:cs="Arial" w:eastAsia="Arial" w:hAnsi="Arial"/>
                <w:sz w:val="22"/>
                <w:szCs w:val="22"/>
                <w:color w:val="auto"/>
                <w:vertAlign w:val="superscript"/>
              </w:rPr>
              <w:t>(1)</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1,074,654</w:t>
            </w:r>
          </w:p>
        </w:tc>
      </w:tr>
      <w:tr>
        <w:trPr>
          <w:trHeight w:val="19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Circle Media (f/k/a S3 Digital</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0"/>
        </w:trPr>
        <w:tc>
          <w:tcPr>
            <w:tcW w:w="22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Corp. (d/b/a S3i))</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(1,050,872)</w:t>
            </w:r>
          </w:p>
        </w:tc>
      </w:tr>
      <w:tr>
        <w:trPr>
          <w:trHeight w:val="212"/>
        </w:trPr>
        <w:tc>
          <w:tcPr>
            <w:tcW w:w="2280" w:type="dxa"/>
            <w:vAlign w:val="bottom"/>
            <w:gridSpan w:val="2"/>
          </w:tcPr>
          <w:p>
            <w:pPr>
              <w:ind w:left="20"/>
              <w:spacing w:after="0"/>
              <w:rPr>
                <w:sz w:val="20"/>
                <w:szCs w:val="20"/>
                <w:color w:val="auto"/>
              </w:rPr>
            </w:pPr>
            <w:r>
              <w:rPr>
                <w:rFonts w:ascii="Arial" w:cs="Arial" w:eastAsia="Arial" w:hAnsi="Arial"/>
                <w:sz w:val="15"/>
                <w:szCs w:val="15"/>
                <w:color w:val="auto"/>
              </w:rPr>
              <w:t>Gilt Groupe Holdings, Inc.</w:t>
            </w:r>
          </w:p>
        </w:tc>
        <w:tc>
          <w:tcPr>
            <w:tcW w:w="1040" w:type="dxa"/>
            <w:vAlign w:val="bottom"/>
            <w:gridSpan w:val="3"/>
          </w:tcPr>
          <w:p>
            <w:pPr>
              <w:jc w:val="right"/>
              <w:ind w:right="60"/>
              <w:spacing w:after="0"/>
              <w:rPr>
                <w:sz w:val="20"/>
                <w:szCs w:val="20"/>
                <w:color w:val="auto"/>
              </w:rPr>
            </w:pPr>
            <w:r>
              <w:rPr>
                <w:rFonts w:ascii="Arial" w:cs="Arial" w:eastAsia="Arial" w:hAnsi="Arial"/>
                <w:sz w:val="15"/>
                <w:szCs w:val="15"/>
                <w:color w:val="auto"/>
              </w:rPr>
              <w:t>(2,628,721)</w:t>
            </w:r>
          </w:p>
        </w:tc>
      </w:tr>
      <w:tr>
        <w:trPr>
          <w:trHeight w:val="21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Dropbox, Inc.</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(2,836,295)</w:t>
            </w:r>
          </w:p>
        </w:tc>
      </w:tr>
      <w:tr>
        <w:trPr>
          <w:trHeight w:val="190"/>
        </w:trPr>
        <w:tc>
          <w:tcPr>
            <w:tcW w:w="2280" w:type="dxa"/>
            <w:vAlign w:val="bottom"/>
            <w:gridSpan w:val="2"/>
          </w:tcPr>
          <w:p>
            <w:pPr>
              <w:ind w:left="20"/>
              <w:spacing w:after="0"/>
              <w:rPr>
                <w:sz w:val="20"/>
                <w:szCs w:val="20"/>
                <w:color w:val="auto"/>
              </w:rPr>
            </w:pPr>
            <w:r>
              <w:rPr>
                <w:rFonts w:ascii="Arial" w:cs="Arial" w:eastAsia="Arial" w:hAnsi="Arial"/>
                <w:sz w:val="15"/>
                <w:szCs w:val="15"/>
                <w:color w:val="auto"/>
                <w:w w:val="99"/>
              </w:rPr>
              <w:t>Orchestra One, Inc. (f/k/a Learnist</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280" w:type="dxa"/>
            <w:vAlign w:val="bottom"/>
            <w:gridSpan w:val="2"/>
          </w:tcPr>
          <w:p>
            <w:pPr>
              <w:ind w:left="160"/>
              <w:spacing w:after="0"/>
              <w:rPr>
                <w:sz w:val="20"/>
                <w:szCs w:val="20"/>
                <w:color w:val="auto"/>
              </w:rPr>
            </w:pPr>
            <w:r>
              <w:rPr>
                <w:rFonts w:ascii="Arial" w:cs="Arial" w:eastAsia="Arial" w:hAnsi="Arial"/>
                <w:sz w:val="15"/>
                <w:szCs w:val="15"/>
                <w:color w:val="auto"/>
              </w:rPr>
              <w:t>Inc.)</w:t>
            </w:r>
          </w:p>
        </w:tc>
        <w:tc>
          <w:tcPr>
            <w:tcW w:w="1040" w:type="dxa"/>
            <w:vAlign w:val="bottom"/>
            <w:gridSpan w:val="3"/>
          </w:tcPr>
          <w:p>
            <w:pPr>
              <w:jc w:val="right"/>
              <w:ind w:right="60"/>
              <w:spacing w:after="0"/>
              <w:rPr>
                <w:sz w:val="20"/>
                <w:szCs w:val="20"/>
                <w:color w:val="auto"/>
              </w:rPr>
            </w:pPr>
            <w:r>
              <w:rPr>
                <w:rFonts w:ascii="Arial" w:cs="Arial" w:eastAsia="Arial" w:hAnsi="Arial"/>
                <w:sz w:val="15"/>
                <w:szCs w:val="15"/>
                <w:color w:val="auto"/>
              </w:rPr>
              <w:t>(5,374,947)</w:t>
            </w:r>
          </w:p>
        </w:tc>
      </w:tr>
      <w:tr>
        <w:trPr>
          <w:trHeight w:val="229"/>
        </w:trPr>
        <w:tc>
          <w:tcPr>
            <w:tcW w:w="228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5"/>
                <w:szCs w:val="15"/>
                <w:color w:val="auto"/>
              </w:rPr>
              <w:t>Twitter, Inc.</w:t>
            </w:r>
            <w:r>
              <w:rPr>
                <w:rFonts w:ascii="Arial" w:cs="Arial" w:eastAsia="Arial" w:hAnsi="Arial"/>
                <w:sz w:val="22"/>
                <w:szCs w:val="22"/>
                <w:color w:val="auto"/>
                <w:vertAlign w:val="superscript"/>
              </w:rPr>
              <w:t>(2)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(25,607,941)</w:t>
            </w:r>
          </w:p>
        </w:tc>
      </w:tr>
      <w:tr>
        <w:trPr>
          <w:trHeight w:val="234"/>
        </w:trPr>
        <w:tc>
          <w:tcPr>
            <w:tcW w:w="2280" w:type="dxa"/>
            <w:vAlign w:val="bottom"/>
            <w:gridSpan w:val="2"/>
          </w:tcPr>
          <w:p>
            <w:pPr>
              <w:ind w:left="20"/>
              <w:spacing w:after="0" w:line="234" w:lineRule="exact"/>
              <w:rPr>
                <w:sz w:val="20"/>
                <w:szCs w:val="20"/>
                <w:color w:val="auto"/>
              </w:rPr>
            </w:pPr>
            <w:r>
              <w:rPr>
                <w:rFonts w:ascii="Arial" w:cs="Arial" w:eastAsia="Arial" w:hAnsi="Arial"/>
                <w:sz w:val="15"/>
                <w:szCs w:val="15"/>
                <w:color w:val="auto"/>
              </w:rPr>
              <w:t>Other</w:t>
            </w:r>
            <w:r>
              <w:rPr>
                <w:rFonts w:ascii="Arial" w:cs="Arial" w:eastAsia="Arial" w:hAnsi="Arial"/>
                <w:sz w:val="22"/>
                <w:szCs w:val="22"/>
                <w:color w:val="auto"/>
                <w:vertAlign w:val="superscript"/>
              </w:rPr>
              <w:t>(3)</w:t>
            </w:r>
          </w:p>
        </w:tc>
        <w:tc>
          <w:tcPr>
            <w:tcW w:w="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(2,623,306)</w:t>
            </w:r>
          </w:p>
        </w:tc>
      </w:tr>
      <w:tr>
        <w:trPr>
          <w:trHeight w:val="20"/>
        </w:trPr>
        <w:tc>
          <w:tcPr>
            <w:tcW w:w="2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 (13,422,245)</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-162560</wp:posOffset>
            </wp:positionV>
            <wp:extent cx="209740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97405" cy="698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-2330450</wp:posOffset>
            </wp:positionV>
            <wp:extent cx="990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443" w:lineRule="exact"/>
        <w:rPr>
          <w:sz w:val="20"/>
          <w:szCs w:val="20"/>
          <w:color w:val="auto"/>
        </w:rPr>
      </w:pPr>
    </w:p>
    <w:p>
      <w:pPr>
        <w:sectPr>
          <w:pgSz w:w="11900" w:h="16838" w:orient="portrait"/>
          <w:cols w:equalWidth="0" w:num="2">
            <w:col w:w="4360" w:space="160"/>
            <w:col w:w="5719"/>
          </w:cols>
          <w:pgMar w:left="220" w:top="134" w:right="1440" w:bottom="1440" w:gutter="0" w:footer="0" w:header="0"/>
        </w:sectPr>
      </w:pPr>
    </w:p>
    <w:p>
      <w:pPr>
        <w:spacing w:after="0" w:line="202" w:lineRule="exact"/>
        <w:rPr>
          <w:sz w:val="20"/>
          <w:szCs w:val="20"/>
          <w:color w:val="auto"/>
        </w:rPr>
      </w:pPr>
    </w:p>
    <w:p>
      <w:pPr>
        <w:ind w:left="1340" w:right="2559" w:hanging="289"/>
        <w:spacing w:after="0" w:line="270" w:lineRule="auto"/>
        <w:tabs>
          <w:tab w:leader="none" w:pos="1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change in unrealized appreciation for this investment resulted from writing off an investment that was previously reduced in value to zero.</w:t>
      </w:r>
    </w:p>
    <w:p>
      <w:pPr>
        <w:spacing w:after="0" w:line="80" w:lineRule="exact"/>
        <w:rPr>
          <w:rFonts w:ascii="Arial" w:cs="Arial" w:eastAsia="Arial" w:hAnsi="Arial"/>
          <w:sz w:val="15"/>
          <w:szCs w:val="15"/>
          <w:color w:val="auto"/>
        </w:rPr>
      </w:pPr>
    </w:p>
    <w:p>
      <w:pPr>
        <w:ind w:left="1340" w:right="2419" w:hanging="289"/>
        <w:spacing w:after="0" w:line="259" w:lineRule="auto"/>
        <w:tabs>
          <w:tab w:leader="none" w:pos="1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change in unrealized appreciation/(depreciation) reflected for these investments resulted from the full or partial sale of the relevant investment, which resulted in the reversal of previously accrued unrealized appreciation/(depreciation).</w:t>
      </w:r>
    </w:p>
    <w:p>
      <w:pPr>
        <w:spacing w:after="0" w:line="99" w:lineRule="exact"/>
        <w:rPr>
          <w:rFonts w:ascii="Arial" w:cs="Arial" w:eastAsia="Arial" w:hAnsi="Arial"/>
          <w:sz w:val="15"/>
          <w:szCs w:val="15"/>
          <w:color w:val="auto"/>
        </w:rPr>
      </w:pPr>
    </w:p>
    <w:p>
      <w:pPr>
        <w:jc w:val="both"/>
        <w:ind w:left="1340" w:right="2439" w:hanging="289"/>
        <w:spacing w:after="0" w:line="259" w:lineRule="auto"/>
        <w:tabs>
          <w:tab w:leader="none" w:pos="1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“Other” represents investments (including U.S. Treasury bills and U.S. Treasury strips) for which individual change in unrealized appreciation/(depreciation) was less than $1,000,000 for the years ended December 31, 2016 and 2015.</w:t>
      </w:r>
    </w:p>
    <w:p>
      <w:pPr>
        <w:spacing w:after="0" w:line="67" w:lineRule="exact"/>
        <w:rPr>
          <w:sz w:val="20"/>
          <w:szCs w:val="20"/>
          <w:color w:val="auto"/>
        </w:rPr>
      </w:pPr>
    </w:p>
    <w:p>
      <w:pPr>
        <w:ind w:left="1060" w:right="2559" w:firstLine="297"/>
        <w:spacing w:after="0" w:line="286" w:lineRule="auto"/>
        <w:rPr>
          <w:sz w:val="20"/>
          <w:szCs w:val="20"/>
          <w:color w:val="auto"/>
        </w:rPr>
      </w:pPr>
      <w:r>
        <w:rPr>
          <w:rFonts w:ascii="Arial" w:cs="Arial" w:eastAsia="Arial" w:hAnsi="Arial"/>
          <w:sz w:val="14"/>
          <w:szCs w:val="14"/>
          <w:color w:val="auto"/>
        </w:rPr>
        <w:t>For the year ended December 31, 2017, we recognized a net benefit from taxes on unrealized appreciation/depreciation of investments of $2,757,070, compared to our recognition of a benefit from taxes of $2,116,784 on unrealized depreciation of investments for the year ended December 31, 2016.</w:t>
      </w:r>
    </w:p>
    <w:p>
      <w:pPr>
        <w:spacing w:after="0" w:line="18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type w:val="continuous"/>
        </w:sectPr>
      </w:pPr>
    </w:p>
    <w:bookmarkStart w:id="69" w:name="page70"/>
    <w:bookmarkEnd w:id="69"/>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99"/>
        <w:spacing w:after="0" w:line="299" w:lineRule="auto"/>
        <w:rPr>
          <w:sz w:val="20"/>
          <w:szCs w:val="20"/>
          <w:color w:val="auto"/>
        </w:rPr>
      </w:pPr>
      <w:r>
        <w:rPr>
          <w:rFonts w:ascii="Arial" w:cs="Arial" w:eastAsia="Arial" w:hAnsi="Arial"/>
          <w:sz w:val="13"/>
          <w:szCs w:val="13"/>
          <w:color w:val="auto"/>
        </w:rPr>
        <w:t>Despite unrealized appreciation of our portfolio investments between periods, which would typically result in a provision for taxes, our net benefit from taxes on unrealized appreciation/depreciation of investments for fiscal year 2017 was significantly impacted by the U.S. tax reform legislation signed into law in December 2017 that reduced corporate income tax rates and ultimately reduced the amount of our deferred tax liabilities. Our accrual for deferred tax liabilities is made up of: the built-in gains tax, taxes related to book and tax basis differences of certain equity investments, and net operating losses held by the GSVC Holdings.</w:t>
      </w:r>
    </w:p>
    <w:p>
      <w:pPr>
        <w:spacing w:after="0" w:line="43" w:lineRule="exact"/>
        <w:rPr>
          <w:sz w:val="20"/>
          <w:szCs w:val="20"/>
          <w:color w:val="auto"/>
        </w:rPr>
      </w:pPr>
    </w:p>
    <w:p>
      <w:pPr>
        <w:ind w:left="1060" w:right="2499" w:firstLine="297"/>
        <w:spacing w:after="0" w:line="254" w:lineRule="auto"/>
        <w:rPr>
          <w:sz w:val="20"/>
          <w:szCs w:val="20"/>
          <w:color w:val="auto"/>
        </w:rPr>
      </w:pPr>
      <w:r>
        <w:rPr>
          <w:rFonts w:ascii="Arial" w:cs="Arial" w:eastAsia="Arial" w:hAnsi="Arial"/>
          <w:sz w:val="15"/>
          <w:szCs w:val="15"/>
          <w:color w:val="auto"/>
        </w:rPr>
        <w:t>For the year ended December 31, 2016, we recognized a benefit from taxes on unrealized depreciation of investments of $2,116,784, compared to our recognition of a benefit from taxes of $16,058,080 on unrealized depreciation of investments for the year ended December 31, 2015. Our benefit from taxes on unrealized depreciation of investments decreased between periods due to our election to be treated as a RIC, which resulted in no accrual of new tax benefits.</w:t>
      </w:r>
    </w:p>
    <w:p>
      <w:pPr>
        <w:spacing w:after="0" w:line="69" w:lineRule="exact"/>
        <w:rPr>
          <w:sz w:val="20"/>
          <w:szCs w:val="20"/>
          <w:color w:val="auto"/>
        </w:rPr>
      </w:pPr>
    </w:p>
    <w:p>
      <w:pPr>
        <w:ind w:left="1060" w:right="2439" w:firstLine="297"/>
        <w:spacing w:after="0" w:line="302" w:lineRule="auto"/>
        <w:rPr>
          <w:sz w:val="20"/>
          <w:szCs w:val="20"/>
          <w:color w:val="auto"/>
        </w:rPr>
      </w:pPr>
      <w:r>
        <w:rPr>
          <w:rFonts w:ascii="Arial" w:cs="Arial" w:eastAsia="Arial" w:hAnsi="Arial"/>
          <w:sz w:val="13"/>
          <w:szCs w:val="13"/>
          <w:color w:val="auto"/>
        </w:rPr>
        <w:t>For the year ended December 31, 2015, we recognized a benefit from taxes of $16,058,080 on unrealized depreciation of investments.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1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Liquidity and Capital Resources</w:t>
      </w:r>
    </w:p>
    <w:p>
      <w:pPr>
        <w:spacing w:after="0" w:line="88" w:lineRule="exact"/>
        <w:rPr>
          <w:sz w:val="20"/>
          <w:szCs w:val="20"/>
          <w:color w:val="auto"/>
        </w:rPr>
      </w:pPr>
    </w:p>
    <w:p>
      <w:pPr>
        <w:ind w:left="1060" w:right="2459" w:firstLine="297"/>
        <w:spacing w:after="0" w:line="271" w:lineRule="auto"/>
        <w:rPr>
          <w:sz w:val="20"/>
          <w:szCs w:val="20"/>
          <w:color w:val="auto"/>
        </w:rPr>
      </w:pPr>
      <w:r>
        <w:rPr>
          <w:rFonts w:ascii="Arial" w:cs="Arial" w:eastAsia="Arial" w:hAnsi="Arial"/>
          <w:sz w:val="14"/>
          <w:szCs w:val="14"/>
          <w:color w:val="auto"/>
        </w:rPr>
        <w:t>Our liquidity and capital resources are generated primarily from the sales of our investments and advances from any credit facility from which we may borrow. For example, prior to its expiration in accordance with its terms on December 31, 2016, we generated liquidity and capital resources from the SVB Credit Facility. In addition, on May 31, 2017, we entered into the Loan Agreement which provides us with a $12.0 million Credit Facility that matures on the later of (i) August 15, 2018 or (ii) 30 days prior to the due date of the Convertible Senior Notes, which mature on September 15, 2018. In management’s view, we have sufficient liquidity and capital resources to pay our operating expenses and conduct investment activities. With regard to the Convertible Senior Notes, which mature on September 15, 2018, we are actively managing our liquidity in anticipation of meeting our obligations thereunder.</w:t>
      </w:r>
    </w:p>
    <w:p>
      <w:pPr>
        <w:spacing w:after="0" w:line="60" w:lineRule="exact"/>
        <w:rPr>
          <w:sz w:val="20"/>
          <w:szCs w:val="20"/>
          <w:color w:val="auto"/>
        </w:rPr>
      </w:pPr>
    </w:p>
    <w:p>
      <w:pPr>
        <w:ind w:left="1060" w:right="2439" w:firstLine="297"/>
        <w:spacing w:after="0" w:line="286" w:lineRule="auto"/>
        <w:rPr>
          <w:sz w:val="20"/>
          <w:szCs w:val="20"/>
          <w:color w:val="auto"/>
        </w:rPr>
      </w:pPr>
      <w:r>
        <w:rPr>
          <w:rFonts w:ascii="Arial" w:cs="Arial" w:eastAsia="Arial" w:hAnsi="Arial"/>
          <w:sz w:val="14"/>
          <w:szCs w:val="14"/>
          <w:color w:val="auto"/>
        </w:rPr>
        <w:t>Our primary uses of cash are to make investments, pay our operating expenses and make distributions to our stockholders. For the years ended December 31, 2017, 2016 and 2015, our operating expenses, net of any management fee waiver, were $21,731,583, $1,999,646, and $26,978,235, respectively.</w:t>
      </w:r>
    </w:p>
    <w:p>
      <w:pPr>
        <w:spacing w:after="0" w:line="72"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December 31,</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52"/>
        </w:trPr>
        <w:tc>
          <w:tcPr>
            <w:tcW w:w="4180" w:type="dxa"/>
            <w:vAlign w:val="bottom"/>
            <w:gridSpan w:val="3"/>
          </w:tcPr>
          <w:p>
            <w:pPr>
              <w:ind w:left="20"/>
              <w:spacing w:after="0"/>
              <w:rPr>
                <w:sz w:val="20"/>
                <w:szCs w:val="20"/>
                <w:color w:val="auto"/>
              </w:rPr>
            </w:pPr>
            <w:r>
              <w:rPr>
                <w:rFonts w:ascii="Arial" w:cs="Arial" w:eastAsia="Arial" w:hAnsi="Arial"/>
                <w:sz w:val="12"/>
                <w:szCs w:val="12"/>
                <w:b w:val="1"/>
                <w:bCs w:val="1"/>
                <w:color w:val="auto"/>
              </w:rPr>
              <w:t>Cash Reserves and Liquid Securities</w:t>
            </w:r>
          </w:p>
        </w:tc>
        <w:tc>
          <w:tcPr>
            <w:tcW w:w="740" w:type="dxa"/>
            <w:vAlign w:val="bottom"/>
          </w:tcPr>
          <w:p>
            <w:pPr>
              <w:jc w:val="right"/>
              <w:ind w:right="189"/>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88"/>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3"/>
                <w:szCs w:val="13"/>
                <w:color w:val="auto"/>
              </w:rPr>
            </w:pPr>
          </w:p>
        </w:tc>
        <w:tc>
          <w:tcPr>
            <w:tcW w:w="760" w:type="dxa"/>
            <w:vAlign w:val="bottom"/>
          </w:tcPr>
          <w:p>
            <w:pPr>
              <w:jc w:val="right"/>
              <w:ind w:right="189"/>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2"/>
        </w:trPr>
        <w:tc>
          <w:tcPr>
            <w:tcW w:w="16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$59,838,600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8,332,634</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$13,349,877</w:t>
            </w:r>
          </w:p>
        </w:tc>
        <w:tc>
          <w:tcPr>
            <w:tcW w:w="0" w:type="dxa"/>
            <w:vAlign w:val="bottom"/>
          </w:tcPr>
          <w:p>
            <w:pPr>
              <w:spacing w:after="0"/>
              <w:rPr>
                <w:sz w:val="1"/>
                <w:szCs w:val="1"/>
                <w:color w:val="auto"/>
              </w:rPr>
            </w:pPr>
          </w:p>
        </w:tc>
      </w:tr>
      <w:tr>
        <w:trPr>
          <w:trHeight w:val="223"/>
        </w:trPr>
        <w:tc>
          <w:tcPr>
            <w:tcW w:w="4180" w:type="dxa"/>
            <w:vAlign w:val="bottom"/>
            <w:gridSpan w:val="3"/>
          </w:tcPr>
          <w:p>
            <w:pPr>
              <w:ind w:left="20"/>
              <w:spacing w:after="0" w:line="223" w:lineRule="exact"/>
              <w:rPr>
                <w:sz w:val="20"/>
                <w:szCs w:val="20"/>
                <w:color w:val="auto"/>
              </w:rPr>
            </w:pPr>
            <w:r>
              <w:rPr>
                <w:rFonts w:ascii="Arial" w:cs="Arial" w:eastAsia="Arial" w:hAnsi="Arial"/>
                <w:sz w:val="15"/>
                <w:szCs w:val="15"/>
                <w:color w:val="auto"/>
              </w:rPr>
              <w:t>Borrowing availability under the Credit Facility</w:t>
            </w:r>
            <w:r>
              <w:rPr>
                <w:rFonts w:ascii="Arial" w:cs="Arial" w:eastAsia="Arial" w:hAnsi="Arial"/>
                <w:sz w:val="22"/>
                <w:szCs w:val="22"/>
                <w:color w:val="auto"/>
                <w:vertAlign w:val="superscript"/>
              </w:rPr>
              <w:t>(1)</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12,000,000</w:t>
            </w:r>
          </w:p>
        </w:tc>
        <w:tc>
          <w:tcPr>
            <w:tcW w:w="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18,000,000</w:t>
            </w:r>
          </w:p>
        </w:tc>
        <w:tc>
          <w:tcPr>
            <w:tcW w:w="0" w:type="dxa"/>
            <w:vAlign w:val="bottom"/>
          </w:tcPr>
          <w:p>
            <w:pPr>
              <w:spacing w:after="0"/>
              <w:rPr>
                <w:sz w:val="1"/>
                <w:szCs w:val="1"/>
                <w:color w:val="auto"/>
              </w:rPr>
            </w:pPr>
          </w:p>
        </w:tc>
      </w:tr>
      <w:tr>
        <w:trPr>
          <w:trHeight w:val="212"/>
        </w:trPr>
        <w:tc>
          <w:tcPr>
            <w:tcW w:w="41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Securities of publicly traded portfolio companies: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3"/>
          </w:tcPr>
          <w:p>
            <w:pPr>
              <w:ind w:left="160"/>
              <w:spacing w:after="0" w:line="223" w:lineRule="exact"/>
              <w:rPr>
                <w:sz w:val="20"/>
                <w:szCs w:val="20"/>
                <w:color w:val="auto"/>
              </w:rPr>
            </w:pPr>
            <w:r>
              <w:rPr>
                <w:rFonts w:ascii="Arial" w:cs="Arial" w:eastAsia="Arial" w:hAnsi="Arial"/>
                <w:sz w:val="15"/>
                <w:szCs w:val="15"/>
                <w:color w:val="auto"/>
              </w:rPr>
              <w:t>Unrestricted securities</w:t>
            </w:r>
            <w:r>
              <w:rPr>
                <w:rFonts w:ascii="Arial" w:cs="Arial" w:eastAsia="Arial" w:hAnsi="Arial"/>
                <w:sz w:val="22"/>
                <w:szCs w:val="22"/>
                <w:color w:val="auto"/>
                <w:vertAlign w:val="superscript"/>
              </w:rPr>
              <w:t>(2)</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8,160,000</w:t>
            </w:r>
          </w:p>
        </w:tc>
        <w:tc>
          <w:tcPr>
            <w:tcW w:w="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8,729,005</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26,486,074</w:t>
            </w:r>
          </w:p>
        </w:tc>
        <w:tc>
          <w:tcPr>
            <w:tcW w:w="0" w:type="dxa"/>
            <w:vAlign w:val="bottom"/>
          </w:tcPr>
          <w:p>
            <w:pPr>
              <w:spacing w:after="0"/>
              <w:rPr>
                <w:sz w:val="1"/>
                <w:szCs w:val="1"/>
                <w:color w:val="auto"/>
              </w:rPr>
            </w:pPr>
          </w:p>
        </w:tc>
      </w:tr>
      <w:tr>
        <w:trPr>
          <w:trHeight w:val="234"/>
        </w:trPr>
        <w:tc>
          <w:tcPr>
            <w:tcW w:w="3980" w:type="dxa"/>
            <w:vAlign w:val="bottom"/>
            <w:gridSpan w:val="2"/>
            <w:shd w:val="clear" w:color="auto" w:fill="CCEEFF"/>
          </w:tcPr>
          <w:p>
            <w:pPr>
              <w:ind w:left="160"/>
              <w:spacing w:after="0" w:line="234" w:lineRule="exact"/>
              <w:rPr>
                <w:sz w:val="20"/>
                <w:szCs w:val="20"/>
                <w:color w:val="auto"/>
              </w:rPr>
            </w:pPr>
            <w:r>
              <w:rPr>
                <w:rFonts w:ascii="Arial" w:cs="Arial" w:eastAsia="Arial" w:hAnsi="Arial"/>
                <w:sz w:val="15"/>
                <w:szCs w:val="15"/>
                <w:color w:val="auto"/>
              </w:rPr>
              <w:t>Subject to other sales restrictions</w:t>
            </w:r>
            <w:r>
              <w:rPr>
                <w:rFonts w:ascii="Arial" w:cs="Arial" w:eastAsia="Arial" w:hAnsi="Arial"/>
                <w:sz w:val="22"/>
                <w:szCs w:val="22"/>
                <w:color w:val="auto"/>
                <w:vertAlign w:val="superscript"/>
              </w:rPr>
              <w:t>(3)</w:t>
            </w:r>
          </w:p>
        </w:tc>
        <w:tc>
          <w:tcPr>
            <w:tcW w:w="200" w:type="dxa"/>
            <w:vAlign w:val="bottom"/>
            <w:tcBorders>
              <w:right w:val="single" w:sz="8" w:color="CCEEFF"/>
            </w:tcBorders>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67,296</w:t>
            </w: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3"/>
          </w:tcPr>
          <w:p>
            <w:pPr>
              <w:ind w:left="20"/>
              <w:spacing w:after="0"/>
              <w:rPr>
                <w:sz w:val="20"/>
                <w:szCs w:val="20"/>
                <w:color w:val="auto"/>
              </w:rPr>
            </w:pPr>
            <w:r>
              <w:rPr>
                <w:rFonts w:ascii="Arial" w:cs="Arial" w:eastAsia="Arial" w:hAnsi="Arial"/>
                <w:sz w:val="15"/>
                <w:szCs w:val="15"/>
                <w:color w:val="auto"/>
              </w:rPr>
              <w:t>Total securities of publicly traded portfolio companies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8,160,000</w:t>
            </w: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8,729,005</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26,553,370</w:t>
            </w:r>
          </w:p>
        </w:tc>
        <w:tc>
          <w:tcPr>
            <w:tcW w:w="0" w:type="dxa"/>
            <w:vAlign w:val="bottom"/>
          </w:tcPr>
          <w:p>
            <w:pPr>
              <w:spacing w:after="0"/>
              <w:rPr>
                <w:sz w:val="1"/>
                <w:szCs w:val="1"/>
                <w:color w:val="auto"/>
              </w:rPr>
            </w:pPr>
          </w:p>
        </w:tc>
      </w:tr>
      <w:tr>
        <w:trPr>
          <w:trHeight w:val="20"/>
        </w:trPr>
        <w:tc>
          <w:tcPr>
            <w:tcW w:w="418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Cash Reserves and Liquid Securities</w:t>
            </w: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right w:val="single" w:sz="8" w:color="CCEEFF"/>
            </w:tcBorders>
            <w:gridSpan w:val="3"/>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79,998,600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u w:val="single" w:color="auto"/>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17,061,639</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57,903,247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62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-290195</wp:posOffset>
            </wp:positionV>
            <wp:extent cx="1206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65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-290195</wp:posOffset>
            </wp:positionV>
            <wp:extent cx="32385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00" cy="698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-1147445</wp:posOffset>
            </wp:positionV>
            <wp:extent cx="1136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-1147445</wp:posOffset>
            </wp:positionV>
            <wp:extent cx="1136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-1147445</wp:posOffset>
            </wp:positionV>
            <wp:extent cx="11366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81" w:lineRule="exact"/>
        <w:rPr>
          <w:sz w:val="20"/>
          <w:szCs w:val="20"/>
          <w:color w:val="auto"/>
        </w:rPr>
      </w:pPr>
    </w:p>
    <w:p>
      <w:pPr>
        <w:ind w:left="1340" w:right="2559" w:hanging="289"/>
        <w:spacing w:after="0" w:line="286"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Subject to leverage and borrowing base restrictions under the Credit Facility as of December 31, 2017 and under the SVB Credit Facility as of December 31, 2015. Refer to “Note 10 — Debt Capital Activities” to our consolidated financial statements as of December 31, 2017 for details.</w:t>
      </w:r>
    </w:p>
    <w:p>
      <w:pPr>
        <w:spacing w:after="0" w:line="38" w:lineRule="exact"/>
        <w:rPr>
          <w:rFonts w:ascii="Arial" w:cs="Arial" w:eastAsia="Arial" w:hAnsi="Arial"/>
          <w:sz w:val="14"/>
          <w:szCs w:val="14"/>
          <w:color w:val="auto"/>
        </w:rPr>
      </w:pPr>
    </w:p>
    <w:p>
      <w:pPr>
        <w:jc w:val="both"/>
        <w:ind w:left="1340" w:right="2519" w:hanging="289"/>
        <w:spacing w:after="0" w:line="259" w:lineRule="auto"/>
        <w:tabs>
          <w:tab w:leader="none" w:pos="13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“Unrestricted securities” represents common stock of our publicly traded companies that are not subject to any restrictions upon sale. We may incur losses if we liquidate these positions to pay operating expenses or fund new investments.</w:t>
      </w:r>
    </w:p>
    <w:p>
      <w:pPr>
        <w:spacing w:after="0" w:line="55" w:lineRule="exact"/>
        <w:rPr>
          <w:rFonts w:ascii="Arial" w:cs="Arial" w:eastAsia="Arial" w:hAnsi="Arial"/>
          <w:sz w:val="15"/>
          <w:szCs w:val="15"/>
          <w:color w:val="auto"/>
        </w:rPr>
      </w:pPr>
    </w:p>
    <w:p>
      <w:pPr>
        <w:ind w:left="1340" w:right="2459" w:hanging="289"/>
        <w:spacing w:after="0" w:line="307"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2015, this balance represents our shares of common stock of Cricket Media (f/k/a ePals Inc.). These shares were freely tradable; however, at certain times in the past, these shares</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0" w:name="page71"/>
    <w:bookmarkEnd w:id="70"/>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40" w:right="2419"/>
        <w:spacing w:after="0" w:line="259" w:lineRule="auto"/>
        <w:rPr>
          <w:sz w:val="20"/>
          <w:szCs w:val="20"/>
          <w:color w:val="auto"/>
        </w:rPr>
      </w:pPr>
      <w:r>
        <w:rPr>
          <w:rFonts w:ascii="Arial" w:cs="Arial" w:eastAsia="Arial" w:hAnsi="Arial"/>
          <w:sz w:val="15"/>
          <w:szCs w:val="15"/>
          <w:color w:val="auto"/>
        </w:rPr>
        <w:t>may have been subject to black-out periods as a result of Michael Moe’s previously held seat on the board of directors of Cricket Media (f/k/a ePals Inc.) Mr. Moe resigned from his position as a director of Cricket Media (f/k/a ePals Inc.) in May 2016.</w:t>
      </w:r>
    </w:p>
    <w:p>
      <w:pPr>
        <w:spacing w:after="0" w:line="67" w:lineRule="exact"/>
        <w:rPr>
          <w:sz w:val="20"/>
          <w:szCs w:val="20"/>
          <w:color w:val="auto"/>
        </w:rPr>
      </w:pPr>
    </w:p>
    <w:p>
      <w:pPr>
        <w:ind w:left="1060" w:right="2459" w:firstLine="297"/>
        <w:spacing w:after="0" w:line="299" w:lineRule="auto"/>
        <w:rPr>
          <w:sz w:val="20"/>
          <w:szCs w:val="20"/>
          <w:color w:val="auto"/>
        </w:rPr>
      </w:pPr>
      <w:r>
        <w:rPr>
          <w:rFonts w:ascii="Arial" w:cs="Arial" w:eastAsia="Arial" w:hAnsi="Arial"/>
          <w:sz w:val="13"/>
          <w:szCs w:val="13"/>
          <w:color w:val="auto"/>
        </w:rPr>
        <w:t>During the year ended December 31, 2017, cash increased to $59,838,600 from $8,332,634 at the beginning of the year. The increase in cash was primarily due to approximately $77.0 million in sales of our portfolio investments, which was partially offset by $5.2 million in management fees paid under the Investment Advisory Agreement, $4.9 million of share repurchases under the Share Repurchase Program, $3.6 million in interest payments on the Convertible Senior Notes, $2.0 million of audit and legal fees and $1.3 million in allocation of overhead expenses paid to GSV Capital Service Company under the Administration Agreement.</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88"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1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gridSpan w:val="16"/>
          </w:tcPr>
          <w:p>
            <w:pPr>
              <w:ind w:left="60"/>
              <w:spacing w:after="0"/>
              <w:rPr>
                <w:sz w:val="20"/>
                <w:szCs w:val="20"/>
                <w:color w:val="auto"/>
              </w:rPr>
            </w:pPr>
            <w:r>
              <w:rPr>
                <w:rFonts w:ascii="Arial" w:cs="Arial" w:eastAsia="Arial" w:hAnsi="Arial"/>
                <w:sz w:val="12"/>
                <w:szCs w:val="12"/>
                <w:b w:val="1"/>
                <w:bCs w:val="1"/>
                <w:color w:val="auto"/>
              </w:rPr>
              <w:t>Payments Due By Period (dollars in millions)</w:t>
            </w:r>
          </w:p>
        </w:tc>
      </w:tr>
      <w:tr>
        <w:trPr>
          <w:trHeight w:val="22"/>
        </w:trPr>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r>
      <w:tr>
        <w:trPr>
          <w:trHeight w:val="141"/>
        </w:trPr>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2"/>
              </w:rPr>
              <w:t>Less than</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4"/>
              </w:rPr>
              <w:t>More than</w:t>
            </w:r>
          </w:p>
        </w:tc>
      </w:tr>
      <w:tr>
        <w:trPr>
          <w:trHeight w:val="152"/>
        </w:trPr>
        <w:tc>
          <w:tcPr>
            <w:tcW w:w="1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60" w:type="dxa"/>
            <w:vAlign w:val="bottom"/>
            <w:gridSpan w:val="2"/>
          </w:tcPr>
          <w:p>
            <w:pPr>
              <w:jc w:val="right"/>
              <w:ind w:right="46"/>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3"/>
                <w:szCs w:val="13"/>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2"/>
              </w:rPr>
              <w:t>1 year</w:t>
            </w: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1 – 3 years</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3 – 5 years</w:t>
            </w:r>
          </w:p>
        </w:tc>
        <w:tc>
          <w:tcPr>
            <w:tcW w:w="5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6"/>
              </w:rPr>
              <w:t>5 years</w:t>
            </w: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4"/>
        </w:trPr>
        <w:tc>
          <w:tcPr>
            <w:tcW w:w="3480" w:type="dxa"/>
            <w:vAlign w:val="bottom"/>
            <w:tcBorders>
              <w:right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5"/>
                <w:szCs w:val="15"/>
                <w:color w:val="auto"/>
              </w:rPr>
              <w:t>Payable for securities purchased</w:t>
            </w:r>
            <w:r>
              <w:rPr>
                <w:rFonts w:ascii="Arial" w:cs="Arial" w:eastAsia="Arial" w:hAnsi="Arial"/>
                <w:sz w:val="22"/>
                <w:szCs w:val="22"/>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4"/>
              </w:rPr>
              <w:t>$—</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w w:val="94"/>
              </w:rPr>
              <w:t>$—</w:t>
            </w: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w w:val="79"/>
              </w:rPr>
              <w:t>$ —</w:t>
            </w:r>
          </w:p>
        </w:tc>
      </w:tr>
      <w:tr>
        <w:trPr>
          <w:trHeight w:val="223"/>
        </w:trPr>
        <w:tc>
          <w:tcPr>
            <w:tcW w:w="348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Credit Facility payable</w:t>
            </w:r>
            <w:r>
              <w:rPr>
                <w:rFonts w:ascii="Arial" w:cs="Arial" w:eastAsia="Arial" w:hAnsi="Arial"/>
                <w:sz w:val="22"/>
                <w:szCs w:val="22"/>
                <w:color w:val="auto"/>
                <w:vertAlign w:val="superscript"/>
              </w:rPr>
              <w:t>(2)(3)</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58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r>
      <w:tr>
        <w:trPr>
          <w:trHeight w:val="234"/>
        </w:trPr>
        <w:tc>
          <w:tcPr>
            <w:tcW w:w="3480" w:type="dxa"/>
            <w:vAlign w:val="bottom"/>
            <w:tcBorders>
              <w:right w:val="single" w:sz="8" w:color="CCEEFF"/>
            </w:tcBorders>
            <w:gridSpan w:val="2"/>
            <w:shd w:val="clear" w:color="auto" w:fill="CCEEFF"/>
          </w:tcPr>
          <w:p>
            <w:pPr>
              <w:ind w:left="20"/>
              <w:spacing w:after="0" w:line="234" w:lineRule="exact"/>
              <w:rPr>
                <w:sz w:val="20"/>
                <w:szCs w:val="20"/>
                <w:color w:val="auto"/>
              </w:rPr>
            </w:pPr>
            <w:r>
              <w:rPr>
                <w:rFonts w:ascii="Arial" w:cs="Arial" w:eastAsia="Arial" w:hAnsi="Arial"/>
                <w:sz w:val="15"/>
                <w:szCs w:val="15"/>
                <w:color w:val="auto"/>
              </w:rPr>
              <w:t>Convertible Senior Notes</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69.0</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20"/>
        </w:trPr>
        <w:tc>
          <w:tcPr>
            <w:tcW w:w="162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r>
      <w:tr>
        <w:trPr>
          <w:trHeight w:val="203"/>
        </w:trPr>
        <w:tc>
          <w:tcPr>
            <w:tcW w:w="34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158.5</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0"/>
              </w:rPr>
              <w:t>158.5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3"/>
          </w:tcPr>
          <w:p>
            <w:pPr>
              <w:jc w:val="right"/>
              <w:ind w:right="340"/>
              <w:spacing w:after="0"/>
              <w:rPr>
                <w:sz w:val="20"/>
                <w:szCs w:val="20"/>
                <w:color w:val="auto"/>
              </w:rPr>
            </w:pPr>
            <w:r>
              <w:rPr>
                <w:rFonts w:ascii="Arial" w:cs="Arial" w:eastAsia="Arial" w:hAnsi="Arial"/>
                <w:sz w:val="15"/>
                <w:szCs w:val="15"/>
                <w:color w:val="auto"/>
                <w:w w:val="94"/>
              </w:rPr>
              <w:t>$—</w:t>
            </w:r>
          </w:p>
        </w:tc>
        <w:tc>
          <w:tcPr>
            <w:tcW w:w="160" w:type="dxa"/>
            <w:vAlign w:val="bottom"/>
          </w:tcPr>
          <w:p>
            <w:pPr>
              <w:spacing w:after="0"/>
              <w:rPr>
                <w:sz w:val="17"/>
                <w:szCs w:val="17"/>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5"/>
                <w:szCs w:val="15"/>
                <w:color w:val="auto"/>
                <w:w w:val="94"/>
              </w:rPr>
              <w:t>$—</w:t>
            </w:r>
          </w:p>
        </w:tc>
        <w:tc>
          <w:tcPr>
            <w:tcW w:w="16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5"/>
                <w:szCs w:val="15"/>
                <w:color w:val="auto"/>
                <w:w w:val="79"/>
              </w:rPr>
              <w:t>$ —</w:t>
            </w:r>
          </w:p>
        </w:tc>
      </w:tr>
      <w:tr>
        <w:trPr>
          <w:trHeight w:val="20"/>
        </w:trPr>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62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-736600</wp:posOffset>
            </wp:positionV>
            <wp:extent cx="11366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-736600</wp:posOffset>
            </wp:positionV>
            <wp:extent cx="11366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-736600</wp:posOffset>
            </wp:positionV>
            <wp:extent cx="302577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25775" cy="6985"/>
                    </a:xfrm>
                    <a:prstGeom prst="rect">
                      <a:avLst/>
                    </a:prstGeom>
                    <a:noFill/>
                  </pic:spPr>
                </pic:pic>
              </a:graphicData>
            </a:graphic>
          </wp:anchor>
        </w:drawing>
      </w:r>
    </w:p>
    <w:p>
      <w:pPr>
        <w:spacing w:after="0" w:line="103" w:lineRule="exact"/>
        <w:rPr>
          <w:sz w:val="20"/>
          <w:szCs w:val="20"/>
          <w:color w:val="auto"/>
        </w:rPr>
      </w:pPr>
    </w:p>
    <w:p>
      <w:pPr>
        <w:ind w:left="1340" w:right="2519" w:hanging="289"/>
        <w:spacing w:after="0" w:line="286"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“Payable for securities purchased” relates to the purchase of the U.S. Treasury bill on margin. This balance was subsequently repaid on January 4, 2018, when the $100.0 million United States Treasury bill matured and the $10.5 million margin deposit that we posted as collateral was returned.</w:t>
      </w:r>
    </w:p>
    <w:p>
      <w:pPr>
        <w:spacing w:after="0" w:line="71" w:lineRule="exact"/>
        <w:rPr>
          <w:rFonts w:ascii="Arial" w:cs="Arial" w:eastAsia="Arial" w:hAnsi="Arial"/>
          <w:sz w:val="14"/>
          <w:szCs w:val="14"/>
          <w:color w:val="auto"/>
        </w:rPr>
      </w:pPr>
    </w:p>
    <w:p>
      <w:pPr>
        <w:ind w:left="1340" w:hanging="289"/>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total unused amount available under the Credit Facility as of December 31, 2017 was $12.0 million.</w:t>
      </w:r>
    </w:p>
    <w:p>
      <w:pPr>
        <w:spacing w:after="0" w:line="129" w:lineRule="exact"/>
        <w:rPr>
          <w:rFonts w:ascii="Arial" w:cs="Arial" w:eastAsia="Arial" w:hAnsi="Arial"/>
          <w:sz w:val="14"/>
          <w:szCs w:val="14"/>
          <w:color w:val="auto"/>
        </w:rPr>
      </w:pPr>
    </w:p>
    <w:p>
      <w:pPr>
        <w:ind w:left="1340" w:right="2999" w:hanging="289"/>
        <w:spacing w:after="0" w:line="270" w:lineRule="auto"/>
        <w:tabs>
          <w:tab w:leader="none" w:pos="1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weighted-average interest rate incurred under the Credit Facility was 0.02% for the year ended December 31, 2017.</w:t>
      </w:r>
    </w:p>
    <w:p>
      <w:pPr>
        <w:spacing w:after="0" w:line="80" w:lineRule="exact"/>
        <w:rPr>
          <w:rFonts w:ascii="Arial" w:cs="Arial" w:eastAsia="Arial" w:hAnsi="Arial"/>
          <w:sz w:val="15"/>
          <w:szCs w:val="15"/>
          <w:color w:val="auto"/>
        </w:rPr>
      </w:pPr>
    </w:p>
    <w:p>
      <w:pPr>
        <w:ind w:left="1340" w:right="2459" w:hanging="289"/>
        <w:spacing w:after="0" w:line="273"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balance shown for the Convertible Senior Notes reflects the principal balance payable to investors as of December 31, 2017. Following the expiration of the Tender Offer on January 17, 2018, approximately $4.8 million aggregate principal amount of the Convertible Senior Notes, representing approximately 7.0% of the outstanding Convertible Senior Notes, were validly tendered and not validly withdrawn pursuant to the Tender Offer. As of March 16, 2018, the balance due for our Convertible Senior Notes is approximately $64.2 million. Refer to “Note 10 — Debt Capital Activities” to our consolidated financial statements as of December 31, 2017 for more information.</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Credit Facility</w:t>
      </w:r>
    </w:p>
    <w:p>
      <w:pPr>
        <w:spacing w:after="0" w:line="84" w:lineRule="exact"/>
        <w:rPr>
          <w:sz w:val="20"/>
          <w:szCs w:val="20"/>
          <w:color w:val="auto"/>
        </w:rPr>
      </w:pPr>
    </w:p>
    <w:p>
      <w:pPr>
        <w:ind w:left="1060" w:right="2439" w:firstLine="297"/>
        <w:spacing w:after="0" w:line="251" w:lineRule="auto"/>
        <w:rPr>
          <w:sz w:val="20"/>
          <w:szCs w:val="20"/>
          <w:color w:val="auto"/>
        </w:rPr>
      </w:pPr>
      <w:r>
        <w:rPr>
          <w:rFonts w:ascii="Arial" w:cs="Arial" w:eastAsia="Arial" w:hAnsi="Arial"/>
          <w:sz w:val="15"/>
          <w:szCs w:val="15"/>
          <w:color w:val="auto"/>
        </w:rPr>
        <w:t>On May 31, 2017, we entered into the Loan Agreement with Western Alliance Bank, pursuant to which Western Alliance Bank agreed to provide us with the $12.0 million Credit Facility. The Credit Facility, among other things, matures on the later of (i) August 15, 2018 or (ii) thirty days prior to the due date of the Convertible Senior Notes, which mature on September 15, 2018. The Credit Facility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75" w:lineRule="exact"/>
        <w:rPr>
          <w:sz w:val="20"/>
          <w:szCs w:val="20"/>
          <w:color w:val="auto"/>
        </w:rPr>
      </w:pPr>
    </w:p>
    <w:p>
      <w:pPr>
        <w:ind w:left="1060" w:right="2419" w:firstLine="297"/>
        <w:spacing w:after="0" w:line="302" w:lineRule="auto"/>
        <w:rPr>
          <w:sz w:val="20"/>
          <w:szCs w:val="20"/>
          <w:color w:val="auto"/>
        </w:rPr>
      </w:pPr>
      <w:r>
        <w:rPr>
          <w:rFonts w:ascii="Arial" w:cs="Arial" w:eastAsia="Arial" w:hAnsi="Arial"/>
          <w:sz w:val="13"/>
          <w:szCs w:val="13"/>
          <w:color w:val="auto"/>
        </w:rPr>
        <w:t>We entered into a loan agreement, effective December 31, 2013, with Silicon Valley Bank to provide us with the SVB Credit Facility, which expired on December 31, 2016 in accordance with its terms. The SVB Credit Facility bore interest at a per annum rate equal to the greater of (i) the prime rate plus 4.75% or (ii) 8.0% on amounts drawn. Refer to “Note 10 — Debt Capital Activities” to our consolidated financial statements as of December 31, 2017 for more information regarding the Credit Facility and the SVB Credit Facility.</w:t>
      </w:r>
    </w:p>
    <w:p>
      <w:pPr>
        <w:spacing w:after="0" w:line="17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1" w:name="page72"/>
    <w:bookmarkEnd w:id="71"/>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Convertible Senior Notes Payable</w:t>
      </w:r>
    </w:p>
    <w:p>
      <w:pPr>
        <w:spacing w:after="0" w:line="84"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On September 17, 2013, we issued $69.0 million aggregate principal amount of the Convertible Senior Notes (including $9.0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December 31, 2017, the Convertible Senior Notes were convertible into shares of our common stock based on a conversion rate of 83.3596 shares of our common stock per $1,000 principal amount of the Convertible Senior Notes, which is equivalent to a conversion price of approximately $12.00 per share of common stock. Refer to “Note 10 — Debt Capital Activities” to our consolidated financial statements as of December 31, 2017 for more information regarding the Convertible Senior Notes.</w:t>
      </w:r>
    </w:p>
    <w:p>
      <w:pPr>
        <w:spacing w:after="0" w:line="142"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Tender Offer for Convertible Senior Notes due 2018</w:t>
      </w:r>
    </w:p>
    <w:p>
      <w:pPr>
        <w:spacing w:after="0" w:line="84" w:lineRule="exact"/>
        <w:rPr>
          <w:sz w:val="20"/>
          <w:szCs w:val="20"/>
          <w:color w:val="auto"/>
        </w:rPr>
      </w:pPr>
    </w:p>
    <w:p>
      <w:pPr>
        <w:ind w:left="1060" w:right="2439" w:firstLine="297"/>
        <w:spacing w:after="0" w:line="259" w:lineRule="auto"/>
        <w:rPr>
          <w:sz w:val="20"/>
          <w:szCs w:val="20"/>
          <w:color w:val="auto"/>
        </w:rPr>
      </w:pPr>
      <w:r>
        <w:rPr>
          <w:rFonts w:ascii="Arial" w:cs="Arial" w:eastAsia="Arial" w:hAnsi="Arial"/>
          <w:sz w:val="15"/>
          <w:szCs w:val="15"/>
          <w:color w:val="auto"/>
        </w:rPr>
        <w:t>On December 15, 2017, we announced the commencement of the Tender Offer to purchase any and all of our $69.0 million aggregate principal amount of Convertible Senior Notes. See “— Recent Developments” above for information regarding the expiration and results of the Tender Offer.</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84" w:lineRule="exact"/>
        <w:rPr>
          <w:sz w:val="20"/>
          <w:szCs w:val="20"/>
          <w:color w:val="auto"/>
        </w:rPr>
      </w:pPr>
    </w:p>
    <w:p>
      <w:pPr>
        <w:ind w:left="1060" w:right="2499" w:firstLine="297"/>
        <w:spacing w:after="0" w:line="274" w:lineRule="auto"/>
        <w:rPr>
          <w:sz w:val="20"/>
          <w:szCs w:val="20"/>
          <w:color w:val="auto"/>
        </w:rPr>
      </w:pPr>
      <w:r>
        <w:rPr>
          <w:rFonts w:ascii="Arial" w:cs="Arial" w:eastAsia="Arial" w:hAnsi="Arial"/>
          <w:sz w:val="14"/>
          <w:szCs w:val="14"/>
          <w:color w:val="auto"/>
        </w:rPr>
        <w:t>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See “— Recent Developments” above and “Market for Registrant’s Common Equity, Related Stockholder Matters and Issuer Purchases of Equity Securities” in Part II, Item 5 of this Form 10-K for more information about the Share Repurchase Program.</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84" w:lineRule="exact"/>
        <w:rPr>
          <w:sz w:val="20"/>
          <w:szCs w:val="20"/>
          <w:color w:val="auto"/>
        </w:rPr>
      </w:pPr>
    </w:p>
    <w:p>
      <w:pPr>
        <w:jc w:val="both"/>
        <w:ind w:left="1060" w:right="2659" w:firstLine="297"/>
        <w:spacing w:after="0" w:line="259" w:lineRule="auto"/>
        <w:rPr>
          <w:sz w:val="20"/>
          <w:szCs w:val="20"/>
          <w:color w:val="auto"/>
        </w:rPr>
      </w:pPr>
      <w:r>
        <w:rPr>
          <w:rFonts w:ascii="Arial" w:cs="Arial" w:eastAsia="Arial" w:hAnsi="Arial"/>
          <w:sz w:val="15"/>
          <w:szCs w:val="15"/>
          <w:color w:val="auto"/>
        </w:rPr>
        <w:t>As of December 31, 2017, we had no off-balance sheet arrangements, including any risk management of commodity pricing or other hedging practices. However, we may employ hedging and other risk management techniques in the future.</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Equity Issuances &amp; Debt Capital Activities</w:t>
      </w:r>
    </w:p>
    <w:p>
      <w:pPr>
        <w:spacing w:after="0" w:line="84" w:lineRule="exact"/>
        <w:rPr>
          <w:sz w:val="20"/>
          <w:szCs w:val="20"/>
          <w:color w:val="auto"/>
        </w:rPr>
      </w:pPr>
    </w:p>
    <w:p>
      <w:pPr>
        <w:ind w:left="1060" w:right="2579" w:firstLine="297"/>
        <w:spacing w:after="0" w:line="286" w:lineRule="auto"/>
        <w:rPr>
          <w:sz w:val="20"/>
          <w:szCs w:val="20"/>
          <w:color w:val="auto"/>
        </w:rPr>
      </w:pPr>
      <w:r>
        <w:rPr>
          <w:rFonts w:ascii="Arial" w:cs="Arial" w:eastAsia="Arial" w:hAnsi="Arial"/>
          <w:sz w:val="14"/>
          <w:szCs w:val="14"/>
          <w:color w:val="auto"/>
        </w:rPr>
        <w:t>There were no sales of our equity or debt securities during the years ended December 31, 2017, 2016 or 2015. As a result of our distribution paid on December 31, 2015, we issued 2,860,903 shares of common stock. Refer to “— Distributions” below for details of our distributions paid.</w:t>
      </w:r>
    </w:p>
    <w:p>
      <w:pPr>
        <w:spacing w:after="0" w:line="12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Distributions</w:t>
      </w:r>
    </w:p>
    <w:p>
      <w:pPr>
        <w:spacing w:after="0" w:line="84" w:lineRule="exact"/>
        <w:rPr>
          <w:sz w:val="20"/>
          <w:szCs w:val="20"/>
          <w:color w:val="auto"/>
        </w:rPr>
      </w:pPr>
    </w:p>
    <w:p>
      <w:pPr>
        <w:ind w:left="1060" w:right="2459" w:firstLine="297"/>
        <w:spacing w:after="0" w:line="254" w:lineRule="auto"/>
        <w:rPr>
          <w:sz w:val="20"/>
          <w:szCs w:val="20"/>
          <w:color w:val="auto"/>
        </w:rPr>
      </w:pPr>
      <w:r>
        <w:rPr>
          <w:rFonts w:ascii="Arial" w:cs="Arial" w:eastAsia="Arial" w:hAnsi="Arial"/>
          <w:sz w:val="15"/>
          <w:szCs w:val="15"/>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per share that we have declared since our formation through December 31, 2017.</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Critical Accounting Policies</w:t>
      </w:r>
    </w:p>
    <w:p>
      <w:pPr>
        <w:spacing w:after="0" w:line="88"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w:t>
      </w:r>
    </w:p>
    <w:p>
      <w:pPr>
        <w:spacing w:after="0" w:line="20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2" w:name="page73"/>
    <w:bookmarkEnd w:id="72"/>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60" w:right="2459"/>
        <w:spacing w:after="0" w:line="259" w:lineRule="auto"/>
        <w:rPr>
          <w:sz w:val="20"/>
          <w:szCs w:val="20"/>
          <w:color w:val="auto"/>
        </w:rPr>
      </w:pPr>
      <w:r>
        <w:rPr>
          <w:rFonts w:ascii="Arial" w:cs="Arial" w:eastAsia="Arial" w:hAnsi="Arial"/>
          <w:sz w:val="15"/>
          <w:szCs w:val="15"/>
          <w:color w:val="auto"/>
        </w:rPr>
        <w:t>actual results could differ materially from such estimates. See “Note 2 — Significant Accounting Policies” to our consolidated financial statements as of December 31, 2017 for further detail regarding our critical accounting policies and recently issued accounting pronouncements.</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Related-Party Transactions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See “Note 3 — Related-Party Arrangements” to our consolidated financial statements as of December 31,</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2017 for more information.</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Market Risk</w:t>
      </w:r>
    </w:p>
    <w:p>
      <w:pPr>
        <w:spacing w:after="0" w:line="88"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Interest Rate Risk</w:t>
      </w:r>
    </w:p>
    <w:p>
      <w:pPr>
        <w:spacing w:after="0" w:line="88" w:lineRule="exact"/>
        <w:rPr>
          <w:sz w:val="20"/>
          <w:szCs w:val="20"/>
          <w:color w:val="auto"/>
        </w:rPr>
      </w:pPr>
    </w:p>
    <w:p>
      <w:pPr>
        <w:ind w:left="1060" w:right="2479" w:firstLine="297"/>
        <w:spacing w:after="0" w:line="302" w:lineRule="auto"/>
        <w:rPr>
          <w:sz w:val="20"/>
          <w:szCs w:val="20"/>
          <w:color w:val="auto"/>
        </w:rPr>
      </w:pPr>
      <w:r>
        <w:rPr>
          <w:rFonts w:ascii="Arial" w:cs="Arial" w:eastAsia="Arial" w:hAnsi="Arial"/>
          <w:sz w:val="13"/>
          <w:szCs w:val="13"/>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41" w:lineRule="exact"/>
        <w:rPr>
          <w:sz w:val="20"/>
          <w:szCs w:val="20"/>
          <w:color w:val="auto"/>
        </w:rPr>
      </w:pPr>
    </w:p>
    <w:p>
      <w:pPr>
        <w:ind w:left="1060" w:right="2499" w:firstLine="297"/>
        <w:spacing w:after="0" w:line="279" w:lineRule="auto"/>
        <w:rPr>
          <w:sz w:val="20"/>
          <w:szCs w:val="20"/>
          <w:color w:val="auto"/>
        </w:rPr>
      </w:pPr>
      <w:r>
        <w:rPr>
          <w:rFonts w:ascii="Arial" w:cs="Arial" w:eastAsia="Arial" w:hAnsi="Arial"/>
          <w:sz w:val="14"/>
          <w:szCs w:val="14"/>
          <w:color w:val="auto"/>
        </w:rPr>
        <w:t>As of December 31, 2017, all of our debt investments and outstanding borrowings bore a fixed rate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w:t>
      </w:r>
    </w:p>
    <w:p>
      <w:pPr>
        <w:spacing w:after="0" w:line="55" w:lineRule="exact"/>
        <w:rPr>
          <w:sz w:val="20"/>
          <w:szCs w:val="20"/>
          <w:color w:val="auto"/>
        </w:rPr>
      </w:pPr>
    </w:p>
    <w:p>
      <w:pPr>
        <w:ind w:left="1060" w:right="2519" w:firstLine="297"/>
        <w:spacing w:after="0" w:line="255" w:lineRule="auto"/>
        <w:rPr>
          <w:sz w:val="20"/>
          <w:szCs w:val="20"/>
          <w:color w:val="auto"/>
        </w:rPr>
      </w:pPr>
      <w:r>
        <w:rPr>
          <w:rFonts w:ascii="Arial" w:cs="Arial" w:eastAsia="Arial" w:hAnsi="Arial"/>
          <w:sz w:val="15"/>
          <w:szCs w:val="15"/>
          <w:color w:val="auto"/>
        </w:rPr>
        <w:t>Based on our December 31, 2017 Consolidated Statement of Assets and Liabilities, the following table shows the various, incremental impact of changes in interest rates on our net income or loss related to the Credit Facility for the year ended December 31, 2017, assuming no changes in our investment income and borrowing structure.</w:t>
      </w:r>
    </w:p>
    <w:p>
      <w:pPr>
        <w:spacing w:after="0" w:line="93"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4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Basis Point Change</w:t>
            </w:r>
            <w:r>
              <w:rPr>
                <w:rFonts w:ascii="Arial" w:cs="Arial" w:eastAsia="Arial" w:hAnsi="Arial"/>
                <w:sz w:val="17"/>
                <w:szCs w:val="17"/>
                <w:b w:val="1"/>
                <w:bCs w:val="1"/>
                <w:color w:val="auto"/>
                <w:vertAlign w:val="superscript"/>
              </w:rPr>
              <w:t>(1)</w:t>
            </w:r>
          </w:p>
        </w:tc>
        <w:tc>
          <w:tcPr>
            <w:tcW w:w="180" w:type="dxa"/>
            <w:vAlign w:val="bottom"/>
            <w:vMerge w:val="restart"/>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Interest</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Interest</w:t>
            </w:r>
          </w:p>
        </w:tc>
        <w:tc>
          <w:tcPr>
            <w:tcW w:w="740" w:type="dxa"/>
            <w:vAlign w:val="bottom"/>
          </w:tcPr>
          <w:p>
            <w:pPr>
              <w:ind w:left="26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74"/>
        </w:trPr>
        <w:tc>
          <w:tcPr>
            <w:tcW w:w="44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Income</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Expense</w:t>
            </w: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5"/>
              </w:rPr>
              <w:t>Income/(Loss)</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Up 300 Basis points</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4"/>
              </w:rPr>
              <w:t>$ —</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$ 330,000</w:t>
            </w:r>
          </w:p>
        </w:tc>
        <w:tc>
          <w:tcPr>
            <w:tcW w:w="740" w:type="dxa"/>
            <w:vAlign w:val="bottom"/>
            <w:shd w:val="clear" w:color="auto" w:fill="CCEEFF"/>
          </w:tcPr>
          <w:p>
            <w:pPr>
              <w:ind w:left="60"/>
              <w:spacing w:after="0"/>
              <w:rPr>
                <w:sz w:val="20"/>
                <w:szCs w:val="20"/>
                <w:color w:val="auto"/>
              </w:rPr>
            </w:pPr>
            <w:r>
              <w:rPr>
                <w:rFonts w:ascii="Arial" w:cs="Arial" w:eastAsia="Arial" w:hAnsi="Arial"/>
                <w:sz w:val="15"/>
                <w:szCs w:val="15"/>
                <w:color w:val="auto"/>
                <w:w w:val="90"/>
              </w:rPr>
              <w:t>$(330,000)</w:t>
            </w:r>
          </w:p>
        </w:tc>
        <w:tc>
          <w:tcPr>
            <w:tcW w:w="0" w:type="dxa"/>
            <w:vAlign w:val="bottom"/>
          </w:tcPr>
          <w:p>
            <w:pPr>
              <w:spacing w:after="0"/>
              <w:rPr>
                <w:sz w:val="1"/>
                <w:szCs w:val="1"/>
                <w:color w:val="auto"/>
              </w:rPr>
            </w:pPr>
          </w:p>
        </w:tc>
      </w:tr>
      <w:tr>
        <w:trPr>
          <w:trHeight w:val="21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Up 200 Basis points</w:t>
            </w:r>
          </w:p>
        </w:tc>
        <w:tc>
          <w:tcPr>
            <w:tcW w:w="6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 —</w:t>
            </w: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$ 220,000</w:t>
            </w:r>
          </w:p>
        </w:tc>
        <w:tc>
          <w:tcPr>
            <w:tcW w:w="740" w:type="dxa"/>
            <w:vAlign w:val="bottom"/>
          </w:tcPr>
          <w:p>
            <w:pPr>
              <w:ind w:left="60"/>
              <w:spacing w:after="0"/>
              <w:rPr>
                <w:sz w:val="20"/>
                <w:szCs w:val="20"/>
                <w:color w:val="auto"/>
              </w:rPr>
            </w:pPr>
            <w:r>
              <w:rPr>
                <w:rFonts w:ascii="Arial" w:cs="Arial" w:eastAsia="Arial" w:hAnsi="Arial"/>
                <w:sz w:val="15"/>
                <w:szCs w:val="15"/>
                <w:color w:val="auto"/>
                <w:w w:val="90"/>
              </w:rPr>
              <w:t>$(220,000)</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Up 100 Basis points</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4"/>
              </w:rPr>
              <w:t>$ —</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$ 110,000</w:t>
            </w:r>
          </w:p>
        </w:tc>
        <w:tc>
          <w:tcPr>
            <w:tcW w:w="740" w:type="dxa"/>
            <w:vAlign w:val="bottom"/>
            <w:shd w:val="clear" w:color="auto" w:fill="CCEEFF"/>
          </w:tcPr>
          <w:p>
            <w:pPr>
              <w:ind w:left="60"/>
              <w:spacing w:after="0"/>
              <w:rPr>
                <w:sz w:val="20"/>
                <w:szCs w:val="20"/>
                <w:color w:val="auto"/>
              </w:rPr>
            </w:pPr>
            <w:r>
              <w:rPr>
                <w:rFonts w:ascii="Arial" w:cs="Arial" w:eastAsia="Arial" w:hAnsi="Arial"/>
                <w:sz w:val="15"/>
                <w:szCs w:val="15"/>
                <w:color w:val="auto"/>
                <w:w w:val="90"/>
              </w:rPr>
              <w:t>$(110,000)</w:t>
            </w:r>
          </w:p>
        </w:tc>
        <w:tc>
          <w:tcPr>
            <w:tcW w:w="0" w:type="dxa"/>
            <w:vAlign w:val="bottom"/>
          </w:tcPr>
          <w:p>
            <w:pPr>
              <w:spacing w:after="0"/>
              <w:rPr>
                <w:sz w:val="1"/>
                <w:szCs w:val="1"/>
                <w:color w:val="auto"/>
              </w:rPr>
            </w:pPr>
          </w:p>
        </w:tc>
      </w:tr>
      <w:tr>
        <w:trPr>
          <w:trHeight w:val="21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Down 100 Basis points</w:t>
            </w:r>
          </w:p>
        </w:tc>
        <w:tc>
          <w:tcPr>
            <w:tcW w:w="6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 —</w:t>
            </w: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$(110,000)</w:t>
            </w:r>
          </w:p>
        </w:tc>
        <w:tc>
          <w:tcPr>
            <w:tcW w:w="740" w:type="dxa"/>
            <w:vAlign w:val="bottom"/>
          </w:tcPr>
          <w:p>
            <w:pPr>
              <w:ind w:left="60"/>
              <w:spacing w:after="0"/>
              <w:rPr>
                <w:sz w:val="20"/>
                <w:szCs w:val="20"/>
                <w:color w:val="auto"/>
              </w:rPr>
            </w:pPr>
            <w:r>
              <w:rPr>
                <w:rFonts w:ascii="Arial" w:cs="Arial" w:eastAsia="Arial" w:hAnsi="Arial"/>
                <w:sz w:val="15"/>
                <w:szCs w:val="15"/>
                <w:color w:val="auto"/>
                <w:w w:val="98"/>
              </w:rPr>
              <w:t>$ 110,000</w:t>
            </w:r>
          </w:p>
        </w:tc>
        <w:tc>
          <w:tcPr>
            <w:tcW w:w="0" w:type="dxa"/>
            <w:vAlign w:val="bottom"/>
          </w:tcPr>
          <w:p>
            <w:pPr>
              <w:spacing w:after="0"/>
              <w:rPr>
                <w:sz w:val="1"/>
                <w:szCs w:val="1"/>
                <w:color w:val="auto"/>
              </w:rPr>
            </w:pPr>
          </w:p>
        </w:tc>
      </w:tr>
      <w:tr>
        <w:trPr>
          <w:trHeight w:val="224"/>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Down 200 Basis points</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4"/>
              </w:rPr>
              <w:t>$ —</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$(220,000)</w:t>
            </w:r>
          </w:p>
        </w:tc>
        <w:tc>
          <w:tcPr>
            <w:tcW w:w="740" w:type="dxa"/>
            <w:vAlign w:val="bottom"/>
            <w:shd w:val="clear" w:color="auto" w:fill="CCEEFF"/>
          </w:tcPr>
          <w:p>
            <w:pPr>
              <w:ind w:left="60"/>
              <w:spacing w:after="0"/>
              <w:rPr>
                <w:sz w:val="20"/>
                <w:szCs w:val="20"/>
                <w:color w:val="auto"/>
              </w:rPr>
            </w:pPr>
            <w:r>
              <w:rPr>
                <w:rFonts w:ascii="Arial" w:cs="Arial" w:eastAsia="Arial" w:hAnsi="Arial"/>
                <w:sz w:val="15"/>
                <w:szCs w:val="15"/>
                <w:color w:val="auto"/>
                <w:w w:val="98"/>
              </w:rPr>
              <w:t>$ 220,000</w:t>
            </w:r>
          </w:p>
        </w:tc>
        <w:tc>
          <w:tcPr>
            <w:tcW w:w="0" w:type="dxa"/>
            <w:vAlign w:val="bottom"/>
          </w:tcPr>
          <w:p>
            <w:pPr>
              <w:spacing w:after="0"/>
              <w:rPr>
                <w:sz w:val="1"/>
                <w:szCs w:val="1"/>
                <w:color w:val="auto"/>
              </w:rPr>
            </w:pP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Down 300 Basis points</w:t>
            </w:r>
          </w:p>
        </w:tc>
        <w:tc>
          <w:tcPr>
            <w:tcW w:w="6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 —</w:t>
            </w: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$(330,000)</w:t>
            </w:r>
          </w:p>
        </w:tc>
        <w:tc>
          <w:tcPr>
            <w:tcW w:w="740" w:type="dxa"/>
            <w:vAlign w:val="bottom"/>
          </w:tcPr>
          <w:p>
            <w:pPr>
              <w:ind w:left="60"/>
              <w:spacing w:after="0"/>
              <w:rPr>
                <w:sz w:val="20"/>
                <w:szCs w:val="20"/>
                <w:color w:val="auto"/>
              </w:rPr>
            </w:pPr>
            <w:r>
              <w:rPr>
                <w:rFonts w:ascii="Arial" w:cs="Arial" w:eastAsia="Arial" w:hAnsi="Arial"/>
                <w:sz w:val="15"/>
                <w:szCs w:val="15"/>
                <w:color w:val="auto"/>
                <w:w w:val="98"/>
              </w:rPr>
              <w:t>$ 330,000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-828040</wp:posOffset>
            </wp:positionV>
            <wp:extent cx="1136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-828040</wp:posOffset>
            </wp:positionV>
            <wp:extent cx="11366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-828040</wp:posOffset>
            </wp:positionV>
            <wp:extent cx="11366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142240</wp:posOffset>
            </wp:positionV>
            <wp:extent cx="102044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383" w:lineRule="exact"/>
        <w:rPr>
          <w:sz w:val="20"/>
          <w:szCs w:val="20"/>
          <w:color w:val="auto"/>
        </w:rPr>
      </w:pPr>
    </w:p>
    <w:p>
      <w:pPr>
        <w:ind w:left="1340" w:right="2519" w:hanging="289"/>
        <w:spacing w:after="0" w:line="317" w:lineRule="auto"/>
        <w:tabs>
          <w:tab w:leader="none" w:pos="1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Assumes we have borrowed $12.0 million under the Credit Facility for the year ended December 31, 2017. Our actual borrowings under the Credit Facility will vary based on our needs throughout the year. For the year ended December 31, 2017, our actual average borrowings under the Credit Facility were $460,274.</w:t>
      </w:r>
    </w:p>
    <w:p>
      <w:pPr>
        <w:spacing w:after="0" w:line="33" w:lineRule="exact"/>
        <w:rPr>
          <w:sz w:val="20"/>
          <w:szCs w:val="20"/>
          <w:color w:val="auto"/>
        </w:rPr>
      </w:pPr>
    </w:p>
    <w:p>
      <w:pPr>
        <w:ind w:left="1060" w:right="2439" w:firstLine="297"/>
        <w:spacing w:after="0" w:line="255" w:lineRule="auto"/>
        <w:rPr>
          <w:sz w:val="20"/>
          <w:szCs w:val="20"/>
          <w:color w:val="auto"/>
        </w:rPr>
      </w:pPr>
      <w:r>
        <w:rPr>
          <w:rFonts w:ascii="Arial" w:cs="Arial" w:eastAsia="Arial" w:hAnsi="Arial"/>
          <w:sz w:val="15"/>
          <w:szCs w:val="15"/>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20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3" w:name="page74"/>
    <w:bookmarkEnd w:id="7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162"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Index to Financial Statements</w:t>
      </w:r>
    </w:p>
    <w:p>
      <w:pPr>
        <w:spacing w:after="0" w:line="115"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Page</w:t>
            </w:r>
          </w:p>
        </w:tc>
      </w:tr>
      <w:tr>
        <w:trPr>
          <w:trHeight w:val="33"/>
        </w:trPr>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rFonts w:ascii="Arial" w:cs="Arial" w:eastAsia="Arial" w:hAnsi="Arial"/>
                <w:sz w:val="15"/>
                <w:szCs w:val="15"/>
                <w:color w:val="0000EE"/>
                <w:w w:val="90"/>
              </w:rPr>
            </w:pPr>
            <w:hyperlink w:anchor="page74">
              <w:r>
                <w:rPr>
                  <w:rFonts w:ascii="Arial" w:cs="Arial" w:eastAsia="Arial" w:hAnsi="Arial"/>
                  <w:sz w:val="15"/>
                  <w:szCs w:val="15"/>
                  <w:color w:val="0000EE"/>
                  <w:w w:val="90"/>
                </w:rPr>
                <w:t>Report of Independent Registered Public Accounting Firm</w:t>
              </w:r>
            </w:hyperlink>
          </w:p>
        </w:tc>
        <w:tc>
          <w:tcPr>
            <w:tcW w:w="3020" w:type="dxa"/>
            <w:vAlign w:val="bottom"/>
            <w:gridSpan w:val="6"/>
            <w:shd w:val="clear" w:color="auto" w:fill="CCEEFF"/>
          </w:tcPr>
          <w:p>
            <w:pPr>
              <w:spacing w:after="0"/>
              <w:rPr>
                <w:sz w:val="17"/>
                <w:szCs w:val="17"/>
                <w:color w:val="auto"/>
              </w:rPr>
            </w:pPr>
          </w:p>
        </w:tc>
        <w:tc>
          <w:tcPr>
            <w:tcW w:w="220" w:type="dxa"/>
            <w:vAlign w:val="bottom"/>
            <w:gridSpan w:val="2"/>
            <w:shd w:val="clear" w:color="auto" w:fill="CCEEFF"/>
          </w:tcPr>
          <w:p>
            <w:pPr>
              <w:jc w:val="center"/>
              <w:ind w:left="7"/>
              <w:spacing w:after="0"/>
              <w:rPr>
                <w:rFonts w:ascii="Arial" w:cs="Arial" w:eastAsia="Arial" w:hAnsi="Arial"/>
                <w:sz w:val="15"/>
                <w:szCs w:val="15"/>
                <w:color w:val="0000EE"/>
                <w:w w:val="83"/>
              </w:rPr>
            </w:pPr>
            <w:hyperlink w:anchor="page74">
              <w:r>
                <w:rPr>
                  <w:rFonts w:ascii="Arial" w:cs="Arial" w:eastAsia="Arial" w:hAnsi="Arial"/>
                  <w:sz w:val="15"/>
                  <w:szCs w:val="15"/>
                  <w:color w:val="0000EE"/>
                  <w:w w:val="83"/>
                </w:rPr>
                <w:t>73</w:t>
              </w:r>
            </w:hyperlink>
          </w:p>
        </w:tc>
        <w:tc>
          <w:tcPr>
            <w:tcW w:w="60" w:type="dxa"/>
            <w:vAlign w:val="bottom"/>
            <w:shd w:val="clear" w:color="auto" w:fill="CCEEFF"/>
          </w:tcPr>
          <w:p>
            <w:pPr>
              <w:spacing w:after="0"/>
              <w:rPr>
                <w:sz w:val="17"/>
                <w:szCs w:val="17"/>
                <w:color w:val="auto"/>
              </w:rPr>
            </w:pPr>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6500" w:type="dxa"/>
            <w:vAlign w:val="bottom"/>
            <w:gridSpan w:val="10"/>
          </w:tcPr>
          <w:p>
            <w:pPr>
              <w:spacing w:after="0"/>
              <w:rPr>
                <w:rFonts w:ascii="Arial" w:cs="Arial" w:eastAsia="Arial" w:hAnsi="Arial"/>
                <w:sz w:val="15"/>
                <w:szCs w:val="15"/>
                <w:color w:val="0000EE"/>
                <w:w w:val="95"/>
              </w:rPr>
            </w:pPr>
            <w:hyperlink w:anchor="page75">
              <w:r>
                <w:rPr>
                  <w:rFonts w:ascii="Arial" w:cs="Arial" w:eastAsia="Arial" w:hAnsi="Arial"/>
                  <w:sz w:val="15"/>
                  <w:szCs w:val="15"/>
                  <w:color w:val="0000EE"/>
                  <w:w w:val="95"/>
                </w:rPr>
                <w:t>Report of Independent Registered Public Accounting Firm on Internal Control over Financial Reporting</w:t>
              </w:r>
            </w:hyperlink>
          </w:p>
        </w:tc>
        <w:tc>
          <w:tcPr>
            <w:tcW w:w="220" w:type="dxa"/>
            <w:vAlign w:val="bottom"/>
            <w:gridSpan w:val="2"/>
          </w:tcPr>
          <w:p>
            <w:pPr>
              <w:jc w:val="center"/>
              <w:ind w:left="7"/>
              <w:spacing w:after="0"/>
              <w:rPr>
                <w:rFonts w:ascii="Arial" w:cs="Arial" w:eastAsia="Arial" w:hAnsi="Arial"/>
                <w:sz w:val="15"/>
                <w:szCs w:val="15"/>
                <w:color w:val="0000EE"/>
                <w:w w:val="83"/>
              </w:rPr>
            </w:pPr>
            <w:hyperlink w:anchor="page75">
              <w:r>
                <w:rPr>
                  <w:rFonts w:ascii="Arial" w:cs="Arial" w:eastAsia="Arial" w:hAnsi="Arial"/>
                  <w:sz w:val="15"/>
                  <w:szCs w:val="15"/>
                  <w:color w:val="0000EE"/>
                  <w:w w:val="83"/>
                </w:rPr>
                <w:t>74</w:t>
              </w:r>
            </w:hyperlink>
          </w:p>
        </w:tc>
        <w:tc>
          <w:tcPr>
            <w:tcW w:w="6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92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spacing w:after="0"/>
              <w:rPr>
                <w:rFonts w:ascii="Arial" w:cs="Arial" w:eastAsia="Arial" w:hAnsi="Arial"/>
                <w:sz w:val="15"/>
                <w:szCs w:val="15"/>
                <w:color w:val="0000EE"/>
                <w:w w:val="88"/>
              </w:rPr>
            </w:pPr>
            <w:hyperlink w:anchor="page76">
              <w:r>
                <w:rPr>
                  <w:rFonts w:ascii="Arial" w:cs="Arial" w:eastAsia="Arial" w:hAnsi="Arial"/>
                  <w:sz w:val="15"/>
                  <w:szCs w:val="15"/>
                  <w:color w:val="0000EE"/>
                  <w:w w:val="88"/>
                </w:rPr>
                <w:t>Consolidated Statements of Assets and Liabilities as of December 31, 2017 and 2016</w:t>
              </w:r>
            </w:hyperlink>
          </w:p>
        </w:tc>
        <w:tc>
          <w:tcPr>
            <w:tcW w:w="1440" w:type="dxa"/>
            <w:vAlign w:val="bottom"/>
            <w:gridSpan w:val="4"/>
            <w:shd w:val="clear" w:color="auto" w:fill="CCEEFF"/>
          </w:tcPr>
          <w:p>
            <w:pPr>
              <w:spacing w:after="0"/>
              <w:rPr>
                <w:sz w:val="18"/>
                <w:szCs w:val="18"/>
                <w:color w:val="auto"/>
              </w:rPr>
            </w:pPr>
          </w:p>
        </w:tc>
        <w:tc>
          <w:tcPr>
            <w:tcW w:w="220" w:type="dxa"/>
            <w:vAlign w:val="bottom"/>
            <w:gridSpan w:val="2"/>
            <w:shd w:val="clear" w:color="auto" w:fill="CCEEFF"/>
          </w:tcPr>
          <w:p>
            <w:pPr>
              <w:jc w:val="center"/>
              <w:ind w:left="7"/>
              <w:spacing w:after="0"/>
              <w:rPr>
                <w:rFonts w:ascii="Arial" w:cs="Arial" w:eastAsia="Arial" w:hAnsi="Arial"/>
                <w:sz w:val="15"/>
                <w:szCs w:val="15"/>
                <w:color w:val="0000EE"/>
                <w:w w:val="83"/>
              </w:rPr>
            </w:pPr>
            <w:hyperlink w:anchor="page76">
              <w:r>
                <w:rPr>
                  <w:rFonts w:ascii="Arial" w:cs="Arial" w:eastAsia="Arial" w:hAnsi="Arial"/>
                  <w:sz w:val="15"/>
                  <w:szCs w:val="15"/>
                  <w:color w:val="0000EE"/>
                  <w:w w:val="83"/>
                </w:rPr>
                <w:t>75</w:t>
              </w:r>
            </w:hyperlink>
          </w:p>
        </w:tc>
        <w:tc>
          <w:tcPr>
            <w:tcW w:w="60" w:type="dxa"/>
            <w:vAlign w:val="bottom"/>
            <w:shd w:val="clear" w:color="auto" w:fill="CCEEFF"/>
          </w:tcPr>
          <w:p>
            <w:pPr>
              <w:spacing w:after="0"/>
              <w:rPr>
                <w:sz w:val="18"/>
                <w:szCs w:val="18"/>
                <w:color w:val="auto"/>
              </w:rPr>
            </w:pPr>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660" w:type="dxa"/>
            <w:vAlign w:val="bottom"/>
            <w:gridSpan w:val="7"/>
          </w:tcPr>
          <w:p>
            <w:pPr>
              <w:spacing w:after="0"/>
              <w:rPr>
                <w:rFonts w:ascii="Arial" w:cs="Arial" w:eastAsia="Arial" w:hAnsi="Arial"/>
                <w:sz w:val="15"/>
                <w:szCs w:val="15"/>
                <w:color w:val="0000EE"/>
                <w:w w:val="87"/>
              </w:rPr>
            </w:pPr>
            <w:hyperlink w:anchor="page77">
              <w:r>
                <w:rPr>
                  <w:rFonts w:ascii="Arial" w:cs="Arial" w:eastAsia="Arial" w:hAnsi="Arial"/>
                  <w:sz w:val="15"/>
                  <w:szCs w:val="15"/>
                  <w:color w:val="0000EE"/>
                  <w:w w:val="87"/>
                </w:rPr>
                <w:t>Consolidated Statements of Operations for the years ended December 31, 2017, 2016 and 2015</w:t>
              </w:r>
            </w:hyperlink>
          </w:p>
        </w:tc>
        <w:tc>
          <w:tcPr>
            <w:tcW w:w="840" w:type="dxa"/>
            <w:vAlign w:val="bottom"/>
            <w:gridSpan w:val="3"/>
          </w:tcPr>
          <w:p>
            <w:pPr>
              <w:spacing w:after="0"/>
              <w:rPr>
                <w:sz w:val="18"/>
                <w:szCs w:val="18"/>
                <w:color w:val="auto"/>
              </w:rPr>
            </w:pPr>
          </w:p>
        </w:tc>
        <w:tc>
          <w:tcPr>
            <w:tcW w:w="220" w:type="dxa"/>
            <w:vAlign w:val="bottom"/>
            <w:gridSpan w:val="2"/>
          </w:tcPr>
          <w:p>
            <w:pPr>
              <w:jc w:val="center"/>
              <w:ind w:left="7"/>
              <w:spacing w:after="0"/>
              <w:rPr>
                <w:rFonts w:ascii="Arial" w:cs="Arial" w:eastAsia="Arial" w:hAnsi="Arial"/>
                <w:sz w:val="15"/>
                <w:szCs w:val="15"/>
                <w:color w:val="0000EE"/>
                <w:w w:val="83"/>
              </w:rPr>
            </w:pPr>
            <w:hyperlink w:anchor="page77">
              <w:r>
                <w:rPr>
                  <w:rFonts w:ascii="Arial" w:cs="Arial" w:eastAsia="Arial" w:hAnsi="Arial"/>
                  <w:sz w:val="15"/>
                  <w:szCs w:val="15"/>
                  <w:color w:val="0000EE"/>
                  <w:w w:val="83"/>
                </w:rPr>
                <w:t>76</w:t>
              </w:r>
            </w:hyperlink>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760" w:type="dxa"/>
            <w:vAlign w:val="bottom"/>
            <w:tcBorders>
              <w:bottom w:val="single" w:sz="8" w:color="0000EE"/>
            </w:tcBorders>
            <w:gridSpan w:val="8"/>
            <w:shd w:val="clear" w:color="auto" w:fill="CCEEFF"/>
          </w:tcPr>
          <w:p>
            <w:pPr>
              <w:spacing w:after="0"/>
              <w:rPr>
                <w:rFonts w:ascii="Arial" w:cs="Arial" w:eastAsia="Arial" w:hAnsi="Arial"/>
                <w:sz w:val="15"/>
                <w:szCs w:val="15"/>
                <w:color w:val="0000EE"/>
                <w:w w:val="88"/>
              </w:rPr>
            </w:pPr>
            <w:hyperlink w:anchor="page79">
              <w:r>
                <w:rPr>
                  <w:rFonts w:ascii="Arial" w:cs="Arial" w:eastAsia="Arial" w:hAnsi="Arial"/>
                  <w:sz w:val="15"/>
                  <w:szCs w:val="15"/>
                  <w:color w:val="0000EE"/>
                  <w:w w:val="88"/>
                </w:rPr>
                <w:t>Consolidated Statements of Changes in Net Assets for the years ended December 31, 2017, 2016</w:t>
              </w:r>
            </w:hyperlink>
          </w:p>
        </w:tc>
        <w:tc>
          <w:tcPr>
            <w:tcW w:w="7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159"/>
        </w:trPr>
        <w:tc>
          <w:tcPr>
            <w:tcW w:w="20" w:type="dxa"/>
            <w:vAlign w:val="bottom"/>
            <w:shd w:val="clear" w:color="auto" w:fill="CCEEFF"/>
          </w:tcPr>
          <w:p>
            <w:pPr>
              <w:spacing w:after="0"/>
              <w:rPr>
                <w:sz w:val="13"/>
                <w:szCs w:val="13"/>
                <w:color w:val="auto"/>
              </w:rPr>
            </w:pPr>
          </w:p>
        </w:tc>
        <w:tc>
          <w:tcPr>
            <w:tcW w:w="6500" w:type="dxa"/>
            <w:vAlign w:val="bottom"/>
            <w:gridSpan w:val="10"/>
            <w:shd w:val="clear" w:color="auto" w:fill="CCEEFF"/>
          </w:tcPr>
          <w:p>
            <w:pPr>
              <w:ind w:left="140"/>
              <w:spacing w:after="0" w:line="159" w:lineRule="exact"/>
              <w:rPr>
                <w:rFonts w:ascii="Arial" w:cs="Arial" w:eastAsia="Arial" w:hAnsi="Arial"/>
                <w:sz w:val="15"/>
                <w:szCs w:val="15"/>
                <w:color w:val="0000EE"/>
              </w:rPr>
            </w:pPr>
            <w:hyperlink w:anchor="page79">
              <w:r>
                <w:rPr>
                  <w:rFonts w:ascii="Arial" w:cs="Arial" w:eastAsia="Arial" w:hAnsi="Arial"/>
                  <w:sz w:val="15"/>
                  <w:szCs w:val="15"/>
                  <w:color w:val="0000EE"/>
                </w:rPr>
                <w:t>and 2015</w:t>
              </w:r>
            </w:hyperlink>
          </w:p>
        </w:tc>
        <w:tc>
          <w:tcPr>
            <w:tcW w:w="220" w:type="dxa"/>
            <w:vAlign w:val="bottom"/>
            <w:gridSpan w:val="2"/>
            <w:shd w:val="clear" w:color="auto" w:fill="CCEEFF"/>
          </w:tcPr>
          <w:p>
            <w:pPr>
              <w:jc w:val="center"/>
              <w:ind w:left="7"/>
              <w:spacing w:after="0" w:line="159" w:lineRule="exact"/>
              <w:rPr>
                <w:rFonts w:ascii="Arial" w:cs="Arial" w:eastAsia="Arial" w:hAnsi="Arial"/>
                <w:sz w:val="15"/>
                <w:szCs w:val="15"/>
                <w:color w:val="0000EE"/>
                <w:w w:val="83"/>
              </w:rPr>
            </w:pPr>
            <w:hyperlink w:anchor="page79">
              <w:r>
                <w:rPr>
                  <w:rFonts w:ascii="Arial" w:cs="Arial" w:eastAsia="Arial" w:hAnsi="Arial"/>
                  <w:sz w:val="15"/>
                  <w:szCs w:val="15"/>
                  <w:color w:val="0000EE"/>
                  <w:w w:val="83"/>
                </w:rPr>
                <w:t>78</w:t>
              </w:r>
            </w:hyperlink>
          </w:p>
        </w:tc>
        <w:tc>
          <w:tcPr>
            <w:tcW w:w="60" w:type="dxa"/>
            <w:vAlign w:val="bottom"/>
            <w:shd w:val="clear" w:color="auto" w:fill="CCEEFF"/>
          </w:tcPr>
          <w:p>
            <w:pPr>
              <w:spacing w:after="0"/>
              <w:rPr>
                <w:sz w:val="13"/>
                <w:szCs w:val="13"/>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660" w:type="dxa"/>
            <w:vAlign w:val="bottom"/>
            <w:gridSpan w:val="7"/>
          </w:tcPr>
          <w:p>
            <w:pPr>
              <w:spacing w:after="0"/>
              <w:rPr>
                <w:rFonts w:ascii="Arial" w:cs="Arial" w:eastAsia="Arial" w:hAnsi="Arial"/>
                <w:sz w:val="15"/>
                <w:szCs w:val="15"/>
                <w:color w:val="0000EE"/>
                <w:w w:val="87"/>
              </w:rPr>
            </w:pPr>
            <w:hyperlink w:anchor="page80">
              <w:r>
                <w:rPr>
                  <w:rFonts w:ascii="Arial" w:cs="Arial" w:eastAsia="Arial" w:hAnsi="Arial"/>
                  <w:sz w:val="15"/>
                  <w:szCs w:val="15"/>
                  <w:color w:val="0000EE"/>
                  <w:w w:val="87"/>
                </w:rPr>
                <w:t>Consolidated Statements of Cash Flows for the years ended December 31, 2017, 2016 and 2015</w:t>
              </w:r>
            </w:hyperlink>
          </w:p>
        </w:tc>
        <w:tc>
          <w:tcPr>
            <w:tcW w:w="840" w:type="dxa"/>
            <w:vAlign w:val="bottom"/>
            <w:gridSpan w:val="3"/>
          </w:tcPr>
          <w:p>
            <w:pPr>
              <w:spacing w:after="0"/>
              <w:rPr>
                <w:sz w:val="19"/>
                <w:szCs w:val="19"/>
                <w:color w:val="auto"/>
              </w:rPr>
            </w:pPr>
          </w:p>
        </w:tc>
        <w:tc>
          <w:tcPr>
            <w:tcW w:w="220" w:type="dxa"/>
            <w:vAlign w:val="bottom"/>
            <w:gridSpan w:val="2"/>
          </w:tcPr>
          <w:p>
            <w:pPr>
              <w:jc w:val="center"/>
              <w:ind w:left="7"/>
              <w:spacing w:after="0"/>
              <w:rPr>
                <w:rFonts w:ascii="Arial" w:cs="Arial" w:eastAsia="Arial" w:hAnsi="Arial"/>
                <w:sz w:val="15"/>
                <w:szCs w:val="15"/>
                <w:color w:val="0000EE"/>
                <w:w w:val="83"/>
              </w:rPr>
            </w:pPr>
            <w:hyperlink w:anchor="page80">
              <w:r>
                <w:rPr>
                  <w:rFonts w:ascii="Arial" w:cs="Arial" w:eastAsia="Arial" w:hAnsi="Arial"/>
                  <w:sz w:val="15"/>
                  <w:szCs w:val="15"/>
                  <w:color w:val="0000EE"/>
                  <w:w w:val="83"/>
                </w:rPr>
                <w:t>79</w:t>
              </w:r>
            </w:hyperlink>
          </w:p>
        </w:tc>
        <w:tc>
          <w:tcPr>
            <w:tcW w:w="6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660" w:type="dxa"/>
            <w:vAlign w:val="bottom"/>
            <w:gridSpan w:val="7"/>
            <w:shd w:val="clear" w:color="auto" w:fill="CCEEFF"/>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Consolidated Schedule of Investments as of December 31, 2017</w:t>
              </w:r>
            </w:hyperlink>
          </w:p>
        </w:tc>
        <w:tc>
          <w:tcPr>
            <w:tcW w:w="840" w:type="dxa"/>
            <w:vAlign w:val="bottom"/>
            <w:tcBorders>
              <w:left w:val="single" w:sz="8" w:color="CCEEFF"/>
            </w:tcBorders>
            <w:gridSpan w:val="3"/>
            <w:shd w:val="clear" w:color="auto" w:fill="CCEEFF"/>
          </w:tcPr>
          <w:p>
            <w:pPr>
              <w:spacing w:after="0"/>
              <w:rPr>
                <w:sz w:val="19"/>
                <w:szCs w:val="19"/>
                <w:color w:val="auto"/>
              </w:rPr>
            </w:pPr>
          </w:p>
        </w:tc>
        <w:tc>
          <w:tcPr>
            <w:tcW w:w="220" w:type="dxa"/>
            <w:vAlign w:val="bottom"/>
            <w:gridSpan w:val="2"/>
            <w:shd w:val="clear" w:color="auto" w:fill="CCEEFF"/>
          </w:tcPr>
          <w:p>
            <w:pPr>
              <w:jc w:val="center"/>
              <w:ind w:left="7"/>
              <w:spacing w:after="0"/>
              <w:rPr>
                <w:rFonts w:ascii="Arial" w:cs="Arial" w:eastAsia="Arial" w:hAnsi="Arial"/>
                <w:sz w:val="15"/>
                <w:szCs w:val="15"/>
                <w:color w:val="0000EE"/>
                <w:w w:val="83"/>
              </w:rPr>
            </w:pPr>
            <w:hyperlink w:anchor="page81">
              <w:r>
                <w:rPr>
                  <w:rFonts w:ascii="Arial" w:cs="Arial" w:eastAsia="Arial" w:hAnsi="Arial"/>
                  <w:sz w:val="15"/>
                  <w:szCs w:val="15"/>
                  <w:color w:val="0000EE"/>
                  <w:w w:val="83"/>
                </w:rPr>
                <w:t>80</w:t>
              </w:r>
            </w:hyperlink>
          </w:p>
        </w:tc>
        <w:tc>
          <w:tcPr>
            <w:tcW w:w="6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500" w:type="dxa"/>
            <w:vAlign w:val="bottom"/>
            <w:gridSpan w:val="10"/>
          </w:tcPr>
          <w:p>
            <w:pPr>
              <w:spacing w:after="0"/>
              <w:rPr>
                <w:rFonts w:ascii="Arial" w:cs="Arial" w:eastAsia="Arial" w:hAnsi="Arial"/>
                <w:sz w:val="15"/>
                <w:szCs w:val="15"/>
                <w:color w:val="0000EE"/>
              </w:rPr>
            </w:pPr>
            <w:hyperlink w:anchor="page86">
              <w:r>
                <w:rPr>
                  <w:rFonts w:ascii="Arial" w:cs="Arial" w:eastAsia="Arial" w:hAnsi="Arial"/>
                  <w:sz w:val="15"/>
                  <w:szCs w:val="15"/>
                  <w:color w:val="0000EE"/>
                </w:rPr>
                <w:t>Consolidated Schedule of Investments as of December 31, 2016</w:t>
              </w:r>
            </w:hyperlink>
          </w:p>
        </w:tc>
        <w:tc>
          <w:tcPr>
            <w:tcW w:w="220" w:type="dxa"/>
            <w:vAlign w:val="bottom"/>
            <w:gridSpan w:val="2"/>
          </w:tcPr>
          <w:p>
            <w:pPr>
              <w:jc w:val="center"/>
              <w:ind w:left="7"/>
              <w:spacing w:after="0"/>
              <w:rPr>
                <w:rFonts w:ascii="Arial" w:cs="Arial" w:eastAsia="Arial" w:hAnsi="Arial"/>
                <w:sz w:val="15"/>
                <w:szCs w:val="15"/>
                <w:color w:val="0000EE"/>
                <w:w w:val="83"/>
              </w:rPr>
            </w:pPr>
            <w:hyperlink w:anchor="page86">
              <w:r>
                <w:rPr>
                  <w:rFonts w:ascii="Arial" w:cs="Arial" w:eastAsia="Arial" w:hAnsi="Arial"/>
                  <w:sz w:val="15"/>
                  <w:szCs w:val="15"/>
                  <w:color w:val="0000EE"/>
                  <w:w w:val="83"/>
                </w:rPr>
                <w:t>85</w:t>
              </w:r>
            </w:hyperlink>
          </w:p>
        </w:tc>
        <w:tc>
          <w:tcPr>
            <w:tcW w:w="6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rFonts w:ascii="Arial" w:cs="Arial" w:eastAsia="Arial" w:hAnsi="Arial"/>
                <w:sz w:val="15"/>
                <w:szCs w:val="15"/>
                <w:color w:val="0000EE"/>
                <w:w w:val="88"/>
              </w:rPr>
            </w:pPr>
            <w:hyperlink w:anchor="page92">
              <w:r>
                <w:rPr>
                  <w:rFonts w:ascii="Arial" w:cs="Arial" w:eastAsia="Arial" w:hAnsi="Arial"/>
                  <w:sz w:val="15"/>
                  <w:szCs w:val="15"/>
                  <w:color w:val="0000EE"/>
                  <w:w w:val="88"/>
                </w:rPr>
                <w:t>Notes to Consolidated Financial Statements</w:t>
              </w:r>
            </w:hyperlink>
          </w:p>
        </w:tc>
        <w:tc>
          <w:tcPr>
            <w:tcW w:w="1200" w:type="dxa"/>
            <w:vAlign w:val="bottom"/>
            <w:gridSpan w:val="2"/>
            <w:shd w:val="clear" w:color="auto" w:fill="CCEEFF"/>
          </w:tcPr>
          <w:p>
            <w:pPr>
              <w:spacing w:after="0"/>
              <w:rPr>
                <w:sz w:val="19"/>
                <w:szCs w:val="19"/>
                <w:color w:val="auto"/>
              </w:rPr>
            </w:pPr>
          </w:p>
        </w:tc>
        <w:tc>
          <w:tcPr>
            <w:tcW w:w="2700" w:type="dxa"/>
            <w:vAlign w:val="bottom"/>
            <w:gridSpan w:val="5"/>
            <w:shd w:val="clear" w:color="auto" w:fill="CCEEFF"/>
          </w:tcPr>
          <w:p>
            <w:pPr>
              <w:spacing w:after="0"/>
              <w:rPr>
                <w:sz w:val="19"/>
                <w:szCs w:val="19"/>
                <w:color w:val="auto"/>
              </w:rPr>
            </w:pPr>
          </w:p>
        </w:tc>
        <w:tc>
          <w:tcPr>
            <w:tcW w:w="220" w:type="dxa"/>
            <w:vAlign w:val="bottom"/>
            <w:gridSpan w:val="2"/>
            <w:shd w:val="clear" w:color="auto" w:fill="CCEEFF"/>
          </w:tcPr>
          <w:p>
            <w:pPr>
              <w:jc w:val="center"/>
              <w:ind w:left="7"/>
              <w:spacing w:after="0"/>
              <w:rPr>
                <w:rFonts w:ascii="Arial" w:cs="Arial" w:eastAsia="Arial" w:hAnsi="Arial"/>
                <w:sz w:val="15"/>
                <w:szCs w:val="15"/>
                <w:color w:val="0000EE"/>
                <w:w w:val="83"/>
              </w:rPr>
            </w:pPr>
            <w:hyperlink w:anchor="page92">
              <w:r>
                <w:rPr>
                  <w:rFonts w:ascii="Arial" w:cs="Arial" w:eastAsia="Arial" w:hAnsi="Arial"/>
                  <w:sz w:val="15"/>
                  <w:szCs w:val="15"/>
                  <w:color w:val="0000EE"/>
                  <w:w w:val="83"/>
                </w:rPr>
                <w:t>91</w:t>
              </w:r>
            </w:hyperlink>
          </w:p>
        </w:tc>
        <w:tc>
          <w:tcPr>
            <w:tcW w:w="6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-1551305</wp:posOffset>
            </wp:positionV>
            <wp:extent cx="413829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382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4" w:name="page75"/>
    <w:bookmarkEnd w:id="7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right="3239" w:firstLine="846"/>
        <w:spacing w:after="0" w:line="385"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To the shareholders and the Board of Directors of GSV Capital Corp.</w:t>
      </w:r>
    </w:p>
    <w:p>
      <w:pPr>
        <w:spacing w:after="0" w:line="49" w:lineRule="exact"/>
        <w:rPr>
          <w:sz w:val="20"/>
          <w:szCs w:val="20"/>
          <w:color w:val="auto"/>
        </w:rPr>
      </w:pPr>
    </w:p>
    <w:p>
      <w:pPr>
        <w:ind w:left="1060" w:right="3039"/>
        <w:spacing w:after="0" w:line="245" w:lineRule="auto"/>
        <w:rPr>
          <w:sz w:val="20"/>
          <w:szCs w:val="20"/>
          <w:color w:val="auto"/>
        </w:rPr>
      </w:pPr>
      <w:r>
        <w:rPr>
          <w:rFonts w:ascii="Arial" w:cs="Arial" w:eastAsia="Arial" w:hAnsi="Arial"/>
          <w:sz w:val="15"/>
          <w:szCs w:val="15"/>
          <w:b w:val="1"/>
          <w:bCs w:val="1"/>
          <w:color w:val="auto"/>
        </w:rPr>
        <w:t>Opinion on the Consolidated Financial Statements, Financial Highlights and Financial Statement Schedules</w:t>
      </w:r>
    </w:p>
    <w:p>
      <w:pPr>
        <w:spacing w:after="0" w:line="65"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We have audited the accompanying consolidated statements of assets and liabilities of GSV Capital Corp. and subsidiaries (the “Company”), including the consolidated schedule of investments, as of December 31, 2017 and 2016, the related consolidated statements of operations, cash flows, changes in net assets, and financial highlights (presented in Note 7) for each of the three years in the period ended December 31, 2017, and the related notes. Our audits also included the 2017 and 2016 financial statement schedules listed in the Index at Item 15(a)(2). In our opinion, the consolidated financial statements, financial highlights and financial statement schedules present fairly, in all material respects, the financial position of the Company as of December 31, 2017 and 2016, and the results of its operations, changes in net assets, and cash flows for each of the three years in the period ended December 31, 2017, and the financial highlights for each of the five years in the period ended December 31, 2017, in conformity with accounting principles generally accepted in the United States of America. Also, in our opinion, such financial statement schedules, when considered in relation to the basic 2016 and 2015 consolidated financial statements taken as a whole, present fairly, in all material respects, the information set forth therein.</w:t>
      </w:r>
    </w:p>
    <w:p>
      <w:pPr>
        <w:spacing w:after="0" w:line="65" w:lineRule="exact"/>
        <w:rPr>
          <w:sz w:val="20"/>
          <w:szCs w:val="20"/>
          <w:color w:val="auto"/>
        </w:rPr>
      </w:pPr>
    </w:p>
    <w:p>
      <w:pPr>
        <w:ind w:left="1060" w:right="2439" w:firstLine="297"/>
        <w:spacing w:after="0" w:line="276"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March 16, 2018, expressed an unqualified opinion on the Company’s internal control over financial reporting.</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Basis for Opinion</w:t>
      </w:r>
    </w:p>
    <w:p>
      <w:pPr>
        <w:spacing w:after="0" w:line="88" w:lineRule="exact"/>
        <w:rPr>
          <w:sz w:val="20"/>
          <w:szCs w:val="20"/>
          <w:color w:val="auto"/>
        </w:rPr>
      </w:pPr>
    </w:p>
    <w:p>
      <w:pPr>
        <w:ind w:left="1060" w:right="2499" w:firstLine="297"/>
        <w:spacing w:after="0" w:line="274" w:lineRule="auto"/>
        <w:rPr>
          <w:sz w:val="20"/>
          <w:szCs w:val="20"/>
          <w:color w:val="auto"/>
        </w:rPr>
      </w:pPr>
      <w:r>
        <w:rPr>
          <w:rFonts w:ascii="Arial" w:cs="Arial" w:eastAsia="Arial" w:hAnsi="Arial"/>
          <w:sz w:val="14"/>
          <w:szCs w:val="14"/>
          <w:color w:val="auto"/>
        </w:rPr>
        <w:t>These consolidated financial statements, financial highlights and financial statement schedules are the responsibility of the Company’s management. Our responsibility is to express an opinion on the Company’s consolidated financial statements, financial highlights and financial statement schedules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ind w:left="1060" w:right="2559" w:firstLine="297"/>
        <w:spacing w:after="0" w:line="255"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financial highlights and financial statement schedules are free of material misstatement, whether due to error or fraud.</w:t>
      </w:r>
    </w:p>
    <w:p>
      <w:pPr>
        <w:spacing w:after="0" w:line="70" w:lineRule="exact"/>
        <w:rPr>
          <w:sz w:val="20"/>
          <w:szCs w:val="20"/>
          <w:color w:val="auto"/>
        </w:rPr>
      </w:pPr>
    </w:p>
    <w:p>
      <w:pPr>
        <w:ind w:left="1060" w:right="2459" w:firstLine="297"/>
        <w:spacing w:after="0" w:line="270"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financial highlights and financial statement schedules, whether due to error or fraud, and performing procedures that respond to those risks. Such procedures included examining, on a test basis, evidence regarding the amounts and disclosures in the consolidated financial statements, financial highlights and financial statement schedules. Our audits also included evaluating the accounting principles used and significant estimates made by management, as well as evaluating the overall presentation of the consolidated financial statement, financial highlights and financial statement schedules. Our procedures included confirmation of investments owned as of December 31, 2017 and 2016, by correspondence with the custodian, loan agents, and borrowers; when replies were not received, we performed other auditing procedures. We believe that our audits provide a reasonable basis for our opinion.</w:t>
      </w:r>
    </w:p>
    <w:p>
      <w:pPr>
        <w:spacing w:after="0" w:line="6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 Deloitte &amp; Touche LLP</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San Francisco, California</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March 16, 2018</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We have served as the Company’s auditor since 2015.</w:t>
      </w:r>
    </w:p>
    <w:p>
      <w:pPr>
        <w:spacing w:after="0" w:line="24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5" w:name="page76"/>
    <w:bookmarkEnd w:id="7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right="3239" w:firstLine="846"/>
        <w:spacing w:after="0" w:line="385"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To the shareholders and the Board of Directors of GSV Capital Corp.</w:t>
      </w:r>
    </w:p>
    <w:p>
      <w:pPr>
        <w:spacing w:after="0" w:line="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88" w:lineRule="exact"/>
        <w:rPr>
          <w:sz w:val="20"/>
          <w:szCs w:val="20"/>
          <w:color w:val="auto"/>
        </w:rPr>
      </w:pPr>
    </w:p>
    <w:p>
      <w:pPr>
        <w:ind w:left="1060" w:right="2439" w:firstLine="297"/>
        <w:spacing w:after="0" w:line="252" w:lineRule="auto"/>
        <w:rPr>
          <w:sz w:val="20"/>
          <w:szCs w:val="20"/>
          <w:color w:val="auto"/>
        </w:rPr>
      </w:pPr>
      <w:r>
        <w:rPr>
          <w:rFonts w:ascii="Arial" w:cs="Arial" w:eastAsia="Arial" w:hAnsi="Arial"/>
          <w:sz w:val="15"/>
          <w:szCs w:val="15"/>
          <w:color w:val="auto"/>
        </w:rPr>
        <w:t xml:space="preserve">We have audited the internal control over financial reporting of GSV Capital Corp. and subsidiaries (the “Company”) as of December 31, 2017,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(2013) </w:t>
      </w:r>
      <w:r>
        <w:rPr>
          <w:rFonts w:ascii="Arial" w:cs="Arial" w:eastAsia="Arial" w:hAnsi="Arial"/>
          <w:sz w:val="15"/>
          <w:szCs w:val="15"/>
          <w:color w:val="auto"/>
        </w:rPr>
        <w:t>issued by the Committee of Sponsoring Organizations of the Treadway Commission (COSO). In our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opinion, the Company maintained, in all material respects, effective internal control over financial reporting as of December 31, 2017,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74" w:lineRule="exact"/>
        <w:rPr>
          <w:sz w:val="20"/>
          <w:szCs w:val="20"/>
          <w:color w:val="auto"/>
        </w:rPr>
      </w:pPr>
    </w:p>
    <w:p>
      <w:pPr>
        <w:ind w:left="1060" w:right="2419" w:firstLine="297"/>
        <w:spacing w:after="0" w:line="279"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March 16, 2018, expressed an unqualified opinion on the financial statements and financial statement schedule.</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Basis for Opinion</w:t>
      </w:r>
    </w:p>
    <w:p>
      <w:pPr>
        <w:spacing w:after="0" w:line="88"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ind w:left="1060" w:right="2519" w:firstLine="297"/>
        <w:spacing w:after="0" w:line="27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88" w:lineRule="exact"/>
        <w:rPr>
          <w:sz w:val="20"/>
          <w:szCs w:val="20"/>
          <w:color w:val="auto"/>
        </w:rPr>
      </w:pPr>
    </w:p>
    <w:p>
      <w:pPr>
        <w:ind w:left="1060" w:right="2439" w:firstLine="297"/>
        <w:spacing w:after="0" w:line="293"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0" w:lineRule="exact"/>
        <w:rPr>
          <w:sz w:val="20"/>
          <w:szCs w:val="20"/>
          <w:color w:val="auto"/>
        </w:rPr>
      </w:pPr>
    </w:p>
    <w:p>
      <w:pPr>
        <w:ind w:left="1060" w:right="2619" w:firstLine="297"/>
        <w:spacing w:after="0" w:line="255"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 Deloitte &amp; Touche LLP</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San Francisco, California</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March 16, 2018</w:t>
      </w:r>
    </w:p>
    <w:p>
      <w:pPr>
        <w:spacing w:after="0" w:line="24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6" w:name="page77"/>
    <w:bookmarkEnd w:id="7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CONSOLIDATED STATEMENTS OF ASSETS AND LIABILITIES</w:t>
      </w:r>
    </w:p>
    <w:p>
      <w:pPr>
        <w:spacing w:after="0" w:line="99"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December 31,</w:t>
            </w:r>
          </w:p>
        </w:tc>
        <w:tc>
          <w:tcPr>
            <w:tcW w:w="86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1"/>
        </w:trPr>
        <w:tc>
          <w:tcPr>
            <w:tcW w:w="47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2016</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20" w:type="dxa"/>
            <w:vAlign w:val="bottom"/>
            <w:gridSpan w:val="3"/>
          </w:tcPr>
          <w:p>
            <w:pPr>
              <w:ind w:left="20"/>
              <w:spacing w:after="0" w:line="167" w:lineRule="exact"/>
              <w:rPr>
                <w:sz w:val="20"/>
                <w:szCs w:val="20"/>
                <w:color w:val="auto"/>
              </w:rPr>
            </w:pPr>
            <w:r>
              <w:rPr>
                <w:rFonts w:ascii="Arial" w:cs="Arial" w:eastAsia="Arial" w:hAnsi="Arial"/>
                <w:sz w:val="15"/>
                <w:szCs w:val="15"/>
                <w:color w:val="auto"/>
              </w:rPr>
              <w:t>Investments at fair value: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gridSpan w:val="3"/>
            <w:shd w:val="clear" w:color="auto" w:fill="CCEEFF"/>
          </w:tcPr>
          <w:p>
            <w:pPr>
              <w:ind w:left="160"/>
              <w:spacing w:after="0" w:line="168" w:lineRule="exact"/>
              <w:rPr>
                <w:sz w:val="20"/>
                <w:szCs w:val="20"/>
                <w:color w:val="auto"/>
              </w:rPr>
            </w:pPr>
            <w:r>
              <w:rPr>
                <w:rFonts w:ascii="Arial" w:cs="Arial" w:eastAsia="Arial" w:hAnsi="Arial"/>
                <w:sz w:val="15"/>
                <w:szCs w:val="15"/>
                <w:color w:val="auto"/>
              </w:rPr>
              <w:t>Non-controlled/non-affiliate investments (cost of $137,526,726 and</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$204,101,445,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179,908,234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8"/>
              </w:rPr>
              <w:t>200,532,890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920" w:type="dxa"/>
            <w:vAlign w:val="bottom"/>
            <w:gridSpan w:val="3"/>
          </w:tcPr>
          <w:p>
            <w:pPr>
              <w:ind w:left="160"/>
              <w:spacing w:after="0" w:line="168" w:lineRule="exact"/>
              <w:rPr>
                <w:sz w:val="20"/>
                <w:szCs w:val="20"/>
                <w:color w:val="auto"/>
              </w:rPr>
            </w:pPr>
            <w:r>
              <w:rPr>
                <w:rFonts w:ascii="Arial" w:cs="Arial" w:eastAsia="Arial" w:hAnsi="Arial"/>
                <w:sz w:val="15"/>
                <w:szCs w:val="15"/>
                <w:color w:val="auto"/>
                <w:w w:val="95"/>
              </w:rPr>
              <w:t>Non-controlled/affiliate investments (cost of $41,886,312 and $51,773,388,</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300"/>
              <w:spacing w:after="0"/>
              <w:rPr>
                <w:sz w:val="20"/>
                <w:szCs w:val="20"/>
                <w:color w:val="auto"/>
              </w:rPr>
            </w:pPr>
            <w:r>
              <w:rPr>
                <w:rFonts w:ascii="Arial" w:cs="Arial" w:eastAsia="Arial" w:hAnsi="Arial"/>
                <w:sz w:val="15"/>
                <w:szCs w:val="15"/>
                <w:color w:val="auto"/>
              </w:rPr>
              <w:t>respectively)</w:t>
            </w:r>
          </w:p>
        </w:tc>
        <w:tc>
          <w:tcPr>
            <w:tcW w:w="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16,473,098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98"/>
              </w:rPr>
              <w:t>42,444,690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92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94"/>
              </w:rPr>
              <w:t>Controlled investments (cost of $23,161,314 and $22,893,441, respectively)</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24,207,161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8"/>
              </w:rPr>
              <w:t>19,037,566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20" w:type="dxa"/>
            <w:vAlign w:val="bottom"/>
            <w:gridSpan w:val="3"/>
          </w:tcPr>
          <w:p>
            <w:pPr>
              <w:ind w:left="160"/>
              <w:spacing w:after="0" w:line="168" w:lineRule="exact"/>
              <w:rPr>
                <w:sz w:val="20"/>
                <w:szCs w:val="20"/>
                <w:color w:val="auto"/>
              </w:rPr>
            </w:pPr>
            <w:r>
              <w:rPr>
                <w:rFonts w:ascii="Arial" w:cs="Arial" w:eastAsia="Arial" w:hAnsi="Arial"/>
                <w:sz w:val="15"/>
                <w:szCs w:val="15"/>
                <w:color w:val="auto"/>
                <w:w w:val="97"/>
              </w:rPr>
              <w:t>Investments in U.S. Treasury bills (cost of $99,985,833 and $29,998,750,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300"/>
              <w:spacing w:after="0"/>
              <w:rPr>
                <w:sz w:val="20"/>
                <w:szCs w:val="20"/>
                <w:color w:val="auto"/>
              </w:rPr>
            </w:pPr>
            <w:r>
              <w:rPr>
                <w:rFonts w:ascii="Arial" w:cs="Arial" w:eastAsia="Arial" w:hAnsi="Arial"/>
                <w:sz w:val="15"/>
                <w:szCs w:val="15"/>
                <w:color w:val="auto"/>
              </w:rPr>
              <w:t>respectively)</w:t>
            </w:r>
          </w:p>
        </w:tc>
        <w:tc>
          <w:tcPr>
            <w:tcW w:w="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99,994,000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98"/>
              </w:rPr>
              <w:t>29,998,490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920" w:type="dxa"/>
            <w:vAlign w:val="bottom"/>
            <w:tcBorders>
              <w:top w:val="single" w:sz="8" w:color="CCEEFF"/>
            </w:tcBorders>
            <w:gridSpan w:val="3"/>
            <w:shd w:val="clear" w:color="auto" w:fill="CCEEFF"/>
          </w:tcPr>
          <w:p>
            <w:pPr>
              <w:ind w:left="300"/>
              <w:spacing w:after="0" w:line="169" w:lineRule="exact"/>
              <w:rPr>
                <w:sz w:val="20"/>
                <w:szCs w:val="20"/>
                <w:color w:val="auto"/>
              </w:rPr>
            </w:pPr>
            <w:r>
              <w:rPr>
                <w:rFonts w:ascii="Arial" w:cs="Arial" w:eastAsia="Arial" w:hAnsi="Arial"/>
                <w:sz w:val="15"/>
                <w:szCs w:val="15"/>
                <w:color w:val="auto"/>
                <w:w w:val="94"/>
              </w:rPr>
              <w:t>Total Investments (cost of $302,560,185 and $308,767,024, respectively)</w:t>
            </w:r>
          </w:p>
        </w:tc>
        <w:tc>
          <w:tcPr>
            <w:tcW w:w="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88"/>
              </w:rPr>
              <w:t>320,582,493</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86"/>
              </w:rPr>
              <w:t>292,013,636</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920" w:type="dxa"/>
            <w:vAlign w:val="bottom"/>
            <w:gridSpan w:val="3"/>
          </w:tcPr>
          <w:p>
            <w:pPr>
              <w:ind w:left="20"/>
              <w:spacing w:after="0"/>
              <w:rPr>
                <w:sz w:val="20"/>
                <w:szCs w:val="20"/>
                <w:color w:val="auto"/>
              </w:rPr>
            </w:pPr>
            <w:r>
              <w:rPr>
                <w:rFonts w:ascii="Arial" w:cs="Arial" w:eastAsia="Arial" w:hAnsi="Arial"/>
                <w:sz w:val="15"/>
                <w:szCs w:val="15"/>
                <w:color w:val="auto"/>
              </w:rPr>
              <w:t>Cash</w:t>
            </w:r>
          </w:p>
        </w:tc>
        <w:tc>
          <w:tcPr>
            <w:tcW w:w="6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59,838,600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8,332,634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Due from:</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3"/>
          </w:tcPr>
          <w:p>
            <w:pPr>
              <w:ind w:left="160"/>
              <w:spacing w:after="0" w:line="167" w:lineRule="exact"/>
              <w:rPr>
                <w:sz w:val="20"/>
                <w:szCs w:val="20"/>
                <w:color w:val="auto"/>
              </w:rPr>
            </w:pPr>
            <w:r>
              <w:rPr>
                <w:rFonts w:ascii="Arial" w:cs="Arial" w:eastAsia="Arial" w:hAnsi="Arial"/>
                <w:sz w:val="15"/>
                <w:szCs w:val="15"/>
                <w:color w:val="auto"/>
              </w:rPr>
              <w:t>Controlled investments</w:t>
            </w:r>
          </w:p>
        </w:tc>
        <w:tc>
          <w:tcPr>
            <w:tcW w:w="60" w:type="dxa"/>
            <w:vAlign w:val="bottom"/>
          </w:tcPr>
          <w:p>
            <w:pPr>
              <w:spacing w:after="0"/>
              <w:rPr>
                <w:sz w:val="14"/>
                <w:szCs w:val="14"/>
                <w:color w:val="auto"/>
              </w:rPr>
            </w:pPr>
          </w:p>
        </w:tc>
        <w:tc>
          <w:tcPr>
            <w:tcW w:w="940" w:type="dxa"/>
            <w:vAlign w:val="bottom"/>
            <w:gridSpan w:val="2"/>
          </w:tcPr>
          <w:p>
            <w:pPr>
              <w:jc w:val="right"/>
              <w:ind w:right="180"/>
              <w:spacing w:after="0" w:line="167" w:lineRule="exact"/>
              <w:rPr>
                <w:sz w:val="20"/>
                <w:szCs w:val="20"/>
                <w:color w:val="auto"/>
              </w:rPr>
            </w:pPr>
            <w:r>
              <w:rPr>
                <w:rFonts w:ascii="Arial" w:cs="Arial" w:eastAsia="Arial" w:hAnsi="Arial"/>
                <w:sz w:val="15"/>
                <w:szCs w:val="15"/>
                <w:color w:val="auto"/>
              </w:rPr>
              <w:t>840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Escrow proceeds receivable</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5"/>
                <w:szCs w:val="15"/>
                <w:color w:val="auto"/>
              </w:rPr>
              <w:t>603,456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4920" w:type="dxa"/>
            <w:vAlign w:val="bottom"/>
            <w:gridSpan w:val="3"/>
          </w:tcPr>
          <w:p>
            <w:pPr>
              <w:ind w:left="20"/>
              <w:spacing w:after="0" w:line="167" w:lineRule="exact"/>
              <w:rPr>
                <w:sz w:val="20"/>
                <w:szCs w:val="20"/>
                <w:color w:val="auto"/>
              </w:rPr>
            </w:pPr>
            <w:r>
              <w:rPr>
                <w:rFonts w:ascii="Arial" w:cs="Arial" w:eastAsia="Arial" w:hAnsi="Arial"/>
                <w:sz w:val="15"/>
                <w:szCs w:val="15"/>
                <w:color w:val="auto"/>
              </w:rPr>
              <w:t>Interest and dividends receivable</w:t>
            </w:r>
          </w:p>
        </w:tc>
        <w:tc>
          <w:tcPr>
            <w:tcW w:w="60" w:type="dxa"/>
            <w:vAlign w:val="bottom"/>
          </w:tcPr>
          <w:p>
            <w:pPr>
              <w:spacing w:after="0"/>
              <w:rPr>
                <w:sz w:val="14"/>
                <w:szCs w:val="14"/>
                <w:color w:val="auto"/>
              </w:rPr>
            </w:pPr>
          </w:p>
        </w:tc>
        <w:tc>
          <w:tcPr>
            <w:tcW w:w="940" w:type="dxa"/>
            <w:vAlign w:val="bottom"/>
            <w:gridSpan w:val="2"/>
          </w:tcPr>
          <w:p>
            <w:pPr>
              <w:jc w:val="right"/>
              <w:ind w:right="180"/>
              <w:spacing w:after="0" w:line="167" w:lineRule="exact"/>
              <w:rPr>
                <w:sz w:val="20"/>
                <w:szCs w:val="20"/>
                <w:color w:val="auto"/>
              </w:rPr>
            </w:pPr>
            <w:r>
              <w:rPr>
                <w:rFonts w:ascii="Arial" w:cs="Arial" w:eastAsia="Arial" w:hAnsi="Arial"/>
                <w:sz w:val="15"/>
                <w:szCs w:val="15"/>
                <w:color w:val="auto"/>
              </w:rPr>
              <w:t>35,141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92,946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Prepaid expenses and other assets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5"/>
                <w:szCs w:val="15"/>
                <w:color w:val="auto"/>
              </w:rPr>
              <w:t>208,983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213,942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gridSpan w:val="3"/>
          </w:tcPr>
          <w:p>
            <w:pPr>
              <w:ind w:left="20"/>
              <w:spacing w:after="0"/>
              <w:rPr>
                <w:sz w:val="20"/>
                <w:szCs w:val="20"/>
                <w:color w:val="auto"/>
              </w:rPr>
            </w:pPr>
            <w:r>
              <w:rPr>
                <w:rFonts w:ascii="Arial" w:cs="Arial" w:eastAsia="Arial" w:hAnsi="Arial"/>
                <w:sz w:val="15"/>
                <w:szCs w:val="15"/>
                <w:color w:val="auto"/>
              </w:rPr>
              <w:t>Deferred financing costs</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413,023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311,268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720" w:type="dxa"/>
            <w:vAlign w:val="bottom"/>
            <w:tcBorders>
              <w:top w:val="single" w:sz="8" w:color="CCEEFF"/>
              <w:bottom w:val="single" w:sz="8" w:color="CCEEFF"/>
            </w:tcBorders>
            <w:shd w:val="clear" w:color="auto" w:fill="CCEEFF"/>
          </w:tcPr>
          <w:p>
            <w:pPr>
              <w:ind w:left="300"/>
              <w:spacing w:after="0" w:line="159" w:lineRule="exact"/>
              <w:rPr>
                <w:sz w:val="20"/>
                <w:szCs w:val="20"/>
                <w:color w:val="auto"/>
              </w:rPr>
            </w:pPr>
            <w:r>
              <w:rPr>
                <w:rFonts w:ascii="Arial" w:cs="Arial" w:eastAsia="Arial" w:hAnsi="Arial"/>
                <w:sz w:val="15"/>
                <w:szCs w:val="15"/>
                <w:b w:val="1"/>
                <w:bCs w:val="1"/>
                <w:color w:val="auto"/>
              </w:rPr>
              <w:t>Total Assets</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88"/>
              </w:rPr>
              <w:t>381,682,536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86"/>
              </w:rPr>
              <w:t>300,964,426</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20" w:type="dxa"/>
            <w:vAlign w:val="bottom"/>
            <w:gridSpan w:val="3"/>
          </w:tcPr>
          <w:p>
            <w:pPr>
              <w:ind w:left="20"/>
              <w:spacing w:after="0"/>
              <w:rPr>
                <w:sz w:val="20"/>
                <w:szCs w:val="20"/>
                <w:color w:val="auto"/>
              </w:rPr>
            </w:pPr>
            <w:r>
              <w:rPr>
                <w:rFonts w:ascii="Arial" w:cs="Arial" w:eastAsia="Arial" w:hAnsi="Arial"/>
                <w:sz w:val="15"/>
                <w:szCs w:val="15"/>
                <w:b w:val="1"/>
                <w:bCs w:val="1"/>
                <w:color w:val="auto"/>
              </w:rPr>
              <w:t>LIABILITIES</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Due to:</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gridSpan w:val="3"/>
          </w:tcPr>
          <w:p>
            <w:pPr>
              <w:ind w:left="160"/>
              <w:spacing w:after="0" w:line="179" w:lineRule="exact"/>
              <w:rPr>
                <w:sz w:val="20"/>
                <w:szCs w:val="20"/>
                <w:color w:val="auto"/>
              </w:rPr>
            </w:pPr>
            <w:r>
              <w:rPr>
                <w:rFonts w:ascii="Arial" w:cs="Arial" w:eastAsia="Arial" w:hAnsi="Arial"/>
                <w:sz w:val="14"/>
                <w:szCs w:val="14"/>
                <w:color w:val="auto"/>
              </w:rPr>
              <w:t>GSV Asset Management</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231,697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422,025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Accounts payable and accrued expenses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5"/>
                <w:szCs w:val="15"/>
                <w:color w:val="auto"/>
              </w:rPr>
              <w:t>458,203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335,611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gridSpan w:val="3"/>
          </w:tcPr>
          <w:p>
            <w:pPr>
              <w:ind w:left="20"/>
              <w:spacing w:after="0" w:line="179" w:lineRule="exact"/>
              <w:rPr>
                <w:sz w:val="20"/>
                <w:szCs w:val="20"/>
                <w:color w:val="auto"/>
              </w:rPr>
            </w:pPr>
            <w:r>
              <w:rPr>
                <w:rFonts w:ascii="Arial" w:cs="Arial" w:eastAsia="Arial" w:hAnsi="Arial"/>
                <w:sz w:val="14"/>
                <w:szCs w:val="14"/>
                <w:color w:val="auto"/>
              </w:rPr>
              <w:t>Accrued incentive fees</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9,278,085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2,126,444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gridSpan w:val="3"/>
            <w:shd w:val="clear" w:color="auto" w:fill="CCEEFF"/>
          </w:tcPr>
          <w:p>
            <w:pPr>
              <w:ind w:left="20"/>
              <w:spacing w:after="0" w:line="179" w:lineRule="exact"/>
              <w:rPr>
                <w:sz w:val="20"/>
                <w:szCs w:val="20"/>
                <w:color w:val="auto"/>
              </w:rPr>
            </w:pPr>
            <w:r>
              <w:rPr>
                <w:rFonts w:ascii="Arial" w:cs="Arial" w:eastAsia="Arial" w:hAnsi="Arial"/>
                <w:sz w:val="14"/>
                <w:szCs w:val="14"/>
                <w:color w:val="auto"/>
              </w:rPr>
              <w:t>Accrued management fees, net of waiver of management fees</w:t>
            </w:r>
            <w:r>
              <w:rPr>
                <w:rFonts w:ascii="Arial" w:cs="Arial" w:eastAsia="Arial" w:hAnsi="Arial"/>
                <w:sz w:val="20"/>
                <w:szCs w:val="20"/>
                <w:color w:val="auto"/>
                <w:vertAlign w:val="superscript"/>
              </w:rPr>
              <w:t>(1)</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424,447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524,054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20" w:type="dxa"/>
            <w:vAlign w:val="bottom"/>
            <w:gridSpan w:val="3"/>
          </w:tcPr>
          <w:p>
            <w:pPr>
              <w:ind w:left="20"/>
              <w:spacing w:after="0" w:line="167" w:lineRule="exact"/>
              <w:rPr>
                <w:sz w:val="20"/>
                <w:szCs w:val="20"/>
                <w:color w:val="auto"/>
              </w:rPr>
            </w:pPr>
            <w:r>
              <w:rPr>
                <w:rFonts w:ascii="Arial" w:cs="Arial" w:eastAsia="Arial" w:hAnsi="Arial"/>
                <w:sz w:val="15"/>
                <w:szCs w:val="15"/>
                <w:color w:val="auto"/>
              </w:rPr>
              <w:t>Accrued interest payable</w:t>
            </w:r>
          </w:p>
        </w:tc>
        <w:tc>
          <w:tcPr>
            <w:tcW w:w="60" w:type="dxa"/>
            <w:vAlign w:val="bottom"/>
          </w:tcPr>
          <w:p>
            <w:pPr>
              <w:spacing w:after="0"/>
              <w:rPr>
                <w:sz w:val="14"/>
                <w:szCs w:val="14"/>
                <w:color w:val="auto"/>
              </w:rPr>
            </w:pPr>
          </w:p>
        </w:tc>
        <w:tc>
          <w:tcPr>
            <w:tcW w:w="940" w:type="dxa"/>
            <w:vAlign w:val="bottom"/>
            <w:gridSpan w:val="2"/>
          </w:tcPr>
          <w:p>
            <w:pPr>
              <w:jc w:val="right"/>
              <w:ind w:right="180"/>
              <w:spacing w:after="0" w:line="167" w:lineRule="exact"/>
              <w:rPr>
                <w:sz w:val="20"/>
                <w:szCs w:val="20"/>
                <w:color w:val="auto"/>
              </w:rPr>
            </w:pPr>
            <w:r>
              <w:rPr>
                <w:rFonts w:ascii="Arial" w:cs="Arial" w:eastAsia="Arial" w:hAnsi="Arial"/>
                <w:sz w:val="15"/>
                <w:szCs w:val="15"/>
                <w:color w:val="auto"/>
              </w:rPr>
              <w:t>1,056,563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1,056,563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Payable for securities purchased</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5"/>
                <w:szCs w:val="15"/>
                <w:color w:val="auto"/>
                <w:w w:val="98"/>
              </w:rPr>
              <w:t>89,485,825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8"/>
              </w:rPr>
              <w:t>26,498,750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3"/>
          </w:tcPr>
          <w:p>
            <w:pPr>
              <w:ind w:left="20"/>
              <w:spacing w:after="0" w:line="167" w:lineRule="exact"/>
              <w:rPr>
                <w:sz w:val="20"/>
                <w:szCs w:val="20"/>
                <w:color w:val="auto"/>
              </w:rPr>
            </w:pPr>
            <w:r>
              <w:rPr>
                <w:rFonts w:ascii="Arial" w:cs="Arial" w:eastAsia="Arial" w:hAnsi="Arial"/>
                <w:sz w:val="15"/>
                <w:szCs w:val="15"/>
                <w:color w:val="auto"/>
              </w:rPr>
              <w:t>Deferred tax liability</w:t>
            </w:r>
          </w:p>
        </w:tc>
        <w:tc>
          <w:tcPr>
            <w:tcW w:w="60" w:type="dxa"/>
            <w:vAlign w:val="bottom"/>
          </w:tcPr>
          <w:p>
            <w:pPr>
              <w:spacing w:after="0"/>
              <w:rPr>
                <w:sz w:val="14"/>
                <w:szCs w:val="14"/>
                <w:color w:val="auto"/>
              </w:rPr>
            </w:pPr>
          </w:p>
        </w:tc>
        <w:tc>
          <w:tcPr>
            <w:tcW w:w="940" w:type="dxa"/>
            <w:vAlign w:val="bottom"/>
            <w:gridSpan w:val="2"/>
          </w:tcPr>
          <w:p>
            <w:pPr>
              <w:jc w:val="right"/>
              <w:ind w:right="180"/>
              <w:spacing w:after="0" w:line="167" w:lineRule="exact"/>
              <w:rPr>
                <w:sz w:val="20"/>
                <w:szCs w:val="20"/>
                <w:color w:val="auto"/>
              </w:rPr>
            </w:pPr>
            <w:r>
              <w:rPr>
                <w:rFonts w:ascii="Arial" w:cs="Arial" w:eastAsia="Arial" w:hAnsi="Arial"/>
                <w:sz w:val="15"/>
                <w:szCs w:val="15"/>
                <w:color w:val="auto"/>
              </w:rPr>
              <w:t>7,602,301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line="167" w:lineRule="exact"/>
              <w:rPr>
                <w:sz w:val="20"/>
                <w:szCs w:val="20"/>
                <w:color w:val="auto"/>
              </w:rPr>
            </w:pPr>
            <w:r>
              <w:rPr>
                <w:rFonts w:ascii="Arial" w:cs="Arial" w:eastAsia="Arial" w:hAnsi="Arial"/>
                <w:sz w:val="15"/>
                <w:szCs w:val="15"/>
                <w:color w:val="auto"/>
                <w:w w:val="98"/>
              </w:rPr>
              <w:t>10,359,371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72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Convertible Senior Notes Payable 5.25% due September 15, 2018</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68,382,549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8"/>
              </w:rPr>
              <w:t>67,512,798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720" w:type="dxa"/>
            <w:vAlign w:val="bottom"/>
            <w:tcBorders>
              <w:top w:val="single" w:sz="8" w:color="CCEEFF"/>
              <w:bottom w:val="single" w:sz="8" w:color="CCEEFF"/>
            </w:tcBorders>
          </w:tcPr>
          <w:p>
            <w:pPr>
              <w:ind w:left="300"/>
              <w:spacing w:after="0" w:line="159" w:lineRule="exact"/>
              <w:rPr>
                <w:sz w:val="20"/>
                <w:szCs w:val="20"/>
                <w:color w:val="auto"/>
              </w:rPr>
            </w:pPr>
            <w:r>
              <w:rPr>
                <w:rFonts w:ascii="Arial" w:cs="Arial" w:eastAsia="Arial" w:hAnsi="Arial"/>
                <w:sz w:val="15"/>
                <w:szCs w:val="15"/>
                <w:b w:val="1"/>
                <w:bCs w:val="1"/>
                <w:color w:val="auto"/>
              </w:rPr>
              <w:t>Total Liabilities</w:t>
            </w:r>
          </w:p>
        </w:tc>
        <w:tc>
          <w:tcPr>
            <w:tcW w:w="18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88"/>
              </w:rPr>
              <w:t>176,919,670</w:t>
            </w:r>
          </w:p>
        </w:tc>
        <w:tc>
          <w:tcPr>
            <w:tcW w:w="18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86"/>
              </w:rPr>
              <w:t>108,835,616</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 (Notes 7 and 10)</w:t>
            </w: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4920" w:type="dxa"/>
            <w:vAlign w:val="bottom"/>
            <w:gridSpan w:val="3"/>
          </w:tcPr>
          <w:p>
            <w:pPr>
              <w:ind w:left="20"/>
              <w:spacing w:after="0"/>
              <w:rPr>
                <w:sz w:val="20"/>
                <w:szCs w:val="20"/>
                <w:color w:val="auto"/>
              </w:rPr>
            </w:pPr>
            <w:r>
              <w:rPr>
                <w:rFonts w:ascii="Arial" w:cs="Arial" w:eastAsia="Arial" w:hAnsi="Arial"/>
                <w:sz w:val="15"/>
                <w:szCs w:val="15"/>
                <w:b w:val="1"/>
                <w:bCs w:val="1"/>
                <w:color w:val="auto"/>
              </w:rPr>
              <w:t>Net Assets</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204,762,866</w:t>
            </w: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88"/>
              </w:rPr>
              <w:t>192,128,810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NET ASSETS</w:t>
            </w:r>
          </w:p>
        </w:tc>
        <w:tc>
          <w:tcPr>
            <w:tcW w:w="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20" w:type="dxa"/>
            <w:vAlign w:val="bottom"/>
            <w:gridSpan w:val="3"/>
          </w:tcPr>
          <w:p>
            <w:pPr>
              <w:ind w:left="20"/>
              <w:spacing w:after="0" w:line="168" w:lineRule="exact"/>
              <w:rPr>
                <w:sz w:val="20"/>
                <w:szCs w:val="20"/>
                <w:color w:val="auto"/>
              </w:rPr>
            </w:pPr>
            <w:r>
              <w:rPr>
                <w:rFonts w:ascii="Arial" w:cs="Arial" w:eastAsia="Arial" w:hAnsi="Arial"/>
                <w:sz w:val="15"/>
                <w:szCs w:val="15"/>
                <w:color w:val="auto"/>
              </w:rPr>
              <w:t>Common stock, par value $0.01 per share (100,000,000 authorized;</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160"/>
              <w:spacing w:after="0"/>
              <w:rPr>
                <w:sz w:val="20"/>
                <w:szCs w:val="20"/>
                <w:color w:val="auto"/>
              </w:rPr>
            </w:pPr>
            <w:r>
              <w:rPr>
                <w:rFonts w:ascii="Arial" w:cs="Arial" w:eastAsia="Arial" w:hAnsi="Arial"/>
                <w:sz w:val="15"/>
                <w:szCs w:val="15"/>
                <w:color w:val="auto"/>
              </w:rPr>
              <w:t>21,246,345 and 22,181,003 issued and outstanding, respectively)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212,463</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221,810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920" w:type="dxa"/>
            <w:vAlign w:val="bottom"/>
            <w:gridSpan w:val="3"/>
            <w:shd w:val="clear" w:color="auto" w:fill="CCEEFF"/>
          </w:tcPr>
          <w:p>
            <w:pPr>
              <w:ind w:left="20"/>
              <w:spacing w:after="0" w:line="168" w:lineRule="exact"/>
              <w:rPr>
                <w:sz w:val="20"/>
                <w:szCs w:val="20"/>
                <w:color w:val="auto"/>
              </w:rPr>
            </w:pPr>
            <w:r>
              <w:rPr>
                <w:rFonts w:ascii="Arial" w:cs="Arial" w:eastAsia="Arial" w:hAnsi="Arial"/>
                <w:sz w:val="15"/>
                <w:szCs w:val="15"/>
                <w:color w:val="auto"/>
              </w:rPr>
              <w:t>Paid-in capital in excess of par</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w w:val="88"/>
              </w:rPr>
              <w:t>202,584,012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auto"/>
                <w:w w:val="88"/>
              </w:rPr>
              <w:t>221,237,636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3"/>
          </w:tcPr>
          <w:p>
            <w:pPr>
              <w:ind w:left="20"/>
              <w:spacing w:after="0" w:line="167" w:lineRule="exact"/>
              <w:rPr>
                <w:sz w:val="20"/>
                <w:szCs w:val="20"/>
                <w:color w:val="auto"/>
              </w:rPr>
            </w:pPr>
            <w:r>
              <w:rPr>
                <w:rFonts w:ascii="Arial" w:cs="Arial" w:eastAsia="Arial" w:hAnsi="Arial"/>
                <w:sz w:val="15"/>
                <w:szCs w:val="15"/>
                <w:color w:val="auto"/>
              </w:rPr>
              <w:t>Accumulated net investment loss</w:t>
            </w:r>
          </w:p>
        </w:tc>
        <w:tc>
          <w:tcPr>
            <w:tcW w:w="60" w:type="dxa"/>
            <w:vAlign w:val="bottom"/>
          </w:tcPr>
          <w:p>
            <w:pPr>
              <w:spacing w:after="0"/>
              <w:rPr>
                <w:sz w:val="14"/>
                <w:szCs w:val="14"/>
                <w:color w:val="auto"/>
              </w:rPr>
            </w:pPr>
          </w:p>
        </w:tc>
        <w:tc>
          <w:tcPr>
            <w:tcW w:w="940" w:type="dxa"/>
            <w:vAlign w:val="bottom"/>
            <w:gridSpan w:val="2"/>
          </w:tcPr>
          <w:p>
            <w:pPr>
              <w:jc w:val="right"/>
              <w:ind w:right="140"/>
              <w:spacing w:after="0" w:line="167" w:lineRule="exact"/>
              <w:rPr>
                <w:sz w:val="20"/>
                <w:szCs w:val="20"/>
                <w:color w:val="auto"/>
              </w:rPr>
            </w:pPr>
            <w:r>
              <w:rPr>
                <w:rFonts w:ascii="Arial" w:cs="Arial" w:eastAsia="Arial" w:hAnsi="Arial"/>
                <w:sz w:val="15"/>
                <w:szCs w:val="15"/>
                <w:color w:val="auto"/>
              </w:rPr>
              <w:t>(8,593,717)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spacing w:after="0" w:line="167" w:lineRule="exact"/>
              <w:rPr>
                <w:sz w:val="20"/>
                <w:szCs w:val="20"/>
                <w:color w:val="auto"/>
              </w:rPr>
            </w:pPr>
            <w:r>
              <w:rPr>
                <w:rFonts w:ascii="Arial" w:cs="Arial" w:eastAsia="Arial" w:hAnsi="Arial"/>
                <w:sz w:val="15"/>
                <w:szCs w:val="15"/>
                <w:color w:val="auto"/>
              </w:rPr>
              <w:t>(1,443,996)</w:t>
            </w:r>
          </w:p>
        </w:tc>
        <w:tc>
          <w:tcPr>
            <w:tcW w:w="0" w:type="dxa"/>
            <w:vAlign w:val="bottom"/>
          </w:tcPr>
          <w:p>
            <w:pPr>
              <w:spacing w:after="0"/>
              <w:rPr>
                <w:sz w:val="1"/>
                <w:szCs w:val="1"/>
                <w:color w:val="auto"/>
              </w:rPr>
            </w:pPr>
          </w:p>
        </w:tc>
      </w:tr>
      <w:tr>
        <w:trPr>
          <w:trHeight w:val="167"/>
        </w:trPr>
        <w:tc>
          <w:tcPr>
            <w:tcW w:w="492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Accumulated net realized gains/(losses) on investments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5"/>
                <w:szCs w:val="15"/>
                <w:color w:val="auto"/>
              </w:rPr>
              <w:t>140,100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5"/>
                <w:szCs w:val="15"/>
                <w:color w:val="auto"/>
              </w:rPr>
              <w:t>(773,882)</w:t>
            </w:r>
          </w:p>
        </w:tc>
        <w:tc>
          <w:tcPr>
            <w:tcW w:w="0" w:type="dxa"/>
            <w:vAlign w:val="bottom"/>
          </w:tcPr>
          <w:p>
            <w:pPr>
              <w:spacing w:after="0"/>
              <w:rPr>
                <w:sz w:val="1"/>
                <w:szCs w:val="1"/>
                <w:color w:val="auto"/>
              </w:rPr>
            </w:pPr>
          </w:p>
        </w:tc>
      </w:tr>
      <w:tr>
        <w:trPr>
          <w:trHeight w:val="179"/>
        </w:trPr>
        <w:tc>
          <w:tcPr>
            <w:tcW w:w="4920" w:type="dxa"/>
            <w:vAlign w:val="bottom"/>
            <w:gridSpan w:val="3"/>
          </w:tcPr>
          <w:p>
            <w:pPr>
              <w:ind w:left="20"/>
              <w:spacing w:after="0"/>
              <w:rPr>
                <w:sz w:val="20"/>
                <w:szCs w:val="20"/>
                <w:color w:val="auto"/>
              </w:rPr>
            </w:pPr>
            <w:r>
              <w:rPr>
                <w:rFonts w:ascii="Arial" w:cs="Arial" w:eastAsia="Arial" w:hAnsi="Arial"/>
                <w:sz w:val="15"/>
                <w:szCs w:val="15"/>
                <w:color w:val="auto"/>
              </w:rPr>
              <w:t>Accumulated net unrealized appreciation/(depreciation) of investments</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10,420,008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w w:val="91"/>
              </w:rPr>
              <w:t>(27,112,758)</w:t>
            </w:r>
          </w:p>
        </w:tc>
        <w:tc>
          <w:tcPr>
            <w:tcW w:w="0" w:type="dxa"/>
            <w:vAlign w:val="bottom"/>
          </w:tcPr>
          <w:p>
            <w:pPr>
              <w:spacing w:after="0"/>
              <w:rPr>
                <w:sz w:val="1"/>
                <w:szCs w:val="1"/>
                <w:color w:val="auto"/>
              </w:rPr>
            </w:pPr>
          </w:p>
        </w:tc>
      </w:tr>
      <w:tr>
        <w:trPr>
          <w:trHeight w:val="159"/>
        </w:trPr>
        <w:tc>
          <w:tcPr>
            <w:tcW w:w="4920" w:type="dxa"/>
            <w:vAlign w:val="bottom"/>
            <w:tcBorders>
              <w:top w:val="single" w:sz="8" w:color="CCEEFF"/>
              <w:bottom w:val="single" w:sz="8" w:color="CCEEFF"/>
            </w:tcBorders>
            <w:gridSpan w:val="3"/>
            <w:shd w:val="clear" w:color="auto" w:fill="CCEEFF"/>
          </w:tcPr>
          <w:p>
            <w:pPr>
              <w:ind w:left="300"/>
              <w:spacing w:after="0" w:line="159" w:lineRule="exact"/>
              <w:rPr>
                <w:sz w:val="20"/>
                <w:szCs w:val="20"/>
                <w:color w:val="auto"/>
              </w:rPr>
            </w:pPr>
            <w:r>
              <w:rPr>
                <w:rFonts w:ascii="Arial" w:cs="Arial" w:eastAsia="Arial" w:hAnsi="Arial"/>
                <w:sz w:val="15"/>
                <w:szCs w:val="15"/>
                <w:b w:val="1"/>
                <w:bCs w:val="1"/>
                <w:color w:val="auto"/>
              </w:rPr>
              <w:t>Net Assets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88"/>
              </w:rPr>
              <w:t>204,762,866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86"/>
              </w:rPr>
              <w:t>192,128,810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Net Asset Value Per Share</w:t>
            </w: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920" w:type="dxa"/>
            <w:vAlign w:val="bottom"/>
            <w:gridSpan w:val="3"/>
            <w:vMerge w:val="continue"/>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5"/>
                <w:szCs w:val="15"/>
                <w:color w:val="auto"/>
              </w:rPr>
              <w:t>9.64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5"/>
                <w:szCs w:val="15"/>
                <w:color w:val="auto"/>
              </w:rPr>
              <w:t>8.66</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-268605</wp:posOffset>
            </wp:positionV>
            <wp:extent cx="2857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-268605</wp:posOffset>
            </wp:positionV>
            <wp:extent cx="37553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553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-1423670</wp:posOffset>
            </wp:positionV>
            <wp:extent cx="2857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-1423670</wp:posOffset>
            </wp:positionV>
            <wp:extent cx="375539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7553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-1537335</wp:posOffset>
            </wp:positionV>
            <wp:extent cx="2857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-2684780</wp:posOffset>
            </wp:positionV>
            <wp:extent cx="2857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-2798445</wp:posOffset>
            </wp:positionV>
            <wp:extent cx="285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-2798445</wp:posOffset>
            </wp:positionV>
            <wp:extent cx="375539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553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-3726815</wp:posOffset>
            </wp:positionV>
            <wp:extent cx="285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-3726815</wp:posOffset>
            </wp:positionV>
            <wp:extent cx="375539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5539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-4732655</wp:posOffset>
            </wp:positionV>
            <wp:extent cx="285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-4732655</wp:posOffset>
            </wp:positionV>
            <wp:extent cx="374840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484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141605</wp:posOffset>
            </wp:positionV>
            <wp:extent cx="102044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326" w:lineRule="exact"/>
        <w:rPr>
          <w:sz w:val="20"/>
          <w:szCs w:val="20"/>
          <w:color w:val="auto"/>
        </w:rPr>
      </w:pPr>
    </w:p>
    <w:p>
      <w:pPr>
        <w:ind w:left="1340" w:right="2619" w:hanging="289"/>
        <w:spacing w:after="0" w:line="331" w:lineRule="auto"/>
        <w:tabs>
          <w:tab w:leader="none" w:pos="1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This balance references a related-party transaction and is subject to the fee Waiver Agreement announced and effective subsequent to year-end. Refer to “Note 3 — Related-Party Arrangements” for more detail.</w:t>
      </w:r>
    </w:p>
    <w:p>
      <w:pPr>
        <w:ind w:left="1340" w:right="2979" w:hanging="289"/>
        <w:spacing w:after="0" w:line="270" w:lineRule="auto"/>
        <w:tabs>
          <w:tab w:leader="none" w:pos="1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Convertible Senior Notes have a face value of $69,000,000. Refer to “Note 10 — Debt Capital Activities” for a reconciliation of the carrying value to the face value.</w:t>
      </w:r>
    </w:p>
    <w:p>
      <w:pPr>
        <w:spacing w:after="0" w:line="36"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7" w:name="page78"/>
    <w:bookmarkEnd w:id="7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99"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2"/>
                <w:szCs w:val="12"/>
                <w:b w:val="1"/>
                <w:bCs w:val="1"/>
                <w:color w:val="auto"/>
                <w:w w:val="90"/>
              </w:rPr>
              <w:t>Year Ended</w:t>
            </w:r>
          </w:p>
        </w:tc>
        <w:tc>
          <w:tcPr>
            <w:tcW w:w="120" w:type="dxa"/>
            <w:vAlign w:val="bottom"/>
          </w:tcPr>
          <w:p>
            <w:pPr>
              <w:spacing w:after="0"/>
              <w:rPr>
                <w:sz w:val="12"/>
                <w:szCs w:val="12"/>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2"/>
                <w:szCs w:val="12"/>
                <w:b w:val="1"/>
                <w:bCs w:val="1"/>
                <w:color w:val="auto"/>
                <w:w w:val="90"/>
              </w:rPr>
              <w:t>Year Ended</w:t>
            </w:r>
          </w:p>
        </w:tc>
        <w:tc>
          <w:tcPr>
            <w:tcW w:w="120" w:type="dxa"/>
            <w:vAlign w:val="bottom"/>
          </w:tcPr>
          <w:p>
            <w:pPr>
              <w:spacing w:after="0"/>
              <w:rPr>
                <w:sz w:val="12"/>
                <w:szCs w:val="12"/>
                <w:color w:val="auto"/>
              </w:rPr>
            </w:pPr>
          </w:p>
        </w:tc>
        <w:tc>
          <w:tcPr>
            <w:tcW w:w="840" w:type="dxa"/>
            <w:vAlign w:val="bottom"/>
            <w:gridSpan w:val="3"/>
          </w:tcPr>
          <w:p>
            <w:pPr>
              <w:jc w:val="right"/>
              <w:ind w:right="133"/>
              <w:spacing w:after="0"/>
              <w:rPr>
                <w:sz w:val="20"/>
                <w:szCs w:val="20"/>
                <w:color w:val="auto"/>
              </w:rPr>
            </w:pPr>
            <w:r>
              <w:rPr>
                <w:rFonts w:ascii="Arial" w:cs="Arial" w:eastAsia="Arial" w:hAnsi="Arial"/>
                <w:sz w:val="12"/>
                <w:szCs w:val="12"/>
                <w:b w:val="1"/>
                <w:bCs w:val="1"/>
                <w:color w:val="auto"/>
                <w:w w:val="93"/>
              </w:rPr>
              <w:t>Year Ended</w:t>
            </w:r>
          </w:p>
        </w:tc>
        <w:tc>
          <w:tcPr>
            <w:tcW w:w="0" w:type="dxa"/>
            <w:vAlign w:val="bottom"/>
          </w:tcPr>
          <w:p>
            <w:pPr>
              <w:spacing w:after="0"/>
              <w:rPr>
                <w:sz w:val="1"/>
                <w:szCs w:val="1"/>
                <w:color w:val="auto"/>
              </w:rPr>
            </w:pPr>
          </w:p>
        </w:tc>
      </w:tr>
      <w:tr>
        <w:trPr>
          <w:trHeight w:val="151"/>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8"/>
              </w:rPr>
              <w:t>December 31, 2017</w:t>
            </w:r>
          </w:p>
        </w:tc>
        <w:tc>
          <w:tcPr>
            <w:tcW w:w="114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8"/>
              </w:rPr>
              <w:t>December 31, 2016</w:t>
            </w:r>
          </w:p>
        </w:tc>
        <w:tc>
          <w:tcPr>
            <w:tcW w:w="960" w:type="dxa"/>
            <w:vAlign w:val="bottom"/>
            <w:gridSpan w:val="4"/>
          </w:tcPr>
          <w:p>
            <w:pPr>
              <w:jc w:val="right"/>
              <w:spacing w:after="0"/>
              <w:rPr>
                <w:sz w:val="20"/>
                <w:szCs w:val="20"/>
                <w:color w:val="auto"/>
              </w:rPr>
            </w:pPr>
            <w:r>
              <w:rPr>
                <w:rFonts w:ascii="Arial" w:cs="Arial" w:eastAsia="Arial" w:hAnsi="Arial"/>
                <w:sz w:val="12"/>
                <w:szCs w:val="12"/>
                <w:b w:val="1"/>
                <w:bCs w:val="1"/>
                <w:color w:val="auto"/>
                <w:w w:val="86"/>
              </w:rPr>
              <w:t>December 31, 2015</w:t>
            </w:r>
          </w:p>
        </w:tc>
        <w:tc>
          <w:tcPr>
            <w:tcW w:w="0" w:type="dxa"/>
            <w:vAlign w:val="bottom"/>
          </w:tcPr>
          <w:p>
            <w:pPr>
              <w:spacing w:after="0"/>
              <w:rPr>
                <w:sz w:val="1"/>
                <w:szCs w:val="1"/>
                <w:color w:val="auto"/>
              </w:rPr>
            </w:pPr>
          </w:p>
        </w:tc>
      </w:tr>
      <w:tr>
        <w:trPr>
          <w:trHeight w:val="136"/>
        </w:trPr>
        <w:tc>
          <w:tcPr>
            <w:tcW w:w="338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INVESTMENT INCOME</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Non-controlled/non-affiliate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income/(reversal of interest accrual)</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(4,627)</w:t>
            </w:r>
          </w:p>
        </w:tc>
        <w:tc>
          <w:tcPr>
            <w:tcW w:w="1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262,473</w:t>
            </w:r>
          </w:p>
        </w:tc>
        <w:tc>
          <w:tcPr>
            <w:tcW w:w="1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29,695</w:t>
            </w:r>
          </w:p>
        </w:tc>
        <w:tc>
          <w:tcPr>
            <w:tcW w:w="0" w:type="dxa"/>
            <w:vAlign w:val="bottom"/>
          </w:tcPr>
          <w:p>
            <w:pPr>
              <w:spacing w:after="0"/>
              <w:rPr>
                <w:sz w:val="1"/>
                <w:szCs w:val="1"/>
                <w:color w:val="auto"/>
              </w:rPr>
            </w:pPr>
          </w:p>
        </w:tc>
      </w:tr>
      <w:tr>
        <w:trPr>
          <w:trHeight w:val="156"/>
        </w:trPr>
        <w:tc>
          <w:tcPr>
            <w:tcW w:w="3380" w:type="dxa"/>
            <w:vAlign w:val="bottom"/>
          </w:tcPr>
          <w:p>
            <w:pPr>
              <w:ind w:left="300"/>
              <w:spacing w:after="0"/>
              <w:rPr>
                <w:sz w:val="20"/>
                <w:szCs w:val="20"/>
                <w:color w:val="auto"/>
              </w:rPr>
            </w:pPr>
            <w:r>
              <w:rPr>
                <w:rFonts w:ascii="Arial" w:cs="Arial" w:eastAsia="Arial" w:hAnsi="Arial"/>
                <w:sz w:val="13"/>
                <w:szCs w:val="13"/>
                <w:color w:val="auto"/>
              </w:rPr>
              <w:t>Dividend income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46,781</w:t>
            </w: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income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73,096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212,795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Non-controlled/affiliate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income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59,460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159,016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214,420</w:t>
            </w: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Controlled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income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249,839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101,999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3380" w:type="dxa"/>
            <w:vAlign w:val="bottom"/>
          </w:tcPr>
          <w:p>
            <w:pPr>
              <w:ind w:left="300"/>
              <w:spacing w:after="0"/>
              <w:rPr>
                <w:sz w:val="20"/>
                <w:szCs w:val="20"/>
                <w:color w:val="auto"/>
              </w:rPr>
            </w:pPr>
            <w:r>
              <w:rPr>
                <w:rFonts w:ascii="Arial" w:cs="Arial" w:eastAsia="Arial" w:hAnsi="Arial"/>
                <w:sz w:val="13"/>
                <w:szCs w:val="13"/>
                <w:color w:val="auto"/>
              </w:rPr>
              <w:t>Dividend income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475,000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380" w:type="dxa"/>
            <w:vAlign w:val="bottom"/>
            <w:tcBorders>
              <w:top w:val="single" w:sz="8" w:color="CCEEFF"/>
              <w:bottom w:val="single" w:sz="8" w:color="CCEEFF"/>
            </w:tcBorders>
            <w:shd w:val="clear" w:color="auto" w:fill="CCEEFF"/>
          </w:tcPr>
          <w:p>
            <w:pPr>
              <w:ind w:left="160"/>
              <w:spacing w:after="0" w:line="148" w:lineRule="exact"/>
              <w:rPr>
                <w:sz w:val="20"/>
                <w:szCs w:val="20"/>
                <w:color w:val="auto"/>
              </w:rPr>
            </w:pPr>
            <w:r>
              <w:rPr>
                <w:rFonts w:ascii="Arial" w:cs="Arial" w:eastAsia="Arial" w:hAnsi="Arial"/>
                <w:sz w:val="13"/>
                <w:szCs w:val="13"/>
                <w:b w:val="1"/>
                <w:bCs w:val="1"/>
                <w:color w:val="auto"/>
              </w:rPr>
              <w:t>Total Investment Income</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852,768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736,283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290,896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line="167" w:lineRule="exact"/>
              <w:rPr>
                <w:sz w:val="20"/>
                <w:szCs w:val="20"/>
                <w:color w:val="auto"/>
              </w:rPr>
            </w:pPr>
            <w:r>
              <w:rPr>
                <w:rFonts w:ascii="Arial" w:cs="Arial" w:eastAsia="Arial" w:hAnsi="Arial"/>
                <w:sz w:val="13"/>
                <w:szCs w:val="13"/>
                <w:color w:val="auto"/>
              </w:rPr>
              <w:t>Management fees</w:t>
            </w:r>
            <w:r>
              <w:rPr>
                <w:rFonts w:ascii="Arial" w:cs="Arial" w:eastAsia="Arial" w:hAnsi="Arial"/>
                <w:sz w:val="19"/>
                <w:szCs w:val="19"/>
                <w:color w:val="auto"/>
                <w:vertAlign w:val="superscript"/>
              </w:rPr>
              <w:t>(2)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5,666,176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6,896,347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8,044,801</w:t>
            </w: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line="167" w:lineRule="exact"/>
              <w:rPr>
                <w:sz w:val="20"/>
                <w:szCs w:val="20"/>
                <w:color w:val="auto"/>
              </w:rPr>
            </w:pPr>
            <w:r>
              <w:rPr>
                <w:rFonts w:ascii="Arial" w:cs="Arial" w:eastAsia="Arial" w:hAnsi="Arial"/>
                <w:sz w:val="13"/>
                <w:szCs w:val="13"/>
                <w:color w:val="auto"/>
              </w:rPr>
              <w:t>Incentive fees/(reversal of incentive fee accrual)</w:t>
            </w:r>
            <w:r>
              <w:rPr>
                <w:rFonts w:ascii="Arial" w:cs="Arial" w:eastAsia="Arial" w:hAnsi="Arial"/>
                <w:sz w:val="19"/>
                <w:szCs w:val="19"/>
                <w:color w:val="auto"/>
                <w:vertAlign w:val="superscript"/>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7,151,641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(15,188,121)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8,170,326</w:t>
            </w: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line="167" w:lineRule="exact"/>
              <w:rPr>
                <w:sz w:val="20"/>
                <w:szCs w:val="20"/>
                <w:color w:val="auto"/>
              </w:rPr>
            </w:pPr>
            <w:r>
              <w:rPr>
                <w:rFonts w:ascii="Arial" w:cs="Arial" w:eastAsia="Arial" w:hAnsi="Arial"/>
                <w:sz w:val="13"/>
                <w:szCs w:val="13"/>
                <w:color w:val="auto"/>
              </w:rPr>
              <w:t>Costs incurred under Administration Agreement</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1,874,839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2,545,316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2,681,079</w:t>
            </w: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Directors’ fees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328,480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345,000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373,676</w:t>
            </w: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Professional fees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2,068,668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1,966,906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1,357,988</w:t>
            </w: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4,696,819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4,731,430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4,961,169</w:t>
            </w: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expense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52,901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880,778</w:t>
            </w: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Other expenses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600,331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702,768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509,418</w:t>
            </w: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fair value adjustment for embedded derivative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6"/>
        </w:trPr>
        <w:tc>
          <w:tcPr>
            <w:tcW w:w="3380" w:type="dxa"/>
            <w:vAlign w:val="bottom"/>
            <w:tcBorders>
              <w:top w:val="single" w:sz="8" w:color="CCEEFF"/>
            </w:tcBorders>
          </w:tcPr>
          <w:p>
            <w:pPr>
              <w:ind w:left="160"/>
              <w:spacing w:after="0" w:line="136" w:lineRule="exact"/>
              <w:rPr>
                <w:sz w:val="20"/>
                <w:szCs w:val="20"/>
                <w:color w:val="auto"/>
              </w:rPr>
            </w:pPr>
            <w:r>
              <w:rPr>
                <w:rFonts w:ascii="Arial" w:cs="Arial" w:eastAsia="Arial" w:hAnsi="Arial"/>
                <w:sz w:val="13"/>
                <w:szCs w:val="13"/>
                <w:color w:val="auto"/>
              </w:rPr>
              <w:t>Total Operating Expenses</w:t>
            </w: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8"/>
              </w:rPr>
              <w:t>22,439,855</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1,999,646</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5"/>
              </w:rPr>
              <w:t>26,978,235</w:t>
            </w:r>
          </w:p>
        </w:tc>
        <w:tc>
          <w:tcPr>
            <w:tcW w:w="1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160"/>
              <w:spacing w:after="0" w:line="167" w:lineRule="exact"/>
              <w:rPr>
                <w:sz w:val="20"/>
                <w:szCs w:val="20"/>
                <w:color w:val="auto"/>
              </w:rPr>
            </w:pPr>
            <w:r>
              <w:rPr>
                <w:rFonts w:ascii="Arial" w:cs="Arial" w:eastAsia="Arial" w:hAnsi="Arial"/>
                <w:sz w:val="13"/>
                <w:szCs w:val="13"/>
                <w:color w:val="auto"/>
              </w:rPr>
              <w:t>Management fee waiver</w:t>
            </w:r>
            <w:r>
              <w:rPr>
                <w:rFonts w:ascii="Arial" w:cs="Arial" w:eastAsia="Arial" w:hAnsi="Arial"/>
                <w:sz w:val="19"/>
                <w:szCs w:val="19"/>
                <w:color w:val="auto"/>
                <w:vertAlign w:val="superscript"/>
              </w:rPr>
              <w:t>(2)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(708,272)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3380" w:type="dxa"/>
            <w:vAlign w:val="bottom"/>
            <w:tcBorders>
              <w:top w:val="single" w:sz="8" w:color="CCEEFF"/>
            </w:tcBorders>
          </w:tcPr>
          <w:p>
            <w:pPr>
              <w:ind w:left="160"/>
              <w:spacing w:after="0" w:line="136" w:lineRule="exact"/>
              <w:rPr>
                <w:sz w:val="20"/>
                <w:szCs w:val="20"/>
                <w:color w:val="auto"/>
              </w:rPr>
            </w:pPr>
            <w:r>
              <w:rPr>
                <w:rFonts w:ascii="Arial" w:cs="Arial" w:eastAsia="Arial" w:hAnsi="Arial"/>
                <w:sz w:val="13"/>
                <w:szCs w:val="13"/>
                <w:color w:val="auto"/>
                <w:w w:val="91"/>
              </w:rPr>
              <w:t>Total operating expenses, net of waiver of management fees</w:t>
            </w: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8"/>
              </w:rPr>
              <w:t>21,731,583</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1,999,646</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5"/>
              </w:rPr>
              <w:t>26,978,235</w:t>
            </w:r>
          </w:p>
        </w:tc>
        <w:tc>
          <w:tcPr>
            <w:tcW w:w="1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160"/>
              <w:spacing w:after="0" w:line="167" w:lineRule="exact"/>
              <w:rPr>
                <w:sz w:val="20"/>
                <w:szCs w:val="20"/>
                <w:color w:val="auto"/>
              </w:rPr>
            </w:pPr>
            <w:r>
              <w:rPr>
                <w:rFonts w:ascii="Arial" w:cs="Arial" w:eastAsia="Arial" w:hAnsi="Arial"/>
                <w:sz w:val="13"/>
                <w:szCs w:val="13"/>
                <w:color w:val="auto"/>
                <w:w w:val="99"/>
              </w:rPr>
              <w:t>Reversal of benefit from taxes on net investment loss</w:t>
            </w:r>
            <w:r>
              <w:rPr>
                <w:rFonts w:ascii="Arial" w:cs="Arial" w:eastAsia="Arial" w:hAnsi="Arial"/>
                <w:sz w:val="19"/>
                <w:szCs w:val="19"/>
                <w:color w:val="auto"/>
                <w:w w:val="99"/>
                <w:vertAlign w:val="superscript"/>
              </w:rPr>
              <w:t>(3)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92"/>
              </w:rPr>
              <w:t>(21,969,370)</w:t>
            </w:r>
          </w:p>
        </w:tc>
        <w:tc>
          <w:tcPr>
            <w:tcW w:w="0" w:type="dxa"/>
            <w:vAlign w:val="bottom"/>
          </w:tcPr>
          <w:p>
            <w:pPr>
              <w:spacing w:after="0"/>
              <w:rPr>
                <w:sz w:val="1"/>
                <w:szCs w:val="1"/>
                <w:color w:val="auto"/>
              </w:rPr>
            </w:pPr>
          </w:p>
        </w:tc>
      </w:tr>
      <w:tr>
        <w:trPr>
          <w:trHeight w:val="147"/>
        </w:trPr>
        <w:tc>
          <w:tcPr>
            <w:tcW w:w="3380" w:type="dxa"/>
            <w:vAlign w:val="bottom"/>
            <w:tcBorders>
              <w:top w:val="single" w:sz="8" w:color="CCEEFF"/>
              <w:bottom w:val="single" w:sz="8" w:color="CCEEFF"/>
            </w:tcBorders>
          </w:tcPr>
          <w:p>
            <w:pPr>
              <w:ind w:left="160"/>
              <w:spacing w:after="0" w:line="148" w:lineRule="exact"/>
              <w:rPr>
                <w:sz w:val="20"/>
                <w:szCs w:val="20"/>
                <w:color w:val="auto"/>
              </w:rPr>
            </w:pPr>
            <w:r>
              <w:rPr>
                <w:rFonts w:ascii="Arial" w:cs="Arial" w:eastAsia="Arial" w:hAnsi="Arial"/>
                <w:sz w:val="13"/>
                <w:szCs w:val="13"/>
                <w:b w:val="1"/>
                <w:bCs w:val="1"/>
                <w:color w:val="auto"/>
              </w:rPr>
              <w:t>Net Investment Loss</w:t>
            </w: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2"/>
              </w:rPr>
              <w:t>(20,878,815</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6"/>
              </w:rPr>
              <w:t>(1,263,363)</w:t>
            </w:r>
          </w:p>
        </w:tc>
        <w:tc>
          <w:tcPr>
            <w:tcW w:w="1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9"/>
              </w:rPr>
              <w:t>(48,656,709</w:t>
            </w:r>
          </w:p>
        </w:tc>
        <w:tc>
          <w:tcPr>
            <w:tcW w:w="140" w:type="dxa"/>
            <w:vAlign w:val="bottom"/>
            <w:tcBorders>
              <w:top w:val="single" w:sz="8" w:color="CCEEFF"/>
              <w:bottom w:val="single" w:sz="8" w:color="CCEEFF"/>
            </w:tcBorders>
          </w:tcPr>
          <w:p>
            <w:pPr>
              <w:jc w:val="right"/>
              <w:ind w:right="13"/>
              <w:spacing w:after="0" w:line="148"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Realized Gains/(Losses) on Investments: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Non-controlled/non-affiliated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3,989,476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(2,634,471)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w w:val="98"/>
              </w:rPr>
              <w:t>64,314,796</w:t>
            </w: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Non-controlled/affiliate investments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(3,075,494)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92"/>
              </w:rPr>
              <w:t>(10,170,567)</w:t>
            </w:r>
          </w:p>
        </w:tc>
        <w:tc>
          <w:tcPr>
            <w:tcW w:w="0" w:type="dxa"/>
            <w:vAlign w:val="bottom"/>
          </w:tcPr>
          <w:p>
            <w:pPr>
              <w:spacing w:after="0"/>
              <w:rPr>
                <w:sz w:val="1"/>
                <w:szCs w:val="1"/>
                <w:color w:val="auto"/>
              </w:rPr>
            </w:pPr>
          </w:p>
        </w:tc>
      </w:tr>
      <w:tr>
        <w:trPr>
          <w:trHeight w:val="136"/>
        </w:trPr>
        <w:tc>
          <w:tcPr>
            <w:tcW w:w="3380" w:type="dxa"/>
            <w:vAlign w:val="bottom"/>
            <w:tcBorders>
              <w:top w:val="single" w:sz="8" w:color="CCEEFF"/>
            </w:tcBorders>
          </w:tcPr>
          <w:p>
            <w:pPr>
              <w:ind w:left="20"/>
              <w:spacing w:after="0" w:line="136" w:lineRule="exact"/>
              <w:rPr>
                <w:sz w:val="20"/>
                <w:szCs w:val="20"/>
                <w:color w:val="auto"/>
              </w:rPr>
            </w:pPr>
            <w:r>
              <w:rPr>
                <w:rFonts w:ascii="Arial" w:cs="Arial" w:eastAsia="Arial" w:hAnsi="Arial"/>
                <w:sz w:val="13"/>
                <w:szCs w:val="13"/>
                <w:b w:val="1"/>
                <w:bCs w:val="1"/>
                <w:color w:val="auto"/>
              </w:rPr>
              <w:t>Net Realized Gains/(Losses) on Investments</w:t>
            </w: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913,982</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6"/>
              </w:rPr>
              <w:t>(2,634,471)</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95"/>
              </w:rPr>
              <w:t>54,144,229</w:t>
            </w:r>
          </w:p>
        </w:tc>
        <w:tc>
          <w:tcPr>
            <w:tcW w:w="1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Reversal of provision for taxes on net realized gain on</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160"/>
              <w:spacing w:after="0" w:line="167" w:lineRule="exact"/>
              <w:rPr>
                <w:sz w:val="20"/>
                <w:szCs w:val="20"/>
                <w:color w:val="auto"/>
              </w:rPr>
            </w:pPr>
            <w:r>
              <w:rPr>
                <w:rFonts w:ascii="Arial" w:cs="Arial" w:eastAsia="Arial" w:hAnsi="Arial"/>
                <w:sz w:val="13"/>
                <w:szCs w:val="13"/>
                <w:color w:val="auto"/>
              </w:rPr>
              <w:t>investments</w:t>
            </w:r>
            <w:r>
              <w:rPr>
                <w:rFonts w:ascii="Arial" w:cs="Arial" w:eastAsia="Arial" w:hAnsi="Arial"/>
                <w:sz w:val="19"/>
                <w:szCs w:val="19"/>
                <w:color w:val="auto"/>
                <w:vertAlign w:val="superscript"/>
              </w:rPr>
              <w:t>(3)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342,802</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Change in Unrealized Appreciation/(Depreciation) of</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80" w:type="dxa"/>
            <w:vAlign w:val="bottom"/>
          </w:tcPr>
          <w:p>
            <w:pPr>
              <w:ind w:left="160"/>
              <w:spacing w:after="0"/>
              <w:rPr>
                <w:sz w:val="20"/>
                <w:szCs w:val="20"/>
                <w:color w:val="auto"/>
              </w:rPr>
            </w:pPr>
            <w:r>
              <w:rPr>
                <w:rFonts w:ascii="Arial" w:cs="Arial" w:eastAsia="Arial" w:hAnsi="Arial"/>
                <w:sz w:val="13"/>
                <w:szCs w:val="13"/>
                <w:b w:val="1"/>
                <w:bCs w:val="1"/>
                <w:color w:val="auto"/>
              </w:rPr>
              <w:t>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Non-controlled/non-affiliated investments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w w:val="98"/>
              </w:rPr>
              <w:t>45,958,490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(54,745,095)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92"/>
              </w:rPr>
              <w:t>(14,181,484)</w:t>
            </w:r>
          </w:p>
        </w:tc>
        <w:tc>
          <w:tcPr>
            <w:tcW w:w="0" w:type="dxa"/>
            <w:vAlign w:val="bottom"/>
          </w:tcPr>
          <w:p>
            <w:pPr>
              <w:spacing w:after="0"/>
              <w:rPr>
                <w:sz w:val="1"/>
                <w:szCs w:val="1"/>
                <w:color w:val="auto"/>
              </w:rPr>
            </w:pPr>
          </w:p>
        </w:tc>
      </w:tr>
      <w:tr>
        <w:trPr>
          <w:trHeight w:val="156"/>
        </w:trPr>
        <w:tc>
          <w:tcPr>
            <w:tcW w:w="3380" w:type="dxa"/>
            <w:vAlign w:val="bottom"/>
          </w:tcPr>
          <w:p>
            <w:pPr>
              <w:ind w:left="20"/>
              <w:spacing w:after="0"/>
              <w:rPr>
                <w:sz w:val="20"/>
                <w:szCs w:val="20"/>
                <w:color w:val="auto"/>
              </w:rPr>
            </w:pPr>
            <w:r>
              <w:rPr>
                <w:rFonts w:ascii="Arial" w:cs="Arial" w:eastAsia="Arial" w:hAnsi="Arial"/>
                <w:sz w:val="13"/>
                <w:szCs w:val="13"/>
                <w:color w:val="auto"/>
              </w:rPr>
              <w:t>Non-controlled/affiliate 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3"/>
                <w:szCs w:val="13"/>
                <w:color w:val="auto"/>
                <w:w w:val="92"/>
              </w:rPr>
              <w:t>(16,084,516)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(13,571,477)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1,386,378</w:t>
            </w: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Controlled investments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4,901,722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(4,897,273)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(627,139)</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80" w:type="dxa"/>
            <w:vAlign w:val="bottom"/>
          </w:tcPr>
          <w:p>
            <w:pPr>
              <w:ind w:left="20"/>
              <w:spacing w:after="0" w:line="114" w:lineRule="exact"/>
              <w:rPr>
                <w:sz w:val="20"/>
                <w:szCs w:val="20"/>
                <w:color w:val="auto"/>
              </w:rPr>
            </w:pPr>
            <w:r>
              <w:rPr>
                <w:rFonts w:ascii="Arial" w:cs="Arial" w:eastAsia="Arial" w:hAnsi="Arial"/>
                <w:sz w:val="13"/>
                <w:szCs w:val="13"/>
                <w:b w:val="1"/>
                <w:bCs w:val="1"/>
                <w:color w:val="auto"/>
                <w:w w:val="96"/>
              </w:rPr>
              <w:t>Net Change in Unrealized Appreciation/(Depreciation) of</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8"/>
              </w:rPr>
              <w:t>34,775,696</w:t>
            </w:r>
          </w:p>
        </w:tc>
        <w:tc>
          <w:tcPr>
            <w:tcW w:w="1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2"/>
              </w:rPr>
              <w:t>(73,213,845)</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w w:val="92"/>
              </w:rPr>
              <w:t>(13,422,245)</w:t>
            </w:r>
          </w:p>
        </w:tc>
        <w:tc>
          <w:tcPr>
            <w:tcW w:w="0" w:type="dxa"/>
            <w:vAlign w:val="bottom"/>
          </w:tcPr>
          <w:p>
            <w:pPr>
              <w:spacing w:after="0"/>
              <w:rPr>
                <w:sz w:val="1"/>
                <w:szCs w:val="1"/>
                <w:color w:val="auto"/>
              </w:rPr>
            </w:pPr>
          </w:p>
        </w:tc>
      </w:tr>
      <w:tr>
        <w:trPr>
          <w:trHeight w:val="156"/>
        </w:trPr>
        <w:tc>
          <w:tcPr>
            <w:tcW w:w="3380" w:type="dxa"/>
            <w:vAlign w:val="bottom"/>
          </w:tcPr>
          <w:p>
            <w:pPr>
              <w:ind w:left="160"/>
              <w:spacing w:after="0"/>
              <w:rPr>
                <w:sz w:val="20"/>
                <w:szCs w:val="20"/>
                <w:color w:val="auto"/>
              </w:rPr>
            </w:pPr>
            <w:r>
              <w:rPr>
                <w:rFonts w:ascii="Arial" w:cs="Arial" w:eastAsia="Arial" w:hAnsi="Arial"/>
                <w:sz w:val="13"/>
                <w:szCs w:val="13"/>
                <w:b w:val="1"/>
                <w:bCs w:val="1"/>
                <w:color w:val="auto"/>
              </w:rPr>
              <w:t>Investments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Benefit from taxes on unrealized depreciation of</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160"/>
              <w:spacing w:after="0" w:line="167" w:lineRule="exact"/>
              <w:rPr>
                <w:sz w:val="20"/>
                <w:szCs w:val="20"/>
                <w:color w:val="auto"/>
              </w:rPr>
            </w:pPr>
            <w:r>
              <w:rPr>
                <w:rFonts w:ascii="Arial" w:cs="Arial" w:eastAsia="Arial" w:hAnsi="Arial"/>
                <w:sz w:val="13"/>
                <w:szCs w:val="13"/>
                <w:color w:val="auto"/>
              </w:rPr>
              <w:t>investments</w:t>
            </w:r>
            <w:r>
              <w:rPr>
                <w:rFonts w:ascii="Arial" w:cs="Arial" w:eastAsia="Arial" w:hAnsi="Arial"/>
                <w:sz w:val="19"/>
                <w:szCs w:val="19"/>
                <w:color w:val="auto"/>
                <w:vertAlign w:val="superscript"/>
              </w:rPr>
              <w:t>(3)(5)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2,757,070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2,116,784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w w:val="98"/>
              </w:rPr>
              <w:t>16,058,080</w:t>
            </w:r>
          </w:p>
        </w:tc>
        <w:tc>
          <w:tcPr>
            <w:tcW w:w="0" w:type="dxa"/>
            <w:vAlign w:val="bottom"/>
          </w:tcPr>
          <w:p>
            <w:pPr>
              <w:spacing w:after="0"/>
              <w:rPr>
                <w:sz w:val="1"/>
                <w:szCs w:val="1"/>
                <w:color w:val="auto"/>
              </w:rPr>
            </w:pPr>
          </w:p>
        </w:tc>
      </w:tr>
      <w:tr>
        <w:trPr>
          <w:trHeight w:val="135"/>
        </w:trPr>
        <w:tc>
          <w:tcPr>
            <w:tcW w:w="338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Net Increase/(Decrease) in Net Assets Resulting from</w:t>
            </w: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w w:val="98"/>
              </w:rPr>
              <w:t>17,567,933</w:t>
            </w:r>
          </w:p>
        </w:tc>
        <w:tc>
          <w:tcPr>
            <w:tcW w:w="180" w:type="dxa"/>
            <w:vAlign w:val="bottom"/>
          </w:tcPr>
          <w:p>
            <w:pPr>
              <w:spacing w:after="0"/>
              <w:rPr>
                <w:sz w:val="11"/>
                <w:szCs w:val="1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u w:val="single" w:color="auto"/>
                <w:color w:val="auto"/>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2"/>
              </w:rPr>
              <w:t>(74,994,895)</w:t>
            </w:r>
          </w:p>
        </w:tc>
        <w:tc>
          <w:tcPr>
            <w:tcW w:w="180" w:type="dxa"/>
            <w:vAlign w:val="bottom"/>
          </w:tcPr>
          <w:p>
            <w:pPr>
              <w:spacing w:after="0"/>
              <w:rPr>
                <w:sz w:val="11"/>
                <w:szCs w:val="1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8,466,157</w:t>
            </w:r>
          </w:p>
        </w:tc>
        <w:tc>
          <w:tcPr>
            <w:tcW w:w="0" w:type="dxa"/>
            <w:vAlign w:val="bottom"/>
          </w:tcPr>
          <w:p>
            <w:pPr>
              <w:spacing w:after="0"/>
              <w:rPr>
                <w:sz w:val="1"/>
                <w:szCs w:val="1"/>
                <w:color w:val="auto"/>
              </w:rPr>
            </w:pPr>
          </w:p>
        </w:tc>
      </w:tr>
      <w:tr>
        <w:trPr>
          <w:trHeight w:val="196"/>
        </w:trPr>
        <w:tc>
          <w:tcPr>
            <w:tcW w:w="3380" w:type="dxa"/>
            <w:vAlign w:val="bottom"/>
          </w:tcPr>
          <w:p>
            <w:pPr>
              <w:ind w:left="160"/>
              <w:spacing w:after="0"/>
              <w:rPr>
                <w:sz w:val="20"/>
                <w:szCs w:val="20"/>
                <w:color w:val="auto"/>
              </w:rPr>
            </w:pPr>
            <w:r>
              <w:rPr>
                <w:rFonts w:ascii="Arial" w:cs="Arial" w:eastAsia="Arial" w:hAnsi="Arial"/>
                <w:sz w:val="13"/>
                <w:szCs w:val="13"/>
                <w:b w:val="1"/>
                <w:bCs w:val="1"/>
                <w:color w:val="auto"/>
              </w:rPr>
              <w:t>Operations</w:t>
            </w:r>
          </w:p>
        </w:tc>
        <w:tc>
          <w:tcPr>
            <w:tcW w:w="360" w:type="dxa"/>
            <w:vAlign w:val="bottom"/>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3380" w:type="dxa"/>
            <w:vAlign w:val="bottom"/>
            <w:tcBorders>
              <w:top w:val="single" w:sz="8" w:color="CCEEFF"/>
            </w:tcBorders>
            <w:shd w:val="clear" w:color="auto" w:fill="CCEEFF"/>
          </w:tcPr>
          <w:p>
            <w:pPr>
              <w:ind w:left="20"/>
              <w:spacing w:after="0" w:line="75" w:lineRule="exact"/>
              <w:rPr>
                <w:sz w:val="20"/>
                <w:szCs w:val="20"/>
                <w:color w:val="auto"/>
              </w:rPr>
            </w:pPr>
            <w:r>
              <w:rPr>
                <w:rFonts w:ascii="Arial" w:cs="Arial" w:eastAsia="Arial" w:hAnsi="Arial"/>
                <w:sz w:val="8"/>
                <w:szCs w:val="8"/>
                <w:b w:val="1"/>
                <w:bCs w:val="1"/>
                <w:color w:val="auto"/>
              </w:rPr>
              <w:t>Net Increase/(Decrease) in Net Assets Resulting from</w:t>
            </w: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Operations per Common Share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80" w:type="dxa"/>
            <w:vAlign w:val="bottom"/>
          </w:tcPr>
          <w:p>
            <w:pPr>
              <w:ind w:left="300"/>
              <w:spacing w:after="0"/>
              <w:rPr>
                <w:sz w:val="20"/>
                <w:szCs w:val="20"/>
                <w:color w:val="auto"/>
              </w:rPr>
            </w:pPr>
            <w:r>
              <w:rPr>
                <w:rFonts w:ascii="Arial" w:cs="Arial" w:eastAsia="Arial" w:hAnsi="Arial"/>
                <w:sz w:val="13"/>
                <w:szCs w:val="13"/>
                <w:color w:val="auto"/>
              </w:rPr>
              <w:t>Basic</w:t>
            </w:r>
          </w:p>
        </w:tc>
        <w:tc>
          <w:tcPr>
            <w:tcW w:w="300" w:type="dxa"/>
            <w:vAlign w:val="bottom"/>
            <w:gridSpan w:val="2"/>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(3.38)</w:t>
            </w:r>
          </w:p>
        </w:tc>
        <w:tc>
          <w:tcPr>
            <w:tcW w:w="1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vMerge w:val="restart"/>
            <w:shd w:val="clear" w:color="auto" w:fill="CCEEFF"/>
          </w:tcPr>
          <w:p>
            <w:pPr>
              <w:ind w:left="300"/>
              <w:spacing w:after="0" w:line="150" w:lineRule="exact"/>
              <w:rPr>
                <w:sz w:val="20"/>
                <w:szCs w:val="20"/>
                <w:color w:val="auto"/>
              </w:rPr>
            </w:pPr>
            <w:r>
              <w:rPr>
                <w:rFonts w:ascii="Arial" w:cs="Arial" w:eastAsia="Arial" w:hAnsi="Arial"/>
                <w:sz w:val="12"/>
                <w:szCs w:val="12"/>
                <w:color w:val="auto"/>
              </w:rPr>
              <w:t>Diluted</w:t>
            </w:r>
            <w:r>
              <w:rPr>
                <w:rFonts w:ascii="Arial" w:cs="Arial" w:eastAsia="Arial" w:hAnsi="Arial"/>
                <w:sz w:val="17"/>
                <w:szCs w:val="17"/>
                <w:color w:val="auto"/>
                <w:vertAlign w:val="superscript"/>
              </w:rPr>
              <w:t>(4)</w:t>
            </w: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38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0.80</w:t>
            </w:r>
          </w:p>
        </w:tc>
        <w:tc>
          <w:tcPr>
            <w:tcW w:w="1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(3.38)</w:t>
            </w:r>
          </w:p>
        </w:tc>
        <w:tc>
          <w:tcPr>
            <w:tcW w:w="18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0.44</w:t>
            </w:r>
          </w:p>
        </w:tc>
        <w:tc>
          <w:tcPr>
            <w:tcW w:w="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Arial" w:cs="Arial" w:eastAsia="Arial" w:hAnsi="Arial"/>
                <w:sz w:val="13"/>
                <w:szCs w:val="13"/>
                <w:b w:val="1"/>
                <w:bCs w:val="1"/>
                <w:color w:val="auto"/>
              </w:rPr>
              <w:t>Weighted-Average Common Shares Outstanding</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w w:val="98"/>
              </w:rPr>
              <w:t>21,924,490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22,181,003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w w:val="98"/>
              </w:rPr>
              <w:t>19,327,938</w:t>
            </w:r>
          </w:p>
        </w:tc>
        <w:tc>
          <w:tcPr>
            <w:tcW w:w="0" w:type="dxa"/>
            <w:vAlign w:val="bottom"/>
          </w:tcPr>
          <w:p>
            <w:pPr>
              <w:spacing w:after="0"/>
              <w:rPr>
                <w:sz w:val="1"/>
                <w:szCs w:val="1"/>
                <w:color w:val="auto"/>
              </w:rPr>
            </w:pPr>
          </w:p>
        </w:tc>
      </w:tr>
      <w:tr>
        <w:trPr>
          <w:trHeight w:val="270"/>
        </w:trPr>
        <w:tc>
          <w:tcPr>
            <w:tcW w:w="3380" w:type="dxa"/>
            <w:vAlign w:val="bottom"/>
          </w:tcPr>
          <w:p>
            <w:pPr>
              <w:ind w:left="300"/>
              <w:spacing w:after="0"/>
              <w:rPr>
                <w:sz w:val="20"/>
                <w:szCs w:val="20"/>
                <w:color w:val="auto"/>
              </w:rPr>
            </w:pPr>
            <w:r>
              <w:rPr>
                <w:rFonts w:ascii="Arial" w:cs="Arial" w:eastAsia="Arial" w:hAnsi="Arial"/>
                <w:sz w:val="13"/>
                <w:szCs w:val="13"/>
                <w:color w:val="auto"/>
              </w:rPr>
              <w:t>Diluted</w:t>
            </w:r>
            <w:r>
              <w:rPr>
                <w:rFonts w:ascii="Arial" w:cs="Arial" w:eastAsia="Arial" w:hAnsi="Arial"/>
                <w:sz w:val="20"/>
                <w:szCs w:val="20"/>
                <w:color w:val="auto"/>
                <w:vertAlign w:val="superscript"/>
              </w:rPr>
              <w:t>(4)</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w w:val="98"/>
              </w:rPr>
              <w:t>21,924,490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22,181,003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w w:val="98"/>
              </w:rPr>
              <w:t>19,327,938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-2544445</wp:posOffset>
            </wp:positionV>
            <wp:extent cx="7810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-2544445</wp:posOffset>
            </wp:positionV>
            <wp:extent cx="2692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924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-2544445</wp:posOffset>
            </wp:positionV>
            <wp:extent cx="30543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5435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-4245610</wp:posOffset>
            </wp:positionV>
            <wp:extent cx="7810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-4245610</wp:posOffset>
            </wp:positionV>
            <wp:extent cx="2692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924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-4245610</wp:posOffset>
            </wp:positionV>
            <wp:extent cx="30543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054350" cy="698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-5244465</wp:posOffset>
            </wp:positionV>
            <wp:extent cx="11366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-5244465</wp:posOffset>
            </wp:positionV>
            <wp:extent cx="297624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762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48260</wp:posOffset>
            </wp:positionV>
            <wp:extent cx="102044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190" w:lineRule="exact"/>
        <w:rPr>
          <w:sz w:val="20"/>
          <w:szCs w:val="20"/>
          <w:color w:val="auto"/>
        </w:rPr>
      </w:pPr>
    </w:p>
    <w:p>
      <w:pPr>
        <w:ind w:left="1340" w:right="2659" w:hanging="289"/>
        <w:spacing w:after="0" w:line="256" w:lineRule="auto"/>
        <w:tabs>
          <w:tab w:leader="none" w:pos="1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This balance references a related-party transaction. Refer to “Note 3 — Related-Party Arrangements” for more detail.</w:t>
      </w:r>
    </w:p>
    <w:p>
      <w:pPr>
        <w:ind w:left="1340" w:right="2619" w:hanging="289"/>
        <w:spacing w:after="0" w:line="340" w:lineRule="auto"/>
        <w:tabs>
          <w:tab w:leader="none" w:pos="1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This balance references a related-party transaction and is subject to the fee Waiver Agreement announced and effective subsequent to year-end. Refer to “Note 3 — Related-Party Arrangements” for more detail.</w:t>
      </w: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8" w:name="page79"/>
    <w:bookmarkEnd w:id="7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CONSOLIDATED STATEMENTS OF OPERATIONS – continued</w:t>
      </w:r>
    </w:p>
    <w:p>
      <w:pPr>
        <w:spacing w:after="0" w:line="133" w:lineRule="exact"/>
        <w:rPr>
          <w:sz w:val="20"/>
          <w:szCs w:val="20"/>
          <w:color w:val="auto"/>
        </w:rPr>
      </w:pPr>
    </w:p>
    <w:p>
      <w:pPr>
        <w:ind w:left="1340" w:hanging="289"/>
        <w:spacing w:after="0"/>
        <w:tabs>
          <w:tab w:leader="none" w:pos="1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Due to the Company’s election to be treated as a regulated investment company (“RIC”) from a</w:t>
      </w:r>
    </w:p>
    <w:p>
      <w:pPr>
        <w:spacing w:after="0" w:line="16" w:lineRule="exact"/>
        <w:rPr>
          <w:rFonts w:ascii="Arial" w:cs="Arial" w:eastAsia="Arial" w:hAnsi="Arial"/>
          <w:sz w:val="15"/>
          <w:szCs w:val="15"/>
          <w:color w:val="auto"/>
        </w:rPr>
      </w:pPr>
    </w:p>
    <w:p>
      <w:pPr>
        <w:ind w:left="1340" w:right="2479"/>
        <w:spacing w:after="0" w:line="302" w:lineRule="auto"/>
        <w:rPr>
          <w:rFonts w:ascii="Arial" w:cs="Arial" w:eastAsia="Arial" w:hAnsi="Arial"/>
          <w:sz w:val="15"/>
          <w:szCs w:val="15"/>
          <w:color w:val="auto"/>
        </w:rPr>
      </w:pPr>
      <w:r>
        <w:rPr>
          <w:rFonts w:ascii="Arial" w:cs="Arial" w:eastAsia="Arial" w:hAnsi="Arial"/>
          <w:sz w:val="13"/>
          <w:szCs w:val="13"/>
          <w:color w:val="auto"/>
        </w:rPr>
        <w:t>C Corporation, the associated previously accrued benefits from, and provisions for, taxes from prior periods were reversed for the year ended December 31, 2015. Refer to “Note 9 — Income Taxes” to these consolidated financial statements and “Management’s Discussion and Analysis of Financial Condition and Results of Operations – Results of Operations” in Part II, Item 7 of this Form 10-K for further detail.</w:t>
      </w:r>
    </w:p>
    <w:p>
      <w:pPr>
        <w:spacing w:after="0" w:line="107" w:lineRule="exact"/>
        <w:rPr>
          <w:rFonts w:ascii="Arial" w:cs="Arial" w:eastAsia="Arial" w:hAnsi="Arial"/>
          <w:sz w:val="15"/>
          <w:szCs w:val="15"/>
          <w:color w:val="auto"/>
        </w:rPr>
      </w:pPr>
    </w:p>
    <w:p>
      <w:pPr>
        <w:ind w:left="1340" w:right="2559" w:hanging="289"/>
        <w:spacing w:after="0" w:line="302" w:lineRule="auto"/>
        <w:tabs>
          <w:tab w:leader="none" w:pos="1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For the years ended December 31, 2017, 2016 and 2015, respectively, 5,751,815, 5,751,815 and 5,710,212 potentially dilutive common shares were excluded from the weighted-average common shares outstanding for diluted net increase/(decrease) in net assets resulting from operations per common share because the effect of these shares would have been anti-dilutive. Refer to “Note 6 — Net Increase/(Decrease) in Net Assets Resulting from Operations per Common Share — Basic and Diluted” for further detail.</w:t>
      </w:r>
    </w:p>
    <w:p>
      <w:pPr>
        <w:spacing w:after="0" w:line="97" w:lineRule="exact"/>
        <w:rPr>
          <w:rFonts w:ascii="Arial" w:cs="Arial" w:eastAsia="Arial" w:hAnsi="Arial"/>
          <w:sz w:val="13"/>
          <w:szCs w:val="13"/>
          <w:color w:val="auto"/>
        </w:rPr>
      </w:pPr>
    </w:p>
    <w:p>
      <w:pPr>
        <w:ind w:left="1340" w:right="2519" w:hanging="289"/>
        <w:spacing w:after="0" w:line="276" w:lineRule="auto"/>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During the year ended December 31, 2017, we recognized a net benefit from taxes on unrealized depreciation despite recording a net change in unrealized appreciation of approximately $34.8 million. The net tax benefit was the result of a decrease in built-in gains tax liability due to the recently passed tax legislation, partially offset by an increase in the net deferred tax liability generated by the GSVC Holdings. Refer to “Note 9 — Income Taxes”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79" w:name="page80"/>
    <w:bookmarkEnd w:id="7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CONSOLIDATED STATEMENTS OF CHANGES IN NET ASSETS</w:t>
      </w:r>
    </w:p>
    <w:p>
      <w:pPr>
        <w:spacing w:after="0" w:line="99"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88"/>
              <w:spacing w:after="0"/>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Year Ended</w:t>
            </w:r>
          </w:p>
        </w:tc>
        <w:tc>
          <w:tcPr>
            <w:tcW w:w="900" w:type="dxa"/>
            <w:vAlign w:val="bottom"/>
          </w:tcPr>
          <w:p>
            <w:pPr>
              <w:jc w:val="right"/>
              <w:ind w:right="127"/>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w w:val="81"/>
              </w:rPr>
              <w:t>December 31, 2017</w:t>
            </w:r>
          </w:p>
        </w:tc>
        <w:tc>
          <w:tcPr>
            <w:tcW w:w="11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8"/>
              </w:rPr>
              <w:t>December 31, 2016</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81"/>
              </w:rPr>
              <w:t>December 31, 2015</w:t>
            </w:r>
          </w:p>
        </w:tc>
        <w:tc>
          <w:tcPr>
            <w:tcW w:w="0" w:type="dxa"/>
            <w:vAlign w:val="bottom"/>
          </w:tcPr>
          <w:p>
            <w:pPr>
              <w:spacing w:after="0"/>
              <w:rPr>
                <w:sz w:val="1"/>
                <w:szCs w:val="1"/>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Change in Net Assets Resulting from Operations</w:t>
            </w: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gridSpan w:val="2"/>
          </w:tcPr>
          <w:p>
            <w:pPr>
              <w:ind w:left="160"/>
              <w:spacing w:after="0"/>
              <w:rPr>
                <w:sz w:val="20"/>
                <w:szCs w:val="20"/>
                <w:color w:val="auto"/>
              </w:rPr>
            </w:pPr>
            <w:r>
              <w:rPr>
                <w:rFonts w:ascii="Arial" w:cs="Arial" w:eastAsia="Arial" w:hAnsi="Arial"/>
                <w:sz w:val="15"/>
                <w:szCs w:val="15"/>
                <w:color w:val="auto"/>
              </w:rPr>
              <w:t>Net investment loss</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 (20,878,815)</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(1,263,363)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w w:val="88"/>
              </w:rPr>
              <w:t>$ (48,656,709)</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Net realized gains/(losses) on investments</w:t>
            </w:r>
          </w:p>
        </w:tc>
        <w:tc>
          <w:tcPr>
            <w:tcW w:w="10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5"/>
                <w:szCs w:val="15"/>
                <w:color w:val="auto"/>
              </w:rPr>
              <w:t>913,982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(2,634,471)</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54,144,229</w:t>
            </w:r>
          </w:p>
        </w:tc>
        <w:tc>
          <w:tcPr>
            <w:tcW w:w="0" w:type="dxa"/>
            <w:vAlign w:val="bottom"/>
          </w:tcPr>
          <w:p>
            <w:pPr>
              <w:spacing w:after="0"/>
              <w:rPr>
                <w:sz w:val="1"/>
                <w:szCs w:val="1"/>
                <w:color w:val="auto"/>
              </w:rPr>
            </w:pPr>
          </w:p>
        </w:tc>
      </w:tr>
      <w:tr>
        <w:trPr>
          <w:trHeight w:val="158"/>
        </w:trPr>
        <w:tc>
          <w:tcPr>
            <w:tcW w:w="3720" w:type="dxa"/>
            <w:vAlign w:val="bottom"/>
            <w:gridSpan w:val="2"/>
          </w:tcPr>
          <w:p>
            <w:pPr>
              <w:ind w:left="160"/>
              <w:spacing w:after="0" w:line="159" w:lineRule="exact"/>
              <w:rPr>
                <w:sz w:val="20"/>
                <w:szCs w:val="20"/>
                <w:color w:val="auto"/>
              </w:rPr>
            </w:pPr>
            <w:r>
              <w:rPr>
                <w:rFonts w:ascii="Arial" w:cs="Arial" w:eastAsia="Arial" w:hAnsi="Arial"/>
                <w:sz w:val="15"/>
                <w:szCs w:val="15"/>
                <w:color w:val="auto"/>
              </w:rPr>
              <w:t>Reversal of provision for taxes on realized gains on</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300"/>
              <w:spacing w:after="0" w:line="243" w:lineRule="exact"/>
              <w:rPr>
                <w:sz w:val="20"/>
                <w:szCs w:val="20"/>
                <w:color w:val="auto"/>
              </w:rPr>
            </w:pPr>
            <w:r>
              <w:rPr>
                <w:rFonts w:ascii="Arial" w:cs="Arial" w:eastAsia="Arial" w:hAnsi="Arial"/>
                <w:sz w:val="15"/>
                <w:szCs w:val="15"/>
                <w:color w:val="auto"/>
              </w:rPr>
              <w:t>investments</w:t>
            </w:r>
            <w:r>
              <w:rPr>
                <w:rFonts w:ascii="Arial" w:cs="Arial" w:eastAsia="Arial" w:hAnsi="Arial"/>
                <w:sz w:val="22"/>
                <w:szCs w:val="22"/>
                <w:color w:val="auto"/>
                <w:vertAlign w:val="superscript"/>
              </w:rPr>
              <w:t>(1)</w:t>
            </w:r>
          </w:p>
        </w:tc>
        <w:tc>
          <w:tcPr>
            <w:tcW w:w="12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342,802</w:t>
            </w:r>
          </w:p>
        </w:tc>
        <w:tc>
          <w:tcPr>
            <w:tcW w:w="0" w:type="dxa"/>
            <w:vAlign w:val="bottom"/>
          </w:tcPr>
          <w:p>
            <w:pPr>
              <w:spacing w:after="0"/>
              <w:rPr>
                <w:sz w:val="1"/>
                <w:szCs w:val="1"/>
                <w:color w:val="auto"/>
              </w:rPr>
            </w:pPr>
          </w:p>
        </w:tc>
      </w:tr>
      <w:tr>
        <w:trPr>
          <w:trHeight w:val="190"/>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Net change in unrealized</w:t>
            </w:r>
          </w:p>
        </w:tc>
        <w:tc>
          <w:tcPr>
            <w:tcW w:w="120" w:type="dxa"/>
            <w:vAlign w:val="bottom"/>
            <w:tcBorders>
              <w:right w:val="single" w:sz="8" w:color="CCEEFF"/>
            </w:tcBorders>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appreciation/(depreciation)of investments</w:t>
            </w:r>
          </w:p>
        </w:tc>
        <w:tc>
          <w:tcPr>
            <w:tcW w:w="10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5"/>
                <w:szCs w:val="15"/>
                <w:color w:val="auto"/>
              </w:rPr>
              <w:t>34,775,696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(73,213,845)</w:t>
            </w:r>
          </w:p>
        </w:tc>
        <w:tc>
          <w:tcPr>
            <w:tcW w:w="1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(13,422,245)</w:t>
            </w:r>
          </w:p>
        </w:tc>
        <w:tc>
          <w:tcPr>
            <w:tcW w:w="0" w:type="dxa"/>
            <w:vAlign w:val="bottom"/>
          </w:tcPr>
          <w:p>
            <w:pPr>
              <w:spacing w:after="0"/>
              <w:rPr>
                <w:sz w:val="1"/>
                <w:szCs w:val="1"/>
                <w:color w:val="auto"/>
              </w:rPr>
            </w:pPr>
          </w:p>
        </w:tc>
      </w:tr>
      <w:tr>
        <w:trPr>
          <w:trHeight w:val="158"/>
        </w:trPr>
        <w:tc>
          <w:tcPr>
            <w:tcW w:w="3720" w:type="dxa"/>
            <w:vAlign w:val="bottom"/>
            <w:gridSpan w:val="2"/>
          </w:tcPr>
          <w:p>
            <w:pPr>
              <w:ind w:left="160"/>
              <w:spacing w:after="0" w:line="159" w:lineRule="exact"/>
              <w:rPr>
                <w:sz w:val="20"/>
                <w:szCs w:val="20"/>
                <w:color w:val="auto"/>
              </w:rPr>
            </w:pPr>
            <w:r>
              <w:rPr>
                <w:rFonts w:ascii="Arial" w:cs="Arial" w:eastAsia="Arial" w:hAnsi="Arial"/>
                <w:sz w:val="15"/>
                <w:szCs w:val="15"/>
                <w:color w:val="auto"/>
              </w:rPr>
              <w:t>Benefit from taxes on unrealized depreciation of</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720" w:type="dxa"/>
            <w:vAlign w:val="bottom"/>
            <w:gridSpan w:val="2"/>
          </w:tcPr>
          <w:p>
            <w:pPr>
              <w:ind w:left="300"/>
              <w:spacing w:after="0"/>
              <w:rPr>
                <w:sz w:val="20"/>
                <w:szCs w:val="20"/>
                <w:color w:val="auto"/>
              </w:rPr>
            </w:pPr>
            <w:r>
              <w:rPr>
                <w:rFonts w:ascii="Arial" w:cs="Arial" w:eastAsia="Arial" w:hAnsi="Arial"/>
                <w:sz w:val="15"/>
                <w:szCs w:val="15"/>
                <w:color w:val="auto"/>
              </w:rPr>
              <w:t>investments</w:t>
            </w:r>
            <w:r>
              <w:rPr>
                <w:rFonts w:ascii="Arial" w:cs="Arial" w:eastAsia="Arial" w:hAnsi="Arial"/>
                <w:sz w:val="22"/>
                <w:szCs w:val="22"/>
                <w:color w:val="auto"/>
                <w:vertAlign w:val="superscript"/>
              </w:rPr>
              <w:t>(1)</w:t>
            </w:r>
          </w:p>
        </w:tc>
        <w:tc>
          <w:tcPr>
            <w:tcW w:w="1080" w:type="dxa"/>
            <w:vAlign w:val="bottom"/>
            <w:gridSpan w:val="2"/>
          </w:tcPr>
          <w:p>
            <w:pPr>
              <w:jc w:val="right"/>
              <w:ind w:right="48"/>
              <w:spacing w:after="0"/>
              <w:rPr>
                <w:sz w:val="20"/>
                <w:szCs w:val="20"/>
                <w:color w:val="auto"/>
              </w:rPr>
            </w:pPr>
            <w:r>
              <w:rPr>
                <w:rFonts w:ascii="Arial" w:cs="Arial" w:eastAsia="Arial" w:hAnsi="Arial"/>
                <w:sz w:val="15"/>
                <w:szCs w:val="15"/>
                <w:color w:val="auto"/>
              </w:rPr>
              <w:t>2,757,070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2,116,784</w:t>
            </w:r>
          </w:p>
        </w:tc>
        <w:tc>
          <w:tcPr>
            <w:tcW w:w="140" w:type="dxa"/>
            <w:vAlign w:val="bottom"/>
          </w:tcPr>
          <w:p>
            <w:pPr>
              <w:spacing w:after="0"/>
              <w:rPr>
                <w:sz w:val="22"/>
                <w:szCs w:val="22"/>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16,058,080</w:t>
            </w:r>
          </w:p>
        </w:tc>
        <w:tc>
          <w:tcPr>
            <w:tcW w:w="0" w:type="dxa"/>
            <w:vAlign w:val="bottom"/>
          </w:tcPr>
          <w:p>
            <w:pPr>
              <w:spacing w:after="0"/>
              <w:rPr>
                <w:sz w:val="1"/>
                <w:szCs w:val="1"/>
                <w:color w:val="auto"/>
              </w:rPr>
            </w:pPr>
          </w:p>
        </w:tc>
      </w:tr>
      <w:tr>
        <w:trPr>
          <w:trHeight w:val="177"/>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97"/>
              </w:rPr>
              <w:t>Net Increase/(Decrease) in Net Assets Resulting from</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Operations</w:t>
            </w:r>
          </w:p>
        </w:tc>
        <w:tc>
          <w:tcPr>
            <w:tcW w:w="10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5"/>
                <w:szCs w:val="15"/>
                <w:color w:val="auto"/>
              </w:rPr>
              <w:t>17,567,933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(74,994,895)</w:t>
            </w:r>
          </w:p>
        </w:tc>
        <w:tc>
          <w:tcPr>
            <w:tcW w:w="1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8,466,157</w:t>
            </w:r>
          </w:p>
        </w:tc>
        <w:tc>
          <w:tcPr>
            <w:tcW w:w="0" w:type="dxa"/>
            <w:vAlign w:val="bottom"/>
          </w:tcPr>
          <w:p>
            <w:pPr>
              <w:spacing w:after="0"/>
              <w:rPr>
                <w:sz w:val="1"/>
                <w:szCs w:val="1"/>
                <w:color w:val="auto"/>
              </w:rPr>
            </w:pPr>
          </w:p>
        </w:tc>
      </w:tr>
      <w:tr>
        <w:trPr>
          <w:trHeight w:val="212"/>
        </w:trPr>
        <w:tc>
          <w:tcPr>
            <w:tcW w:w="3720" w:type="dxa"/>
            <w:vAlign w:val="bottom"/>
            <w:gridSpan w:val="2"/>
          </w:tcPr>
          <w:p>
            <w:pPr>
              <w:ind w:left="20"/>
              <w:spacing w:after="0"/>
              <w:rPr>
                <w:sz w:val="20"/>
                <w:szCs w:val="20"/>
                <w:color w:val="auto"/>
              </w:rPr>
            </w:pPr>
            <w:r>
              <w:rPr>
                <w:rFonts w:ascii="Arial" w:cs="Arial" w:eastAsia="Arial" w:hAnsi="Arial"/>
                <w:sz w:val="15"/>
                <w:szCs w:val="15"/>
                <w:color w:val="auto"/>
              </w:rPr>
              <w:t>Distributions from realized gains</w:t>
            </w:r>
          </w:p>
        </w:tc>
        <w:tc>
          <w:tcPr>
            <w:tcW w:w="1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(820,753)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(53,323,476)</w:t>
            </w: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Distributions from return of capital</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(66,487)</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distributions</w:t>
            </w:r>
          </w:p>
        </w:tc>
        <w:tc>
          <w:tcPr>
            <w:tcW w:w="1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(887,240)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(53,323,476)</w:t>
            </w:r>
          </w:p>
        </w:tc>
        <w:tc>
          <w:tcPr>
            <w:tcW w:w="0" w:type="dxa"/>
            <w:vAlign w:val="bottom"/>
          </w:tcPr>
          <w:p>
            <w:pPr>
              <w:spacing w:after="0"/>
              <w:rPr>
                <w:sz w:val="1"/>
                <w:szCs w:val="1"/>
                <w:color w:val="auto"/>
              </w:rPr>
            </w:pPr>
          </w:p>
        </w:tc>
      </w:tr>
      <w:tr>
        <w:trPr>
          <w:trHeight w:val="30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88"/>
              </w:rPr>
              <w:t>Change in Net Assets Resulting from Capital Transactions</w:t>
            </w:r>
          </w:p>
        </w:tc>
        <w:tc>
          <w:tcPr>
            <w:tcW w:w="120" w:type="dxa"/>
            <w:vAlign w:val="bottom"/>
            <w:tcBorders>
              <w:right w:val="single" w:sz="8" w:color="CCEEFF"/>
            </w:tcBorders>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gridSpan w:val="2"/>
          </w:tcPr>
          <w:p>
            <w:pPr>
              <w:ind w:left="160"/>
              <w:spacing w:after="0"/>
              <w:rPr>
                <w:sz w:val="20"/>
                <w:szCs w:val="20"/>
                <w:color w:val="auto"/>
              </w:rPr>
            </w:pPr>
            <w:r>
              <w:rPr>
                <w:rFonts w:ascii="Arial" w:cs="Arial" w:eastAsia="Arial" w:hAnsi="Arial"/>
                <w:sz w:val="15"/>
                <w:szCs w:val="15"/>
                <w:color w:val="auto"/>
              </w:rPr>
              <w:t>Issuance of common stock</w:t>
            </w:r>
          </w:p>
        </w:tc>
        <w:tc>
          <w:tcPr>
            <w:tcW w:w="1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26,964,591</w:t>
            </w: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Repurchases of common stock</w:t>
            </w:r>
          </w:p>
        </w:tc>
        <w:tc>
          <w:tcPr>
            <w:tcW w:w="108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rPr>
              <w:t>(4,933,877)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72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w w:val="97"/>
              </w:rPr>
              <w:t>Net Increase/(Decrease) in Net Assets Resulting from</w:t>
            </w:r>
          </w:p>
        </w:tc>
        <w:tc>
          <w:tcPr>
            <w:tcW w:w="12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20" w:type="dxa"/>
            <w:vAlign w:val="bottom"/>
            <w:gridSpan w:val="2"/>
          </w:tcPr>
          <w:p>
            <w:pPr>
              <w:ind w:left="160"/>
              <w:spacing w:after="0"/>
              <w:rPr>
                <w:sz w:val="20"/>
                <w:szCs w:val="20"/>
                <w:color w:val="auto"/>
              </w:rPr>
            </w:pPr>
            <w:r>
              <w:rPr>
                <w:rFonts w:ascii="Arial" w:cs="Arial" w:eastAsia="Arial" w:hAnsi="Arial"/>
                <w:sz w:val="15"/>
                <w:szCs w:val="15"/>
                <w:b w:val="1"/>
                <w:bCs w:val="1"/>
                <w:color w:val="auto"/>
              </w:rPr>
              <w:t>Capital Transactions</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(4,933,877)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26,964,591</w:t>
            </w:r>
          </w:p>
        </w:tc>
        <w:tc>
          <w:tcPr>
            <w:tcW w:w="0" w:type="dxa"/>
            <w:vAlign w:val="bottom"/>
          </w:tcPr>
          <w:p>
            <w:pPr>
              <w:spacing w:after="0"/>
              <w:rPr>
                <w:sz w:val="1"/>
                <w:szCs w:val="1"/>
                <w:color w:val="auto"/>
              </w:rPr>
            </w:pPr>
          </w:p>
        </w:tc>
      </w:tr>
      <w:tr>
        <w:trPr>
          <w:trHeight w:val="23"/>
        </w:trPr>
        <w:tc>
          <w:tcPr>
            <w:tcW w:w="16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Increase/(Decrease) in Net Assets</w:t>
            </w:r>
          </w:p>
        </w:tc>
        <w:tc>
          <w:tcPr>
            <w:tcW w:w="10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5"/>
                <w:szCs w:val="15"/>
                <w:color w:val="auto"/>
              </w:rPr>
              <w:t>12,634,056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(75,882,135)</w:t>
            </w:r>
          </w:p>
        </w:tc>
        <w:tc>
          <w:tcPr>
            <w:tcW w:w="1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(17,892,728)</w:t>
            </w:r>
          </w:p>
        </w:tc>
        <w:tc>
          <w:tcPr>
            <w:tcW w:w="0" w:type="dxa"/>
            <w:vAlign w:val="bottom"/>
          </w:tcPr>
          <w:p>
            <w:pPr>
              <w:spacing w:after="0"/>
              <w:rPr>
                <w:sz w:val="1"/>
                <w:szCs w:val="1"/>
                <w:color w:val="auto"/>
              </w:rPr>
            </w:pPr>
          </w:p>
        </w:tc>
      </w:tr>
      <w:tr>
        <w:trPr>
          <w:trHeight w:val="217"/>
        </w:trPr>
        <w:tc>
          <w:tcPr>
            <w:tcW w:w="3720" w:type="dxa"/>
            <w:vAlign w:val="bottom"/>
            <w:gridSpan w:val="2"/>
          </w:tcPr>
          <w:p>
            <w:pPr>
              <w:ind w:left="20"/>
              <w:spacing w:after="0"/>
              <w:rPr>
                <w:sz w:val="20"/>
                <w:szCs w:val="20"/>
                <w:color w:val="auto"/>
              </w:rPr>
            </w:pPr>
            <w:r>
              <w:rPr>
                <w:rFonts w:ascii="Arial" w:cs="Arial" w:eastAsia="Arial" w:hAnsi="Arial"/>
                <w:sz w:val="15"/>
                <w:szCs w:val="15"/>
                <w:color w:val="auto"/>
              </w:rPr>
              <w:t>Net assets at beginning of year</w:t>
            </w:r>
          </w:p>
        </w:tc>
        <w:tc>
          <w:tcPr>
            <w:tcW w:w="1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w w:val="98"/>
              </w:rPr>
              <w:t>192,128,810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86"/>
              </w:rPr>
              <w:t>268,010,945</w:t>
            </w:r>
          </w:p>
        </w:tc>
        <w:tc>
          <w:tcPr>
            <w:tcW w:w="140" w:type="dxa"/>
            <w:vAlign w:val="bottom"/>
          </w:tcPr>
          <w:p>
            <w:pPr>
              <w:spacing w:after="0"/>
              <w:rPr>
                <w:sz w:val="18"/>
                <w:szCs w:val="18"/>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w w:val="95"/>
              </w:rPr>
              <w:t>285,903,673</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Net Assets at End of Year</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w w:val="89"/>
              </w:rPr>
              <w:t>$204,762,866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192,128,810</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7"/>
              </w:rPr>
              <w:t>$268,010,945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b w:val="1"/>
                <w:bCs w:val="1"/>
                <w:color w:val="auto"/>
              </w:rPr>
              <w:t>Capital Share Activity</w:t>
            </w: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7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Shares outstanding at beginning of year</w:t>
            </w:r>
          </w:p>
        </w:tc>
        <w:tc>
          <w:tcPr>
            <w:tcW w:w="10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5"/>
                <w:szCs w:val="15"/>
                <w:color w:val="auto"/>
              </w:rPr>
              <w:t>22,181,003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22,181,003</w:t>
            </w:r>
          </w:p>
        </w:tc>
        <w:tc>
          <w:tcPr>
            <w:tcW w:w="14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19,320,100</w:t>
            </w:r>
          </w:p>
        </w:tc>
        <w:tc>
          <w:tcPr>
            <w:tcW w:w="0" w:type="dxa"/>
            <w:vAlign w:val="bottom"/>
          </w:tcPr>
          <w:p>
            <w:pPr>
              <w:spacing w:after="0"/>
              <w:rPr>
                <w:sz w:val="1"/>
                <w:szCs w:val="1"/>
                <w:color w:val="auto"/>
              </w:rPr>
            </w:pPr>
          </w:p>
        </w:tc>
      </w:tr>
      <w:tr>
        <w:trPr>
          <w:trHeight w:val="223"/>
        </w:trPr>
        <w:tc>
          <w:tcPr>
            <w:tcW w:w="3720" w:type="dxa"/>
            <w:vAlign w:val="bottom"/>
            <w:gridSpan w:val="2"/>
          </w:tcPr>
          <w:p>
            <w:pPr>
              <w:ind w:left="160"/>
              <w:spacing w:after="0"/>
              <w:rPr>
                <w:sz w:val="20"/>
                <w:szCs w:val="20"/>
                <w:color w:val="auto"/>
              </w:rPr>
            </w:pPr>
            <w:r>
              <w:rPr>
                <w:rFonts w:ascii="Arial" w:cs="Arial" w:eastAsia="Arial" w:hAnsi="Arial"/>
                <w:sz w:val="15"/>
                <w:szCs w:val="15"/>
                <w:color w:val="auto"/>
              </w:rPr>
              <w:t>Shares issued</w:t>
            </w:r>
          </w:p>
        </w:tc>
        <w:tc>
          <w:tcPr>
            <w:tcW w:w="1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2,860,903</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Shares repurchased</w:t>
            </w:r>
          </w:p>
        </w:tc>
        <w:tc>
          <w:tcPr>
            <w:tcW w:w="12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(934,658)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62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2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 Outstanding at End of Year</w:t>
            </w:r>
          </w:p>
        </w:tc>
        <w:tc>
          <w:tcPr>
            <w:tcW w:w="1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21,246,345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5"/>
              </w:rPr>
              <w:t>22,181,003</w:t>
            </w:r>
          </w:p>
        </w:tc>
        <w:tc>
          <w:tcPr>
            <w:tcW w:w="140" w:type="dxa"/>
            <w:vAlign w:val="bottom"/>
          </w:tcPr>
          <w:p>
            <w:pPr>
              <w:spacing w:after="0"/>
              <w:rPr>
                <w:sz w:val="19"/>
                <w:szCs w:val="19"/>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22,181,003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tcBorders>
              <w:bottom w:val="single" w:sz="8" w:color="auto"/>
            </w:tcBorders>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-1090930</wp:posOffset>
            </wp:positionV>
            <wp:extent cx="4254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-1090930</wp:posOffset>
            </wp:positionV>
            <wp:extent cx="12763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-1090930</wp:posOffset>
            </wp:positionV>
            <wp:extent cx="308927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89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-1374140</wp:posOffset>
            </wp:positionV>
            <wp:extent cx="4254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-1374140</wp:posOffset>
            </wp:positionV>
            <wp:extent cx="12763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-1374140</wp:posOffset>
            </wp:positionV>
            <wp:extent cx="308927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89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-2776855</wp:posOffset>
            </wp:positionV>
            <wp:extent cx="4254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-2776855</wp:posOffset>
            </wp:positionV>
            <wp:extent cx="12763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-2776855</wp:posOffset>
            </wp:positionV>
            <wp:extent cx="308927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89275" cy="698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-3953510</wp:posOffset>
            </wp:positionV>
            <wp:extent cx="4254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-3953510</wp:posOffset>
            </wp:positionV>
            <wp:extent cx="30473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47365" cy="6985"/>
                    </a:xfrm>
                    <a:prstGeom prst="rect">
                      <a:avLst/>
                    </a:prstGeom>
                    <a:noFill/>
                  </pic:spPr>
                </pic:pic>
              </a:graphicData>
            </a:graphic>
          </wp:anchor>
        </w:drawing>
      </w:r>
    </w:p>
    <w:p>
      <w:pPr>
        <w:spacing w:after="0" w:line="148" w:lineRule="exact"/>
        <w:rPr>
          <w:sz w:val="20"/>
          <w:szCs w:val="20"/>
          <w:color w:val="auto"/>
        </w:rPr>
      </w:pPr>
    </w:p>
    <w:p>
      <w:pPr>
        <w:ind w:left="1060"/>
        <w:spacing w:after="0"/>
        <w:tabs>
          <w:tab w:leader="none" w:pos="13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Refer to “Note 9 — Income Taxes”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0" w:name="page81"/>
    <w:bookmarkEnd w:id="8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99"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0"/>
              </w:rPr>
              <w:t>Year Ended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0"/>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7"/>
              </w:rPr>
              <w:t>Year Ended</w:t>
            </w:r>
          </w:p>
        </w:tc>
        <w:tc>
          <w:tcPr>
            <w:tcW w:w="0" w:type="dxa"/>
            <w:vAlign w:val="bottom"/>
          </w:tcPr>
          <w:p>
            <w:pPr>
              <w:spacing w:after="0"/>
              <w:rPr>
                <w:sz w:val="1"/>
                <w:szCs w:val="1"/>
                <w:color w:val="auto"/>
              </w:rPr>
            </w:pPr>
          </w:p>
        </w:tc>
      </w:tr>
      <w:tr>
        <w:trPr>
          <w:trHeight w:val="151"/>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8"/>
              </w:rPr>
              <w:t>December 31, 2017</w:t>
            </w:r>
          </w:p>
        </w:tc>
        <w:tc>
          <w:tcPr>
            <w:tcW w:w="10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8"/>
              </w:rPr>
              <w:t>December 31, 2016</w:t>
            </w:r>
          </w:p>
        </w:tc>
        <w:tc>
          <w:tcPr>
            <w:tcW w:w="960" w:type="dxa"/>
            <w:vAlign w:val="bottom"/>
            <w:gridSpan w:val="4"/>
          </w:tcPr>
          <w:p>
            <w:pPr>
              <w:jc w:val="right"/>
              <w:spacing w:after="0"/>
              <w:rPr>
                <w:sz w:val="20"/>
                <w:szCs w:val="20"/>
                <w:color w:val="auto"/>
              </w:rPr>
            </w:pPr>
            <w:r>
              <w:rPr>
                <w:rFonts w:ascii="Arial" w:cs="Arial" w:eastAsia="Arial" w:hAnsi="Arial"/>
                <w:sz w:val="12"/>
                <w:szCs w:val="12"/>
                <w:b w:val="1"/>
                <w:bCs w:val="1"/>
                <w:color w:val="auto"/>
                <w:w w:val="86"/>
              </w:rPr>
              <w:t>December 31, 2015</w:t>
            </w:r>
          </w:p>
        </w:tc>
        <w:tc>
          <w:tcPr>
            <w:tcW w:w="0" w:type="dxa"/>
            <w:vAlign w:val="bottom"/>
          </w:tcPr>
          <w:p>
            <w:pPr>
              <w:spacing w:after="0"/>
              <w:rPr>
                <w:sz w:val="1"/>
                <w:szCs w:val="1"/>
                <w:color w:val="auto"/>
              </w:rPr>
            </w:pPr>
          </w:p>
        </w:tc>
      </w:tr>
      <w:tr>
        <w:trPr>
          <w:trHeight w:val="136"/>
        </w:trPr>
        <w:tc>
          <w:tcPr>
            <w:tcW w:w="372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Cash Flows from Operating Activities</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20" w:type="dxa"/>
            <w:vAlign w:val="bottom"/>
          </w:tcPr>
          <w:p>
            <w:pPr>
              <w:ind w:left="20"/>
              <w:spacing w:after="0" w:line="145" w:lineRule="exact"/>
              <w:rPr>
                <w:sz w:val="20"/>
                <w:szCs w:val="20"/>
                <w:color w:val="auto"/>
              </w:rPr>
            </w:pPr>
            <w:r>
              <w:rPr>
                <w:rFonts w:ascii="Arial" w:cs="Arial" w:eastAsia="Arial" w:hAnsi="Arial"/>
                <w:sz w:val="13"/>
                <w:szCs w:val="13"/>
                <w:color w:val="auto"/>
              </w:rPr>
              <w:t>Net increase/(decrease) in net assets resulting from operations</w:t>
            </w:r>
          </w:p>
        </w:tc>
        <w:tc>
          <w:tcPr>
            <w:tcW w:w="22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17,567,933</w:t>
            </w:r>
          </w:p>
        </w:tc>
        <w:tc>
          <w:tcPr>
            <w:tcW w:w="60" w:type="dxa"/>
            <w:vAlign w:val="bottom"/>
          </w:tcPr>
          <w:p>
            <w:pPr>
              <w:spacing w:after="0"/>
              <w:rPr>
                <w:sz w:val="12"/>
                <w:szCs w:val="12"/>
                <w:color w:val="auto"/>
              </w:rPr>
            </w:pPr>
          </w:p>
        </w:tc>
        <w:tc>
          <w:tcPr>
            <w:tcW w:w="1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(74,994,895)</w:t>
            </w:r>
          </w:p>
        </w:tc>
        <w:tc>
          <w:tcPr>
            <w:tcW w:w="80" w:type="dxa"/>
            <w:vAlign w:val="bottom"/>
          </w:tcPr>
          <w:p>
            <w:pPr>
              <w:spacing w:after="0"/>
              <w:rPr>
                <w:sz w:val="12"/>
                <w:szCs w:val="12"/>
                <w:color w:val="auto"/>
              </w:rPr>
            </w:pPr>
          </w:p>
        </w:tc>
        <w:tc>
          <w:tcPr>
            <w:tcW w:w="1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8,466,157</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increase/(decrease) in net assets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720" w:type="dxa"/>
            <w:vAlign w:val="bottom"/>
            <w:shd w:val="clear" w:color="auto" w:fill="CCEEFF"/>
          </w:tcPr>
          <w:p>
            <w:pPr>
              <w:ind w:left="160"/>
              <w:spacing w:after="0" w:line="134" w:lineRule="exact"/>
              <w:rPr>
                <w:sz w:val="20"/>
                <w:szCs w:val="20"/>
                <w:color w:val="auto"/>
              </w:rPr>
            </w:pPr>
            <w:r>
              <w:rPr>
                <w:rFonts w:ascii="Arial" w:cs="Arial" w:eastAsia="Arial" w:hAnsi="Arial"/>
                <w:sz w:val="13"/>
                <w:szCs w:val="13"/>
                <w:color w:val="auto"/>
              </w:rPr>
              <w:t>resulting from operations to net cash provided by/(used in)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operating activities: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Net realized (gains)/losses on investments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(913,982)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2,634,471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(54,144,229)</w:t>
            </w:r>
          </w:p>
        </w:tc>
        <w:tc>
          <w:tcPr>
            <w:tcW w:w="0" w:type="dxa"/>
            <w:vAlign w:val="bottom"/>
          </w:tcPr>
          <w:p>
            <w:pPr>
              <w:spacing w:after="0"/>
              <w:rPr>
                <w:sz w:val="1"/>
                <w:szCs w:val="1"/>
                <w:color w:val="auto"/>
              </w:rPr>
            </w:pPr>
          </w:p>
        </w:tc>
      </w:tr>
      <w:tr>
        <w:trPr>
          <w:trHeight w:val="114"/>
        </w:trPr>
        <w:tc>
          <w:tcPr>
            <w:tcW w:w="372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rPr>
              <w:t>Net change in unrealized (appreciation)/depreciation of</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(34,775,696)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73,213,845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13,422,245</w:t>
            </w:r>
          </w:p>
        </w:tc>
        <w:tc>
          <w:tcPr>
            <w:tcW w:w="0" w:type="dxa"/>
            <w:vAlign w:val="bottom"/>
          </w:tcPr>
          <w:p>
            <w:pPr>
              <w:spacing w:after="0"/>
              <w:rPr>
                <w:sz w:val="1"/>
                <w:szCs w:val="1"/>
                <w:color w:val="auto"/>
              </w:rPr>
            </w:pPr>
          </w:p>
        </w:tc>
      </w:tr>
      <w:tr>
        <w:trPr>
          <w:trHeight w:val="154"/>
        </w:trPr>
        <w:tc>
          <w:tcPr>
            <w:tcW w:w="3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investments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Gain on fair value adjustment for embedded derivative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Deferred tax liability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(2,757,070)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(2,116,784)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5,568,489</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Current taxes payable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(134,733)</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Amortization of discount on Convertible Senior Notes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869,751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863,751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134,266</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Amortization of deferred financing costs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48,678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210,999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627,909</w:t>
            </w:r>
          </w:p>
        </w:tc>
        <w:tc>
          <w:tcPr>
            <w:tcW w:w="0" w:type="dxa"/>
            <w:vAlign w:val="bottom"/>
          </w:tcPr>
          <w:p>
            <w:pPr>
              <w:spacing w:after="0"/>
              <w:rPr>
                <w:sz w:val="1"/>
                <w:szCs w:val="1"/>
                <w:color w:val="auto"/>
              </w:rPr>
            </w:pPr>
          </w:p>
        </w:tc>
      </w:tr>
      <w:tr>
        <w:trPr>
          <w:trHeight w:val="134"/>
        </w:trPr>
        <w:tc>
          <w:tcPr>
            <w:tcW w:w="3720" w:type="dxa"/>
            <w:vAlign w:val="bottom"/>
            <w:shd w:val="clear" w:color="auto" w:fill="CCEEFF"/>
          </w:tcPr>
          <w:p>
            <w:pPr>
              <w:ind w:left="160"/>
              <w:spacing w:after="0" w:line="134" w:lineRule="exact"/>
              <w:rPr>
                <w:sz w:val="20"/>
                <w:szCs w:val="20"/>
                <w:color w:val="auto"/>
              </w:rPr>
            </w:pPr>
            <w:r>
              <w:rPr>
                <w:rFonts w:ascii="Arial" w:cs="Arial" w:eastAsia="Arial" w:hAnsi="Arial"/>
                <w:sz w:val="13"/>
                <w:szCs w:val="13"/>
                <w:color w:val="auto"/>
                <w:w w:val="99"/>
              </w:rPr>
              <w:t>Amortization of fixed income security premiums and discounts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(139,544)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(54,522)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(78,212)</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Paid-in-kind-interest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(152,270)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(447,009)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Non-cash dividend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(46,781)</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Change in restricted cash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52,931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(4,042)</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Escrow proceeds receivable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603,456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Purchases of investments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300"/>
              <w:spacing w:after="0" w:line="145" w:lineRule="exact"/>
              <w:rPr>
                <w:sz w:val="20"/>
                <w:szCs w:val="20"/>
                <w:color w:val="auto"/>
              </w:rPr>
            </w:pPr>
            <w:r>
              <w:rPr>
                <w:rFonts w:ascii="Arial" w:cs="Arial" w:eastAsia="Arial" w:hAnsi="Arial"/>
                <w:sz w:val="13"/>
                <w:szCs w:val="13"/>
                <w:color w:val="auto"/>
              </w:rPr>
              <w:t>Portfolio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(191,274)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(13,803,342)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(30,927,038)</w:t>
            </w:r>
          </w:p>
        </w:tc>
        <w:tc>
          <w:tcPr>
            <w:tcW w:w="0" w:type="dxa"/>
            <w:vAlign w:val="bottom"/>
          </w:tcPr>
          <w:p>
            <w:pPr>
              <w:spacing w:after="0"/>
              <w:rPr>
                <w:sz w:val="1"/>
                <w:szCs w:val="1"/>
                <w:color w:val="auto"/>
              </w:rPr>
            </w:pPr>
          </w:p>
        </w:tc>
      </w:tr>
      <w:tr>
        <w:trPr>
          <w:trHeight w:val="145"/>
        </w:trPr>
        <w:tc>
          <w:tcPr>
            <w:tcW w:w="3720" w:type="dxa"/>
            <w:vAlign w:val="bottom"/>
          </w:tcPr>
          <w:p>
            <w:pPr>
              <w:ind w:left="300"/>
              <w:spacing w:after="0" w:line="145" w:lineRule="exact"/>
              <w:rPr>
                <w:sz w:val="20"/>
                <w:szCs w:val="20"/>
                <w:color w:val="auto"/>
              </w:rPr>
            </w:pPr>
            <w:r>
              <w:rPr>
                <w:rFonts w:ascii="Arial" w:cs="Arial" w:eastAsia="Arial" w:hAnsi="Arial"/>
                <w:sz w:val="13"/>
                <w:szCs w:val="13"/>
                <w:color w:val="auto"/>
              </w:rPr>
              <w:t>U.S. Treasury bills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1"/>
              </w:rPr>
              <w:t>(360,031,336)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1"/>
              </w:rPr>
              <w:t>(119,998,208)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w w:val="91"/>
              </w:rPr>
              <w:t>(255,015,475)</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Proceeds from sales or maturity of investments in: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20" w:type="dxa"/>
            <w:vAlign w:val="bottom"/>
          </w:tcPr>
          <w:p>
            <w:pPr>
              <w:ind w:left="300"/>
              <w:spacing w:after="0" w:line="145" w:lineRule="exact"/>
              <w:rPr>
                <w:sz w:val="20"/>
                <w:szCs w:val="20"/>
                <w:color w:val="auto"/>
              </w:rPr>
            </w:pPr>
            <w:r>
              <w:rPr>
                <w:rFonts w:ascii="Arial" w:cs="Arial" w:eastAsia="Arial" w:hAnsi="Arial"/>
                <w:sz w:val="13"/>
                <w:szCs w:val="13"/>
                <w:color w:val="auto"/>
              </w:rPr>
              <w:t>Portfolio investments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77,031,789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26,241,589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92,947,445</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300"/>
              <w:spacing w:after="0" w:line="145" w:lineRule="exact"/>
              <w:rPr>
                <w:sz w:val="20"/>
                <w:szCs w:val="20"/>
                <w:color w:val="auto"/>
              </w:rPr>
            </w:pPr>
            <w:r>
              <w:rPr>
                <w:rFonts w:ascii="Arial" w:cs="Arial" w:eastAsia="Arial" w:hAnsi="Arial"/>
                <w:sz w:val="13"/>
                <w:szCs w:val="13"/>
                <w:color w:val="auto"/>
              </w:rPr>
              <w:t>U.S. Treasury bills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w w:val="96"/>
              </w:rPr>
              <w:t>290,000,000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w w:val="96"/>
              </w:rPr>
              <w:t>120,000,000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w w:val="94"/>
              </w:rPr>
              <w:t>325,000,000</w:t>
            </w:r>
          </w:p>
        </w:tc>
        <w:tc>
          <w:tcPr>
            <w:tcW w:w="0" w:type="dxa"/>
            <w:vAlign w:val="bottom"/>
          </w:tcPr>
          <w:p>
            <w:pPr>
              <w:spacing w:after="0"/>
              <w:rPr>
                <w:sz w:val="1"/>
                <w:szCs w:val="1"/>
                <w:color w:val="auto"/>
              </w:rPr>
            </w:pPr>
          </w:p>
        </w:tc>
      </w:tr>
      <w:tr>
        <w:trPr>
          <w:trHeight w:val="145"/>
        </w:trPr>
        <w:tc>
          <w:tcPr>
            <w:tcW w:w="3720" w:type="dxa"/>
            <w:vAlign w:val="bottom"/>
          </w:tcPr>
          <w:p>
            <w:pPr>
              <w:ind w:left="300"/>
              <w:spacing w:after="0" w:line="145" w:lineRule="exact"/>
              <w:rPr>
                <w:sz w:val="20"/>
                <w:szCs w:val="20"/>
                <w:color w:val="auto"/>
              </w:rPr>
            </w:pPr>
            <w:r>
              <w:rPr>
                <w:rFonts w:ascii="Arial" w:cs="Arial" w:eastAsia="Arial" w:hAnsi="Arial"/>
                <w:sz w:val="13"/>
                <w:szCs w:val="13"/>
                <w:color w:val="auto"/>
              </w:rPr>
              <w:t>U.S. Treasury strips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3,685,000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3,639,000</w:t>
            </w: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operating assets and liabilities: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720" w:type="dxa"/>
            <w:vAlign w:val="bottom"/>
          </w:tcPr>
          <w:p>
            <w:pPr>
              <w:ind w:left="160"/>
              <w:spacing w:after="0" w:line="157" w:lineRule="exact"/>
              <w:rPr>
                <w:sz w:val="20"/>
                <w:szCs w:val="20"/>
                <w:color w:val="auto"/>
              </w:rPr>
            </w:pPr>
            <w:r>
              <w:rPr>
                <w:rFonts w:ascii="Arial" w:cs="Arial" w:eastAsia="Arial" w:hAnsi="Arial"/>
                <w:sz w:val="12"/>
                <w:szCs w:val="12"/>
                <w:color w:val="auto"/>
              </w:rPr>
              <w:t>Due from GSV Asset Management</w:t>
            </w:r>
            <w:r>
              <w:rPr>
                <w:rFonts w:ascii="Arial" w:cs="Arial" w:eastAsia="Arial" w:hAnsi="Arial"/>
                <w:sz w:val="18"/>
                <w:szCs w:val="18"/>
                <w:color w:val="auto"/>
                <w:vertAlign w:val="superscript"/>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220,770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(15,945)</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Due from controlled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(840)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56,371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28,985</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Prepaid expenses and other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4,959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13,884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369,100</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Interest and dividends receivable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57,805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4,237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(70,512)</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Escrow proceeds receivable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(603,456)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160"/>
              <w:spacing w:after="0" w:line="157" w:lineRule="exact"/>
              <w:rPr>
                <w:sz w:val="20"/>
                <w:szCs w:val="20"/>
                <w:color w:val="auto"/>
              </w:rPr>
            </w:pPr>
            <w:r>
              <w:rPr>
                <w:rFonts w:ascii="Arial" w:cs="Arial" w:eastAsia="Arial" w:hAnsi="Arial"/>
                <w:sz w:val="12"/>
                <w:szCs w:val="12"/>
                <w:color w:val="auto"/>
              </w:rPr>
              <w:t>Due to GSV Asset Management</w:t>
            </w:r>
            <w:r>
              <w:rPr>
                <w:rFonts w:ascii="Arial" w:cs="Arial" w:eastAsia="Arial" w:hAnsi="Arial"/>
                <w:sz w:val="18"/>
                <w:szCs w:val="18"/>
                <w:color w:val="auto"/>
                <w:vertAlign w:val="superscript"/>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(190,328)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(4,625,404)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5,024,033</w:t>
            </w:r>
          </w:p>
        </w:tc>
        <w:tc>
          <w:tcPr>
            <w:tcW w:w="0" w:type="dxa"/>
            <w:vAlign w:val="bottom"/>
          </w:tcPr>
          <w:p>
            <w:pPr>
              <w:spacing w:after="0"/>
              <w:rPr>
                <w:sz w:val="1"/>
                <w:szCs w:val="1"/>
                <w:color w:val="auto"/>
              </w:rPr>
            </w:pPr>
          </w:p>
        </w:tc>
      </w:tr>
      <w:tr>
        <w:trPr>
          <w:trHeight w:val="145"/>
        </w:trPr>
        <w:tc>
          <w:tcPr>
            <w:tcW w:w="3720" w:type="dxa"/>
            <w:vAlign w:val="bottom"/>
          </w:tcPr>
          <w:p>
            <w:pPr>
              <w:ind w:left="160"/>
              <w:spacing w:after="0" w:line="145" w:lineRule="exact"/>
              <w:rPr>
                <w:sz w:val="20"/>
                <w:szCs w:val="20"/>
                <w:color w:val="auto"/>
              </w:rPr>
            </w:pPr>
            <w:r>
              <w:rPr>
                <w:rFonts w:ascii="Arial" w:cs="Arial" w:eastAsia="Arial" w:hAnsi="Arial"/>
                <w:sz w:val="13"/>
                <w:szCs w:val="13"/>
                <w:color w:val="auto"/>
              </w:rPr>
              <w:t>Payable for securities purchased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62,987,075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(63,502,335)</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Accounts payable and accrued expenses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122,592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230,024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(187,363)</w:t>
            </w:r>
          </w:p>
        </w:tc>
        <w:tc>
          <w:tcPr>
            <w:tcW w:w="0" w:type="dxa"/>
            <w:vAlign w:val="bottom"/>
          </w:tcPr>
          <w:p>
            <w:pPr>
              <w:spacing w:after="0"/>
              <w:rPr>
                <w:sz w:val="1"/>
                <w:szCs w:val="1"/>
                <w:color w:val="auto"/>
              </w:rPr>
            </w:pPr>
          </w:p>
        </w:tc>
      </w:tr>
      <w:tr>
        <w:trPr>
          <w:trHeight w:val="156"/>
        </w:trPr>
        <w:tc>
          <w:tcPr>
            <w:tcW w:w="3720" w:type="dxa"/>
            <w:vAlign w:val="bottom"/>
          </w:tcPr>
          <w:p>
            <w:pPr>
              <w:ind w:left="160"/>
              <w:spacing w:after="0" w:line="157" w:lineRule="exact"/>
              <w:rPr>
                <w:sz w:val="20"/>
                <w:szCs w:val="20"/>
                <w:color w:val="auto"/>
              </w:rPr>
            </w:pPr>
            <w:r>
              <w:rPr>
                <w:rFonts w:ascii="Arial" w:cs="Arial" w:eastAsia="Arial" w:hAnsi="Arial"/>
                <w:sz w:val="12"/>
                <w:szCs w:val="12"/>
                <w:color w:val="auto"/>
              </w:rPr>
              <w:t>Accrued incentive fees</w:t>
            </w:r>
            <w:r>
              <w:rPr>
                <w:rFonts w:ascii="Arial" w:cs="Arial" w:eastAsia="Arial" w:hAnsi="Arial"/>
                <w:sz w:val="18"/>
                <w:szCs w:val="18"/>
                <w:color w:val="auto"/>
                <w:vertAlign w:val="superscript"/>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7,151,641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(15,188,121)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3,176,666</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160"/>
              <w:spacing w:after="0" w:line="157" w:lineRule="exact"/>
              <w:rPr>
                <w:sz w:val="20"/>
                <w:szCs w:val="20"/>
                <w:color w:val="auto"/>
              </w:rPr>
            </w:pPr>
            <w:r>
              <w:rPr>
                <w:rFonts w:ascii="Arial" w:cs="Arial" w:eastAsia="Arial" w:hAnsi="Arial"/>
                <w:sz w:val="12"/>
                <w:szCs w:val="12"/>
                <w:color w:val="auto"/>
              </w:rPr>
              <w:t>Accrued management fees</w:t>
            </w:r>
            <w:r>
              <w:rPr>
                <w:rFonts w:ascii="Arial" w:cs="Arial" w:eastAsia="Arial" w:hAnsi="Arial"/>
                <w:sz w:val="18"/>
                <w:szCs w:val="18"/>
                <w:color w:val="auto"/>
                <w:vertAlign w:val="superscript"/>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(99,607)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(159,369)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42,147</w:t>
            </w:r>
          </w:p>
        </w:tc>
        <w:tc>
          <w:tcPr>
            <w:tcW w:w="0" w:type="dxa"/>
            <w:vAlign w:val="bottom"/>
          </w:tcPr>
          <w:p>
            <w:pPr>
              <w:spacing w:after="0"/>
              <w:rPr>
                <w:sz w:val="1"/>
                <w:szCs w:val="1"/>
                <w:color w:val="auto"/>
              </w:rPr>
            </w:pPr>
          </w:p>
        </w:tc>
      </w:tr>
      <w:tr>
        <w:trPr>
          <w:trHeight w:val="156"/>
        </w:trPr>
        <w:tc>
          <w:tcPr>
            <w:tcW w:w="3720" w:type="dxa"/>
            <w:vAlign w:val="bottom"/>
          </w:tcPr>
          <w:p>
            <w:pPr>
              <w:ind w:left="160"/>
              <w:spacing w:after="0"/>
              <w:rPr>
                <w:sz w:val="20"/>
                <w:szCs w:val="20"/>
                <w:color w:val="auto"/>
              </w:rPr>
            </w:pPr>
            <w:r>
              <w:rPr>
                <w:rFonts w:ascii="Arial" w:cs="Arial" w:eastAsia="Arial" w:hAnsi="Arial"/>
                <w:sz w:val="13"/>
                <w:szCs w:val="13"/>
                <w:color w:val="auto"/>
              </w:rPr>
              <w:t>Accrued interest payable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(82,895)</w:t>
            </w:r>
          </w:p>
        </w:tc>
        <w:tc>
          <w:tcPr>
            <w:tcW w:w="0" w:type="dxa"/>
            <w:vAlign w:val="bottom"/>
          </w:tcPr>
          <w:p>
            <w:pPr>
              <w:spacing w:after="0"/>
              <w:rPr>
                <w:sz w:val="1"/>
                <w:szCs w:val="1"/>
                <w:color w:val="auto"/>
              </w:rPr>
            </w:pPr>
          </w:p>
        </w:tc>
      </w:tr>
      <w:tr>
        <w:trPr>
          <w:trHeight w:val="147"/>
        </w:trPr>
        <w:tc>
          <w:tcPr>
            <w:tcW w:w="372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Cash Provided by/(Used in) Operating Activities</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56,590,276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(3,960,389)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54,235,882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Borrowings under credit facility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16,000,000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3,500,000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6,000,000</w:t>
            </w:r>
          </w:p>
        </w:tc>
        <w:tc>
          <w:tcPr>
            <w:tcW w:w="0" w:type="dxa"/>
            <w:vAlign w:val="bottom"/>
          </w:tcPr>
          <w:p>
            <w:pPr>
              <w:spacing w:after="0"/>
              <w:rPr>
                <w:sz w:val="1"/>
                <w:szCs w:val="1"/>
                <w:color w:val="auto"/>
              </w:rPr>
            </w:pPr>
          </w:p>
        </w:tc>
      </w:tr>
      <w:tr>
        <w:trPr>
          <w:trHeight w:val="145"/>
        </w:trPr>
        <w:tc>
          <w:tcPr>
            <w:tcW w:w="3720" w:type="dxa"/>
            <w:vAlign w:val="bottom"/>
          </w:tcPr>
          <w:p>
            <w:pPr>
              <w:ind w:left="20"/>
              <w:spacing w:after="0" w:line="145" w:lineRule="exact"/>
              <w:rPr>
                <w:sz w:val="20"/>
                <w:szCs w:val="20"/>
                <w:color w:val="auto"/>
              </w:rPr>
            </w:pPr>
            <w:r>
              <w:rPr>
                <w:rFonts w:ascii="Arial" w:cs="Arial" w:eastAsia="Arial" w:hAnsi="Arial"/>
                <w:sz w:val="13"/>
                <w:szCs w:val="13"/>
                <w:color w:val="auto"/>
              </w:rPr>
              <w:t>Repayments under credit facility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(16,000,000)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(3,500,000)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(24,000,000)</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Repurchases of common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(4,933,877)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3720" w:type="dxa"/>
            <w:vAlign w:val="bottom"/>
          </w:tcPr>
          <w:p>
            <w:pPr>
              <w:ind w:left="20"/>
              <w:spacing w:after="0" w:line="145" w:lineRule="exact"/>
              <w:rPr>
                <w:sz w:val="20"/>
                <w:szCs w:val="20"/>
                <w:color w:val="auto"/>
              </w:rPr>
            </w:pPr>
            <w:r>
              <w:rPr>
                <w:rFonts w:ascii="Arial" w:cs="Arial" w:eastAsia="Arial" w:hAnsi="Arial"/>
                <w:sz w:val="13"/>
                <w:szCs w:val="13"/>
                <w:color w:val="auto"/>
              </w:rPr>
              <w:t>Dividends paid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(887,240)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(26,358,885)</w:t>
            </w:r>
          </w:p>
        </w:tc>
        <w:tc>
          <w:tcPr>
            <w:tcW w:w="0" w:type="dxa"/>
            <w:vAlign w:val="bottom"/>
          </w:tcPr>
          <w:p>
            <w:pPr>
              <w:spacing w:after="0"/>
              <w:rPr>
                <w:sz w:val="1"/>
                <w:szCs w:val="1"/>
                <w:color w:val="auto"/>
              </w:rPr>
            </w:pPr>
          </w:p>
        </w:tc>
      </w:tr>
      <w:tr>
        <w:trPr>
          <w:trHeight w:val="145"/>
        </w:trPr>
        <w:tc>
          <w:tcPr>
            <w:tcW w:w="37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Deferred credit facility costs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(100,313)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720" w:type="dxa"/>
            <w:vAlign w:val="bottom"/>
          </w:tcPr>
          <w:p>
            <w:pPr>
              <w:ind w:left="20"/>
              <w:spacing w:after="0"/>
              <w:rPr>
                <w:sz w:val="20"/>
                <w:szCs w:val="20"/>
                <w:color w:val="auto"/>
              </w:rPr>
            </w:pPr>
            <w:r>
              <w:rPr>
                <w:rFonts w:ascii="Arial" w:cs="Arial" w:eastAsia="Arial" w:hAnsi="Arial"/>
                <w:sz w:val="13"/>
                <w:szCs w:val="13"/>
                <w:color w:val="auto"/>
              </w:rPr>
              <w:t>Deferred offering costs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(50,120)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(169,614)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372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Cash Used in Financing Activities</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(5,084,310)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(1,056,854)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2"/>
              </w:rPr>
              <w:t>(44,358,885)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3"/>
                <w:szCs w:val="13"/>
                <w:b w:val="1"/>
                <w:bCs w:val="1"/>
                <w:color w:val="auto"/>
              </w:rPr>
              <w:t>Total Increase/(Decrease) in Cash Balance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51,505,966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(5,017,243)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9,876,997</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Balance at Beginning of Year</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8,332,634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13,349,877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3,472,880</w:t>
            </w:r>
          </w:p>
        </w:tc>
        <w:tc>
          <w:tcPr>
            <w:tcW w:w="0" w:type="dxa"/>
            <w:vAlign w:val="bottom"/>
          </w:tcPr>
          <w:p>
            <w:pPr>
              <w:spacing w:after="0"/>
              <w:rPr>
                <w:sz w:val="1"/>
                <w:szCs w:val="1"/>
                <w:color w:val="auto"/>
              </w:rPr>
            </w:pPr>
          </w:p>
        </w:tc>
      </w:tr>
      <w:tr>
        <w:trPr>
          <w:trHeight w:val="147"/>
        </w:trPr>
        <w:tc>
          <w:tcPr>
            <w:tcW w:w="3720" w:type="dxa"/>
            <w:vAlign w:val="bottom"/>
            <w:tcBorders>
              <w:top w:val="single" w:sz="8" w:color="CCEEFF"/>
              <w:bottom w:val="single" w:sz="8" w:color="CCEEFF"/>
            </w:tcBorders>
          </w:tcPr>
          <w:p>
            <w:pPr>
              <w:ind w:left="20"/>
              <w:spacing w:after="0" w:line="148" w:lineRule="exact"/>
              <w:rPr>
                <w:sz w:val="20"/>
                <w:szCs w:val="20"/>
                <w:color w:val="auto"/>
              </w:rPr>
            </w:pPr>
            <w:r>
              <w:rPr>
                <w:rFonts w:ascii="Arial" w:cs="Arial" w:eastAsia="Arial" w:hAnsi="Arial"/>
                <w:sz w:val="13"/>
                <w:szCs w:val="13"/>
                <w:b w:val="1"/>
                <w:bCs w:val="1"/>
                <w:color w:val="auto"/>
              </w:rPr>
              <w:t>Cash Balance at End of Year</w:t>
            </w:r>
          </w:p>
        </w:tc>
        <w:tc>
          <w:tcPr>
            <w:tcW w:w="6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59,838,600</w:t>
            </w:r>
          </w:p>
        </w:tc>
        <w:tc>
          <w:tcPr>
            <w:tcW w:w="10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8,332,634</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13,349,877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72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3,684,410</w:t>
            </w:r>
          </w:p>
        </w:tc>
        <w:tc>
          <w:tcPr>
            <w:tcW w:w="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3,650,961</w:t>
            </w:r>
          </w:p>
        </w:tc>
        <w:tc>
          <w:tcPr>
            <w:tcW w:w="8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5,044,064</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Taxes paid</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54,014</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rPr>
                <w:sz w:val="20"/>
                <w:szCs w:val="20"/>
                <w:color w:val="auto"/>
              </w:rPr>
            </w:pPr>
            <w:r>
              <w:rPr>
                <w:rFonts w:ascii="Arial" w:cs="Arial" w:eastAsia="Arial" w:hAnsi="Arial"/>
                <w:sz w:val="13"/>
                <w:szCs w:val="13"/>
                <w:color w:val="auto"/>
              </w:rPr>
              <w:t>Non-cash dividends paid</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26,964,591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-471170</wp:posOffset>
            </wp:positionV>
            <wp:extent cx="5651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-471170</wp:posOffset>
            </wp:positionV>
            <wp:extent cx="1562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-471170</wp:posOffset>
            </wp:positionV>
            <wp:extent cx="310388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03880"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-939165</wp:posOffset>
            </wp:positionV>
            <wp:extent cx="5651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-939165</wp:posOffset>
            </wp:positionV>
            <wp:extent cx="1562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-939165</wp:posOffset>
            </wp:positionV>
            <wp:extent cx="310388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03880"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-1760855</wp:posOffset>
            </wp:positionV>
            <wp:extent cx="5651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-1760855</wp:posOffset>
            </wp:positionV>
            <wp:extent cx="1562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-1760855</wp:posOffset>
            </wp:positionV>
            <wp:extent cx="310388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03880" cy="698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-5282565</wp:posOffset>
            </wp:positionV>
            <wp:extent cx="4254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-5282565</wp:posOffset>
            </wp:positionV>
            <wp:extent cx="304736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473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102235</wp:posOffset>
            </wp:positionV>
            <wp:extent cx="102044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31" w:lineRule="exact"/>
        <w:rPr>
          <w:sz w:val="20"/>
          <w:szCs w:val="20"/>
          <w:color w:val="auto"/>
        </w:rPr>
      </w:pPr>
    </w:p>
    <w:p>
      <w:pPr>
        <w:ind w:left="1340" w:right="2619" w:hanging="289"/>
        <w:spacing w:after="0" w:line="340" w:lineRule="auto"/>
        <w:tabs>
          <w:tab w:leader="none" w:pos="1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balance references a related-party transaction and is subject to the fee Waiver Agreement announced and effective subsequent to year-end. Refer to “Note 3 — Related-Party Arrangements” for more detail.</w:t>
      </w: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1" w:name="page82"/>
    <w:bookmarkEnd w:id="8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CONSOLIDATED SCHEDULE OF INVESTMENTS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79"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20" w:type="dxa"/>
            <w:vAlign w:val="bottom"/>
            <w:gridSpan w:val="13"/>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60" w:type="dxa"/>
            <w:vAlign w:val="bottom"/>
          </w:tcPr>
          <w:p>
            <w:pPr>
              <w:spacing w:after="0"/>
              <w:rPr>
                <w:sz w:val="10"/>
                <w:szCs w:val="10"/>
                <w:color w:val="auto"/>
              </w:rPr>
            </w:pPr>
          </w:p>
        </w:tc>
        <w:tc>
          <w:tcPr>
            <w:tcW w:w="1400" w:type="dxa"/>
            <w:vAlign w:val="bottom"/>
            <w:gridSpan w:val="2"/>
          </w:tcPr>
          <w:p>
            <w:pPr>
              <w:ind w:left="280"/>
              <w:spacing w:after="0"/>
              <w:rPr>
                <w:sz w:val="20"/>
                <w:szCs w:val="20"/>
                <w:color w:val="auto"/>
              </w:rPr>
            </w:pPr>
            <w:r>
              <w:rPr>
                <w:rFonts w:ascii="Arial" w:cs="Arial" w:eastAsia="Arial" w:hAnsi="Arial"/>
                <w:sz w:val="10"/>
                <w:szCs w:val="10"/>
                <w:b w:val="1"/>
                <w:bCs w:val="1"/>
                <w:color w:val="auto"/>
              </w:rPr>
              <w:t>Headquarters/</w:t>
            </w:r>
          </w:p>
        </w:tc>
        <w:tc>
          <w:tcPr>
            <w:tcW w:w="7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Cost</w:t>
            </w:r>
          </w:p>
        </w:tc>
        <w:tc>
          <w:tcPr>
            <w:tcW w:w="8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4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79"/>
              </w:rPr>
              <w:t>% of Net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20" w:type="dxa"/>
            <w:vAlign w:val="bottom"/>
            <w:gridSpan w:val="13"/>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Industry</w:t>
            </w:r>
          </w:p>
        </w:tc>
        <w:tc>
          <w:tcPr>
            <w:tcW w:w="7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Principal</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19"/>
        </w:trPr>
        <w:tc>
          <w:tcPr>
            <w:tcW w:w="20" w:type="dxa"/>
            <w:vAlign w:val="bottom"/>
            <w:tcBorders>
              <w:top w:val="single" w:sz="8" w:color="auto"/>
            </w:tcBorders>
            <w:shd w:val="clear" w:color="auto" w:fill="CCEEFF"/>
          </w:tcPr>
          <w:p>
            <w:pPr>
              <w:spacing w:after="0"/>
              <w:rPr>
                <w:sz w:val="10"/>
                <w:szCs w:val="10"/>
                <w:color w:val="auto"/>
              </w:rPr>
            </w:pPr>
          </w:p>
        </w:tc>
        <w:tc>
          <w:tcPr>
            <w:tcW w:w="2420" w:type="dxa"/>
            <w:vAlign w:val="bottom"/>
            <w:tcBorders>
              <w:top w:val="single" w:sz="8" w:color="auto"/>
            </w:tcBorders>
            <w:gridSpan w:val="13"/>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NON-CONTROLLED/NON-AFFILIATE</w:t>
            </w: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right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Palantir Technologies, Inc.</w:t>
            </w:r>
          </w:p>
        </w:tc>
        <w:tc>
          <w:tcPr>
            <w:tcW w:w="160" w:type="dxa"/>
            <w:vAlign w:val="bottom"/>
          </w:tcPr>
          <w:p>
            <w:pPr>
              <w:spacing w:after="0"/>
              <w:rPr>
                <w:sz w:val="19"/>
                <w:szCs w:val="19"/>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Palo Alto,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340" w:type="dxa"/>
            <w:vAlign w:val="bottom"/>
            <w:tcBorders>
              <w:top w:val="single" w:sz="8" w:color="auto"/>
            </w:tcBorders>
            <w:gridSpan w:val="9"/>
            <w:shd w:val="clear" w:color="auto" w:fill="CCEEFF"/>
          </w:tcPr>
          <w:p>
            <w:pPr>
              <w:spacing w:after="0" w:line="136" w:lineRule="exact"/>
              <w:rPr>
                <w:sz w:val="20"/>
                <w:szCs w:val="20"/>
                <w:color w:val="auto"/>
              </w:rPr>
            </w:pPr>
            <w:r>
              <w:rPr>
                <w:rFonts w:ascii="Arial" w:cs="Arial" w:eastAsia="Arial" w:hAnsi="Arial"/>
                <w:sz w:val="12"/>
                <w:szCs w:val="12"/>
                <w:color w:val="auto"/>
                <w:w w:val="96"/>
              </w:rPr>
              <w:t>Common shares, Class A</w:t>
            </w:r>
          </w:p>
        </w:tc>
        <w:tc>
          <w:tcPr>
            <w:tcW w:w="1080" w:type="dxa"/>
            <w:vAlign w:val="bottom"/>
            <w:gridSpan w:val="4"/>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92"/>
              </w:rPr>
              <w:t>Data Analysis</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5,773,690</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w w:val="86"/>
              </w:rPr>
              <w:t>$16,189,935</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86"/>
              </w:rPr>
              <w:t>$35,075,759</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w w:val="93"/>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Spotify Technology S.A.**</w:t>
            </w:r>
          </w:p>
        </w:tc>
        <w:tc>
          <w:tcPr>
            <w:tcW w:w="160" w:type="dxa"/>
            <w:vAlign w:val="bottom"/>
          </w:tcPr>
          <w:p>
            <w:pPr>
              <w:spacing w:after="0"/>
              <w:rPr>
                <w:sz w:val="19"/>
                <w:szCs w:val="19"/>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Stockholm, Sweden</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1200" w:type="dxa"/>
            <w:vAlign w:val="bottom"/>
            <w:tcBorders>
              <w:top w:val="single" w:sz="8" w:color="auto"/>
            </w:tcBorders>
            <w:gridSpan w:val="8"/>
            <w:vMerge w:val="restart"/>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220" w:type="dxa"/>
            <w:vAlign w:val="bottom"/>
            <w:gridSpan w:val="5"/>
            <w:vMerge w:val="restart"/>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160"/>
              <w:spacing w:after="0" w:line="114" w:lineRule="exact"/>
              <w:rPr>
                <w:sz w:val="20"/>
                <w:szCs w:val="20"/>
                <w:color w:val="auto"/>
              </w:rPr>
            </w:pPr>
            <w:r>
              <w:rPr>
                <w:rFonts w:ascii="Arial" w:cs="Arial" w:eastAsia="Arial" w:hAnsi="Arial"/>
                <w:sz w:val="12"/>
                <w:szCs w:val="12"/>
                <w:color w:val="auto"/>
                <w:w w:val="91"/>
              </w:rPr>
              <w:t>On-Demand Music</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5,884</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6"/>
              </w:rPr>
              <w:t>10,002,084</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w w:val="96"/>
              </w:rPr>
              <w:t>30,729,068</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93"/>
              </w:rPr>
              <w:t>15.01%</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1200" w:type="dxa"/>
            <w:vAlign w:val="bottom"/>
            <w:gridSpan w:val="8"/>
            <w:vMerge w:val="continue"/>
            <w:shd w:val="clear" w:color="auto" w:fill="CCEEFF"/>
          </w:tcPr>
          <w:p>
            <w:pPr>
              <w:spacing w:after="0"/>
              <w:rPr>
                <w:sz w:val="11"/>
                <w:szCs w:val="11"/>
                <w:color w:val="auto"/>
              </w:rPr>
            </w:pPr>
          </w:p>
        </w:tc>
        <w:tc>
          <w:tcPr>
            <w:tcW w:w="1220" w:type="dxa"/>
            <w:vAlign w:val="bottom"/>
            <w:gridSpan w:val="5"/>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7"/>
              </w:rPr>
              <w:t>Streaming</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Coursera, Inc.</w:t>
            </w:r>
          </w:p>
        </w:tc>
        <w:tc>
          <w:tcPr>
            <w:tcW w:w="160" w:type="dxa"/>
            <w:vAlign w:val="bottom"/>
          </w:tcPr>
          <w:p>
            <w:pPr>
              <w:spacing w:after="0"/>
              <w:rPr>
                <w:sz w:val="19"/>
                <w:szCs w:val="19"/>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color w:val="auto"/>
                <w:w w:val="94"/>
              </w:rPr>
              <w:t>Mountain View,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B</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91"/>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2,961,399</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w w:val="96"/>
              </w:rPr>
              <w:t>14,519,519</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96"/>
              </w:rPr>
              <w:t>18,360,674</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86"/>
              </w:rPr>
              <w:t>Dropbox, Inc.</w:t>
            </w:r>
          </w:p>
        </w:tc>
        <w:tc>
          <w:tcPr>
            <w:tcW w:w="1720" w:type="dxa"/>
            <w:vAlign w:val="bottom"/>
            <w:gridSpan w:val="10"/>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San Francisco,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20" w:type="dxa"/>
            <w:vAlign w:val="bottom"/>
            <w:gridSpan w:val="13"/>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A-1</w:t>
            </w:r>
          </w:p>
        </w:tc>
        <w:tc>
          <w:tcPr>
            <w:tcW w:w="16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140"/>
              <w:spacing w:after="0" w:line="114" w:lineRule="exact"/>
              <w:rPr>
                <w:sz w:val="20"/>
                <w:szCs w:val="20"/>
                <w:color w:val="auto"/>
              </w:rPr>
            </w:pPr>
            <w:r>
              <w:rPr>
                <w:rFonts w:ascii="Arial" w:cs="Arial" w:eastAsia="Arial" w:hAnsi="Arial"/>
                <w:sz w:val="12"/>
                <w:szCs w:val="12"/>
                <w:color w:val="auto"/>
                <w:w w:val="92"/>
              </w:rPr>
              <w:t>Cloud Computing</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552,486</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5,015,773</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7,524,859</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20" w:type="dxa"/>
            <w:vAlign w:val="bottom"/>
            <w:gridSpan w:val="1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6"/>
              </w:rPr>
              <w:t>Services</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gridSpan w:val="13"/>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760,000</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8,641,153</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10,350,837</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5.06%</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2420" w:type="dxa"/>
            <w:vAlign w:val="bottom"/>
            <w:gridSpan w:val="13"/>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continue"/>
            <w:shd w:val="clear" w:color="auto" w:fill="CCEEFF"/>
          </w:tcPr>
          <w:p>
            <w:pPr>
              <w:spacing w:after="0"/>
              <w:rPr>
                <w:sz w:val="10"/>
                <w:szCs w:val="10"/>
                <w:color w:val="auto"/>
              </w:rPr>
            </w:pPr>
          </w:p>
        </w:tc>
        <w:tc>
          <w:tcPr>
            <w:tcW w:w="2420" w:type="dxa"/>
            <w:vAlign w:val="bottom"/>
            <w:gridSpan w:val="13"/>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13,656,926</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17,875,696</w:t>
            </w:r>
          </w:p>
        </w:tc>
        <w:tc>
          <w:tcPr>
            <w:tcW w:w="24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8.73%</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gridSpan w:val="13"/>
          </w:tcPr>
          <w:p>
            <w:pPr>
              <w:spacing w:after="0"/>
              <w:rPr>
                <w:sz w:val="20"/>
                <w:szCs w:val="20"/>
                <w:color w:val="auto"/>
              </w:rPr>
            </w:pPr>
            <w:r>
              <w:rPr>
                <w:rFonts w:ascii="Arial" w:cs="Arial" w:eastAsia="Arial" w:hAnsi="Arial"/>
                <w:sz w:val="12"/>
                <w:szCs w:val="12"/>
                <w:b w:val="1"/>
                <w:bCs w:val="1"/>
                <w:color w:val="auto"/>
              </w:rPr>
              <w:t>General Assembly Space, Inc.</w:t>
            </w: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center"/>
              <w:ind w:right="160"/>
              <w:spacing w:after="0"/>
              <w:rPr>
                <w:sz w:val="20"/>
                <w:szCs w:val="20"/>
                <w:color w:val="auto"/>
              </w:rPr>
            </w:pPr>
            <w:r>
              <w:rPr>
                <w:rFonts w:ascii="Arial" w:cs="Arial" w:eastAsia="Arial" w:hAnsi="Arial"/>
                <w:sz w:val="12"/>
                <w:szCs w:val="12"/>
                <w:color w:val="auto"/>
                <w:w w:val="95"/>
              </w:rPr>
              <w:t>New York, NY</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500" w:type="dxa"/>
            <w:vAlign w:val="bottom"/>
            <w:tcBorders>
              <w:top w:val="single" w:sz="8" w:color="auto"/>
            </w:tcBorders>
            <w:gridSpan w:val="10"/>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C</w:t>
            </w:r>
          </w:p>
        </w:tc>
        <w:tc>
          <w:tcPr>
            <w:tcW w:w="920" w:type="dxa"/>
            <w:vAlign w:val="bottom"/>
            <w:gridSpan w:val="3"/>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91"/>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126,552</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2,999,978</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5,281,440</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gridSpan w:val="13"/>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133,213</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2,999,983</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5,559,426</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2420" w:type="dxa"/>
            <w:vAlign w:val="bottom"/>
            <w:gridSpan w:val="13"/>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continue"/>
            <w:shd w:val="clear" w:color="auto" w:fill="CCEEFF"/>
          </w:tcPr>
          <w:p>
            <w:pPr>
              <w:spacing w:after="0"/>
              <w:rPr>
                <w:sz w:val="10"/>
                <w:szCs w:val="10"/>
                <w:color w:val="auto"/>
              </w:rPr>
            </w:pPr>
          </w:p>
        </w:tc>
        <w:tc>
          <w:tcPr>
            <w:tcW w:w="2420" w:type="dxa"/>
            <w:vAlign w:val="bottom"/>
            <w:gridSpan w:val="13"/>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5,999,961</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10,840,866</w:t>
            </w:r>
          </w:p>
        </w:tc>
        <w:tc>
          <w:tcPr>
            <w:tcW w:w="24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5.30%</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2"/>
                <w:szCs w:val="12"/>
                <w:b w:val="1"/>
                <w:bCs w:val="1"/>
                <w:color w:val="auto"/>
                <w:w w:val="89"/>
              </w:rPr>
              <w:t>Lyft, Inc.</w:t>
            </w:r>
          </w:p>
        </w:tc>
        <w:tc>
          <w:tcPr>
            <w:tcW w:w="1960" w:type="dxa"/>
            <w:vAlign w:val="bottom"/>
            <w:tcBorders>
              <w:top w:val="single" w:sz="8" w:color="CCEEFF"/>
            </w:tcBorders>
            <w:gridSpan w:val="1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center"/>
              <w:ind w:right="140"/>
              <w:spacing w:after="0"/>
              <w:rPr>
                <w:sz w:val="20"/>
                <w:szCs w:val="20"/>
                <w:color w:val="auto"/>
              </w:rPr>
            </w:pPr>
            <w:r>
              <w:rPr>
                <w:rFonts w:ascii="Arial" w:cs="Arial" w:eastAsia="Arial" w:hAnsi="Arial"/>
                <w:sz w:val="12"/>
                <w:szCs w:val="12"/>
                <w:color w:val="auto"/>
                <w:w w:val="89"/>
              </w:rPr>
              <w:t>San Francisco, CA</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20" w:type="dxa"/>
            <w:vAlign w:val="bottom"/>
            <w:gridSpan w:val="13"/>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E</w:t>
            </w:r>
          </w:p>
        </w:tc>
        <w:tc>
          <w:tcPr>
            <w:tcW w:w="16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180"/>
              <w:spacing w:after="0" w:line="114" w:lineRule="exact"/>
              <w:rPr>
                <w:sz w:val="20"/>
                <w:szCs w:val="20"/>
                <w:color w:val="auto"/>
              </w:rPr>
            </w:pPr>
            <w:r>
              <w:rPr>
                <w:rFonts w:ascii="Arial" w:cs="Arial" w:eastAsia="Arial" w:hAnsi="Arial"/>
                <w:sz w:val="12"/>
                <w:szCs w:val="12"/>
                <w:color w:val="auto"/>
                <w:w w:val="88"/>
              </w:rPr>
              <w:t>On-Demand</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128,563</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2,503,585</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4,269,577</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20" w:type="dxa"/>
            <w:vAlign w:val="bottom"/>
            <w:gridSpan w:val="1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Transportation Services</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gridSpan w:val="13"/>
          </w:tcPr>
          <w:p>
            <w:pPr>
              <w:spacing w:after="0"/>
              <w:rPr>
                <w:sz w:val="20"/>
                <w:szCs w:val="20"/>
                <w:color w:val="auto"/>
              </w:rPr>
            </w:pPr>
            <w:r>
              <w:rPr>
                <w:rFonts w:ascii="Arial" w:cs="Arial" w:eastAsia="Arial" w:hAnsi="Arial"/>
                <w:sz w:val="12"/>
                <w:szCs w:val="12"/>
                <w:color w:val="auto"/>
              </w:rPr>
              <w:t>Preferred shares, Series D</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176,266</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1,792,749</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5,853,938</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2.86%</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2420" w:type="dxa"/>
            <w:vAlign w:val="bottom"/>
            <w:gridSpan w:val="13"/>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continue"/>
            <w:shd w:val="clear" w:color="auto" w:fill="CCEEFF"/>
          </w:tcPr>
          <w:p>
            <w:pPr>
              <w:spacing w:after="0"/>
              <w:rPr>
                <w:sz w:val="10"/>
                <w:szCs w:val="10"/>
                <w:color w:val="auto"/>
              </w:rPr>
            </w:pPr>
          </w:p>
        </w:tc>
        <w:tc>
          <w:tcPr>
            <w:tcW w:w="2420" w:type="dxa"/>
            <w:vAlign w:val="bottom"/>
            <w:gridSpan w:val="13"/>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4,296,334</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10,123,515</w:t>
            </w:r>
          </w:p>
        </w:tc>
        <w:tc>
          <w:tcPr>
            <w:tcW w:w="24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bottom w:val="single" w:sz="8" w:color="auto"/>
            </w:tcBorders>
            <w:gridSpan w:val="6"/>
          </w:tcPr>
          <w:p>
            <w:pPr>
              <w:spacing w:after="0"/>
              <w:rPr>
                <w:sz w:val="20"/>
                <w:szCs w:val="20"/>
                <w:color w:val="auto"/>
              </w:rPr>
            </w:pPr>
            <w:r>
              <w:rPr>
                <w:rFonts w:ascii="Arial" w:cs="Arial" w:eastAsia="Arial" w:hAnsi="Arial"/>
                <w:sz w:val="12"/>
                <w:szCs w:val="12"/>
                <w:b w:val="1"/>
                <w:bCs w:val="1"/>
                <w:color w:val="auto"/>
                <w:w w:val="88"/>
              </w:rPr>
              <w:t>Course Hero, Inc.</w:t>
            </w:r>
          </w:p>
        </w:tc>
        <w:tc>
          <w:tcPr>
            <w:tcW w:w="1520" w:type="dxa"/>
            <w:vAlign w:val="bottom"/>
            <w:tcBorders>
              <w:top w:val="single" w:sz="8" w:color="CCEEFF"/>
            </w:tcBorders>
            <w:gridSpan w:val="7"/>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center"/>
              <w:ind w:right="140"/>
              <w:spacing w:after="0"/>
              <w:rPr>
                <w:sz w:val="20"/>
                <w:szCs w:val="20"/>
                <w:color w:val="auto"/>
              </w:rPr>
            </w:pPr>
            <w:r>
              <w:rPr>
                <w:rFonts w:ascii="Arial" w:cs="Arial" w:eastAsia="Arial" w:hAnsi="Arial"/>
                <w:sz w:val="12"/>
                <w:szCs w:val="12"/>
                <w:color w:val="auto"/>
                <w:w w:val="91"/>
              </w:rPr>
              <w:t>Redwood City, CA</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A</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91"/>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2,145,509</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5,000,001</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96"/>
              </w:rPr>
              <w:t>10,041,426</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Chegg, Inc.**</w:t>
            </w:r>
          </w:p>
        </w:tc>
        <w:tc>
          <w:tcPr>
            <w:tcW w:w="1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Santa Clara,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20" w:type="dxa"/>
            <w:vAlign w:val="bottom"/>
            <w:gridSpan w:val="13"/>
            <w:vMerge w:val="restart"/>
            <w:shd w:val="clear" w:color="auto" w:fill="CCEEFF"/>
          </w:tcPr>
          <w:p>
            <w:pPr>
              <w:spacing w:after="0"/>
              <w:rPr>
                <w:sz w:val="20"/>
                <w:szCs w:val="20"/>
                <w:color w:val="auto"/>
              </w:rPr>
            </w:pPr>
            <w:r>
              <w:rPr>
                <w:rFonts w:ascii="Arial" w:cs="Arial" w:eastAsia="Arial" w:hAnsi="Arial"/>
                <w:sz w:val="12"/>
                <w:szCs w:val="12"/>
                <w:color w:val="auto"/>
              </w:rPr>
              <w:t>Common shares</w:t>
            </w:r>
            <w:r>
              <w:rPr>
                <w:rFonts w:ascii="Arial" w:cs="Arial" w:eastAsia="Arial" w:hAnsi="Arial"/>
                <w:sz w:val="17"/>
                <w:szCs w:val="17"/>
                <w:color w:val="auto"/>
                <w:vertAlign w:val="superscript"/>
              </w:rPr>
              <w:t>(3)(11)</w:t>
            </w:r>
          </w:p>
        </w:tc>
        <w:tc>
          <w:tcPr>
            <w:tcW w:w="16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160"/>
              <w:spacing w:after="0" w:line="114" w:lineRule="exact"/>
              <w:rPr>
                <w:sz w:val="20"/>
                <w:szCs w:val="20"/>
                <w:color w:val="auto"/>
              </w:rPr>
            </w:pPr>
            <w:r>
              <w:rPr>
                <w:rFonts w:ascii="Arial" w:cs="Arial" w:eastAsia="Arial" w:hAnsi="Arial"/>
                <w:sz w:val="12"/>
                <w:szCs w:val="12"/>
                <w:color w:val="auto"/>
                <w:w w:val="91"/>
              </w:rPr>
              <w:t>Online Education</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500,000</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6,008,468</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8,160,000</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20" w:type="dxa"/>
            <w:vAlign w:val="bottom"/>
            <w:gridSpan w:val="1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6"/>
              </w:rPr>
              <w:t>Services</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7"/>
                <w:szCs w:val="17"/>
                <w:b w:val="1"/>
                <w:bCs w:val="1"/>
                <w:color w:val="auto"/>
                <w:vertAlign w:val="superscript"/>
              </w:rPr>
              <w:t>(4)</w:t>
            </w:r>
          </w:p>
        </w:tc>
        <w:tc>
          <w:tcPr>
            <w:tcW w:w="160" w:type="dxa"/>
            <w:vAlign w:val="bottom"/>
          </w:tcPr>
          <w:p>
            <w:pPr>
              <w:spacing w:after="0"/>
              <w:rPr>
                <w:sz w:val="19"/>
                <w:szCs w:val="19"/>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color w:val="auto"/>
                <w:w w:val="95"/>
              </w:rPr>
              <w:t>New York, NY</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2420" w:type="dxa"/>
            <w:vAlign w:val="bottom"/>
            <w:gridSpan w:val="13"/>
            <w:vMerge w:val="restart"/>
            <w:shd w:val="clear" w:color="auto" w:fill="CCEEFF"/>
          </w:tcPr>
          <w:p>
            <w:pPr>
              <w:spacing w:after="0"/>
              <w:rPr>
                <w:sz w:val="20"/>
                <w:szCs w:val="20"/>
                <w:color w:val="auto"/>
              </w:rPr>
            </w:pPr>
            <w:r>
              <w:rPr>
                <w:rFonts w:ascii="Arial" w:cs="Arial" w:eastAsia="Arial" w:hAnsi="Arial"/>
                <w:sz w:val="12"/>
                <w:szCs w:val="12"/>
                <w:color w:val="auto"/>
              </w:rPr>
              <w:t>Preferred shares, Junior Preferred Stock</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140"/>
              <w:spacing w:after="0" w:line="123" w:lineRule="exact"/>
              <w:rPr>
                <w:sz w:val="20"/>
                <w:szCs w:val="20"/>
                <w:color w:val="auto"/>
              </w:rPr>
            </w:pPr>
            <w:r>
              <w:rPr>
                <w:rFonts w:ascii="Arial" w:cs="Arial" w:eastAsia="Arial" w:hAnsi="Arial"/>
                <w:sz w:val="12"/>
                <w:szCs w:val="12"/>
                <w:color w:val="auto"/>
                <w:w w:val="90"/>
              </w:rPr>
              <w:t>Globally-Focused Private</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9"/>
              </w:rPr>
              <w:t>10,014,270</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6"/>
              </w:rPr>
              <w:t>10,151,854</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5,908,419</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2.89%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20" w:type="dxa"/>
            <w:vAlign w:val="bottom"/>
            <w:gridSpan w:val="1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7"/>
              </w:rPr>
              <w:t>School</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Parchment, Inc.</w:t>
            </w:r>
          </w:p>
        </w:tc>
        <w:tc>
          <w:tcPr>
            <w:tcW w:w="1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Scottsdale, AZ</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D</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40"/>
              <w:spacing w:after="0" w:line="136" w:lineRule="exact"/>
              <w:rPr>
                <w:sz w:val="20"/>
                <w:szCs w:val="20"/>
                <w:color w:val="auto"/>
              </w:rPr>
            </w:pPr>
            <w:r>
              <w:rPr>
                <w:rFonts w:ascii="Arial" w:cs="Arial" w:eastAsia="Arial" w:hAnsi="Arial"/>
                <w:sz w:val="12"/>
                <w:szCs w:val="12"/>
                <w:color w:val="auto"/>
                <w:w w:val="90"/>
              </w:rPr>
              <w:t>E-Transcript Exchange</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3,200,512</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4,000,982</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5,583,562</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Enjoy Technology, Inc.</w:t>
            </w:r>
          </w:p>
        </w:tc>
        <w:tc>
          <w:tcPr>
            <w:tcW w:w="1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Menlo Park,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B</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40"/>
              <w:spacing w:after="0" w:line="136" w:lineRule="exact"/>
              <w:rPr>
                <w:sz w:val="20"/>
                <w:szCs w:val="20"/>
                <w:color w:val="auto"/>
              </w:rPr>
            </w:pPr>
            <w:r>
              <w:rPr>
                <w:rFonts w:ascii="Arial" w:cs="Arial" w:eastAsia="Arial" w:hAnsi="Arial"/>
                <w:sz w:val="12"/>
                <w:szCs w:val="12"/>
                <w:color w:val="auto"/>
                <w:w w:val="89"/>
              </w:rPr>
              <w:t>On-Demand Commerce</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1,681,520</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4,000,280</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3,929,210</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gridSpan w:val="13"/>
          </w:tcPr>
          <w:p>
            <w:pPr>
              <w:spacing w:after="0"/>
              <w:rPr>
                <w:sz w:val="20"/>
                <w:szCs w:val="20"/>
                <w:color w:val="auto"/>
              </w:rPr>
            </w:pPr>
            <w:r>
              <w:rPr>
                <w:rFonts w:ascii="Arial" w:cs="Arial" w:eastAsia="Arial" w:hAnsi="Arial"/>
                <w:sz w:val="12"/>
                <w:szCs w:val="12"/>
                <w:color w:val="auto"/>
              </w:rPr>
              <w:t>Preferred shares, Series A</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879,198</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1,002,440</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1,190,998</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0.58%</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2420" w:type="dxa"/>
            <w:vAlign w:val="bottom"/>
            <w:gridSpan w:val="13"/>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continue"/>
            <w:shd w:val="clear" w:color="auto" w:fill="CCEEFF"/>
          </w:tcPr>
          <w:p>
            <w:pPr>
              <w:spacing w:after="0"/>
              <w:rPr>
                <w:sz w:val="10"/>
                <w:szCs w:val="10"/>
                <w:color w:val="auto"/>
              </w:rPr>
            </w:pPr>
          </w:p>
        </w:tc>
        <w:tc>
          <w:tcPr>
            <w:tcW w:w="2420" w:type="dxa"/>
            <w:vAlign w:val="bottom"/>
            <w:gridSpan w:val="13"/>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5,002,720</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5,120,208</w:t>
            </w:r>
          </w:p>
        </w:tc>
        <w:tc>
          <w:tcPr>
            <w:tcW w:w="24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gridSpan w:val="13"/>
          </w:tcPr>
          <w:p>
            <w:pPr>
              <w:spacing w:after="0"/>
              <w:rPr>
                <w:sz w:val="20"/>
                <w:szCs w:val="20"/>
                <w:color w:val="auto"/>
              </w:rPr>
            </w:pPr>
            <w:r>
              <w:rPr>
                <w:rFonts w:ascii="Arial" w:cs="Arial" w:eastAsia="Arial" w:hAnsi="Arial"/>
                <w:sz w:val="12"/>
                <w:szCs w:val="12"/>
                <w:b w:val="1"/>
                <w:bCs w:val="1"/>
                <w:color w:val="auto"/>
              </w:rPr>
              <w:t>Knewton, Inc.</w:t>
            </w: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center"/>
              <w:ind w:right="160"/>
              <w:spacing w:after="0"/>
              <w:rPr>
                <w:sz w:val="20"/>
                <w:szCs w:val="20"/>
                <w:color w:val="auto"/>
              </w:rPr>
            </w:pPr>
            <w:r>
              <w:rPr>
                <w:rFonts w:ascii="Arial" w:cs="Arial" w:eastAsia="Arial" w:hAnsi="Arial"/>
                <w:sz w:val="12"/>
                <w:szCs w:val="12"/>
                <w:color w:val="auto"/>
                <w:w w:val="95"/>
              </w:rPr>
              <w:t>New York, NY</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E</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91"/>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375,985</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4,999,999</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3,597,034</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92"/>
              </w:rPr>
              <w:t>SugarCRM, Inc.</w:t>
            </w:r>
          </w:p>
        </w:tc>
        <w:tc>
          <w:tcPr>
            <w:tcW w:w="1580" w:type="dxa"/>
            <w:vAlign w:val="bottom"/>
            <w:gridSpan w:val="8"/>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Cupertino,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2420" w:type="dxa"/>
            <w:vAlign w:val="bottom"/>
            <w:gridSpan w:val="13"/>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E</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180"/>
              <w:spacing w:after="0" w:line="125" w:lineRule="exact"/>
              <w:rPr>
                <w:sz w:val="20"/>
                <w:szCs w:val="20"/>
                <w:color w:val="auto"/>
              </w:rPr>
            </w:pPr>
            <w:r>
              <w:rPr>
                <w:rFonts w:ascii="Arial" w:cs="Arial" w:eastAsia="Arial" w:hAnsi="Arial"/>
                <w:sz w:val="12"/>
                <w:szCs w:val="12"/>
                <w:color w:val="auto"/>
                <w:w w:val="90"/>
              </w:rPr>
              <w:t>Customer Relationship</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373,134</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1,500,522</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1,838,912</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0.90%</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20" w:type="dxa"/>
            <w:vAlign w:val="bottom"/>
            <w:gridSpan w:val="1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40"/>
              <w:spacing w:after="0" w:line="134" w:lineRule="exact"/>
              <w:rPr>
                <w:sz w:val="20"/>
                <w:szCs w:val="20"/>
                <w:color w:val="auto"/>
              </w:rPr>
            </w:pPr>
            <w:r>
              <w:rPr>
                <w:rFonts w:ascii="Arial" w:cs="Arial" w:eastAsia="Arial" w:hAnsi="Arial"/>
                <w:sz w:val="12"/>
                <w:szCs w:val="12"/>
                <w:color w:val="auto"/>
                <w:w w:val="88"/>
              </w:rPr>
              <w:t>Manager</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gridSpan w:val="13"/>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1,524,799</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5,476,502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1,384,956</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ind w:left="140"/>
              <w:spacing w:after="0" w:line="136" w:lineRule="exact"/>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6,977,024</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3,223,868</w:t>
            </w:r>
          </w:p>
        </w:tc>
        <w:tc>
          <w:tcPr>
            <w:tcW w:w="240" w:type="dxa"/>
            <w:vAlign w:val="bottom"/>
            <w:tcBorders>
              <w:right w:val="single" w:sz="8" w:color="CCEEFF"/>
            </w:tcBorders>
            <w:vMerge w:val="continue"/>
            <w:shd w:val="clear" w:color="auto" w:fill="CCEEFF"/>
          </w:tcPr>
          <w:p>
            <w:pPr>
              <w:spacing w:after="0"/>
              <w:rPr>
                <w:sz w:val="11"/>
                <w:szCs w:val="11"/>
                <w:color w:val="auto"/>
              </w:rPr>
            </w:pP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CCEEFF"/>
            </w:tcBorders>
            <w:gridSpan w:val="13"/>
          </w:tcPr>
          <w:p>
            <w:pPr>
              <w:spacing w:after="0"/>
              <w:rPr>
                <w:sz w:val="20"/>
                <w:szCs w:val="20"/>
                <w:color w:val="auto"/>
              </w:rPr>
            </w:pPr>
            <w:r>
              <w:rPr>
                <w:rFonts w:ascii="Arial" w:cs="Arial" w:eastAsia="Arial" w:hAnsi="Arial"/>
                <w:sz w:val="12"/>
                <w:szCs w:val="12"/>
                <w:b w:val="1"/>
                <w:bCs w:val="1"/>
                <w:color w:val="auto"/>
                <w:w w:val="91"/>
              </w:rPr>
              <w:t>A Place for Rover Inc. (f/k/a DogVacay, Inc.)</w:t>
            </w:r>
            <w:r>
              <w:rPr>
                <w:rFonts w:ascii="Arial" w:cs="Arial" w:eastAsia="Arial" w:hAnsi="Arial"/>
                <w:sz w:val="17"/>
                <w:szCs w:val="17"/>
                <w:b w:val="1"/>
                <w:bCs w:val="1"/>
                <w:color w:val="auto"/>
                <w:w w:val="91"/>
                <w:vertAlign w:val="superscript"/>
              </w:rPr>
              <w:t>(7)</w:t>
            </w:r>
          </w:p>
        </w:tc>
        <w:tc>
          <w:tcPr>
            <w:tcW w:w="16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jc w:val="center"/>
              <w:ind w:right="160"/>
              <w:spacing w:after="0"/>
              <w:rPr>
                <w:sz w:val="20"/>
                <w:szCs w:val="20"/>
                <w:color w:val="auto"/>
              </w:rPr>
            </w:pPr>
            <w:r>
              <w:rPr>
                <w:rFonts w:ascii="Arial" w:cs="Arial" w:eastAsia="Arial" w:hAnsi="Arial"/>
                <w:sz w:val="12"/>
                <w:szCs w:val="12"/>
                <w:color w:val="auto"/>
                <w:w w:val="88"/>
              </w:rPr>
              <w:t>Seattle, WA</w:t>
            </w:r>
          </w:p>
        </w:tc>
        <w:tc>
          <w:tcPr>
            <w:tcW w:w="5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26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6"/>
              </w:rPr>
              <w:t>Peer-to-Peer Pet Services</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707,991</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2,506,119</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3,130,348</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13"/>
          </w:tcPr>
          <w:p>
            <w:pPr>
              <w:spacing w:after="0"/>
              <w:rPr>
                <w:sz w:val="20"/>
                <w:szCs w:val="20"/>
                <w:color w:val="auto"/>
              </w:rPr>
            </w:pPr>
            <w:r>
              <w:rPr>
                <w:rFonts w:ascii="Arial" w:cs="Arial" w:eastAsia="Arial" w:hAnsi="Arial"/>
                <w:sz w:val="12"/>
                <w:szCs w:val="12"/>
                <w:b w:val="1"/>
                <w:bCs w:val="1"/>
                <w:color w:val="auto"/>
              </w:rPr>
              <w:t>SharesPost, Inc.</w:t>
            </w:r>
          </w:p>
        </w:tc>
        <w:tc>
          <w:tcPr>
            <w:tcW w:w="160" w:type="dxa"/>
            <w:vAlign w:val="bottom"/>
          </w:tcPr>
          <w:p>
            <w:pPr>
              <w:spacing w:after="0"/>
              <w:rPr>
                <w:sz w:val="20"/>
                <w:szCs w:val="20"/>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San Francisco, CA</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2420" w:type="dxa"/>
            <w:vAlign w:val="bottom"/>
            <w:gridSpan w:val="13"/>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2"/>
                <w:szCs w:val="12"/>
                <w:color w:val="auto"/>
                <w:w w:val="90"/>
              </w:rPr>
              <w:t>Online Marketplace</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1,771,653</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2,259,716</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2,249,999</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20" w:type="dxa"/>
            <w:vAlign w:val="bottom"/>
            <w:gridSpan w:val="1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40"/>
              <w:spacing w:after="0" w:line="134" w:lineRule="exact"/>
              <w:rPr>
                <w:sz w:val="20"/>
                <w:szCs w:val="20"/>
                <w:color w:val="auto"/>
              </w:rPr>
            </w:pPr>
            <w:r>
              <w:rPr>
                <w:rFonts w:ascii="Arial" w:cs="Arial" w:eastAsia="Arial" w:hAnsi="Arial"/>
                <w:sz w:val="12"/>
                <w:szCs w:val="12"/>
                <w:color w:val="auto"/>
                <w:w w:val="88"/>
              </w:rPr>
              <w:t>Finance</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gridSpan w:val="13"/>
          </w:tcPr>
          <w:p>
            <w:pPr>
              <w:spacing w:after="0" w:line="134" w:lineRule="exact"/>
              <w:rPr>
                <w:sz w:val="20"/>
                <w:szCs w:val="20"/>
                <w:color w:val="auto"/>
              </w:rPr>
            </w:pPr>
            <w:r>
              <w:rPr>
                <w:rFonts w:ascii="Arial" w:cs="Arial" w:eastAsia="Arial" w:hAnsi="Arial"/>
                <w:sz w:val="12"/>
                <w:szCs w:val="12"/>
                <w:color w:val="auto"/>
                <w:w w:val="92"/>
              </w:rPr>
              <w:t>Common warrants, $0.13 Strike Price, Expiration</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770,934</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23,128</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46,256</w:t>
            </w:r>
          </w:p>
        </w:tc>
        <w:tc>
          <w:tcPr>
            <w:tcW w:w="42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gridSpan w:val="13"/>
          </w:tcPr>
          <w:p>
            <w:pPr>
              <w:ind w:left="140"/>
              <w:spacing w:after="0" w:line="134" w:lineRule="exact"/>
              <w:rPr>
                <w:sz w:val="20"/>
                <w:szCs w:val="20"/>
                <w:color w:val="auto"/>
              </w:rPr>
            </w:pPr>
            <w:r>
              <w:rPr>
                <w:rFonts w:ascii="Arial" w:cs="Arial" w:eastAsia="Arial" w:hAnsi="Arial"/>
                <w:sz w:val="12"/>
                <w:szCs w:val="12"/>
                <w:color w:val="auto"/>
              </w:rPr>
              <w:t>Date 6/15/2018</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13"/>
            <w:shd w:val="clear" w:color="auto" w:fill="CCEEFF"/>
          </w:tcPr>
          <w:p>
            <w:pPr>
              <w:ind w:left="140"/>
              <w:spacing w:after="0" w:line="136" w:lineRule="exact"/>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2,282,844</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2,296,255</w:t>
            </w:r>
          </w:p>
        </w:tc>
        <w:tc>
          <w:tcPr>
            <w:tcW w:w="240" w:type="dxa"/>
            <w:vAlign w:val="bottom"/>
            <w:tcBorders>
              <w:right w:val="single" w:sz="8" w:color="CCEEFF"/>
            </w:tcBorders>
            <w:vMerge w:val="continue"/>
            <w:shd w:val="clear" w:color="auto" w:fill="CCEEFF"/>
          </w:tcPr>
          <w:p>
            <w:pPr>
              <w:spacing w:after="0"/>
              <w:rPr>
                <w:sz w:val="11"/>
                <w:szCs w:val="11"/>
                <w:color w:val="auto"/>
              </w:rPr>
            </w:pP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-105410</wp:posOffset>
            </wp:positionV>
            <wp:extent cx="7810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-105410</wp:posOffset>
            </wp:positionV>
            <wp:extent cx="404622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-970280</wp:posOffset>
            </wp:positionV>
            <wp:extent cx="7810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-970280</wp:posOffset>
            </wp:positionV>
            <wp:extent cx="40462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-1735455</wp:posOffset>
            </wp:positionV>
            <wp:extent cx="7810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-1735455</wp:posOffset>
            </wp:positionV>
            <wp:extent cx="404622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-3287395</wp:posOffset>
            </wp:positionV>
            <wp:extent cx="7810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-3287395</wp:posOffset>
            </wp:positionV>
            <wp:extent cx="404622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-3797300</wp:posOffset>
            </wp:positionV>
            <wp:extent cx="7810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-3797300</wp:posOffset>
            </wp:positionV>
            <wp:extent cx="404622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-4236720</wp:posOffset>
            </wp:positionV>
            <wp:extent cx="7810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-4236720</wp:posOffset>
            </wp:positionV>
            <wp:extent cx="404622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-5526405</wp:posOffset>
            </wp:positionV>
            <wp:extent cx="2857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-5526405</wp:posOffset>
            </wp:positionV>
            <wp:extent cx="11366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-5526405</wp:posOffset>
            </wp:positionV>
            <wp:extent cx="11366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-5526405</wp:posOffset>
            </wp:positionV>
            <wp:extent cx="11366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-5526405</wp:posOffset>
            </wp:positionV>
            <wp:extent cx="9906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-5526405</wp:posOffset>
            </wp:positionV>
            <wp:extent cx="9906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70"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2" w:name="page83"/>
    <w:bookmarkEnd w:id="8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68" w:lineRule="exact"/>
        <w:rPr>
          <w:sz w:val="20"/>
          <w:szCs w:val="20"/>
          <w:color w:val="auto"/>
        </w:rPr>
      </w:pPr>
    </w:p>
    <w:tbl>
      <w:tblPr>
        <w:tblLayout w:type="fixed"/>
        <w:tblInd w:w="1050" w:type="dxa"/>
        <w:tblCellMar>
          <w:top w:w="0" w:type="dxa"/>
          <w:left w:w="0" w:type="dxa"/>
          <w:bottom w:w="0" w:type="dxa"/>
          <w:right w:w="0" w:type="dxa"/>
        </w:tblCellMar>
      </w:tblPr>
      <w:tr>
        <w:trPr>
          <w:trHeight w:val="115"/>
        </w:trPr>
        <w:tc>
          <w:tcPr>
            <w:tcW w:w="2420" w:type="dxa"/>
            <w:vAlign w:val="bottom"/>
            <w:gridSpan w:val="7"/>
            <w:vMerge w:val="restart"/>
          </w:tcPr>
          <w:p>
            <w:pPr>
              <w:ind w:left="20"/>
              <w:spacing w:after="0"/>
              <w:rPr>
                <w:sz w:val="20"/>
                <w:szCs w:val="20"/>
                <w:color w:val="auto"/>
              </w:rPr>
            </w:pPr>
            <w:r>
              <w:rPr>
                <w:rFonts w:ascii="Arial" w:cs="Arial" w:eastAsia="Arial" w:hAnsi="Arial"/>
                <w:sz w:val="10"/>
                <w:szCs w:val="10"/>
                <w:b w:val="1"/>
                <w:bCs w:val="1"/>
                <w:color w:val="auto"/>
              </w:rPr>
              <w:t>Portfolio Investments*</w:t>
            </w:r>
          </w:p>
        </w:tc>
        <w:tc>
          <w:tcPr>
            <w:tcW w:w="100" w:type="dxa"/>
            <w:vAlign w:val="bottom"/>
          </w:tcPr>
          <w:p>
            <w:pPr>
              <w:spacing w:after="0"/>
              <w:rPr>
                <w:sz w:val="10"/>
                <w:szCs w:val="1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Headquarters/</w:t>
            </w:r>
          </w:p>
        </w:tc>
        <w:tc>
          <w:tcPr>
            <w:tcW w:w="8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9"/>
              </w:rPr>
              <w:t>Shares/</w:t>
            </w:r>
          </w:p>
        </w:tc>
        <w:tc>
          <w:tcPr>
            <w:tcW w:w="60" w:type="dxa"/>
            <w:vAlign w:val="bottom"/>
          </w:tcPr>
          <w:p>
            <w:pPr>
              <w:spacing w:after="0"/>
              <w:rPr>
                <w:sz w:val="10"/>
                <w:szCs w:val="10"/>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Fair Value</w:t>
            </w:r>
          </w:p>
        </w:tc>
        <w:tc>
          <w:tcPr>
            <w:tcW w:w="4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79"/>
              </w:rPr>
              <w:t>% of Net</w:t>
            </w:r>
          </w:p>
        </w:tc>
        <w:tc>
          <w:tcPr>
            <w:tcW w:w="0" w:type="dxa"/>
            <w:vAlign w:val="bottom"/>
          </w:tcPr>
          <w:p>
            <w:pPr>
              <w:spacing w:after="0"/>
              <w:rPr>
                <w:sz w:val="1"/>
                <w:szCs w:val="1"/>
                <w:color w:val="auto"/>
              </w:rPr>
            </w:pPr>
          </w:p>
        </w:tc>
      </w:tr>
      <w:tr>
        <w:trPr>
          <w:trHeight w:val="140"/>
        </w:trPr>
        <w:tc>
          <w:tcPr>
            <w:tcW w:w="24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Industry</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9"/>
              </w:rPr>
              <w:t>Principal</w:t>
            </w: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19"/>
        </w:trPr>
        <w:tc>
          <w:tcPr>
            <w:tcW w:w="2420" w:type="dxa"/>
            <w:vAlign w:val="bottom"/>
            <w:tcBorders>
              <w:top w:val="single" w:sz="8" w:color="auto"/>
              <w:left w:val="single" w:sz="8" w:color="CCEEFF"/>
            </w:tcBorders>
            <w:gridSpan w:val="7"/>
            <w:shd w:val="clear" w:color="auto" w:fill="CCEEFF"/>
          </w:tcPr>
          <w:p>
            <w:pPr>
              <w:ind w:left="20"/>
              <w:spacing w:after="0" w:line="120" w:lineRule="exact"/>
              <w:rPr>
                <w:sz w:val="20"/>
                <w:szCs w:val="20"/>
                <w:color w:val="auto"/>
              </w:rPr>
            </w:pPr>
            <w:r>
              <w:rPr>
                <w:rFonts w:ascii="Arial" w:cs="Arial" w:eastAsia="Arial" w:hAnsi="Arial"/>
                <w:sz w:val="12"/>
                <w:szCs w:val="12"/>
                <w:b w:val="1"/>
                <w:bCs w:val="1"/>
                <w:color w:val="auto"/>
              </w:rPr>
              <w:t>DreamBox Learning, Inc.</w:t>
            </w:r>
          </w:p>
        </w:tc>
        <w:tc>
          <w:tcPr>
            <w:tcW w:w="1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91"/>
              </w:rPr>
              <w:t>Bellevue, WA</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420" w:type="dxa"/>
            <w:vAlign w:val="bottom"/>
            <w:gridSpan w:val="7"/>
          </w:tcPr>
          <w:p>
            <w:pPr>
              <w:ind w:left="20"/>
              <w:spacing w:after="0" w:line="125" w:lineRule="exact"/>
              <w:rPr>
                <w:sz w:val="20"/>
                <w:szCs w:val="20"/>
                <w:color w:val="auto"/>
              </w:rPr>
            </w:pPr>
            <w:r>
              <w:rPr>
                <w:rFonts w:ascii="Arial" w:cs="Arial" w:eastAsia="Arial" w:hAnsi="Arial"/>
                <w:sz w:val="12"/>
                <w:szCs w:val="12"/>
                <w:color w:val="auto"/>
              </w:rPr>
              <w:t>Preferred shares, Series A-1</w:t>
            </w:r>
          </w:p>
        </w:tc>
        <w:tc>
          <w:tcPr>
            <w:tcW w:w="100" w:type="dxa"/>
            <w:vAlign w:val="bottom"/>
          </w:tcPr>
          <w:p>
            <w:pPr>
              <w:spacing w:after="0"/>
              <w:rPr>
                <w:sz w:val="10"/>
                <w:szCs w:val="10"/>
                <w:color w:val="auto"/>
              </w:rPr>
            </w:pPr>
          </w:p>
        </w:tc>
        <w:tc>
          <w:tcPr>
            <w:tcW w:w="1420" w:type="dxa"/>
            <w:vAlign w:val="bottom"/>
            <w:gridSpan w:val="2"/>
          </w:tcPr>
          <w:p>
            <w:pPr>
              <w:jc w:val="center"/>
              <w:ind w:right="120"/>
              <w:spacing w:after="0" w:line="125" w:lineRule="exact"/>
              <w:rPr>
                <w:sz w:val="20"/>
                <w:szCs w:val="20"/>
                <w:color w:val="auto"/>
              </w:rPr>
            </w:pPr>
            <w:r>
              <w:rPr>
                <w:rFonts w:ascii="Arial" w:cs="Arial" w:eastAsia="Arial" w:hAnsi="Arial"/>
                <w:sz w:val="12"/>
                <w:szCs w:val="12"/>
                <w:color w:val="auto"/>
                <w:w w:val="89"/>
              </w:rPr>
              <w:t>Education Technology</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w w:val="97"/>
              </w:rPr>
              <w:t>7,159,221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1,502,362</w:t>
            </w:r>
          </w:p>
        </w:tc>
        <w:tc>
          <w:tcPr>
            <w:tcW w:w="8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200"/>
              <w:spacing w:after="0" w:line="125" w:lineRule="exact"/>
              <w:rPr>
                <w:sz w:val="20"/>
                <w:szCs w:val="20"/>
                <w:color w:val="auto"/>
              </w:rPr>
            </w:pPr>
            <w:r>
              <w:rPr>
                <w:rFonts w:ascii="Arial" w:cs="Arial" w:eastAsia="Arial" w:hAnsi="Arial"/>
                <w:sz w:val="12"/>
                <w:szCs w:val="12"/>
                <w:color w:val="auto"/>
              </w:rPr>
              <w:t>1,518,176</w:t>
            </w:r>
          </w:p>
        </w:tc>
        <w:tc>
          <w:tcPr>
            <w:tcW w:w="420" w:type="dxa"/>
            <w:vAlign w:val="bottom"/>
            <w:gridSpan w:val="3"/>
          </w:tcPr>
          <w:p>
            <w:pPr>
              <w:jc w:val="right"/>
              <w:ind w:right="20"/>
              <w:spacing w:after="0" w:line="125" w:lineRule="exact"/>
              <w:rPr>
                <w:sz w:val="20"/>
                <w:szCs w:val="20"/>
                <w:color w:val="auto"/>
              </w:rPr>
            </w:pPr>
            <w:r>
              <w:rPr>
                <w:rFonts w:ascii="Arial" w:cs="Arial" w:eastAsia="Arial" w:hAnsi="Arial"/>
                <w:sz w:val="12"/>
                <w:szCs w:val="12"/>
                <w:color w:val="auto"/>
              </w:rPr>
              <w:t>0.74%</w:t>
            </w:r>
          </w:p>
        </w:tc>
        <w:tc>
          <w:tcPr>
            <w:tcW w:w="0" w:type="dxa"/>
            <w:vAlign w:val="bottom"/>
          </w:tcPr>
          <w:p>
            <w:pPr>
              <w:spacing w:after="0"/>
              <w:rPr>
                <w:sz w:val="1"/>
                <w:szCs w:val="1"/>
                <w:color w:val="auto"/>
              </w:rPr>
            </w:pPr>
          </w:p>
        </w:tc>
      </w:tr>
      <w:tr>
        <w:trPr>
          <w:trHeight w:val="156"/>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3,579,610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758,017</w:t>
            </w: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759,088</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0.37%</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2,260,379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2,277,264</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214"/>
        </w:trPr>
        <w:tc>
          <w:tcPr>
            <w:tcW w:w="2420" w:type="dxa"/>
            <w:vAlign w:val="bottom"/>
            <w:tcBorders>
              <w:top w:val="single" w:sz="8" w:color="CCEEFF"/>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Lytro, Inc.</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Mountain View, CA</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20" w:type="dxa"/>
            <w:vAlign w:val="bottom"/>
            <w:gridSpan w:val="7"/>
            <w:vMerge w:val="restart"/>
          </w:tcPr>
          <w:p>
            <w:pPr>
              <w:ind w:left="20"/>
              <w:spacing w:after="0"/>
              <w:rPr>
                <w:sz w:val="20"/>
                <w:szCs w:val="20"/>
                <w:color w:val="auto"/>
              </w:rPr>
            </w:pPr>
            <w:r>
              <w:rPr>
                <w:rFonts w:ascii="Arial" w:cs="Arial" w:eastAsia="Arial" w:hAnsi="Arial"/>
                <w:sz w:val="12"/>
                <w:szCs w:val="12"/>
                <w:color w:val="auto"/>
              </w:rPr>
              <w:t>Preferred shares, Series D</w:t>
            </w:r>
          </w:p>
        </w:tc>
        <w:tc>
          <w:tcPr>
            <w:tcW w:w="100" w:type="dxa"/>
            <w:vAlign w:val="bottom"/>
          </w:tcPr>
          <w:p>
            <w:pPr>
              <w:spacing w:after="0"/>
              <w:rPr>
                <w:sz w:val="9"/>
                <w:szCs w:val="9"/>
                <w:color w:val="auto"/>
              </w:rPr>
            </w:pPr>
          </w:p>
        </w:tc>
        <w:tc>
          <w:tcPr>
            <w:tcW w:w="1420" w:type="dxa"/>
            <w:vAlign w:val="bottom"/>
            <w:gridSpan w:val="2"/>
          </w:tcPr>
          <w:p>
            <w:pPr>
              <w:jc w:val="center"/>
              <w:ind w:right="140"/>
              <w:spacing w:after="0" w:line="114" w:lineRule="exact"/>
              <w:rPr>
                <w:sz w:val="20"/>
                <w:szCs w:val="20"/>
                <w:color w:val="auto"/>
              </w:rPr>
            </w:pPr>
            <w:r>
              <w:rPr>
                <w:rFonts w:ascii="Arial" w:cs="Arial" w:eastAsia="Arial" w:hAnsi="Arial"/>
                <w:sz w:val="12"/>
                <w:szCs w:val="12"/>
                <w:color w:val="auto"/>
                <w:w w:val="94"/>
              </w:rPr>
              <w:t>Light Field Imaging</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159,160</w:t>
            </w:r>
          </w:p>
        </w:tc>
        <w:tc>
          <w:tcPr>
            <w:tcW w:w="6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502,081</w:t>
            </w:r>
          </w:p>
        </w:tc>
        <w:tc>
          <w:tcPr>
            <w:tcW w:w="8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100,680</w:t>
            </w:r>
          </w:p>
        </w:tc>
        <w:tc>
          <w:tcPr>
            <w:tcW w:w="42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134"/>
        </w:trPr>
        <w:tc>
          <w:tcPr>
            <w:tcW w:w="242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4" w:lineRule="exact"/>
              <w:rPr>
                <w:sz w:val="20"/>
                <w:szCs w:val="20"/>
                <w:color w:val="auto"/>
              </w:rPr>
            </w:pPr>
            <w:r>
              <w:rPr>
                <w:rFonts w:ascii="Arial" w:cs="Arial" w:eastAsia="Arial" w:hAnsi="Arial"/>
                <w:sz w:val="12"/>
                <w:szCs w:val="12"/>
                <w:color w:val="auto"/>
                <w:w w:val="93"/>
              </w:rPr>
              <w:t>Platform</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Preferred shares, Series C-1</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3,378,379</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6"/>
              </w:rPr>
              <w:t>10,000,002</w:t>
            </w: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2,013,587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0.98%</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96"/>
              </w:rPr>
              <w:t>10,502,083</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2,114,267</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14"/>
        </w:trPr>
        <w:tc>
          <w:tcPr>
            <w:tcW w:w="700" w:type="dxa"/>
            <w:vAlign w:val="bottom"/>
            <w:tcBorders>
              <w:top w:val="single" w:sz="8" w:color="CCEEFF"/>
              <w:left w:val="single" w:sz="8" w:color="CCEEFF"/>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w w:val="99"/>
              </w:rPr>
              <w:t>Clever, Inc.</w:t>
            </w:r>
          </w:p>
        </w:tc>
        <w:tc>
          <w:tcPr>
            <w:tcW w:w="172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San Francisco, CA</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420" w:type="dxa"/>
            <w:vAlign w:val="bottom"/>
            <w:gridSpan w:val="7"/>
          </w:tcPr>
          <w:p>
            <w:pPr>
              <w:ind w:left="20"/>
              <w:spacing w:after="0" w:line="136" w:lineRule="exact"/>
              <w:rPr>
                <w:sz w:val="20"/>
                <w:szCs w:val="20"/>
                <w:color w:val="auto"/>
              </w:rPr>
            </w:pPr>
            <w:r>
              <w:rPr>
                <w:rFonts w:ascii="Arial" w:cs="Arial" w:eastAsia="Arial" w:hAnsi="Arial"/>
                <w:sz w:val="12"/>
                <w:szCs w:val="12"/>
                <w:color w:val="auto"/>
              </w:rPr>
              <w:t>Preferred shares, Series B</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0"/>
              </w:rPr>
              <w:t>Education Software</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97"/>
              </w:rPr>
              <w:t>1,799,047</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2,000,601</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2,000,001</w:t>
            </w:r>
          </w:p>
        </w:tc>
        <w:tc>
          <w:tcPr>
            <w:tcW w:w="42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0.98%</w:t>
            </w:r>
          </w:p>
        </w:tc>
        <w:tc>
          <w:tcPr>
            <w:tcW w:w="0" w:type="dxa"/>
            <w:vAlign w:val="bottom"/>
          </w:tcPr>
          <w:p>
            <w:pPr>
              <w:spacing w:after="0"/>
              <w:rPr>
                <w:sz w:val="1"/>
                <w:szCs w:val="1"/>
                <w:color w:val="auto"/>
              </w:rPr>
            </w:pPr>
          </w:p>
        </w:tc>
      </w:tr>
      <w:tr>
        <w:trPr>
          <w:trHeight w:val="223"/>
        </w:trPr>
        <w:tc>
          <w:tcPr>
            <w:tcW w:w="1300" w:type="dxa"/>
            <w:vAlign w:val="bottom"/>
            <w:tcBorders>
              <w:left w:val="single" w:sz="8" w:color="CCEEFF"/>
              <w:bottom w:val="single" w:sz="8" w:color="auto"/>
              <w:righ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b w:val="1"/>
                <w:bCs w:val="1"/>
                <w:color w:val="auto"/>
                <w:w w:val="89"/>
              </w:rPr>
              <w:t>Aspiration Partners, Inc.</w:t>
            </w:r>
          </w:p>
        </w:tc>
        <w:tc>
          <w:tcPr>
            <w:tcW w:w="112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Marina Del Rey, CA</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420" w:type="dxa"/>
            <w:vAlign w:val="bottom"/>
            <w:gridSpan w:val="7"/>
          </w:tcPr>
          <w:p>
            <w:pPr>
              <w:ind w:left="20"/>
              <w:spacing w:after="0" w:line="136" w:lineRule="exact"/>
              <w:rPr>
                <w:sz w:val="20"/>
                <w:szCs w:val="20"/>
                <w:color w:val="auto"/>
              </w:rPr>
            </w:pPr>
            <w:r>
              <w:rPr>
                <w:rFonts w:ascii="Arial" w:cs="Arial" w:eastAsia="Arial" w:hAnsi="Arial"/>
                <w:sz w:val="12"/>
                <w:szCs w:val="12"/>
                <w:color w:val="auto"/>
              </w:rPr>
              <w:t>Preferred shares, Series A</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88"/>
              </w:rPr>
              <w:t>Financial Services</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540,270</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1,001,815</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1,748,371</w:t>
            </w:r>
          </w:p>
        </w:tc>
        <w:tc>
          <w:tcPr>
            <w:tcW w:w="42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223"/>
        </w:trPr>
        <w:tc>
          <w:tcPr>
            <w:tcW w:w="1640" w:type="dxa"/>
            <w:vAlign w:val="bottom"/>
            <w:tcBorders>
              <w:left w:val="single" w:sz="8" w:color="CCEEFF"/>
              <w:bottom w:val="single" w:sz="8" w:color="auto"/>
            </w:tcBorders>
            <w:gridSpan w:val="5"/>
            <w:shd w:val="clear" w:color="auto" w:fill="CCEEFF"/>
          </w:tcPr>
          <w:p>
            <w:pPr>
              <w:ind w:left="20"/>
              <w:spacing w:after="0"/>
              <w:rPr>
                <w:sz w:val="20"/>
                <w:szCs w:val="20"/>
                <w:color w:val="auto"/>
              </w:rPr>
            </w:pPr>
            <w:r>
              <w:rPr>
                <w:rFonts w:ascii="Arial" w:cs="Arial" w:eastAsia="Arial" w:hAnsi="Arial"/>
                <w:sz w:val="12"/>
                <w:szCs w:val="12"/>
                <w:b w:val="1"/>
                <w:bCs w:val="1"/>
                <w:color w:val="auto"/>
                <w:w w:val="91"/>
              </w:rPr>
              <w:t>Tynker (f/k/a Neuron Fuel, Inc.)</w:t>
            </w:r>
          </w:p>
        </w:tc>
        <w:tc>
          <w:tcPr>
            <w:tcW w:w="7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Mountain View, CA</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420" w:type="dxa"/>
            <w:vAlign w:val="bottom"/>
            <w:gridSpan w:val="7"/>
          </w:tcPr>
          <w:p>
            <w:pPr>
              <w:ind w:left="20"/>
              <w:spacing w:after="0" w:line="136" w:lineRule="exact"/>
              <w:rPr>
                <w:sz w:val="20"/>
                <w:szCs w:val="20"/>
                <w:color w:val="auto"/>
              </w:rPr>
            </w:pPr>
            <w:r>
              <w:rPr>
                <w:rFonts w:ascii="Arial" w:cs="Arial" w:eastAsia="Arial" w:hAnsi="Arial"/>
                <w:sz w:val="12"/>
                <w:szCs w:val="12"/>
                <w:color w:val="auto"/>
              </w:rPr>
              <w:t>Preferred shares, Series A</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0"/>
              </w:rPr>
              <w:t>Computer Software</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534,162</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309,310</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791,361</w:t>
            </w:r>
          </w:p>
        </w:tc>
        <w:tc>
          <w:tcPr>
            <w:tcW w:w="42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23"/>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w w:val="97"/>
              </w:rPr>
              <w:t>4C Insights (f/k/a The Echo Systems Corp.)</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5"/>
              </w:rPr>
              <w:t>Chicago, IL</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200" w:type="dxa"/>
            <w:vAlign w:val="bottom"/>
            <w:tcBorders>
              <w:top w:val="single" w:sz="8" w:color="auto"/>
            </w:tcBorders>
            <w:gridSpan w:val="6"/>
          </w:tcPr>
          <w:p>
            <w:pPr>
              <w:ind w:left="20"/>
              <w:spacing w:after="0" w:line="136" w:lineRule="exact"/>
              <w:rPr>
                <w:sz w:val="20"/>
                <w:szCs w:val="20"/>
                <w:color w:val="auto"/>
              </w:rPr>
            </w:pPr>
            <w:r>
              <w:rPr>
                <w:rFonts w:ascii="Arial" w:cs="Arial" w:eastAsia="Arial" w:hAnsi="Arial"/>
                <w:sz w:val="12"/>
                <w:szCs w:val="12"/>
                <w:color w:val="auto"/>
              </w:rPr>
              <w:t>Common shares</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20" w:type="dxa"/>
            <w:vAlign w:val="bottom"/>
            <w:tcBorders>
              <w:top w:val="single" w:sz="8" w:color="CCEEFF"/>
            </w:tcBorders>
            <w:gridSpan w:val="2"/>
          </w:tcPr>
          <w:p>
            <w:pPr>
              <w:jc w:val="center"/>
              <w:ind w:right="120"/>
              <w:spacing w:after="0" w:line="136" w:lineRule="exact"/>
              <w:rPr>
                <w:sz w:val="20"/>
                <w:szCs w:val="20"/>
                <w:color w:val="auto"/>
              </w:rPr>
            </w:pPr>
            <w:r>
              <w:rPr>
                <w:rFonts w:ascii="Arial" w:cs="Arial" w:eastAsia="Arial" w:hAnsi="Arial"/>
                <w:sz w:val="12"/>
                <w:szCs w:val="12"/>
                <w:color w:val="auto"/>
                <w:w w:val="89"/>
              </w:rPr>
              <w:t>Social Data Platform</w:t>
            </w: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436,219</w:t>
            </w:r>
          </w:p>
        </w:tc>
        <w:tc>
          <w:tcPr>
            <w:tcW w:w="6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1,436,404</w:t>
            </w:r>
          </w:p>
        </w:tc>
        <w:tc>
          <w:tcPr>
            <w:tcW w:w="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right"/>
              <w:ind w:right="200"/>
              <w:spacing w:after="0" w:line="136" w:lineRule="exact"/>
              <w:rPr>
                <w:sz w:val="20"/>
                <w:szCs w:val="20"/>
                <w:color w:val="auto"/>
              </w:rPr>
            </w:pPr>
            <w:r>
              <w:rPr>
                <w:rFonts w:ascii="Arial" w:cs="Arial" w:eastAsia="Arial" w:hAnsi="Arial"/>
                <w:sz w:val="12"/>
                <w:szCs w:val="12"/>
                <w:color w:val="auto"/>
              </w:rPr>
              <w:t>593,702</w:t>
            </w:r>
          </w:p>
        </w:tc>
        <w:tc>
          <w:tcPr>
            <w:tcW w:w="420" w:type="dxa"/>
            <w:vAlign w:val="bottom"/>
            <w:tcBorders>
              <w:top w:val="single" w:sz="8" w:color="CCEEFF"/>
            </w:tcBorders>
            <w:gridSpan w:val="3"/>
          </w:tcPr>
          <w:p>
            <w:pPr>
              <w:jc w:val="right"/>
              <w:ind w:right="20"/>
              <w:spacing w:after="0" w:line="136" w:lineRule="exact"/>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223"/>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Fullbridge, Inc.</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Cambridge, MA</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82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2"/>
                <w:szCs w:val="12"/>
                <w:color w:val="auto"/>
                <w:w w:val="86"/>
              </w:rPr>
              <w:t>Common shares</w:t>
            </w:r>
          </w:p>
        </w:tc>
        <w:tc>
          <w:tcPr>
            <w:tcW w:w="1600" w:type="dxa"/>
            <w:vAlign w:val="bottom"/>
            <w:tcBorders>
              <w:top w:val="single" w:sz="8" w:color="CCEEFF"/>
            </w:tcBorders>
            <w:gridSpan w:val="5"/>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20" w:type="dxa"/>
            <w:vAlign w:val="bottom"/>
            <w:tcBorders>
              <w:top w:val="single" w:sz="8" w:color="CCEEFF"/>
            </w:tcBorders>
            <w:gridSpan w:val="2"/>
          </w:tcPr>
          <w:p>
            <w:pPr>
              <w:jc w:val="center"/>
              <w:ind w:right="120"/>
              <w:spacing w:after="0" w:line="136" w:lineRule="exact"/>
              <w:rPr>
                <w:sz w:val="20"/>
                <w:szCs w:val="20"/>
                <w:color w:val="auto"/>
              </w:rPr>
            </w:pPr>
            <w:r>
              <w:rPr>
                <w:rFonts w:ascii="Arial" w:cs="Arial" w:eastAsia="Arial" w:hAnsi="Arial"/>
                <w:sz w:val="12"/>
                <w:szCs w:val="12"/>
                <w:color w:val="auto"/>
                <w:w w:val="89"/>
              </w:rPr>
              <w:t>Business Education</w:t>
            </w: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517,917</w:t>
            </w:r>
          </w:p>
        </w:tc>
        <w:tc>
          <w:tcPr>
            <w:tcW w:w="6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6,150,506</w:t>
            </w:r>
          </w:p>
        </w:tc>
        <w:tc>
          <w:tcPr>
            <w:tcW w:w="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CCEEFF"/>
            </w:tcBorders>
            <w:gridSpan w:val="3"/>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2420" w:type="dxa"/>
            <w:vAlign w:val="bottom"/>
            <w:tcBorders>
              <w:left w:val="single" w:sz="8" w:color="CCEEFF"/>
            </w:tcBorders>
            <w:gridSpan w:val="7"/>
            <w:shd w:val="clear" w:color="auto" w:fill="CCEEFF"/>
          </w:tcPr>
          <w:p>
            <w:pPr>
              <w:ind w:left="20"/>
              <w:spacing w:after="0" w:line="167" w:lineRule="exact"/>
              <w:rPr>
                <w:sz w:val="20"/>
                <w:szCs w:val="20"/>
                <w:color w:val="auto"/>
              </w:rPr>
            </w:pPr>
            <w:r>
              <w:rPr>
                <w:rFonts w:ascii="Arial" w:cs="Arial" w:eastAsia="Arial" w:hAnsi="Arial"/>
                <w:sz w:val="12"/>
                <w:szCs w:val="12"/>
                <w:color w:val="auto"/>
              </w:rPr>
              <w:t>Promissory note 1.47%, Due 11/9/2021</w:t>
            </w:r>
            <w:r>
              <w:rPr>
                <w:rFonts w:ascii="Arial" w:cs="Arial" w:eastAsia="Arial" w:hAnsi="Arial"/>
                <w:sz w:val="17"/>
                <w:szCs w:val="17"/>
                <w:color w:val="auto"/>
                <w:vertAlign w:val="superscript"/>
              </w:rPr>
              <w:t>(12)</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2,270,458</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2,270,858</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316,570</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8,421,364</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316,570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Total Non-controlled/Non-affiliate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86"/>
              </w:rPr>
              <w:t>137,526,726</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6"/>
              </w:rPr>
              <w:t>179,908,234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87.89%</w:t>
            </w:r>
          </w:p>
        </w:tc>
        <w:tc>
          <w:tcPr>
            <w:tcW w:w="0" w:type="dxa"/>
            <w:vAlign w:val="bottom"/>
          </w:tcPr>
          <w:p>
            <w:pPr>
              <w:spacing w:after="0"/>
              <w:rPr>
                <w:sz w:val="1"/>
                <w:szCs w:val="1"/>
                <w:color w:val="auto"/>
              </w:rPr>
            </w:pPr>
          </w:p>
        </w:tc>
      </w:tr>
      <w:tr>
        <w:trPr>
          <w:trHeight w:val="302"/>
        </w:trPr>
        <w:tc>
          <w:tcPr>
            <w:tcW w:w="2420" w:type="dxa"/>
            <w:vAlign w:val="bottom"/>
            <w:gridSpan w:val="7"/>
          </w:tcPr>
          <w:p>
            <w:pPr>
              <w:ind w:left="20"/>
              <w:spacing w:after="0"/>
              <w:rPr>
                <w:sz w:val="20"/>
                <w:szCs w:val="20"/>
                <w:color w:val="auto"/>
              </w:rPr>
            </w:pPr>
            <w:r>
              <w:rPr>
                <w:rFonts w:ascii="Arial" w:cs="Arial" w:eastAsia="Arial" w:hAnsi="Arial"/>
                <w:sz w:val="12"/>
                <w:szCs w:val="12"/>
                <w:b w:val="1"/>
                <w:bCs w:val="1"/>
                <w:color w:val="auto"/>
              </w:rPr>
              <w:t>NON-CONTROLLED/AFFILIATE</w:t>
            </w:r>
            <w:r>
              <w:rPr>
                <w:rFonts w:ascii="Arial" w:cs="Arial" w:eastAsia="Arial" w:hAnsi="Arial"/>
                <w:sz w:val="17"/>
                <w:szCs w:val="17"/>
                <w:b w:val="1"/>
                <w:bCs w:val="1"/>
                <w:color w:val="auto"/>
                <w:vertAlign w:val="superscript"/>
              </w:rPr>
              <w:t>(1)</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920" w:type="dxa"/>
            <w:vAlign w:val="bottom"/>
            <w:tcBorders>
              <w:left w:val="single" w:sz="8" w:color="CCEEFF"/>
              <w:bottom w:val="single" w:sz="8" w:color="auto"/>
            </w:tcBorders>
            <w:gridSpan w:val="3"/>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w w:val="87"/>
              </w:rPr>
              <w:t>Curious.com, Inc.</w:t>
            </w:r>
          </w:p>
        </w:tc>
        <w:tc>
          <w:tcPr>
            <w:tcW w:w="1500" w:type="dxa"/>
            <w:vAlign w:val="bottom"/>
            <w:tcBorders>
              <w:bottom w:val="single" w:sz="8" w:color="CCEEFF"/>
            </w:tcBorders>
            <w:gridSpan w:val="4"/>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92"/>
              </w:rPr>
              <w:t>Menlo Park, CA</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20" w:type="dxa"/>
            <w:vAlign w:val="bottom"/>
            <w:gridSpan w:val="7"/>
          </w:tcPr>
          <w:p>
            <w:pPr>
              <w:ind w:left="20"/>
              <w:spacing w:after="0" w:line="136" w:lineRule="exact"/>
              <w:rPr>
                <w:sz w:val="20"/>
                <w:szCs w:val="20"/>
                <w:color w:val="auto"/>
              </w:rPr>
            </w:pPr>
            <w:r>
              <w:rPr>
                <w:rFonts w:ascii="Arial" w:cs="Arial" w:eastAsia="Arial" w:hAnsi="Arial"/>
                <w:sz w:val="12"/>
                <w:szCs w:val="12"/>
                <w:color w:val="auto"/>
              </w:rPr>
              <w:t>Preferred shares, Series B</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89"/>
              </w:rPr>
              <w:t>Online Education</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97"/>
              </w:rPr>
              <w:t>3,407,834</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96"/>
              </w:rPr>
              <w:t>12,000,006</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5,514,077</w:t>
            </w:r>
          </w:p>
        </w:tc>
        <w:tc>
          <w:tcPr>
            <w:tcW w:w="42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223"/>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Ozy Media, Inc.</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Mountain View, CA</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20" w:type="dxa"/>
            <w:vAlign w:val="bottom"/>
            <w:gridSpan w:val="7"/>
          </w:tcPr>
          <w:p>
            <w:pPr>
              <w:ind w:left="20"/>
              <w:spacing w:after="0" w:line="114" w:lineRule="exact"/>
              <w:rPr>
                <w:sz w:val="20"/>
                <w:szCs w:val="20"/>
                <w:color w:val="auto"/>
              </w:rPr>
            </w:pPr>
            <w:r>
              <w:rPr>
                <w:rFonts w:ascii="Arial" w:cs="Arial" w:eastAsia="Arial" w:hAnsi="Arial"/>
                <w:sz w:val="12"/>
                <w:szCs w:val="12"/>
                <w:color w:val="auto"/>
              </w:rPr>
              <w:t>Convertible Promissory Note 5% Due</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00" w:type="dxa"/>
            <w:vAlign w:val="bottom"/>
            <w:gridSpan w:val="4"/>
          </w:tcPr>
          <w:p>
            <w:pPr>
              <w:ind w:left="160"/>
              <w:spacing w:after="0" w:line="145" w:lineRule="exact"/>
              <w:rPr>
                <w:sz w:val="20"/>
                <w:szCs w:val="20"/>
                <w:color w:val="auto"/>
              </w:rPr>
            </w:pPr>
            <w:r>
              <w:rPr>
                <w:rFonts w:ascii="Arial" w:cs="Arial" w:eastAsia="Arial" w:hAnsi="Arial"/>
                <w:sz w:val="11"/>
                <w:szCs w:val="11"/>
                <w:color w:val="auto"/>
              </w:rPr>
              <w:t>2/28/2018***</w:t>
            </w:r>
            <w:r>
              <w:rPr>
                <w:rFonts w:ascii="Arial" w:cs="Arial" w:eastAsia="Arial" w:hAnsi="Arial"/>
                <w:sz w:val="16"/>
                <w:szCs w:val="16"/>
                <w:color w:val="auto"/>
                <w:vertAlign w:val="superscript"/>
              </w:rPr>
              <w:t>(14)</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2"/>
                <w:szCs w:val="12"/>
                <w:color w:val="auto"/>
                <w:w w:val="93"/>
              </w:rPr>
              <w:t>Digital Media Platform</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w w:val="97"/>
              </w:rPr>
              <w:t>2,000,000</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1,067,639</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45"/>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922,509</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4,999,999</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2,367,022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5"/>
        </w:trPr>
        <w:tc>
          <w:tcPr>
            <w:tcW w:w="2420" w:type="dxa"/>
            <w:vAlign w:val="bottom"/>
            <w:gridSpan w:val="7"/>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w w:val="97"/>
              </w:rPr>
              <w:t>1,090,909</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3,000,200</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1,419,810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56"/>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Preferred shares, Series Seed</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236,635</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96"/>
              </w:rPr>
              <w:t>10,500,199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5,091,106</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214"/>
        </w:trPr>
        <w:tc>
          <w:tcPr>
            <w:tcW w:w="2420" w:type="dxa"/>
            <w:vAlign w:val="bottom"/>
            <w:tcBorders>
              <w:top w:val="single" w:sz="8" w:color="CCEEFF"/>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CUX, Inc. (d/b/a CorpU)</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Philadelphia, PA</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20" w:type="dxa"/>
            <w:vAlign w:val="bottom"/>
            <w:gridSpan w:val="7"/>
          </w:tcPr>
          <w:p>
            <w:pPr>
              <w:ind w:left="20"/>
              <w:spacing w:after="0" w:line="114" w:lineRule="exact"/>
              <w:rPr>
                <w:sz w:val="20"/>
                <w:szCs w:val="20"/>
                <w:color w:val="auto"/>
              </w:rPr>
            </w:pPr>
            <w:r>
              <w:rPr>
                <w:rFonts w:ascii="Arial" w:cs="Arial" w:eastAsia="Arial" w:hAnsi="Arial"/>
                <w:sz w:val="12"/>
                <w:szCs w:val="12"/>
                <w:color w:val="auto"/>
                <w:w w:val="89"/>
              </w:rPr>
              <w:t>Senior Subordinated Convertible Promissory Note</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420" w:type="dxa"/>
            <w:vAlign w:val="bottom"/>
            <w:gridSpan w:val="7"/>
          </w:tcPr>
          <w:p>
            <w:pPr>
              <w:ind w:left="160"/>
              <w:spacing w:after="0" w:line="145" w:lineRule="exact"/>
              <w:rPr>
                <w:sz w:val="20"/>
                <w:szCs w:val="20"/>
                <w:color w:val="auto"/>
              </w:rPr>
            </w:pPr>
            <w:r>
              <w:rPr>
                <w:rFonts w:ascii="Arial" w:cs="Arial" w:eastAsia="Arial" w:hAnsi="Arial"/>
                <w:sz w:val="11"/>
                <w:szCs w:val="11"/>
                <w:color w:val="auto"/>
              </w:rPr>
              <w:t>8%, Due 11/26/2018***</w:t>
            </w:r>
            <w:r>
              <w:rPr>
                <w:rFonts w:ascii="Arial" w:cs="Arial" w:eastAsia="Arial" w:hAnsi="Arial"/>
                <w:sz w:val="16"/>
                <w:szCs w:val="16"/>
                <w:color w:val="auto"/>
                <w:vertAlign w:val="superscript"/>
              </w:rPr>
              <w:t>(6)</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Corporate Education</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w w:val="97"/>
              </w:rPr>
              <w:t>1,259,712</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1,259,712</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1,259,712</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45"/>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Convertible preferred shares, Series D</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169,033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778,607</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989,489</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0.48%</w:t>
            </w:r>
          </w:p>
        </w:tc>
        <w:tc>
          <w:tcPr>
            <w:tcW w:w="0" w:type="dxa"/>
            <w:vAlign w:val="bottom"/>
          </w:tcPr>
          <w:p>
            <w:pPr>
              <w:spacing w:after="0"/>
              <w:rPr>
                <w:sz w:val="1"/>
                <w:szCs w:val="1"/>
                <w:color w:val="auto"/>
              </w:rPr>
            </w:pPr>
          </w:p>
        </w:tc>
      </w:tr>
      <w:tr>
        <w:trPr>
          <w:trHeight w:val="145"/>
        </w:trPr>
        <w:tc>
          <w:tcPr>
            <w:tcW w:w="2420" w:type="dxa"/>
            <w:vAlign w:val="bottom"/>
            <w:gridSpan w:val="7"/>
          </w:tcPr>
          <w:p>
            <w:pPr>
              <w:ind w:left="20"/>
              <w:spacing w:after="0"/>
              <w:rPr>
                <w:sz w:val="20"/>
                <w:szCs w:val="20"/>
                <w:color w:val="auto"/>
              </w:rPr>
            </w:pPr>
            <w:r>
              <w:rPr>
                <w:rFonts w:ascii="Arial" w:cs="Arial" w:eastAsia="Arial" w:hAnsi="Arial"/>
                <w:sz w:val="12"/>
                <w:szCs w:val="12"/>
                <w:color w:val="auto"/>
              </w:rPr>
              <w:t>Convertible preferred shares, Series C</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615,763</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2,006,077</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480,184</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123"/>
        </w:trPr>
        <w:tc>
          <w:tcPr>
            <w:tcW w:w="2420" w:type="dxa"/>
            <w:vAlign w:val="bottom"/>
            <w:tcBorders>
              <w:left w:val="single" w:sz="8" w:color="CCEEFF"/>
            </w:tcBorders>
            <w:gridSpan w:val="7"/>
            <w:shd w:val="clear" w:color="auto" w:fill="CCEEFF"/>
          </w:tcPr>
          <w:p>
            <w:pPr>
              <w:ind w:left="20"/>
              <w:spacing w:after="0" w:line="123" w:lineRule="exact"/>
              <w:rPr>
                <w:sz w:val="20"/>
                <w:szCs w:val="20"/>
                <w:color w:val="auto"/>
              </w:rPr>
            </w:pPr>
            <w:r>
              <w:rPr>
                <w:rFonts w:ascii="Arial" w:cs="Arial" w:eastAsia="Arial" w:hAnsi="Arial"/>
                <w:sz w:val="12"/>
                <w:szCs w:val="12"/>
                <w:color w:val="auto"/>
                <w:w w:val="88"/>
              </w:rPr>
              <w:t>Preferred Warrants Series D – Strike Price $4.59 –</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420" w:type="dxa"/>
            <w:vAlign w:val="bottom"/>
            <w:tcBorders>
              <w:left w:val="single" w:sz="8" w:color="CCEEFF"/>
            </w:tcBorders>
            <w:gridSpan w:val="7"/>
            <w:shd w:val="clear" w:color="auto" w:fill="CCEEFF"/>
          </w:tcPr>
          <w:p>
            <w:pPr>
              <w:ind w:left="160"/>
              <w:spacing w:after="0" w:line="156" w:lineRule="exact"/>
              <w:rPr>
                <w:sz w:val="20"/>
                <w:szCs w:val="20"/>
                <w:color w:val="auto"/>
              </w:rPr>
            </w:pPr>
            <w:r>
              <w:rPr>
                <w:rFonts w:ascii="Arial" w:cs="Arial" w:eastAsia="Arial" w:hAnsi="Arial"/>
                <w:sz w:val="12"/>
                <w:szCs w:val="12"/>
                <w:color w:val="auto"/>
              </w:rPr>
              <w:t>Expiration Date 2/25/2018</w:t>
            </w:r>
            <w:r>
              <w:rPr>
                <w:rFonts w:ascii="Arial" w:cs="Arial" w:eastAsia="Arial" w:hAnsi="Arial"/>
                <w:sz w:val="17"/>
                <w:szCs w:val="17"/>
                <w:color w:val="auto"/>
                <w:vertAlign w:val="superscript"/>
              </w:rPr>
              <w:t>(15)</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16,903</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2,366</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4,044,396</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2,731,751</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214"/>
        </w:trPr>
        <w:tc>
          <w:tcPr>
            <w:tcW w:w="2420" w:type="dxa"/>
            <w:vAlign w:val="bottom"/>
            <w:tcBorders>
              <w:top w:val="single" w:sz="8" w:color="CCEEFF"/>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Declara, Inc.</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Palo Alto, CA</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20" w:type="dxa"/>
            <w:vAlign w:val="bottom"/>
            <w:gridSpan w:val="7"/>
          </w:tcPr>
          <w:p>
            <w:pPr>
              <w:ind w:left="20"/>
              <w:spacing w:after="0" w:line="114" w:lineRule="exact"/>
              <w:rPr>
                <w:sz w:val="20"/>
                <w:szCs w:val="20"/>
                <w:color w:val="auto"/>
              </w:rPr>
            </w:pPr>
            <w:r>
              <w:rPr>
                <w:rFonts w:ascii="Arial" w:cs="Arial" w:eastAsia="Arial" w:hAnsi="Arial"/>
                <w:sz w:val="12"/>
                <w:szCs w:val="12"/>
                <w:color w:val="auto"/>
              </w:rPr>
              <w:t>Convertible Promissory Note 9% Due</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00" w:type="dxa"/>
            <w:vAlign w:val="bottom"/>
            <w:gridSpan w:val="4"/>
          </w:tcPr>
          <w:p>
            <w:pPr>
              <w:ind w:left="160"/>
              <w:spacing w:after="0" w:line="145" w:lineRule="exact"/>
              <w:rPr>
                <w:sz w:val="20"/>
                <w:szCs w:val="20"/>
                <w:color w:val="auto"/>
              </w:rPr>
            </w:pPr>
            <w:r>
              <w:rPr>
                <w:rFonts w:ascii="Arial" w:cs="Arial" w:eastAsia="Arial" w:hAnsi="Arial"/>
                <w:sz w:val="11"/>
                <w:szCs w:val="11"/>
                <w:color w:val="auto"/>
              </w:rPr>
              <w:t>12/31/2017</w:t>
            </w:r>
            <w:r>
              <w:rPr>
                <w:rFonts w:ascii="Arial" w:cs="Arial" w:eastAsia="Arial" w:hAnsi="Arial"/>
                <w:sz w:val="16"/>
                <w:szCs w:val="16"/>
                <w:color w:val="auto"/>
                <w:vertAlign w:val="superscript"/>
              </w:rPr>
              <w:t>(10)(12)</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Social Cognitive Learning</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w w:val="97"/>
              </w:rPr>
              <w:t>2,120,658</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2,121,898</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1,120,329</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56"/>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6"/>
              </w:rPr>
              <w:t>10,716,390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9,999,999</w:t>
            </w: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382,678</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96"/>
              </w:rPr>
              <w:t>12,121,897</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1,503,007</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0.74%</w:t>
            </w:r>
          </w:p>
        </w:tc>
        <w:tc>
          <w:tcPr>
            <w:tcW w:w="0" w:type="dxa"/>
            <w:vAlign w:val="bottom"/>
          </w:tcPr>
          <w:p>
            <w:pPr>
              <w:spacing w:after="0"/>
              <w:rPr>
                <w:sz w:val="1"/>
                <w:szCs w:val="1"/>
                <w:color w:val="auto"/>
              </w:rPr>
            </w:pPr>
          </w:p>
        </w:tc>
      </w:tr>
      <w:tr>
        <w:trPr>
          <w:trHeight w:val="214"/>
        </w:trPr>
        <w:tc>
          <w:tcPr>
            <w:tcW w:w="2420" w:type="dxa"/>
            <w:vAlign w:val="bottom"/>
            <w:tcBorders>
              <w:top w:val="single" w:sz="8" w:color="CCEEFF"/>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b w:val="1"/>
                <w:bCs w:val="1"/>
                <w:color w:val="auto"/>
              </w:rPr>
              <w:t>EdSurge, Inc.</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Burlingame, CA</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20" w:type="dxa"/>
            <w:vAlign w:val="bottom"/>
            <w:gridSpan w:val="7"/>
          </w:tcPr>
          <w:p>
            <w:pPr>
              <w:ind w:left="20"/>
              <w:spacing w:after="0" w:line="136" w:lineRule="exact"/>
              <w:rPr>
                <w:sz w:val="20"/>
                <w:szCs w:val="20"/>
                <w:color w:val="auto"/>
              </w:rPr>
            </w:pPr>
            <w:r>
              <w:rPr>
                <w:rFonts w:ascii="Arial" w:cs="Arial" w:eastAsia="Arial" w:hAnsi="Arial"/>
                <w:sz w:val="12"/>
                <w:szCs w:val="12"/>
                <w:color w:val="auto"/>
              </w:rPr>
              <w:t>Preferred shares, Series A-1</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1"/>
              </w:rPr>
              <w:t>Education Media Platform</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378,788</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501,360</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500,000</w:t>
            </w:r>
          </w:p>
        </w:tc>
        <w:tc>
          <w:tcPr>
            <w:tcW w:w="42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156"/>
        </w:trPr>
        <w:tc>
          <w:tcPr>
            <w:tcW w:w="2420" w:type="dxa"/>
            <w:vAlign w:val="bottom"/>
            <w:tcBorders>
              <w:left w:val="single" w:sz="8" w:color="CCEEFF"/>
            </w:tcBorders>
            <w:gridSpan w:val="7"/>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494,365</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500,801</w:t>
            </w: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581,917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20" w:type="dxa"/>
            <w:vAlign w:val="bottom"/>
            <w:gridSpan w:val="7"/>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1,002,161</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1,081,917</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-459740</wp:posOffset>
            </wp:positionV>
            <wp:extent cx="7810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-459740</wp:posOffset>
            </wp:positionV>
            <wp:extent cx="404622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-991235</wp:posOffset>
            </wp:positionV>
            <wp:extent cx="7810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-991235</wp:posOffset>
            </wp:positionV>
            <wp:extent cx="404622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-1784985</wp:posOffset>
            </wp:positionV>
            <wp:extent cx="7810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-1784985</wp:posOffset>
            </wp:positionV>
            <wp:extent cx="404622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-3060700</wp:posOffset>
            </wp:positionV>
            <wp:extent cx="7810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-3060700</wp:posOffset>
            </wp:positionV>
            <wp:extent cx="404622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-4485005</wp:posOffset>
            </wp:positionV>
            <wp:extent cx="7810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-4485005</wp:posOffset>
            </wp:positionV>
            <wp:extent cx="404622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-5009515</wp:posOffset>
            </wp:positionV>
            <wp:extent cx="7810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-5009515</wp:posOffset>
            </wp:positionV>
            <wp:extent cx="404622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-5391785</wp:posOffset>
            </wp:positionV>
            <wp:extent cx="2857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-5391785</wp:posOffset>
            </wp:positionV>
            <wp:extent cx="8509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-5391785</wp:posOffset>
            </wp:positionV>
            <wp:extent cx="8509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-5391785</wp:posOffset>
            </wp:positionV>
            <wp:extent cx="8509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-5391785</wp:posOffset>
            </wp:positionV>
            <wp:extent cx="8509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-5391785</wp:posOffset>
            </wp:positionV>
            <wp:extent cx="7112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20" cy="6985"/>
                    </a:xfrm>
                    <a:prstGeom prst="rect">
                      <a:avLst/>
                    </a:prstGeom>
                    <a:noFill/>
                  </pic:spPr>
                </pic:pic>
              </a:graphicData>
            </a:graphic>
          </wp:anchor>
        </w:drawing>
      </w:r>
    </w:p>
    <w:p>
      <w:pPr>
        <w:spacing w:after="0" w:line="70"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3" w:name="page84"/>
    <w:bookmarkEnd w:id="83"/>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35"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00" w:type="dxa"/>
            <w:vAlign w:val="bottom"/>
            <w:gridSpan w:val="10"/>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20" w:type="dxa"/>
            <w:vAlign w:val="bottom"/>
          </w:tcPr>
          <w:p>
            <w:pPr>
              <w:spacing w:after="0"/>
              <w:rPr>
                <w:sz w:val="10"/>
                <w:szCs w:val="1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Headquarters/</w:t>
            </w: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Shares/</w:t>
            </w:r>
          </w:p>
        </w:tc>
        <w:tc>
          <w:tcPr>
            <w:tcW w:w="80" w:type="dxa"/>
            <w:vAlign w:val="bottom"/>
          </w:tcPr>
          <w:p>
            <w:pPr>
              <w:spacing w:after="0"/>
              <w:rPr>
                <w:sz w:val="10"/>
                <w:szCs w:val="10"/>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0"/>
                <w:szCs w:val="10"/>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Fair Value</w:t>
            </w: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89"/>
              </w:rPr>
              <w:t>% of Net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0" w:type="dxa"/>
            <w:vAlign w:val="bottom"/>
            <w:gridSpan w:val="10"/>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Industry</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Principal</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1"/>
              </w:rPr>
              <w:t>Assets</w:t>
            </w:r>
          </w:p>
        </w:tc>
        <w:tc>
          <w:tcPr>
            <w:tcW w:w="0" w:type="dxa"/>
            <w:vAlign w:val="bottom"/>
          </w:tcPr>
          <w:p>
            <w:pPr>
              <w:spacing w:after="0"/>
              <w:rPr>
                <w:sz w:val="1"/>
                <w:szCs w:val="1"/>
                <w:color w:val="auto"/>
              </w:rPr>
            </w:pPr>
          </w:p>
        </w:tc>
      </w:tr>
      <w:tr>
        <w:trPr>
          <w:trHeight w:val="119"/>
        </w:trPr>
        <w:tc>
          <w:tcPr>
            <w:tcW w:w="20" w:type="dxa"/>
            <w:vAlign w:val="bottom"/>
            <w:tcBorders>
              <w:top w:val="single" w:sz="8" w:color="auto"/>
              <w:bottom w:val="single" w:sz="8" w:color="CCEEFF"/>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gridSpan w:val="6"/>
            <w:shd w:val="clear" w:color="auto" w:fill="CCEEFF"/>
          </w:tcPr>
          <w:p>
            <w:pPr>
              <w:spacing w:after="0" w:line="120" w:lineRule="exact"/>
              <w:rPr>
                <w:sz w:val="20"/>
                <w:szCs w:val="20"/>
                <w:color w:val="auto"/>
              </w:rPr>
            </w:pPr>
            <w:r>
              <w:rPr>
                <w:rFonts w:ascii="Arial" w:cs="Arial" w:eastAsia="Arial" w:hAnsi="Arial"/>
                <w:sz w:val="12"/>
                <w:szCs w:val="12"/>
                <w:b w:val="1"/>
                <w:bCs w:val="1"/>
                <w:color w:val="auto"/>
                <w:w w:val="88"/>
              </w:rPr>
              <w:t>Maven Research, Inc.</w:t>
            </w:r>
          </w:p>
        </w:tc>
        <w:tc>
          <w:tcPr>
            <w:tcW w:w="1300" w:type="dxa"/>
            <w:vAlign w:val="bottom"/>
            <w:tcBorders>
              <w:top w:val="single" w:sz="8" w:color="auto"/>
              <w:bottom w:val="single" w:sz="8" w:color="CCEEFF"/>
            </w:tcBorders>
            <w:gridSpan w:val="4"/>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CCEEFF"/>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San Francisco, CA</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CCEEFF"/>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00" w:type="dxa"/>
            <w:vAlign w:val="bottom"/>
            <w:gridSpan w:val="10"/>
          </w:tcPr>
          <w:p>
            <w:pPr>
              <w:spacing w:after="0" w:line="125" w:lineRule="exact"/>
              <w:rPr>
                <w:sz w:val="20"/>
                <w:szCs w:val="20"/>
                <w:color w:val="auto"/>
              </w:rPr>
            </w:pPr>
            <w:r>
              <w:rPr>
                <w:rFonts w:ascii="Arial" w:cs="Arial" w:eastAsia="Arial" w:hAnsi="Arial"/>
                <w:sz w:val="12"/>
                <w:szCs w:val="12"/>
                <w:color w:val="auto"/>
              </w:rPr>
              <w:t>Preferred shares, Series C</w:t>
            </w:r>
          </w:p>
        </w:tc>
        <w:tc>
          <w:tcPr>
            <w:tcW w:w="120" w:type="dxa"/>
            <w:vAlign w:val="bottom"/>
          </w:tcPr>
          <w:p>
            <w:pPr>
              <w:spacing w:after="0"/>
              <w:rPr>
                <w:sz w:val="10"/>
                <w:szCs w:val="10"/>
                <w:color w:val="auto"/>
              </w:rPr>
            </w:pPr>
          </w:p>
        </w:tc>
        <w:tc>
          <w:tcPr>
            <w:tcW w:w="138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92"/>
              </w:rPr>
              <w:t>Knowledge Networks</w:t>
            </w:r>
          </w:p>
        </w:tc>
        <w:tc>
          <w:tcPr>
            <w:tcW w:w="80" w:type="dxa"/>
            <w:vAlign w:val="bottom"/>
          </w:tcPr>
          <w:p>
            <w:pPr>
              <w:spacing w:after="0"/>
              <w:rPr>
                <w:sz w:val="10"/>
                <w:szCs w:val="10"/>
                <w:color w:val="auto"/>
              </w:rPr>
            </w:pPr>
          </w:p>
        </w:tc>
        <w:tc>
          <w:tcPr>
            <w:tcW w:w="72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318,979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2,000,447</w:t>
            </w:r>
          </w:p>
        </w:tc>
        <w:tc>
          <w:tcPr>
            <w:tcW w:w="8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501,240</w:t>
            </w:r>
          </w:p>
        </w:tc>
        <w:tc>
          <w:tcPr>
            <w:tcW w:w="440" w:type="dxa"/>
            <w:vAlign w:val="bottom"/>
          </w:tcPr>
          <w:p>
            <w:pPr>
              <w:jc w:val="right"/>
              <w:spacing w:after="0" w:line="125" w:lineRule="exact"/>
              <w:rPr>
                <w:sz w:val="20"/>
                <w:szCs w:val="20"/>
                <w:color w:val="auto"/>
              </w:rPr>
            </w:pPr>
            <w:r>
              <w:rPr>
                <w:rFonts w:ascii="Arial" w:cs="Arial" w:eastAsia="Arial" w:hAnsi="Arial"/>
                <w:sz w:val="12"/>
                <w:szCs w:val="12"/>
                <w:color w:val="auto"/>
              </w:rPr>
              <w:t>0.24%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49,505</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217,206</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50,000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10"/>
          </w:tcPr>
          <w:p>
            <w:pPr>
              <w:ind w:left="140"/>
              <w:spacing w:after="0" w:line="136" w:lineRule="exact"/>
              <w:rPr>
                <w:sz w:val="20"/>
                <w:szCs w:val="20"/>
                <w:color w:val="auto"/>
              </w:rPr>
            </w:pPr>
            <w:r>
              <w:rPr>
                <w:rFonts w:ascii="Arial" w:cs="Arial" w:eastAsia="Arial" w:hAnsi="Arial"/>
                <w:sz w:val="12"/>
                <w:szCs w:val="12"/>
                <w:color w:val="auto"/>
              </w:rPr>
              <w:t>Total</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2,217,653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551,240</w:t>
            </w:r>
          </w:p>
        </w:tc>
        <w:tc>
          <w:tcPr>
            <w:tcW w:w="1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2400" w:type="dxa"/>
            <w:vAlign w:val="bottom"/>
            <w:gridSpan w:val="10"/>
            <w:shd w:val="clear" w:color="auto" w:fill="CCEEFF"/>
          </w:tcPr>
          <w:p>
            <w:pPr>
              <w:spacing w:after="0"/>
              <w:rPr>
                <w:sz w:val="20"/>
                <w:szCs w:val="20"/>
                <w:color w:val="auto"/>
              </w:rPr>
            </w:pPr>
            <w:r>
              <w:rPr>
                <w:rFonts w:ascii="Arial" w:cs="Arial" w:eastAsia="Arial" w:hAnsi="Arial"/>
                <w:sz w:val="12"/>
                <w:szCs w:val="12"/>
                <w:b w:val="1"/>
                <w:bCs w:val="1"/>
                <w:color w:val="auto"/>
              </w:rPr>
              <w:t>Total Non-controlled/Affiliate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3"/>
              </w:rPr>
              <w:t>41,886,312</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96"/>
              </w:rPr>
              <w:t>16,473,098</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CONTROLLED</w:t>
            </w:r>
            <w:r>
              <w:rPr>
                <w:rFonts w:ascii="Arial" w:cs="Arial" w:eastAsia="Arial" w:hAnsi="Arial"/>
                <w:sz w:val="17"/>
                <w:szCs w:val="17"/>
                <w:b w:val="1"/>
                <w:bCs w:val="1"/>
                <w:color w:val="auto"/>
                <w:vertAlign w:val="superscript"/>
              </w:rPr>
              <w:t>(2)</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vMerge w:val="restart"/>
            <w:shd w:val="clear" w:color="auto" w:fill="CCEEFF"/>
          </w:tcPr>
          <w:p>
            <w:pPr>
              <w:spacing w:after="0"/>
              <w:rPr>
                <w:sz w:val="20"/>
                <w:szCs w:val="20"/>
                <w:color w:val="auto"/>
              </w:rPr>
            </w:pPr>
            <w:r>
              <w:rPr>
                <w:rFonts w:ascii="Arial" w:cs="Arial" w:eastAsia="Arial" w:hAnsi="Arial"/>
                <w:sz w:val="12"/>
                <w:szCs w:val="12"/>
                <w:b w:val="1"/>
                <w:bCs w:val="1"/>
                <w:color w:val="auto"/>
                <w:w w:val="93"/>
              </w:rPr>
              <w:t>StormWind, LLC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(5)</w:t>
            </w:r>
          </w:p>
        </w:tc>
        <w:tc>
          <w:tcPr>
            <w:tcW w:w="1400" w:type="dxa"/>
            <w:vAlign w:val="bottom"/>
            <w:tcBorders>
              <w:bottom w:val="single" w:sz="8" w:color="CCEEFF"/>
            </w:tcBorders>
            <w:gridSpan w:val="5"/>
            <w:vMerge w:val="restart"/>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gridSpan w:val="2"/>
            <w:vMerge w:val="restart"/>
            <w:shd w:val="clear" w:color="auto" w:fill="CCEEFF"/>
          </w:tcPr>
          <w:p>
            <w:pPr>
              <w:jc w:val="center"/>
              <w:ind w:right="120"/>
              <w:spacing w:after="0"/>
              <w:rPr>
                <w:sz w:val="20"/>
                <w:szCs w:val="20"/>
                <w:color w:val="auto"/>
              </w:rPr>
            </w:pPr>
            <w:r>
              <w:rPr>
                <w:rFonts w:ascii="Arial" w:cs="Arial" w:eastAsia="Arial" w:hAnsi="Arial"/>
                <w:sz w:val="12"/>
                <w:szCs w:val="12"/>
                <w:color w:val="auto"/>
                <w:w w:val="89"/>
              </w:rPr>
              <w:t>Scottsdale, AZ</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shd w:val="clear" w:color="auto" w:fill="CCEEFF"/>
          </w:tcPr>
          <w:p>
            <w:pPr>
              <w:spacing w:after="0"/>
              <w:rPr>
                <w:sz w:val="3"/>
                <w:szCs w:val="3"/>
                <w:color w:val="auto"/>
              </w:rPr>
            </w:pPr>
          </w:p>
        </w:tc>
        <w:tc>
          <w:tcPr>
            <w:tcW w:w="900" w:type="dxa"/>
            <w:vAlign w:val="bottom"/>
            <w:tcBorders>
              <w:bottom w:val="single" w:sz="8" w:color="auto"/>
            </w:tcBorders>
            <w:gridSpan w:val="4"/>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400" w:type="dxa"/>
            <w:vAlign w:val="bottom"/>
            <w:tcBorders>
              <w:bottom w:val="single" w:sz="8" w:color="CCEEFF"/>
            </w:tcBorders>
            <w:gridSpan w:val="5"/>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38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right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5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right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5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right w:val="single" w:sz="8" w:color="CCEEFF"/>
            </w:tcBorders>
            <w:shd w:val="clear" w:color="auto" w:fill="CCEEFF"/>
          </w:tcPr>
          <w:p>
            <w:pPr>
              <w:spacing w:after="0"/>
              <w:rPr>
                <w:sz w:val="3"/>
                <w:szCs w:val="3"/>
                <w:color w:val="auto"/>
              </w:rPr>
            </w:pPr>
          </w:p>
        </w:tc>
        <w:tc>
          <w:tcPr>
            <w:tcW w:w="440" w:type="dxa"/>
            <w:vAlign w:val="bottom"/>
            <w:tcBorders>
              <w:bottom w:val="single" w:sz="8" w:color="CCEEFF"/>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10"/>
          </w:tcPr>
          <w:p>
            <w:pPr>
              <w:spacing w:after="0" w:line="134" w:lineRule="exact"/>
              <w:rPr>
                <w:sz w:val="20"/>
                <w:szCs w:val="20"/>
                <w:color w:val="auto"/>
              </w:rPr>
            </w:pPr>
            <w:r>
              <w:rPr>
                <w:rFonts w:ascii="Arial" w:cs="Arial" w:eastAsia="Arial" w:hAnsi="Arial"/>
                <w:sz w:val="12"/>
                <w:szCs w:val="12"/>
                <w:color w:val="auto"/>
              </w:rPr>
              <w:t>Preferred shares, Series C</w:t>
            </w:r>
          </w:p>
        </w:tc>
        <w:tc>
          <w:tcPr>
            <w:tcW w:w="120" w:type="dxa"/>
            <w:vAlign w:val="bottom"/>
          </w:tcPr>
          <w:p>
            <w:pPr>
              <w:spacing w:after="0"/>
              <w:rPr>
                <w:sz w:val="11"/>
                <w:szCs w:val="11"/>
                <w:color w:val="auto"/>
              </w:rPr>
            </w:pPr>
          </w:p>
        </w:tc>
        <w:tc>
          <w:tcPr>
            <w:tcW w:w="138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91"/>
              </w:rPr>
              <w:t>Interactive Learning</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2,779,134</w:t>
            </w: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4,000,787</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7,223,904</w:t>
            </w:r>
          </w:p>
        </w:tc>
        <w:tc>
          <w:tcPr>
            <w:tcW w:w="440" w:type="dxa"/>
            <w:vAlign w:val="bottom"/>
          </w:tcPr>
          <w:p>
            <w:pPr>
              <w:jc w:val="right"/>
              <w:spacing w:after="0" w:line="134" w:lineRule="exact"/>
              <w:rPr>
                <w:sz w:val="20"/>
                <w:szCs w:val="20"/>
                <w:color w:val="auto"/>
              </w:rPr>
            </w:pPr>
            <w:r>
              <w:rPr>
                <w:rFonts w:ascii="Arial" w:cs="Arial" w:eastAsia="Arial" w:hAnsi="Arial"/>
                <w:sz w:val="12"/>
                <w:szCs w:val="12"/>
                <w:color w:val="auto"/>
              </w:rPr>
              <w:t>3.53%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4" w:lineRule="exact"/>
              <w:rPr>
                <w:sz w:val="20"/>
                <w:szCs w:val="20"/>
                <w:color w:val="auto"/>
              </w:rPr>
            </w:pPr>
            <w:r>
              <w:rPr>
                <w:rFonts w:ascii="Arial" w:cs="Arial" w:eastAsia="Arial" w:hAnsi="Arial"/>
                <w:sz w:val="12"/>
                <w:szCs w:val="12"/>
                <w:color w:val="auto"/>
              </w:rPr>
              <w:t>Preferred shares, Series B</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3,279,629</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2,019,687</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5,804,472</w:t>
            </w:r>
          </w:p>
        </w:tc>
        <w:tc>
          <w:tcPr>
            <w:tcW w:w="4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Preferred shares, Series A</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366,666</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110,000</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425,342</w:t>
            </w:r>
          </w:p>
        </w:tc>
        <w:tc>
          <w:tcPr>
            <w:tcW w:w="440" w:type="dxa"/>
            <w:vAlign w:val="bottom"/>
          </w:tcPr>
          <w:p>
            <w:pPr>
              <w:jc w:val="right"/>
              <w:spacing w:after="0"/>
              <w:rPr>
                <w:sz w:val="20"/>
                <w:szCs w:val="20"/>
                <w:color w:val="auto"/>
              </w:rPr>
            </w:pPr>
            <w:r>
              <w:rPr>
                <w:rFonts w:ascii="Arial" w:cs="Arial" w:eastAsia="Arial" w:hAnsi="Arial"/>
                <w:sz w:val="12"/>
                <w:szCs w:val="12"/>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2400" w:type="dxa"/>
            <w:vAlign w:val="bottom"/>
            <w:gridSpan w:val="10"/>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6,130,474</w:t>
            </w:r>
          </w:p>
        </w:tc>
        <w:tc>
          <w:tcPr>
            <w:tcW w:w="1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3"/>
              </w:rPr>
              <w:t>13,453,718</w:t>
            </w: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880" w:type="dxa"/>
            <w:vAlign w:val="bottom"/>
            <w:tcBorders>
              <w:top w:val="single" w:sz="8" w:color="CCEEFF"/>
              <w:bottom w:val="single" w:sz="8" w:color="auto"/>
            </w:tcBorders>
            <w:gridSpan w:val="8"/>
          </w:tcPr>
          <w:p>
            <w:pPr>
              <w:spacing w:after="0"/>
              <w:rPr>
                <w:sz w:val="20"/>
                <w:szCs w:val="20"/>
                <w:color w:val="auto"/>
              </w:rPr>
            </w:pPr>
            <w:r>
              <w:rPr>
                <w:rFonts w:ascii="Arial" w:cs="Arial" w:eastAsia="Arial" w:hAnsi="Arial"/>
                <w:sz w:val="12"/>
                <w:szCs w:val="12"/>
                <w:b w:val="1"/>
                <w:bCs w:val="1"/>
                <w:color w:val="auto"/>
                <w:w w:val="90"/>
              </w:rPr>
              <w:t>NestGSV, Inc. (d/b/a GSV Labs, Inc.)</w:t>
            </w:r>
          </w:p>
        </w:tc>
        <w:tc>
          <w:tcPr>
            <w:tcW w:w="52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2"/>
                <w:szCs w:val="12"/>
                <w:color w:val="auto"/>
                <w:w w:val="91"/>
              </w:rPr>
              <w:t>Redwood City, CA</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00" w:type="dxa"/>
            <w:vAlign w:val="bottom"/>
            <w:gridSpan w:val="10"/>
            <w:shd w:val="clear" w:color="auto" w:fill="CCEEFF"/>
          </w:tcPr>
          <w:p>
            <w:pPr>
              <w:spacing w:after="0" w:line="114" w:lineRule="exact"/>
              <w:rPr>
                <w:sz w:val="20"/>
                <w:szCs w:val="20"/>
                <w:color w:val="auto"/>
              </w:rPr>
            </w:pPr>
            <w:r>
              <w:rPr>
                <w:rFonts w:ascii="Arial" w:cs="Arial" w:eastAsia="Arial" w:hAnsi="Arial"/>
                <w:sz w:val="12"/>
                <w:szCs w:val="12"/>
                <w:color w:val="auto"/>
              </w:rPr>
              <w:t>Convertible Promissory Note 8% Due</w:t>
            </w:r>
          </w:p>
        </w:tc>
        <w:tc>
          <w:tcPr>
            <w:tcW w:w="12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2"/>
                <w:szCs w:val="12"/>
                <w:color w:val="auto"/>
                <w:w w:val="92"/>
              </w:rPr>
              <w:t>Global Innovation</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560,199</w:t>
            </w: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564,079</w:t>
            </w:r>
          </w:p>
        </w:tc>
        <w:tc>
          <w:tcPr>
            <w:tcW w:w="8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560,199</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0.27%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020" w:type="dxa"/>
            <w:vAlign w:val="bottom"/>
            <w:gridSpan w:val="6"/>
            <w:shd w:val="clear" w:color="auto" w:fill="CCEEFF"/>
          </w:tcPr>
          <w:p>
            <w:pPr>
              <w:ind w:left="160"/>
              <w:spacing w:after="0" w:line="134" w:lineRule="exact"/>
              <w:rPr>
                <w:sz w:val="20"/>
                <w:szCs w:val="20"/>
                <w:color w:val="auto"/>
              </w:rPr>
            </w:pPr>
            <w:r>
              <w:rPr>
                <w:rFonts w:ascii="Arial" w:cs="Arial" w:eastAsia="Arial" w:hAnsi="Arial"/>
                <w:sz w:val="11"/>
                <w:szCs w:val="11"/>
                <w:color w:val="auto"/>
              </w:rPr>
              <w:t>7/31/2018***</w:t>
            </w:r>
            <w:r>
              <w:rPr>
                <w:rFonts w:ascii="Arial" w:cs="Arial" w:eastAsia="Arial" w:hAnsi="Arial"/>
                <w:sz w:val="15"/>
                <w:szCs w:val="15"/>
                <w:color w:val="auto"/>
                <w:vertAlign w:val="superscript"/>
              </w:rPr>
              <w:t>(9)</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2"/>
                <w:szCs w:val="12"/>
                <w:color w:val="auto"/>
                <w:w w:val="93"/>
              </w:rPr>
              <w:t>Platform</w:t>
            </w:r>
          </w:p>
        </w:tc>
        <w:tc>
          <w:tcPr>
            <w:tcW w:w="80" w:type="dxa"/>
            <w:vAlign w:val="bottom"/>
            <w:vMerge w:val="continue"/>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0" w:type="dxa"/>
            <w:vAlign w:val="bottom"/>
            <w:gridSpan w:val="10"/>
          </w:tcPr>
          <w:p>
            <w:pPr>
              <w:spacing w:after="0" w:line="112" w:lineRule="exact"/>
              <w:rPr>
                <w:sz w:val="20"/>
                <w:szCs w:val="20"/>
                <w:color w:val="auto"/>
              </w:rPr>
            </w:pPr>
            <w:r>
              <w:rPr>
                <w:rFonts w:ascii="Arial" w:cs="Arial" w:eastAsia="Arial" w:hAnsi="Arial"/>
                <w:sz w:val="12"/>
                <w:szCs w:val="12"/>
                <w:color w:val="auto"/>
              </w:rPr>
              <w:t>Unsecured Promissory Note 12% Due</w:t>
            </w: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20" w:type="dxa"/>
            <w:vAlign w:val="bottom"/>
            <w:gridSpan w:val="6"/>
          </w:tcPr>
          <w:p>
            <w:pPr>
              <w:ind w:left="160"/>
              <w:spacing w:after="0" w:line="145" w:lineRule="exact"/>
              <w:rPr>
                <w:sz w:val="20"/>
                <w:szCs w:val="20"/>
                <w:color w:val="auto"/>
              </w:rPr>
            </w:pPr>
            <w:r>
              <w:rPr>
                <w:rFonts w:ascii="Arial" w:cs="Arial" w:eastAsia="Arial" w:hAnsi="Arial"/>
                <w:sz w:val="11"/>
                <w:szCs w:val="11"/>
                <w:color w:val="auto"/>
              </w:rPr>
              <w:t>1/15/2018***</w:t>
            </w:r>
            <w:r>
              <w:rPr>
                <w:rFonts w:ascii="Arial" w:cs="Arial" w:eastAsia="Arial" w:hAnsi="Arial"/>
                <w:sz w:val="16"/>
                <w:szCs w:val="16"/>
                <w:color w:val="auto"/>
                <w:vertAlign w:val="superscript"/>
              </w:rPr>
              <w:t>(8)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592,129</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592,809</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592,129</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4" w:lineRule="exact"/>
              <w:rPr>
                <w:sz w:val="20"/>
                <w:szCs w:val="20"/>
                <w:color w:val="auto"/>
              </w:rPr>
            </w:pPr>
            <w:r>
              <w:rPr>
                <w:rFonts w:ascii="Arial" w:cs="Arial" w:eastAsia="Arial" w:hAnsi="Arial"/>
                <w:sz w:val="12"/>
                <w:szCs w:val="12"/>
                <w:color w:val="auto"/>
              </w:rPr>
              <w:t>Preferred shares, Series A-4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3,720,424</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4,904,498</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5,390,842</w:t>
            </w:r>
          </w:p>
        </w:tc>
        <w:tc>
          <w:tcPr>
            <w:tcW w:w="4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10"/>
          </w:tcPr>
          <w:p>
            <w:pPr>
              <w:spacing w:after="0" w:line="134" w:lineRule="exact"/>
              <w:rPr>
                <w:sz w:val="20"/>
                <w:szCs w:val="20"/>
                <w:color w:val="auto"/>
              </w:rPr>
            </w:pPr>
            <w:r>
              <w:rPr>
                <w:rFonts w:ascii="Arial" w:cs="Arial" w:eastAsia="Arial" w:hAnsi="Arial"/>
                <w:sz w:val="12"/>
                <w:szCs w:val="12"/>
                <w:color w:val="auto"/>
              </w:rPr>
              <w:t>Preferred shares, Series A-3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1,561,625</w:t>
            </w: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2,005,730</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1,885,644</w:t>
            </w:r>
          </w:p>
        </w:tc>
        <w:tc>
          <w:tcPr>
            <w:tcW w:w="440" w:type="dxa"/>
            <w:vAlign w:val="bottom"/>
          </w:tcPr>
          <w:p>
            <w:pPr>
              <w:jc w:val="right"/>
              <w:spacing w:after="0" w:line="134" w:lineRule="exact"/>
              <w:rPr>
                <w:sz w:val="20"/>
                <w:szCs w:val="20"/>
                <w:color w:val="auto"/>
              </w:rPr>
            </w:pPr>
            <w:r>
              <w:rPr>
                <w:rFonts w:ascii="Arial" w:cs="Arial" w:eastAsia="Arial" w:hAnsi="Arial"/>
                <w:sz w:val="12"/>
                <w:szCs w:val="12"/>
                <w:color w:val="auto"/>
              </w:rPr>
              <w:t>0.92%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4" w:lineRule="exact"/>
              <w:rPr>
                <w:sz w:val="20"/>
                <w:szCs w:val="20"/>
                <w:color w:val="auto"/>
              </w:rPr>
            </w:pPr>
            <w:r>
              <w:rPr>
                <w:rFonts w:ascii="Arial" w:cs="Arial" w:eastAsia="Arial" w:hAnsi="Arial"/>
                <w:sz w:val="12"/>
                <w:szCs w:val="12"/>
                <w:color w:val="auto"/>
              </w:rPr>
              <w:t>Preferred shares, Series A-2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450,001</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605,500</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326,022</w:t>
            </w:r>
          </w:p>
        </w:tc>
        <w:tc>
          <w:tcPr>
            <w:tcW w:w="4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10"/>
          </w:tcPr>
          <w:p>
            <w:pPr>
              <w:spacing w:after="0" w:line="134" w:lineRule="exact"/>
              <w:rPr>
                <w:sz w:val="20"/>
                <w:szCs w:val="20"/>
                <w:color w:val="auto"/>
              </w:rPr>
            </w:pPr>
            <w:r>
              <w:rPr>
                <w:rFonts w:ascii="Arial" w:cs="Arial" w:eastAsia="Arial" w:hAnsi="Arial"/>
                <w:sz w:val="12"/>
                <w:szCs w:val="12"/>
                <w:color w:val="auto"/>
              </w:rPr>
              <w:t>Preferred shares, Series A-1</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1,021,778</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543,370</w:t>
            </w:r>
          </w:p>
        </w:tc>
        <w:tc>
          <w:tcPr>
            <w:tcW w:w="440" w:type="dxa"/>
            <w:vAlign w:val="bottom"/>
          </w:tcPr>
          <w:p>
            <w:pPr>
              <w:jc w:val="right"/>
              <w:spacing w:after="0" w:line="134" w:lineRule="exact"/>
              <w:rPr>
                <w:sz w:val="20"/>
                <w:szCs w:val="20"/>
                <w:color w:val="auto"/>
              </w:rPr>
            </w:pPr>
            <w:r>
              <w:rPr>
                <w:rFonts w:ascii="Arial" w:cs="Arial" w:eastAsia="Arial" w:hAnsi="Arial"/>
                <w:sz w:val="12"/>
                <w:szCs w:val="12"/>
                <w:color w:val="auto"/>
              </w:rPr>
              <w:t>0.27%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4" w:lineRule="exact"/>
              <w:rPr>
                <w:sz w:val="20"/>
                <w:szCs w:val="20"/>
                <w:color w:val="auto"/>
              </w:rPr>
            </w:pPr>
            <w:r>
              <w:rPr>
                <w:rFonts w:ascii="Arial" w:cs="Arial" w:eastAsia="Arial" w:hAnsi="Arial"/>
                <w:sz w:val="12"/>
                <w:szCs w:val="12"/>
                <w:color w:val="auto"/>
              </w:rPr>
              <w:t>Common shares</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200,000</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1,000</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0" w:type="dxa"/>
            <w:vAlign w:val="bottom"/>
            <w:gridSpan w:val="10"/>
          </w:tcPr>
          <w:p>
            <w:pPr>
              <w:spacing w:after="0" w:line="112" w:lineRule="exact"/>
              <w:rPr>
                <w:sz w:val="20"/>
                <w:szCs w:val="20"/>
                <w:color w:val="auto"/>
              </w:rPr>
            </w:pPr>
            <w:r>
              <w:rPr>
                <w:rFonts w:ascii="Arial" w:cs="Arial" w:eastAsia="Arial" w:hAnsi="Arial"/>
                <w:sz w:val="12"/>
                <w:szCs w:val="12"/>
                <w:color w:val="auto"/>
              </w:rPr>
              <w:t>Preferred Warrants Series A-3 – Strike Price</w:t>
            </w: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187,500</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1,875</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10"/>
          </w:tcPr>
          <w:p>
            <w:pPr>
              <w:ind w:left="140"/>
              <w:spacing w:after="0" w:line="134" w:lineRule="exact"/>
              <w:rPr>
                <w:sz w:val="20"/>
                <w:szCs w:val="20"/>
                <w:color w:val="auto"/>
              </w:rPr>
            </w:pPr>
            <w:r>
              <w:rPr>
                <w:rFonts w:ascii="Arial" w:cs="Arial" w:eastAsia="Arial" w:hAnsi="Arial"/>
                <w:sz w:val="12"/>
                <w:szCs w:val="12"/>
                <w:color w:val="auto"/>
              </w:rPr>
              <w:t>$1.33 – Expiration Date 4/4/2019</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00" w:type="dxa"/>
            <w:vAlign w:val="bottom"/>
            <w:gridSpan w:val="10"/>
            <w:shd w:val="clear" w:color="auto" w:fill="CCEEFF"/>
          </w:tcPr>
          <w:p>
            <w:pPr>
              <w:spacing w:after="0" w:line="112" w:lineRule="exact"/>
              <w:rPr>
                <w:sz w:val="20"/>
                <w:szCs w:val="20"/>
                <w:color w:val="auto"/>
              </w:rPr>
            </w:pPr>
            <w:r>
              <w:rPr>
                <w:rFonts w:ascii="Arial" w:cs="Arial" w:eastAsia="Arial" w:hAnsi="Arial"/>
                <w:sz w:val="12"/>
                <w:szCs w:val="12"/>
                <w:color w:val="auto"/>
              </w:rPr>
              <w:t>Preferred Warrants Series A-4 – Strike Price</w:t>
            </w: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160,000</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0.08%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ind w:left="140"/>
              <w:spacing w:after="0" w:line="134" w:lineRule="exact"/>
              <w:rPr>
                <w:sz w:val="20"/>
                <w:szCs w:val="20"/>
                <w:color w:val="auto"/>
              </w:rPr>
            </w:pPr>
            <w:r>
              <w:rPr>
                <w:rFonts w:ascii="Arial" w:cs="Arial" w:eastAsia="Arial" w:hAnsi="Arial"/>
                <w:sz w:val="12"/>
                <w:szCs w:val="12"/>
                <w:color w:val="auto"/>
              </w:rPr>
              <w:t>$1.33 – Expiration Date 10/6/2019</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0" w:type="dxa"/>
            <w:vAlign w:val="bottom"/>
            <w:gridSpan w:val="10"/>
          </w:tcPr>
          <w:p>
            <w:pPr>
              <w:spacing w:after="0" w:line="112" w:lineRule="exact"/>
              <w:rPr>
                <w:sz w:val="20"/>
                <w:szCs w:val="20"/>
                <w:color w:val="auto"/>
              </w:rPr>
            </w:pPr>
            <w:r>
              <w:rPr>
                <w:rFonts w:ascii="Arial" w:cs="Arial" w:eastAsia="Arial" w:hAnsi="Arial"/>
                <w:sz w:val="12"/>
                <w:szCs w:val="12"/>
                <w:color w:val="auto"/>
              </w:rPr>
              <w:t>Preferred Warrants Series A-4 – Strike Price</w:t>
            </w: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250,000</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74,380</w:t>
            </w:r>
          </w:p>
        </w:tc>
        <w:tc>
          <w:tcPr>
            <w:tcW w:w="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102,500</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10"/>
          </w:tcPr>
          <w:p>
            <w:pPr>
              <w:ind w:left="140"/>
              <w:spacing w:after="0" w:line="134" w:lineRule="exact"/>
              <w:rPr>
                <w:sz w:val="20"/>
                <w:szCs w:val="20"/>
                <w:color w:val="auto"/>
              </w:rPr>
            </w:pPr>
            <w:r>
              <w:rPr>
                <w:rFonts w:ascii="Arial" w:cs="Arial" w:eastAsia="Arial" w:hAnsi="Arial"/>
                <w:sz w:val="12"/>
                <w:szCs w:val="12"/>
                <w:color w:val="auto"/>
              </w:rPr>
              <w:t>$1.33 – Expiration Date 7/18/2021</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2400" w:type="dxa"/>
            <w:vAlign w:val="bottom"/>
            <w:gridSpan w:val="10"/>
            <w:shd w:val="clear" w:color="auto" w:fill="CCEEFF"/>
          </w:tcPr>
          <w:p>
            <w:pPr>
              <w:spacing w:after="0" w:line="123" w:lineRule="exact"/>
              <w:rPr>
                <w:sz w:val="20"/>
                <w:szCs w:val="20"/>
                <w:color w:val="auto"/>
              </w:rPr>
            </w:pPr>
            <w:r>
              <w:rPr>
                <w:rFonts w:ascii="Arial" w:cs="Arial" w:eastAsia="Arial" w:hAnsi="Arial"/>
                <w:sz w:val="12"/>
                <w:szCs w:val="12"/>
                <w:color w:val="auto"/>
                <w:w w:val="88"/>
              </w:rPr>
              <w:t>Preferred Warrants Series B – Strike Price $2.31 –</w:t>
            </w: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line="145" w:lineRule="exact"/>
              <w:rPr>
                <w:sz w:val="20"/>
                <w:szCs w:val="20"/>
                <w:color w:val="auto"/>
              </w:rPr>
            </w:pPr>
            <w:r>
              <w:rPr>
                <w:rFonts w:ascii="Arial" w:cs="Arial" w:eastAsia="Arial" w:hAnsi="Arial"/>
                <w:sz w:val="11"/>
                <w:szCs w:val="11"/>
                <w:color w:val="auto"/>
              </w:rPr>
              <w:t>Expiration Date 11/29/2021</w:t>
            </w:r>
            <w:r>
              <w:rPr>
                <w:rFonts w:ascii="Arial" w:cs="Arial" w:eastAsia="Arial" w:hAnsi="Arial"/>
                <w:sz w:val="16"/>
                <w:szCs w:val="16"/>
                <w:color w:val="auto"/>
                <w:vertAlign w:val="superscript"/>
              </w:rPr>
              <w:t>(13)</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29,275</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41,000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0" w:type="dxa"/>
            <w:vAlign w:val="bottom"/>
            <w:gridSpan w:val="10"/>
          </w:tcPr>
          <w:p>
            <w:pPr>
              <w:spacing w:after="0" w:line="123" w:lineRule="exact"/>
              <w:rPr>
                <w:sz w:val="20"/>
                <w:szCs w:val="20"/>
                <w:color w:val="auto"/>
              </w:rPr>
            </w:pPr>
            <w:r>
              <w:rPr>
                <w:rFonts w:ascii="Arial" w:cs="Arial" w:eastAsia="Arial" w:hAnsi="Arial"/>
                <w:sz w:val="12"/>
                <w:szCs w:val="12"/>
                <w:color w:val="auto"/>
                <w:w w:val="92"/>
              </w:rPr>
              <w:t>Preferred Warrant Series B – Strike Price $2.31,</w:t>
            </w: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ind w:left="140"/>
              <w:spacing w:after="0" w:line="156" w:lineRule="exact"/>
              <w:rPr>
                <w:sz w:val="20"/>
                <w:szCs w:val="20"/>
                <w:color w:val="auto"/>
              </w:rPr>
            </w:pPr>
            <w:r>
              <w:rPr>
                <w:rFonts w:ascii="Arial" w:cs="Arial" w:eastAsia="Arial" w:hAnsi="Arial"/>
                <w:sz w:val="12"/>
                <w:szCs w:val="12"/>
                <w:color w:val="auto"/>
              </w:rPr>
              <w:t>Expiration Date 5/29/2022</w:t>
            </w:r>
            <w:r>
              <w:rPr>
                <w:rFonts w:ascii="Arial" w:cs="Arial" w:eastAsia="Arial" w:hAnsi="Arial"/>
                <w:sz w:val="17"/>
                <w:szCs w:val="17"/>
                <w:color w:val="auto"/>
                <w:vertAlign w:val="superscript"/>
              </w:rPr>
              <w:t>(8)</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125,000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70,379</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80,000</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9,869,428</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9,683,581</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gridSpan w:val="10"/>
          </w:tcPr>
          <w:p>
            <w:pPr>
              <w:spacing w:after="0"/>
              <w:rPr>
                <w:sz w:val="20"/>
                <w:szCs w:val="20"/>
                <w:color w:val="auto"/>
              </w:rPr>
            </w:pPr>
            <w:r>
              <w:rPr>
                <w:rFonts w:ascii="Arial" w:cs="Arial" w:eastAsia="Arial" w:hAnsi="Arial"/>
                <w:sz w:val="12"/>
                <w:szCs w:val="12"/>
                <w:b w:val="1"/>
                <w:bCs w:val="1"/>
                <w:color w:val="auto"/>
              </w:rPr>
              <w:t>SPBRX, INC. (f/k/a GSV Sustainability</w:t>
            </w: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vMerge w:val="restart"/>
          </w:tcPr>
          <w:p>
            <w:pPr>
              <w:jc w:val="center"/>
              <w:ind w:right="120"/>
              <w:spacing w:after="0"/>
              <w:rPr>
                <w:sz w:val="20"/>
                <w:szCs w:val="20"/>
                <w:color w:val="auto"/>
              </w:rPr>
            </w:pPr>
            <w:r>
              <w:rPr>
                <w:rFonts w:ascii="Arial" w:cs="Arial" w:eastAsia="Arial" w:hAnsi="Arial"/>
                <w:sz w:val="12"/>
                <w:szCs w:val="12"/>
                <w:color w:val="auto"/>
                <w:w w:val="91"/>
              </w:rPr>
              <w:t>Woodside, CA</w:t>
            </w: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00" w:type="dxa"/>
            <w:vAlign w:val="bottom"/>
            <w:tcBorders>
              <w:top w:val="single" w:sz="8" w:color="auto"/>
            </w:tcBorders>
            <w:gridSpan w:val="9"/>
          </w:tcPr>
          <w:p>
            <w:pPr>
              <w:ind w:left="140"/>
              <w:spacing w:after="0" w:line="92" w:lineRule="exact"/>
              <w:rPr>
                <w:sz w:val="20"/>
                <w:szCs w:val="20"/>
                <w:color w:val="auto"/>
              </w:rPr>
            </w:pPr>
            <w:r>
              <w:rPr>
                <w:rFonts w:ascii="Arial" w:cs="Arial" w:eastAsia="Arial" w:hAnsi="Arial"/>
                <w:sz w:val="10"/>
                <w:szCs w:val="10"/>
                <w:b w:val="1"/>
                <w:bCs w:val="1"/>
                <w:color w:val="auto"/>
              </w:rPr>
              <w:t>Partners, Inc.)</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Borders>
              <w:top w:val="single" w:sz="8" w:color="CCEEFF"/>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6" w:lineRule="exact"/>
              <w:rPr>
                <w:sz w:val="20"/>
                <w:szCs w:val="20"/>
                <w:color w:val="auto"/>
              </w:rPr>
            </w:pPr>
            <w:r>
              <w:rPr>
                <w:rFonts w:ascii="Arial" w:cs="Arial" w:eastAsia="Arial" w:hAnsi="Arial"/>
                <w:sz w:val="12"/>
                <w:szCs w:val="12"/>
                <w:color w:val="auto"/>
              </w:rPr>
              <w:t>Preferred shares, Class A***</w:t>
            </w:r>
          </w:p>
        </w:tc>
        <w:tc>
          <w:tcPr>
            <w:tcW w:w="1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2"/>
                <w:szCs w:val="12"/>
                <w:color w:val="auto"/>
                <w:w w:val="88"/>
              </w:rPr>
              <w:t>Clean Technology</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w w:val="96"/>
              </w:rPr>
              <w:t>14,300,000</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7,151,412</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1,069,862</w:t>
            </w:r>
          </w:p>
        </w:tc>
        <w:tc>
          <w:tcPr>
            <w:tcW w:w="4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0.52%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Common shares</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100,000</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7,161,412</w:t>
            </w: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1,069,862</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Total Controlled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3"/>
              </w:rPr>
              <w:t>23,161,314</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24,207,161</w:t>
            </w:r>
          </w:p>
        </w:tc>
        <w:tc>
          <w:tcPr>
            <w:tcW w:w="460" w:type="dxa"/>
            <w:vAlign w:val="bottom"/>
            <w:gridSpan w:val="2"/>
          </w:tcPr>
          <w:p>
            <w:pPr>
              <w:jc w:val="right"/>
              <w:spacing w:after="0"/>
              <w:rPr>
                <w:sz w:val="20"/>
                <w:szCs w:val="20"/>
                <w:color w:val="auto"/>
              </w:rPr>
            </w:pPr>
            <w:r>
              <w:rPr>
                <w:rFonts w:ascii="Arial" w:cs="Arial" w:eastAsia="Arial" w:hAnsi="Arial"/>
                <w:sz w:val="12"/>
                <w:szCs w:val="12"/>
                <w:b w:val="1"/>
                <w:bCs w:val="1"/>
                <w:color w:val="auto"/>
              </w:rPr>
              <w:t>11.82%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 Portfolio Investments</w:t>
            </w: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400" w:type="dxa"/>
            <w:vAlign w:val="bottom"/>
            <w:gridSpan w:val="10"/>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3"/>
              </w:rPr>
              <w:t>202,574,352</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6"/>
              </w:rPr>
              <w:t>220,588,493</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8"/>
              </w:rPr>
              <w:t>107.74%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U.S. Treasury</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400" w:type="dxa"/>
            <w:vAlign w:val="bottom"/>
            <w:gridSpan w:val="10"/>
            <w:shd w:val="clear" w:color="auto" w:fill="CCEEFF"/>
          </w:tcPr>
          <w:p>
            <w:pPr>
              <w:spacing w:after="0" w:line="159" w:lineRule="exact"/>
              <w:rPr>
                <w:sz w:val="20"/>
                <w:szCs w:val="20"/>
                <w:color w:val="auto"/>
              </w:rPr>
            </w:pPr>
            <w:r>
              <w:rPr>
                <w:rFonts w:ascii="Arial" w:cs="Arial" w:eastAsia="Arial" w:hAnsi="Arial"/>
                <w:sz w:val="12"/>
                <w:szCs w:val="12"/>
                <w:color w:val="auto"/>
              </w:rPr>
              <w:t>U.S. Treasury bill, 0%, due 1/4/2018***</w:t>
            </w:r>
            <w:r>
              <w:rPr>
                <w:rFonts w:ascii="Arial" w:cs="Arial" w:eastAsia="Arial" w:hAnsi="Arial"/>
                <w:sz w:val="17"/>
                <w:szCs w:val="17"/>
                <w:color w:val="auto"/>
                <w:vertAlign w:val="superscript"/>
              </w:rPr>
              <w:t>(3)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6"/>
              </w:rPr>
              <w:t>100,000,000</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99,985,833</w:t>
            </w: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99,994,000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TOTAL INVESTMENTS</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3"/>
              </w:rPr>
              <w:t>302,560,185</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6"/>
              </w:rPr>
              <w:t>320,582,493</w:t>
            </w:r>
          </w:p>
        </w:tc>
        <w:tc>
          <w:tcPr>
            <w:tcW w:w="46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156.57%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-679450</wp:posOffset>
            </wp:positionV>
            <wp:extent cx="5651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-679450</wp:posOffset>
            </wp:positionV>
            <wp:extent cx="403923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-948690</wp:posOffset>
            </wp:positionV>
            <wp:extent cx="5651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-948690</wp:posOffset>
            </wp:positionV>
            <wp:extent cx="403923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-1473200</wp:posOffset>
            </wp:positionV>
            <wp:extent cx="5651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-1473200</wp:posOffset>
            </wp:positionV>
            <wp:extent cx="403923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-3287395</wp:posOffset>
            </wp:positionV>
            <wp:extent cx="5651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-3287395</wp:posOffset>
            </wp:positionV>
            <wp:extent cx="403923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-3996055</wp:posOffset>
            </wp:positionV>
            <wp:extent cx="5651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-3996055</wp:posOffset>
            </wp:positionV>
            <wp:extent cx="403923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-4364355</wp:posOffset>
            </wp:positionV>
            <wp:extent cx="2857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-4364355</wp:posOffset>
            </wp:positionV>
            <wp:extent cx="8509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-4364355</wp:posOffset>
            </wp:positionV>
            <wp:extent cx="7810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-4364355</wp:posOffset>
            </wp:positionV>
            <wp:extent cx="7112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20" cy="698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-4364355</wp:posOffset>
            </wp:positionV>
            <wp:extent cx="7112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20" cy="698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-4364355</wp:posOffset>
            </wp:positionV>
            <wp:extent cx="7112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20" cy="6985"/>
                    </a:xfrm>
                    <a:prstGeom prst="rect">
                      <a:avLst/>
                    </a:prstGeom>
                    <a:noFill/>
                  </pic:spPr>
                </pic:pic>
              </a:graphicData>
            </a:graphic>
          </wp:anchor>
        </w:drawing>
      </w:r>
    </w:p>
    <w:p>
      <w:pPr>
        <w:spacing w:after="0" w:line="148" w:lineRule="exact"/>
        <w:rPr>
          <w:sz w:val="20"/>
          <w:szCs w:val="20"/>
          <w:color w:val="auto"/>
        </w:rPr>
      </w:pPr>
    </w:p>
    <w:p>
      <w:pPr>
        <w:ind w:left="1340" w:right="2419" w:hanging="289"/>
        <w:spacing w:after="0" w:line="251" w:lineRule="auto"/>
        <w:tabs>
          <w:tab w:leader="none" w:pos="13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 — Related-Party Arrangements”). All portfolio investments are considered Level 3 and valued using significant unobservable inputs, unless otherwise noted. (Refer to “Note 4 — Investments at Fair Value”). All investments are restricted as to resale, unless otherwise noted, and were valued at fair value as determined in good faith by the Company’s board of directors.</w:t>
      </w:r>
    </w:p>
    <w:p>
      <w:pPr>
        <w:spacing w:after="0" w:line="52"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4" w:name="page85"/>
    <w:bookmarkEnd w:id="8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p>
      <w:pPr>
        <w:jc w:val="both"/>
        <w:ind w:left="1340" w:right="2479" w:hanging="289"/>
        <w:spacing w:after="0" w:line="286"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Indicates assets that GSV Capital Corp. believes do not represent “qualifying assets” under Section 55(a) of the Investment Company Act of 1940, as amended (the “1940 Act”). Of GSV Capital Corp.’s total portfolio as of December 31, 2017, 12.13% of its total investments are non-qualifying assets.</w:t>
      </w:r>
    </w:p>
    <w:p>
      <w:pPr>
        <w:spacing w:after="0" w:line="60" w:lineRule="exact"/>
        <w:rPr>
          <w:rFonts w:ascii="Arial" w:cs="Arial" w:eastAsia="Arial" w:hAnsi="Arial"/>
          <w:sz w:val="14"/>
          <w:szCs w:val="14"/>
          <w:color w:val="auto"/>
        </w:rPr>
      </w:pPr>
    </w:p>
    <w:p>
      <w:pPr>
        <w:ind w:left="1340" w:hanging="289"/>
        <w:spacing w:after="0"/>
        <w:tabs>
          <w:tab w:leader="none" w:pos="1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Investment is income-producing.</w:t>
      </w:r>
    </w:p>
    <w:p>
      <w:pPr>
        <w:spacing w:after="0" w:line="106" w:lineRule="exact"/>
        <w:rPr>
          <w:sz w:val="20"/>
          <w:szCs w:val="20"/>
          <w:color w:val="auto"/>
        </w:rPr>
      </w:pPr>
    </w:p>
    <w:p>
      <w:pPr>
        <w:ind w:left="1340" w:right="2459" w:hanging="289"/>
        <w:spacing w:after="0" w:line="252" w:lineRule="auto"/>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5"/>
          <w:szCs w:val="15"/>
          <w:i w:val="1"/>
          <w:iCs w:val="1"/>
          <w:color w:val="auto"/>
        </w:rPr>
        <w:t>i.e.</w:t>
      </w:r>
      <w:r>
        <w:rPr>
          <w:rFonts w:ascii="Arial" w:cs="Arial" w:eastAsia="Arial" w:hAnsi="Arial"/>
          <w:sz w:val="15"/>
          <w:szCs w:val="15"/>
          <w:color w:val="auto"/>
        </w:rPr>
        <w:t>, securities with the right to elect directors) of such company. For the Schedule of Investments In, and Advances To, Affiliates, as required by SEC Regulation S-X, Rule 12-14, refer to “Note 4 — Investments at Fair Value”.</w:t>
      </w:r>
    </w:p>
    <w:p>
      <w:pPr>
        <w:spacing w:after="0" w:line="85" w:lineRule="exact"/>
        <w:rPr>
          <w:rFonts w:ascii="Arial" w:cs="Arial" w:eastAsia="Arial" w:hAnsi="Arial"/>
          <w:sz w:val="15"/>
          <w:szCs w:val="15"/>
          <w:color w:val="auto"/>
        </w:rPr>
      </w:pPr>
    </w:p>
    <w:p>
      <w:pPr>
        <w:ind w:left="1340" w:right="2439" w:hanging="289"/>
        <w:spacing w:after="0" w:line="252" w:lineRule="auto"/>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5"/>
          <w:szCs w:val="15"/>
          <w:i w:val="1"/>
          <w:iCs w:val="1"/>
          <w:color w:val="auto"/>
        </w:rPr>
        <w:t>i.e.</w:t>
      </w:r>
      <w:r>
        <w:rPr>
          <w:rFonts w:ascii="Arial" w:cs="Arial" w:eastAsia="Arial" w:hAnsi="Arial"/>
          <w:sz w:val="15"/>
          <w:szCs w:val="15"/>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 — Investments at Fair Value”.</w:t>
      </w:r>
    </w:p>
    <w:p>
      <w:pPr>
        <w:spacing w:after="0" w:line="82" w:lineRule="exact"/>
        <w:rPr>
          <w:rFonts w:ascii="Arial" w:cs="Arial" w:eastAsia="Arial" w:hAnsi="Arial"/>
          <w:sz w:val="15"/>
          <w:szCs w:val="15"/>
          <w:color w:val="auto"/>
        </w:rPr>
      </w:pPr>
    </w:p>
    <w:p>
      <w:pPr>
        <w:ind w:left="1340" w:hanging="289"/>
        <w:spacing w:after="0"/>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Denotes an investment considered Level 1 valued using observable inputs.</w:t>
      </w:r>
    </w:p>
    <w:p>
      <w:pPr>
        <w:spacing w:after="0" w:line="106" w:lineRule="exact"/>
        <w:rPr>
          <w:rFonts w:ascii="Arial" w:cs="Arial" w:eastAsia="Arial" w:hAnsi="Arial"/>
          <w:sz w:val="15"/>
          <w:szCs w:val="15"/>
          <w:color w:val="auto"/>
        </w:rPr>
      </w:pPr>
    </w:p>
    <w:p>
      <w:pPr>
        <w:ind w:left="1340" w:right="2439" w:hanging="289"/>
        <w:spacing w:after="0" w:line="259" w:lineRule="auto"/>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GSV Capital Corp.’s investment in Avenues Global Holdings, LLC is held through its wholly owned subsidiary, GSVC AV Holdings, Inc. In January 2018, GSV Capital Corp. sold its entire position in Avenues Global Holdings, LLC.</w:t>
      </w:r>
    </w:p>
    <w:p>
      <w:pPr>
        <w:spacing w:after="0" w:line="77" w:lineRule="exact"/>
        <w:rPr>
          <w:rFonts w:ascii="Arial" w:cs="Arial" w:eastAsia="Arial" w:hAnsi="Arial"/>
          <w:sz w:val="15"/>
          <w:szCs w:val="15"/>
          <w:color w:val="auto"/>
        </w:rPr>
      </w:pPr>
    </w:p>
    <w:p>
      <w:pPr>
        <w:ind w:left="1340" w:right="2639" w:hanging="289"/>
        <w:spacing w:after="0" w:line="270" w:lineRule="auto"/>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GSV Capital Corp.’s investment in StormWind, LLC is held through its wholly owned subsidiary, GSVC SW Holdings, Inc.</w:t>
      </w:r>
    </w:p>
    <w:p>
      <w:pPr>
        <w:spacing w:after="0" w:line="69" w:lineRule="exact"/>
        <w:rPr>
          <w:rFonts w:ascii="Arial" w:cs="Arial" w:eastAsia="Arial" w:hAnsi="Arial"/>
          <w:sz w:val="15"/>
          <w:szCs w:val="15"/>
          <w:color w:val="auto"/>
        </w:rPr>
      </w:pPr>
    </w:p>
    <w:p>
      <w:pPr>
        <w:ind w:left="1340" w:right="2519" w:hanging="289"/>
        <w:spacing w:after="0" w:line="317" w:lineRule="auto"/>
        <w:tabs>
          <w:tab w:leader="none" w:pos="1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43" w:lineRule="exact"/>
        <w:rPr>
          <w:rFonts w:ascii="Arial" w:cs="Arial" w:eastAsia="Arial" w:hAnsi="Arial"/>
          <w:sz w:val="13"/>
          <w:szCs w:val="13"/>
          <w:color w:val="auto"/>
        </w:rPr>
      </w:pPr>
    </w:p>
    <w:p>
      <w:pPr>
        <w:ind w:left="1340" w:right="2939" w:hanging="289"/>
        <w:spacing w:after="0" w:line="286"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71" w:lineRule="exact"/>
        <w:rPr>
          <w:rFonts w:ascii="Arial" w:cs="Arial" w:eastAsia="Arial" w:hAnsi="Arial"/>
          <w:sz w:val="14"/>
          <w:szCs w:val="14"/>
          <w:color w:val="auto"/>
        </w:rPr>
      </w:pPr>
    </w:p>
    <w:p>
      <w:pPr>
        <w:ind w:left="1340" w:right="2439" w:hanging="289"/>
        <w:spacing w:after="0" w:line="273"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4 — Investments at Fair Value.” On November 29, 2017, the maturity date of the unsecured promissory note to NestGSV, Inc. (d/b/a GSV Labs, Inc.) was extended to January 15, 2018. In January 2018, upon its maturity, NestGSV, Inc. (d/b/a GSV Labs, Inc.) repaid the unsecured promissory note, with interest.</w:t>
      </w:r>
    </w:p>
    <w:p>
      <w:pPr>
        <w:spacing w:after="0" w:line="68" w:lineRule="exact"/>
        <w:rPr>
          <w:rFonts w:ascii="Arial" w:cs="Arial" w:eastAsia="Arial" w:hAnsi="Arial"/>
          <w:sz w:val="14"/>
          <w:szCs w:val="14"/>
          <w:color w:val="auto"/>
        </w:rPr>
      </w:pPr>
    </w:p>
    <w:p>
      <w:pPr>
        <w:ind w:left="1340" w:right="2579" w:hanging="289"/>
        <w:spacing w:after="0" w:line="270" w:lineRule="auto"/>
        <w:tabs>
          <w:tab w:leader="none" w:pos="13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On July 31, 2017, the maturity date of the convertible promissory note to NestGSV, Inc. (d/b/a GSV Labs, Inc.) was extended to July 31, 2018.</w:t>
      </w:r>
    </w:p>
    <w:p>
      <w:pPr>
        <w:spacing w:after="0" w:line="69" w:lineRule="exact"/>
        <w:rPr>
          <w:rFonts w:ascii="Arial" w:cs="Arial" w:eastAsia="Arial" w:hAnsi="Arial"/>
          <w:sz w:val="15"/>
          <w:szCs w:val="15"/>
          <w:color w:val="auto"/>
        </w:rPr>
      </w:pPr>
    </w:p>
    <w:p>
      <w:pPr>
        <w:ind w:left="1340" w:right="2759" w:hanging="289"/>
        <w:spacing w:after="0" w:line="302" w:lineRule="auto"/>
        <w:tabs>
          <w:tab w:leader="none" w:pos="1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On July 1, 2017, the maturity date of the convertible promissory note to Declara, Inc. was extended to December 31, 2017. The convertible promissory note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9"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73"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5" w:name="page86"/>
    <w:bookmarkEnd w:id="8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p>
      <w:pPr>
        <w:ind w:left="1340" w:right="2539" w:hanging="289"/>
        <w:spacing w:after="0" w:line="255" w:lineRule="auto"/>
        <w:tabs>
          <w:tab w:leader="none" w:pos="1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November 12, 2013, Chegg, Inc. priced its IPO. The lock-up agreement for the Company’s Chegg, Inc. common shares expired on May 11, 2014. As a result, the Company’s Chegg, Inc. common shares are considered unrestricted. As of February 22, 2018, all remaining shares of Chegg, Inc. held by GSV Capital Corp. had been sold.</w:t>
      </w:r>
    </w:p>
    <w:p>
      <w:pPr>
        <w:spacing w:after="0" w:line="126" w:lineRule="exact"/>
        <w:rPr>
          <w:rFonts w:ascii="Arial" w:cs="Arial" w:eastAsia="Arial" w:hAnsi="Arial"/>
          <w:sz w:val="15"/>
          <w:szCs w:val="15"/>
          <w:color w:val="auto"/>
        </w:rPr>
      </w:pPr>
    </w:p>
    <w:p>
      <w:pPr>
        <w:ind w:left="1340" w:hanging="289"/>
        <w:spacing w:after="0"/>
        <w:tabs>
          <w:tab w:leader="none" w:pos="1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As of December 31, 2017, the investments noted had been placed on non-accrual status.</w:t>
      </w:r>
    </w:p>
    <w:p>
      <w:pPr>
        <w:spacing w:after="0" w:line="162" w:lineRule="exact"/>
        <w:rPr>
          <w:rFonts w:ascii="Arial" w:cs="Arial" w:eastAsia="Arial" w:hAnsi="Arial"/>
          <w:sz w:val="15"/>
          <w:szCs w:val="15"/>
          <w:color w:val="auto"/>
        </w:rPr>
      </w:pPr>
    </w:p>
    <w:p>
      <w:pPr>
        <w:ind w:left="1340" w:right="2659" w:hanging="289"/>
        <w:spacing w:after="0" w:line="317" w:lineRule="auto"/>
        <w:tabs>
          <w:tab w:leader="none" w:pos="1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88" w:lineRule="exact"/>
        <w:rPr>
          <w:rFonts w:ascii="Arial" w:cs="Arial" w:eastAsia="Arial" w:hAnsi="Arial"/>
          <w:sz w:val="13"/>
          <w:szCs w:val="13"/>
          <w:color w:val="auto"/>
        </w:rPr>
      </w:pPr>
    </w:p>
    <w:p>
      <w:pPr>
        <w:ind w:left="1340" w:right="2619" w:hanging="289"/>
        <w:spacing w:after="0" w:line="259" w:lineRule="auto"/>
        <w:tabs>
          <w:tab w:leader="none" w:pos="1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Subsequent to period-end, Ozy Media, Inc.’s obligations under its financing arrangements with the Company became past due. The Company and Ozy Media are in the process of renegotiating the terms of the Company’s investment.</w:t>
      </w:r>
    </w:p>
    <w:p>
      <w:pPr>
        <w:spacing w:after="0" w:line="122" w:lineRule="exact"/>
        <w:rPr>
          <w:rFonts w:ascii="Arial" w:cs="Arial" w:eastAsia="Arial" w:hAnsi="Arial"/>
          <w:sz w:val="15"/>
          <w:szCs w:val="15"/>
          <w:color w:val="auto"/>
        </w:rPr>
      </w:pPr>
    </w:p>
    <w:p>
      <w:pPr>
        <w:ind w:left="1340" w:right="2599" w:hanging="289"/>
        <w:spacing w:after="0" w:line="270" w:lineRule="auto"/>
        <w:tabs>
          <w:tab w:leader="none" w:pos="1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February 23, 2018, CUX, Inc. (d/b/a CorpU) agreed to extend the maturity of the Company’s Series D warrants until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6" w:name="page87"/>
    <w:bookmarkEnd w:id="8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CONSOLIDATED SCHEDULE OF INVESTMENTS</w:t>
      </w:r>
    </w:p>
    <w:p>
      <w:pPr>
        <w:ind w:left="3840"/>
        <w:spacing w:after="0"/>
        <w:rPr>
          <w:sz w:val="20"/>
          <w:szCs w:val="20"/>
          <w:color w:val="auto"/>
        </w:rPr>
      </w:pPr>
      <w:r>
        <w:rPr>
          <w:rFonts w:ascii="Arial" w:cs="Arial" w:eastAsia="Arial" w:hAnsi="Arial"/>
          <w:sz w:val="15"/>
          <w:szCs w:val="15"/>
          <w:b w:val="1"/>
          <w:bCs w:val="1"/>
          <w:color w:val="auto"/>
        </w:rPr>
        <w:t>December 31, 2016</w:t>
      </w:r>
    </w:p>
    <w:p>
      <w:pPr>
        <w:spacing w:after="0" w:line="68"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00" w:type="dxa"/>
            <w:vAlign w:val="bottom"/>
            <w:gridSpan w:val="10"/>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60" w:type="dxa"/>
            <w:vAlign w:val="bottom"/>
          </w:tcPr>
          <w:p>
            <w:pPr>
              <w:spacing w:after="0"/>
              <w:rPr>
                <w:sz w:val="10"/>
                <w:szCs w:val="10"/>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5"/>
              </w:rPr>
              <w:t>Headquarters/Industry</w:t>
            </w:r>
          </w:p>
        </w:tc>
        <w:tc>
          <w:tcPr>
            <w:tcW w:w="7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Cost</w:t>
            </w:r>
          </w:p>
        </w:tc>
        <w:tc>
          <w:tcPr>
            <w:tcW w:w="8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4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79"/>
              </w:rPr>
              <w:t>% of Net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0" w:type="dxa"/>
            <w:vAlign w:val="bottom"/>
            <w:gridSpan w:val="10"/>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Principal</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shd w:val="clear" w:color="auto" w:fill="CCEEFF"/>
          </w:tcPr>
          <w:p>
            <w:pPr>
              <w:spacing w:after="0"/>
              <w:rPr>
                <w:sz w:val="11"/>
                <w:szCs w:val="11"/>
                <w:color w:val="auto"/>
              </w:rPr>
            </w:pPr>
          </w:p>
        </w:tc>
        <w:tc>
          <w:tcPr>
            <w:tcW w:w="2400" w:type="dxa"/>
            <w:vAlign w:val="bottom"/>
            <w:tcBorders>
              <w:top w:val="single" w:sz="8" w:color="auto"/>
            </w:tcBorders>
            <w:gridSpan w:val="10"/>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NON-CONTROLLED/NON-AFFILIATE</w:t>
            </w: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Palantir Technologies, Inc.</w:t>
            </w: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Palo Alto, CA</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1340" w:type="dxa"/>
            <w:vAlign w:val="bottom"/>
            <w:tcBorders>
              <w:top w:val="single" w:sz="8" w:color="auto"/>
            </w:tcBorders>
            <w:gridSpan w:val="7"/>
            <w:shd w:val="clear" w:color="auto" w:fill="CCEEFF"/>
          </w:tcPr>
          <w:p>
            <w:pPr>
              <w:spacing w:after="0" w:line="125" w:lineRule="exact"/>
              <w:rPr>
                <w:sz w:val="20"/>
                <w:szCs w:val="20"/>
                <w:color w:val="auto"/>
              </w:rPr>
            </w:pPr>
            <w:r>
              <w:rPr>
                <w:rFonts w:ascii="Arial" w:cs="Arial" w:eastAsia="Arial" w:hAnsi="Arial"/>
                <w:sz w:val="12"/>
                <w:szCs w:val="12"/>
                <w:color w:val="auto"/>
                <w:w w:val="92"/>
              </w:rPr>
              <w:t>Preferred shares, Series G</w:t>
            </w:r>
          </w:p>
        </w:tc>
        <w:tc>
          <w:tcPr>
            <w:tcW w:w="1060" w:type="dxa"/>
            <w:vAlign w:val="bottom"/>
            <w:gridSpan w:val="3"/>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160"/>
              <w:spacing w:after="0" w:line="125" w:lineRule="exact"/>
              <w:rPr>
                <w:sz w:val="20"/>
                <w:szCs w:val="20"/>
                <w:color w:val="auto"/>
              </w:rPr>
            </w:pPr>
            <w:r>
              <w:rPr>
                <w:rFonts w:ascii="Arial" w:cs="Arial" w:eastAsia="Arial" w:hAnsi="Arial"/>
                <w:sz w:val="12"/>
                <w:szCs w:val="12"/>
                <w:color w:val="auto"/>
                <w:w w:val="89"/>
              </w:rPr>
              <w:t>Data Analysis</w:t>
            </w:r>
          </w:p>
        </w:tc>
        <w:tc>
          <w:tcPr>
            <w:tcW w:w="740" w:type="dxa"/>
            <w:vAlign w:val="bottom"/>
            <w:tcBorders>
              <w:right w:val="single" w:sz="8" w:color="CCEEFF"/>
            </w:tcBorders>
            <w:gridSpan w:val="2"/>
            <w:shd w:val="clear" w:color="auto" w:fill="CCEEFF"/>
          </w:tcPr>
          <w:p>
            <w:pPr>
              <w:jc w:val="right"/>
              <w:ind w:right="180"/>
              <w:spacing w:after="0" w:line="125" w:lineRule="exact"/>
              <w:rPr>
                <w:sz w:val="20"/>
                <w:szCs w:val="20"/>
                <w:color w:val="auto"/>
              </w:rPr>
            </w:pPr>
            <w:r>
              <w:rPr>
                <w:rFonts w:ascii="Arial" w:cs="Arial" w:eastAsia="Arial" w:hAnsi="Arial"/>
                <w:sz w:val="12"/>
                <w:szCs w:val="12"/>
                <w:color w:val="auto"/>
              </w:rPr>
              <w:t>326,797</w:t>
            </w:r>
          </w:p>
        </w:tc>
        <w:tc>
          <w:tcPr>
            <w:tcW w:w="800" w:type="dxa"/>
            <w:vAlign w:val="bottom"/>
            <w:tcBorders>
              <w:right w:val="single" w:sz="8" w:color="CCEEFF"/>
            </w:tcBorders>
            <w:gridSpan w:val="2"/>
            <w:shd w:val="clear" w:color="auto" w:fill="CCEEFF"/>
          </w:tcPr>
          <w:p>
            <w:pPr>
              <w:jc w:val="right"/>
              <w:ind w:right="200"/>
              <w:spacing w:after="0" w:line="125" w:lineRule="exact"/>
              <w:rPr>
                <w:sz w:val="20"/>
                <w:szCs w:val="20"/>
                <w:color w:val="auto"/>
              </w:rPr>
            </w:pPr>
            <w:r>
              <w:rPr>
                <w:rFonts w:ascii="Arial" w:cs="Arial" w:eastAsia="Arial" w:hAnsi="Arial"/>
                <w:sz w:val="12"/>
                <w:szCs w:val="12"/>
                <w:color w:val="auto"/>
                <w:w w:val="91"/>
              </w:rPr>
              <w:t>$ 1,008,968</w:t>
            </w:r>
          </w:p>
        </w:tc>
        <w:tc>
          <w:tcPr>
            <w:tcW w:w="840" w:type="dxa"/>
            <w:vAlign w:val="bottom"/>
            <w:tcBorders>
              <w:right w:val="single" w:sz="8" w:color="CCEEFF"/>
            </w:tcBorders>
            <w:gridSpan w:val="2"/>
            <w:shd w:val="clear" w:color="auto" w:fill="CCEEFF"/>
          </w:tcPr>
          <w:p>
            <w:pPr>
              <w:jc w:val="right"/>
              <w:ind w:right="240"/>
              <w:spacing w:after="0" w:line="125" w:lineRule="exact"/>
              <w:rPr>
                <w:sz w:val="20"/>
                <w:szCs w:val="20"/>
                <w:color w:val="auto"/>
              </w:rPr>
            </w:pPr>
            <w:r>
              <w:rPr>
                <w:rFonts w:ascii="Arial" w:cs="Arial" w:eastAsia="Arial" w:hAnsi="Arial"/>
                <w:sz w:val="12"/>
                <w:szCs w:val="12"/>
                <w:color w:val="auto"/>
                <w:w w:val="91"/>
              </w:rPr>
              <w:t>$ 2,223,594</w:t>
            </w:r>
          </w:p>
        </w:tc>
        <w:tc>
          <w:tcPr>
            <w:tcW w:w="420" w:type="dxa"/>
            <w:vAlign w:val="bottom"/>
            <w:gridSpan w:val="3"/>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Common shares, Class A</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5,773,690</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16,189,935</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39,285,371</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w w:val="93"/>
              </w:rPr>
              <w:t>20.45%</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2400" w:type="dxa"/>
            <w:vAlign w:val="bottom"/>
            <w:gridSpan w:val="10"/>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17,198,903</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41,508,965</w:t>
            </w:r>
          </w:p>
        </w:tc>
        <w:tc>
          <w:tcPr>
            <w:tcW w:w="240" w:type="dxa"/>
            <w:vAlign w:val="bottom"/>
            <w:tcBorders>
              <w:right w:val="single" w:sz="8" w:color="CCEEFF"/>
            </w:tcBorders>
            <w:vMerge w:val="continue"/>
            <w:shd w:val="clear" w:color="auto" w:fill="CCEEFF"/>
          </w:tcPr>
          <w:p>
            <w:pPr>
              <w:spacing w:after="0"/>
              <w:rPr>
                <w:sz w:val="11"/>
                <w:szCs w:val="11"/>
                <w:color w:val="auto"/>
              </w:rPr>
            </w:pP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w w:val="93"/>
              </w:rPr>
              <w:t>21.61%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400" w:type="dxa"/>
            <w:vAlign w:val="bottom"/>
            <w:tcBorders>
              <w:top w:val="single" w:sz="8" w:color="CCEEFF"/>
            </w:tcBorders>
            <w:gridSpan w:val="10"/>
          </w:tcPr>
          <w:p>
            <w:pPr>
              <w:spacing w:after="0"/>
              <w:rPr>
                <w:sz w:val="20"/>
                <w:szCs w:val="20"/>
                <w:color w:val="auto"/>
              </w:rPr>
            </w:pPr>
            <w:r>
              <w:rPr>
                <w:rFonts w:ascii="Arial" w:cs="Arial" w:eastAsia="Arial" w:hAnsi="Arial"/>
                <w:sz w:val="12"/>
                <w:szCs w:val="12"/>
                <w:b w:val="1"/>
                <w:bCs w:val="1"/>
                <w:color w:val="auto"/>
              </w:rPr>
              <w:t>Spotify Technology S.A.**</w:t>
            </w:r>
          </w:p>
        </w:tc>
        <w:tc>
          <w:tcPr>
            <w:tcW w:w="16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gridSpan w:val="2"/>
          </w:tcPr>
          <w:p>
            <w:pPr>
              <w:jc w:val="center"/>
              <w:ind w:right="160"/>
              <w:spacing w:after="0"/>
              <w:rPr>
                <w:sz w:val="20"/>
                <w:szCs w:val="20"/>
                <w:color w:val="auto"/>
              </w:rPr>
            </w:pPr>
            <w:r>
              <w:rPr>
                <w:rFonts w:ascii="Arial" w:cs="Arial" w:eastAsia="Arial" w:hAnsi="Arial"/>
                <w:sz w:val="12"/>
                <w:szCs w:val="12"/>
                <w:color w:val="auto"/>
                <w:w w:val="88"/>
              </w:rPr>
              <w:t>Stockholm, Sweden</w:t>
            </w:r>
          </w:p>
        </w:tc>
        <w:tc>
          <w:tcPr>
            <w:tcW w:w="5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1200" w:type="dxa"/>
            <w:vAlign w:val="bottom"/>
            <w:tcBorders>
              <w:top w:val="single" w:sz="8" w:color="auto"/>
            </w:tcBorders>
            <w:gridSpan w:val="6"/>
            <w:vMerge w:val="restart"/>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200" w:type="dxa"/>
            <w:vAlign w:val="bottom"/>
            <w:gridSpan w:val="4"/>
            <w:vMerge w:val="restart"/>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jc w:val="center"/>
              <w:ind w:right="160"/>
              <w:spacing w:after="0" w:line="103" w:lineRule="exact"/>
              <w:rPr>
                <w:sz w:val="20"/>
                <w:szCs w:val="20"/>
                <w:color w:val="auto"/>
              </w:rPr>
            </w:pPr>
            <w:r>
              <w:rPr>
                <w:rFonts w:ascii="Arial" w:cs="Arial" w:eastAsia="Arial" w:hAnsi="Arial"/>
                <w:sz w:val="11"/>
                <w:szCs w:val="11"/>
                <w:color w:val="auto"/>
                <w:w w:val="98"/>
              </w:rPr>
              <w:t>On-Demand Music</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9,541</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6"/>
              </w:rPr>
              <w:t>13,599,572</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w w:val="96"/>
              </w:rPr>
              <w:t>18,931,691</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9.85%</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1200" w:type="dxa"/>
            <w:vAlign w:val="bottom"/>
            <w:gridSpan w:val="6"/>
            <w:vMerge w:val="continue"/>
            <w:shd w:val="clear" w:color="auto" w:fill="CCEEFF"/>
          </w:tcPr>
          <w:p>
            <w:pPr>
              <w:spacing w:after="0"/>
              <w:rPr>
                <w:sz w:val="11"/>
                <w:szCs w:val="11"/>
                <w:color w:val="auto"/>
              </w:rPr>
            </w:pPr>
          </w:p>
        </w:tc>
        <w:tc>
          <w:tcPr>
            <w:tcW w:w="1200" w:type="dxa"/>
            <w:vAlign w:val="bottom"/>
            <w:gridSpan w:val="4"/>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1"/>
              </w:rPr>
              <w:t>Streaming</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Coursera, Inc.</w:t>
            </w: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Mountain View, CA</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B</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89"/>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2,961,399</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w w:val="96"/>
              </w:rPr>
              <w:t>14,519,519</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96"/>
              </w:rPr>
              <w:t>14,510,855</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JAMF Holdings, Inc.</w:t>
            </w: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color w:val="auto"/>
                <w:w w:val="96"/>
              </w:rPr>
              <w:t>Minneapolis, MN</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center"/>
              <w:ind w:right="160"/>
              <w:spacing w:after="0" w:line="114" w:lineRule="exact"/>
              <w:rPr>
                <w:sz w:val="20"/>
                <w:szCs w:val="20"/>
                <w:color w:val="auto"/>
              </w:rPr>
            </w:pPr>
            <w:r>
              <w:rPr>
                <w:rFonts w:ascii="Arial" w:cs="Arial" w:eastAsia="Arial" w:hAnsi="Arial"/>
                <w:sz w:val="12"/>
                <w:szCs w:val="12"/>
                <w:color w:val="auto"/>
                <w:w w:val="92"/>
              </w:rPr>
              <w:t>Mobile Device</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73,440</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9,999,928</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w w:val="96"/>
              </w:rPr>
              <w:t>13,856,754</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7.21%</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Management</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General Assembly Space, Inc.</w:t>
            </w:r>
          </w:p>
        </w:tc>
        <w:tc>
          <w:tcPr>
            <w:tcW w:w="16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New York, NY</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500" w:type="dxa"/>
            <w:vAlign w:val="bottom"/>
            <w:tcBorders>
              <w:top w:val="single" w:sz="8" w:color="auto"/>
            </w:tcBorders>
            <w:gridSpan w:val="8"/>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C</w:t>
            </w:r>
          </w:p>
        </w:tc>
        <w:tc>
          <w:tcPr>
            <w:tcW w:w="90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89"/>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126,552</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2,999,978</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6,697,132</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133,213</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2,999,983</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7,049,632</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5,999,961</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6"/>
              </w:rPr>
              <w:t>13,746,764</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8"/>
              </w:rPr>
              <w:t>Dropbox, Inc.</w:t>
            </w:r>
          </w:p>
        </w:tc>
        <w:tc>
          <w:tcPr>
            <w:tcW w:w="1680" w:type="dxa"/>
            <w:vAlign w:val="bottom"/>
            <w:tcBorders>
              <w:top w:val="single" w:sz="8" w:color="CCEEFF"/>
            </w:tcBorders>
            <w:gridSpan w:val="8"/>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jc w:val="center"/>
              <w:ind w:right="160"/>
              <w:spacing w:after="0"/>
              <w:rPr>
                <w:sz w:val="20"/>
                <w:szCs w:val="20"/>
                <w:color w:val="auto"/>
              </w:rPr>
            </w:pPr>
            <w:r>
              <w:rPr>
                <w:rFonts w:ascii="Arial" w:cs="Arial" w:eastAsia="Arial" w:hAnsi="Arial"/>
                <w:sz w:val="12"/>
                <w:szCs w:val="12"/>
                <w:color w:val="auto"/>
                <w:w w:val="89"/>
              </w:rPr>
              <w:t>San Francisco, CA</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A-1</w:t>
            </w: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center"/>
              <w:ind w:right="160"/>
              <w:spacing w:after="0" w:line="114" w:lineRule="exact"/>
              <w:rPr>
                <w:sz w:val="20"/>
                <w:szCs w:val="20"/>
                <w:color w:val="auto"/>
              </w:rPr>
            </w:pPr>
            <w:r>
              <w:rPr>
                <w:rFonts w:ascii="Arial" w:cs="Arial" w:eastAsia="Arial" w:hAnsi="Arial"/>
                <w:sz w:val="12"/>
                <w:szCs w:val="12"/>
                <w:color w:val="auto"/>
                <w:w w:val="92"/>
              </w:rPr>
              <w:t>Cloud Computing</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552,486</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5,015,773</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5,552,484</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2.89%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Services</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760,000</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8,641,153</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7,638,000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13,656,926</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6"/>
              </w:rPr>
              <w:t>13,190,484</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6.87%</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gridSpan w:val="10"/>
          </w:tcPr>
          <w:p>
            <w:pPr>
              <w:spacing w:after="0"/>
              <w:rPr>
                <w:sz w:val="20"/>
                <w:szCs w:val="20"/>
                <w:color w:val="auto"/>
              </w:rPr>
            </w:pPr>
            <w:r>
              <w:rPr>
                <w:rFonts w:ascii="Arial" w:cs="Arial" w:eastAsia="Arial" w:hAnsi="Arial"/>
                <w:sz w:val="12"/>
                <w:szCs w:val="12"/>
                <w:b w:val="1"/>
                <w:bCs w:val="1"/>
                <w:color w:val="auto"/>
              </w:rPr>
              <w:t>Lytro, Inc.</w:t>
            </w: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2"/>
                <w:szCs w:val="12"/>
                <w:color w:val="auto"/>
                <w:w w:val="94"/>
              </w:rPr>
              <w:t>Mountain View, CA</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D</w:t>
            </w: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center"/>
              <w:ind w:right="180"/>
              <w:spacing w:after="0" w:line="114" w:lineRule="exact"/>
              <w:rPr>
                <w:sz w:val="20"/>
                <w:szCs w:val="20"/>
                <w:color w:val="auto"/>
              </w:rPr>
            </w:pPr>
            <w:r>
              <w:rPr>
                <w:rFonts w:ascii="Arial" w:cs="Arial" w:eastAsia="Arial" w:hAnsi="Arial"/>
                <w:sz w:val="12"/>
                <w:szCs w:val="12"/>
                <w:color w:val="auto"/>
                <w:w w:val="94"/>
              </w:rPr>
              <w:t>Light Field Imaging</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159,160</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502,081</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500,001</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3"/>
              </w:rPr>
              <w:t>Platform</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Preferred shares, Series C-1</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3,378,379</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10,000,002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10,408,150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10,502,083</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6"/>
              </w:rPr>
              <w:t>10,908,151</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5.68%</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88"/>
              </w:rPr>
              <w:t>Course Hero, Inc.</w:t>
            </w:r>
          </w:p>
        </w:tc>
        <w:tc>
          <w:tcPr>
            <w:tcW w:w="1500" w:type="dxa"/>
            <w:vAlign w:val="bottom"/>
            <w:tcBorders>
              <w:top w:val="single" w:sz="8" w:color="CCEEFF"/>
            </w:tcBorders>
            <w:gridSpan w:val="6"/>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jc w:val="center"/>
              <w:ind w:right="160"/>
              <w:spacing w:after="0"/>
              <w:rPr>
                <w:sz w:val="20"/>
                <w:szCs w:val="20"/>
                <w:color w:val="auto"/>
              </w:rPr>
            </w:pPr>
            <w:r>
              <w:rPr>
                <w:rFonts w:ascii="Arial" w:cs="Arial" w:eastAsia="Arial" w:hAnsi="Arial"/>
                <w:sz w:val="12"/>
                <w:szCs w:val="12"/>
                <w:color w:val="auto"/>
                <w:w w:val="91"/>
              </w:rPr>
              <w:t>Redwood City, CA</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A</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6" w:lineRule="exact"/>
              <w:rPr>
                <w:sz w:val="20"/>
                <w:szCs w:val="20"/>
                <w:color w:val="auto"/>
              </w:rPr>
            </w:pPr>
            <w:r>
              <w:rPr>
                <w:rFonts w:ascii="Arial" w:cs="Arial" w:eastAsia="Arial" w:hAnsi="Arial"/>
                <w:sz w:val="12"/>
                <w:szCs w:val="12"/>
                <w:color w:val="auto"/>
                <w:w w:val="89"/>
              </w:rPr>
              <w:t>Online Education</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2,145,509</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5,000,001</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96"/>
              </w:rPr>
              <w:t>10,532,304</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10"/>
          </w:tcPr>
          <w:p>
            <w:pPr>
              <w:spacing w:after="0"/>
              <w:rPr>
                <w:sz w:val="20"/>
                <w:szCs w:val="20"/>
                <w:color w:val="auto"/>
              </w:rPr>
            </w:pPr>
            <w:r>
              <w:rPr>
                <w:rFonts w:ascii="Arial" w:cs="Arial" w:eastAsia="Arial" w:hAnsi="Arial"/>
                <w:sz w:val="12"/>
                <w:szCs w:val="12"/>
                <w:b w:val="1"/>
                <w:bCs w:val="1"/>
                <w:color w:val="auto"/>
              </w:rPr>
              <w:t>Chegg, Inc.**</w:t>
            </w:r>
            <w:r>
              <w:rPr>
                <w:rFonts w:ascii="Arial" w:cs="Arial" w:eastAsia="Arial" w:hAnsi="Arial"/>
                <w:sz w:val="17"/>
                <w:szCs w:val="17"/>
                <w:b w:val="1"/>
                <w:bCs w:val="1"/>
                <w:color w:val="auto"/>
                <w:vertAlign w:val="superscript"/>
              </w:rPr>
              <w:t>(18)</w:t>
            </w: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Santa Clara,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160"/>
              <w:spacing w:after="0" w:line="123" w:lineRule="exact"/>
              <w:rPr>
                <w:sz w:val="20"/>
                <w:szCs w:val="20"/>
                <w:color w:val="auto"/>
              </w:rPr>
            </w:pPr>
            <w:r>
              <w:rPr>
                <w:rFonts w:ascii="Arial" w:cs="Arial" w:eastAsia="Arial" w:hAnsi="Arial"/>
                <w:sz w:val="12"/>
                <w:szCs w:val="12"/>
                <w:color w:val="auto"/>
                <w:w w:val="89"/>
              </w:rPr>
              <w:t>Online Education</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1,182,792</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6"/>
              </w:rPr>
              <w:t>14,022,863</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8,729,005</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80"/>
              <w:spacing w:after="0" w:line="134" w:lineRule="exact"/>
              <w:rPr>
                <w:sz w:val="20"/>
                <w:szCs w:val="20"/>
                <w:color w:val="auto"/>
              </w:rPr>
            </w:pPr>
            <w:r>
              <w:rPr>
                <w:rFonts w:ascii="Arial" w:cs="Arial" w:eastAsia="Arial" w:hAnsi="Arial"/>
                <w:sz w:val="12"/>
                <w:szCs w:val="12"/>
                <w:color w:val="auto"/>
                <w:w w:val="86"/>
              </w:rPr>
              <w:t>Services</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Lyft, Inc.</w:t>
            </w:r>
          </w:p>
        </w:tc>
        <w:tc>
          <w:tcPr>
            <w:tcW w:w="1880" w:type="dxa"/>
            <w:vAlign w:val="bottom"/>
            <w:gridSpan w:val="9"/>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San Francisco,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E</w:t>
            </w: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2"/>
                <w:szCs w:val="12"/>
                <w:color w:val="auto"/>
                <w:w w:val="88"/>
              </w:rPr>
              <w:t>On-Demand</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128,563</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2,503,585</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3,249,430</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9"/>
              </w:rPr>
              <w:t>Transportation Services</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Preferred shares, Series D</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176,266</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1,792,749</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4,203,062</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4,296,334</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7,452,492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gridSpan w:val="10"/>
          </w:tcPr>
          <w:p>
            <w:pPr>
              <w:spacing w:after="0"/>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7"/>
                <w:szCs w:val="17"/>
                <w:b w:val="1"/>
                <w:bCs w:val="1"/>
                <w:color w:val="auto"/>
                <w:vertAlign w:val="superscript"/>
              </w:rPr>
              <w:t>(4)</w:t>
            </w: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2"/>
                <w:szCs w:val="12"/>
                <w:color w:val="auto"/>
                <w:w w:val="95"/>
              </w:rPr>
              <w:t>New York, NY</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Preferred shares, Junior Preferred Stock</w:t>
            </w: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160"/>
              <w:spacing w:after="0" w:line="123" w:lineRule="exact"/>
              <w:rPr>
                <w:sz w:val="20"/>
                <w:szCs w:val="20"/>
                <w:color w:val="auto"/>
              </w:rPr>
            </w:pPr>
            <w:r>
              <w:rPr>
                <w:rFonts w:ascii="Arial" w:cs="Arial" w:eastAsia="Arial" w:hAnsi="Arial"/>
                <w:sz w:val="12"/>
                <w:szCs w:val="12"/>
                <w:color w:val="auto"/>
                <w:w w:val="90"/>
              </w:rPr>
              <w:t>Globally-Focused Private</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9"/>
              </w:rPr>
              <w:t>10,014,270</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w w:val="96"/>
              </w:rPr>
              <w:t>10,151,854</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6,128,733</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92"/>
              </w:rPr>
              <w:t>School</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2"/>
              </w:rPr>
              <w:t>SugarCRM, Inc.</w:t>
            </w:r>
          </w:p>
        </w:tc>
        <w:tc>
          <w:tcPr>
            <w:tcW w:w="1560" w:type="dxa"/>
            <w:vAlign w:val="bottom"/>
            <w:gridSpan w:val="7"/>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Cupertino, CA</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400" w:type="dxa"/>
            <w:vAlign w:val="bottom"/>
            <w:gridSpan w:val="10"/>
            <w:vMerge w:val="restart"/>
            <w:shd w:val="clear" w:color="auto" w:fill="CCEEFF"/>
          </w:tcPr>
          <w:p>
            <w:pPr>
              <w:spacing w:after="0"/>
              <w:rPr>
                <w:sz w:val="20"/>
                <w:szCs w:val="20"/>
                <w:color w:val="auto"/>
              </w:rPr>
            </w:pPr>
            <w:r>
              <w:rPr>
                <w:rFonts w:ascii="Arial" w:cs="Arial" w:eastAsia="Arial" w:hAnsi="Arial"/>
                <w:sz w:val="12"/>
                <w:szCs w:val="12"/>
                <w:color w:val="auto"/>
              </w:rPr>
              <w:t>Preferred shares, Series E</w:t>
            </w:r>
          </w:p>
        </w:tc>
        <w:tc>
          <w:tcPr>
            <w:tcW w:w="1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center"/>
              <w:ind w:right="200"/>
              <w:spacing w:after="0" w:line="114" w:lineRule="exact"/>
              <w:rPr>
                <w:sz w:val="20"/>
                <w:szCs w:val="20"/>
                <w:color w:val="auto"/>
              </w:rPr>
            </w:pPr>
            <w:r>
              <w:rPr>
                <w:rFonts w:ascii="Arial" w:cs="Arial" w:eastAsia="Arial" w:hAnsi="Arial"/>
                <w:sz w:val="12"/>
                <w:szCs w:val="12"/>
                <w:color w:val="auto"/>
                <w:w w:val="90"/>
              </w:rPr>
              <w:t>Customer Relationship</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373,134</w:t>
            </w:r>
          </w:p>
        </w:tc>
        <w:tc>
          <w:tcPr>
            <w:tcW w:w="8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1,500,522</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2,354,476</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400" w:type="dxa"/>
            <w:vAlign w:val="bottom"/>
            <w:gridSpan w:val="10"/>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60"/>
              <w:spacing w:after="0" w:line="134" w:lineRule="exact"/>
              <w:rPr>
                <w:sz w:val="20"/>
                <w:szCs w:val="20"/>
                <w:color w:val="auto"/>
              </w:rPr>
            </w:pPr>
            <w:r>
              <w:rPr>
                <w:rFonts w:ascii="Arial" w:cs="Arial" w:eastAsia="Arial" w:hAnsi="Arial"/>
                <w:sz w:val="12"/>
                <w:szCs w:val="12"/>
                <w:color w:val="auto"/>
                <w:w w:val="88"/>
              </w:rPr>
              <w:t>Manager</w:t>
            </w:r>
          </w:p>
        </w:tc>
        <w:tc>
          <w:tcPr>
            <w:tcW w:w="740" w:type="dxa"/>
            <w:vAlign w:val="bottom"/>
            <w:tcBorders>
              <w:right w:val="single" w:sz="8" w:color="CCEEFF"/>
            </w:tcBorders>
            <w:gridSpan w:val="2"/>
            <w:vMerge w:val="continue"/>
            <w:shd w:val="clear" w:color="auto" w:fill="CCEEFF"/>
          </w:tcPr>
          <w:p>
            <w:pPr>
              <w:spacing w:after="0"/>
              <w:rPr>
                <w:sz w:val="11"/>
                <w:szCs w:val="11"/>
                <w:color w:val="auto"/>
              </w:rPr>
            </w:pPr>
          </w:p>
        </w:tc>
        <w:tc>
          <w:tcPr>
            <w:tcW w:w="800" w:type="dxa"/>
            <w:vAlign w:val="bottom"/>
            <w:tcBorders>
              <w:right w:val="single" w:sz="8" w:color="CCEEFF"/>
            </w:tcBorders>
            <w:gridSpan w:val="2"/>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4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Common shares</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1,524,799</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5,476,502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3,762,442</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6,977,024</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6,116,918</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gridSpan w:val="10"/>
          </w:tcPr>
          <w:p>
            <w:pPr>
              <w:spacing w:after="0"/>
              <w:rPr>
                <w:sz w:val="20"/>
                <w:szCs w:val="20"/>
                <w:color w:val="auto"/>
              </w:rPr>
            </w:pPr>
            <w:r>
              <w:rPr>
                <w:rFonts w:ascii="Arial" w:cs="Arial" w:eastAsia="Arial" w:hAnsi="Arial"/>
                <w:sz w:val="12"/>
                <w:szCs w:val="12"/>
                <w:b w:val="1"/>
                <w:bCs w:val="1"/>
                <w:color w:val="auto"/>
              </w:rPr>
              <w:t>Dataminr, Inc.</w:t>
            </w: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jc w:val="center"/>
              <w:ind w:right="180"/>
              <w:spacing w:after="0"/>
              <w:rPr>
                <w:sz w:val="20"/>
                <w:szCs w:val="20"/>
                <w:color w:val="auto"/>
              </w:rPr>
            </w:pPr>
            <w:r>
              <w:rPr>
                <w:rFonts w:ascii="Arial" w:cs="Arial" w:eastAsia="Arial" w:hAnsi="Arial"/>
                <w:sz w:val="12"/>
                <w:szCs w:val="12"/>
                <w:color w:val="auto"/>
                <w:w w:val="95"/>
              </w:rPr>
              <w:t>New York, NY</w:t>
            </w: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10"/>
            <w:shd w:val="clear" w:color="auto" w:fill="CCEEFF"/>
          </w:tcPr>
          <w:p>
            <w:pPr>
              <w:spacing w:after="0" w:line="136" w:lineRule="exact"/>
              <w:rPr>
                <w:sz w:val="20"/>
                <w:szCs w:val="20"/>
                <w:color w:val="auto"/>
              </w:rPr>
            </w:pPr>
            <w:r>
              <w:rPr>
                <w:rFonts w:ascii="Arial" w:cs="Arial" w:eastAsia="Arial" w:hAnsi="Arial"/>
                <w:sz w:val="12"/>
                <w:szCs w:val="12"/>
                <w:color w:val="auto"/>
              </w:rPr>
              <w:t>Preferred shares, Series C</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2"/>
                <w:szCs w:val="12"/>
                <w:color w:val="auto"/>
                <w:w w:val="93"/>
              </w:rPr>
              <w:t>Social Media Analytics</w:t>
            </w:r>
          </w:p>
        </w:tc>
        <w:tc>
          <w:tcPr>
            <w:tcW w:w="740" w:type="dxa"/>
            <w:vAlign w:val="bottom"/>
            <w:tcBorders>
              <w:right w:val="single" w:sz="8" w:color="CCEEFF"/>
            </w:tcBorders>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301,369</w:t>
            </w:r>
          </w:p>
        </w:tc>
        <w:tc>
          <w:tcPr>
            <w:tcW w:w="800" w:type="dxa"/>
            <w:vAlign w:val="bottom"/>
            <w:tcBorders>
              <w:right w:val="single" w:sz="8" w:color="CCEEFF"/>
            </w:tcBorders>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1,100,909</w:t>
            </w:r>
          </w:p>
        </w:tc>
        <w:tc>
          <w:tcPr>
            <w:tcW w:w="840" w:type="dxa"/>
            <w:vAlign w:val="bottom"/>
            <w:tcBorders>
              <w:right w:val="single" w:sz="8" w:color="CCEEFF"/>
            </w:tcBorders>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1,377,256</w:t>
            </w:r>
          </w:p>
        </w:tc>
        <w:tc>
          <w:tcPr>
            <w:tcW w:w="4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0.72%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gridSpan w:val="10"/>
          </w:tcPr>
          <w:p>
            <w:pPr>
              <w:spacing w:after="0"/>
              <w:rPr>
                <w:sz w:val="20"/>
                <w:szCs w:val="20"/>
                <w:color w:val="auto"/>
              </w:rPr>
            </w:pPr>
            <w:r>
              <w:rPr>
                <w:rFonts w:ascii="Arial" w:cs="Arial" w:eastAsia="Arial" w:hAnsi="Arial"/>
                <w:sz w:val="12"/>
                <w:szCs w:val="12"/>
                <w:color w:val="auto"/>
              </w:rPr>
              <w:t>Preferred shares, Series B</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904,977</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2,063,356</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4,135,745</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2400" w:type="dxa"/>
            <w:vAlign w:val="bottom"/>
            <w:gridSpan w:val="10"/>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3,164,265</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5,513,001</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-113030</wp:posOffset>
            </wp:positionV>
            <wp:extent cx="7810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-113030</wp:posOffset>
            </wp:positionV>
            <wp:extent cx="404622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-566420</wp:posOffset>
            </wp:positionV>
            <wp:extent cx="7810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-566420</wp:posOffset>
            </wp:positionV>
            <wp:extent cx="404622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-1409700</wp:posOffset>
            </wp:positionV>
            <wp:extent cx="7810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-1409700</wp:posOffset>
            </wp:positionV>
            <wp:extent cx="404622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-2493645</wp:posOffset>
            </wp:positionV>
            <wp:extent cx="7810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-2493645</wp:posOffset>
            </wp:positionV>
            <wp:extent cx="404622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-3018155</wp:posOffset>
            </wp:positionV>
            <wp:extent cx="7810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-3018155</wp:posOffset>
            </wp:positionV>
            <wp:extent cx="404622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-3542665</wp:posOffset>
            </wp:positionV>
            <wp:extent cx="7810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-3542665</wp:posOffset>
            </wp:positionV>
            <wp:extent cx="404622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-4832350</wp:posOffset>
            </wp:positionV>
            <wp:extent cx="7810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-4832350</wp:posOffset>
            </wp:positionV>
            <wp:extent cx="404622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-5243195</wp:posOffset>
            </wp:positionV>
            <wp:extent cx="2857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-5243195</wp:posOffset>
            </wp:positionV>
            <wp:extent cx="11366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-5243195</wp:posOffset>
            </wp:positionV>
            <wp:extent cx="11366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-5243195</wp:posOffset>
            </wp:positionV>
            <wp:extent cx="11366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-5243195</wp:posOffset>
            </wp:positionV>
            <wp:extent cx="11366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-5243195</wp:posOffset>
            </wp:positionV>
            <wp:extent cx="10604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6045" cy="6985"/>
                    </a:xfrm>
                    <a:prstGeom prst="rect">
                      <a:avLst/>
                    </a:prstGeom>
                    <a:noFill/>
                  </pic:spPr>
                </pic:pic>
              </a:graphicData>
            </a:graphic>
          </wp:anchor>
        </w:drawing>
      </w:r>
    </w:p>
    <w:p>
      <w:pPr>
        <w:spacing w:after="0" w:line="126"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7" w:name="page88"/>
    <w:bookmarkEnd w:id="8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2016</w:t>
      </w:r>
    </w:p>
    <w:p>
      <w:pPr>
        <w:spacing w:after="0" w:line="68" w:lineRule="exact"/>
        <w:rPr>
          <w:sz w:val="20"/>
          <w:szCs w:val="20"/>
          <w:color w:val="auto"/>
        </w:rPr>
      </w:pPr>
    </w:p>
    <w:tbl>
      <w:tblPr>
        <w:tblLayout w:type="fixed"/>
        <w:tblInd w:w="1050" w:type="dxa"/>
        <w:tblCellMar>
          <w:top w:w="0" w:type="dxa"/>
          <w:left w:w="0" w:type="dxa"/>
          <w:bottom w:w="0" w:type="dxa"/>
          <w:right w:w="0" w:type="dxa"/>
        </w:tblCellMar>
      </w:tblPr>
      <w:tr>
        <w:trPr>
          <w:trHeight w:val="115"/>
        </w:trPr>
        <w:tc>
          <w:tcPr>
            <w:tcW w:w="2620" w:type="dxa"/>
            <w:vAlign w:val="bottom"/>
            <w:gridSpan w:val="10"/>
            <w:vMerge w:val="restart"/>
          </w:tcPr>
          <w:p>
            <w:pPr>
              <w:ind w:left="20"/>
              <w:spacing w:after="0"/>
              <w:rPr>
                <w:sz w:val="20"/>
                <w:szCs w:val="20"/>
                <w:color w:val="auto"/>
              </w:rPr>
            </w:pPr>
            <w:r>
              <w:rPr>
                <w:rFonts w:ascii="Arial" w:cs="Arial" w:eastAsia="Arial" w:hAnsi="Arial"/>
                <w:sz w:val="10"/>
                <w:szCs w:val="10"/>
                <w:b w:val="1"/>
                <w:bCs w:val="1"/>
                <w:color w:val="auto"/>
              </w:rPr>
              <w:t>Portfolio Investments*</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7"/>
              </w:rPr>
              <w:t>Headquarters/Industry</w:t>
            </w:r>
          </w:p>
        </w:tc>
        <w:tc>
          <w:tcPr>
            <w:tcW w:w="7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Shares/</w:t>
            </w:r>
          </w:p>
        </w:tc>
        <w:tc>
          <w:tcPr>
            <w:tcW w:w="7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Fair Value</w:t>
            </w:r>
          </w:p>
        </w:tc>
        <w:tc>
          <w:tcPr>
            <w:tcW w:w="5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9"/>
              </w:rPr>
              <w:t>% of Net</w:t>
            </w:r>
          </w:p>
        </w:tc>
        <w:tc>
          <w:tcPr>
            <w:tcW w:w="0" w:type="dxa"/>
            <w:vAlign w:val="bottom"/>
          </w:tcPr>
          <w:p>
            <w:pPr>
              <w:spacing w:after="0"/>
              <w:rPr>
                <w:sz w:val="1"/>
                <w:szCs w:val="1"/>
                <w:color w:val="auto"/>
              </w:rPr>
            </w:pPr>
          </w:p>
        </w:tc>
      </w:tr>
      <w:tr>
        <w:trPr>
          <w:trHeight w:val="140"/>
        </w:trPr>
        <w:tc>
          <w:tcPr>
            <w:tcW w:w="2620" w:type="dxa"/>
            <w:vAlign w:val="bottom"/>
            <w:gridSpan w:val="10"/>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Principal</w:t>
            </w: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19"/>
        </w:trPr>
        <w:tc>
          <w:tcPr>
            <w:tcW w:w="2620" w:type="dxa"/>
            <w:vAlign w:val="bottom"/>
            <w:tcBorders>
              <w:top w:val="single" w:sz="8" w:color="auto"/>
              <w:left w:val="single" w:sz="8" w:color="CCEEFF"/>
            </w:tcBorders>
            <w:gridSpan w:val="10"/>
            <w:shd w:val="clear" w:color="auto" w:fill="CCEEFF"/>
          </w:tcPr>
          <w:p>
            <w:pPr>
              <w:ind w:left="20"/>
              <w:spacing w:after="0" w:line="120" w:lineRule="exact"/>
              <w:rPr>
                <w:sz w:val="20"/>
                <w:szCs w:val="20"/>
                <w:color w:val="auto"/>
              </w:rPr>
            </w:pPr>
            <w:r>
              <w:rPr>
                <w:rFonts w:ascii="Arial" w:cs="Arial" w:eastAsia="Arial" w:hAnsi="Arial"/>
                <w:sz w:val="12"/>
                <w:szCs w:val="12"/>
                <w:b w:val="1"/>
                <w:bCs w:val="1"/>
                <w:color w:val="auto"/>
              </w:rPr>
              <w:t>Enjoy Technology, Inc.</w:t>
            </w:r>
          </w:p>
        </w:tc>
        <w:tc>
          <w:tcPr>
            <w:tcW w:w="14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92"/>
              </w:rPr>
              <w:t>Menlo Park, CA</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20" w:type="dxa"/>
            <w:vAlign w:val="bottom"/>
            <w:gridSpan w:val="10"/>
          </w:tcPr>
          <w:p>
            <w:pPr>
              <w:ind w:left="20"/>
              <w:spacing w:after="0" w:line="125" w:lineRule="exact"/>
              <w:rPr>
                <w:sz w:val="20"/>
                <w:szCs w:val="20"/>
                <w:color w:val="auto"/>
              </w:rPr>
            </w:pPr>
            <w:r>
              <w:rPr>
                <w:rFonts w:ascii="Arial" w:cs="Arial" w:eastAsia="Arial" w:hAnsi="Arial"/>
                <w:sz w:val="12"/>
                <w:szCs w:val="12"/>
                <w:color w:val="auto"/>
              </w:rPr>
              <w:t>Preferred shares, Series B</w:t>
            </w:r>
          </w:p>
        </w:tc>
        <w:tc>
          <w:tcPr>
            <w:tcW w:w="140" w:type="dxa"/>
            <w:vAlign w:val="bottom"/>
          </w:tcPr>
          <w:p>
            <w:pPr>
              <w:spacing w:after="0"/>
              <w:rPr>
                <w:sz w:val="10"/>
                <w:szCs w:val="10"/>
                <w:color w:val="auto"/>
              </w:rPr>
            </w:pP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89"/>
              </w:rPr>
              <w:t>On-Demand Commerce</w:t>
            </w: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1,681,520</w:t>
            </w:r>
          </w:p>
        </w:tc>
        <w:tc>
          <w:tcPr>
            <w:tcW w:w="74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w w:val="91"/>
              </w:rPr>
              <w:t>$ 4,000,280</w:t>
            </w:r>
          </w:p>
        </w:tc>
        <w:tc>
          <w:tcPr>
            <w:tcW w:w="6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w w:val="89"/>
              </w:rPr>
              <w:t>$4,000,000</w:t>
            </w:r>
          </w:p>
        </w:tc>
        <w:tc>
          <w:tcPr>
            <w:tcW w:w="440" w:type="dxa"/>
            <w:vAlign w:val="bottom"/>
            <w:gridSpan w:val="3"/>
          </w:tcPr>
          <w:p>
            <w:pPr>
              <w:jc w:val="right"/>
              <w:ind w:right="20"/>
              <w:spacing w:after="0" w:line="125" w:lineRule="exact"/>
              <w:rPr>
                <w:sz w:val="20"/>
                <w:szCs w:val="20"/>
                <w:color w:val="auto"/>
              </w:rPr>
            </w:pPr>
            <w:r>
              <w:rPr>
                <w:rFonts w:ascii="Arial" w:cs="Arial" w:eastAsia="Arial" w:hAnsi="Arial"/>
                <w:sz w:val="12"/>
                <w:szCs w:val="12"/>
                <w:color w:val="auto"/>
              </w:rPr>
              <w:t>2.08%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879,198</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1,002,440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1,443,091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10"/>
          </w:tcPr>
          <w:p>
            <w:pPr>
              <w:ind w:left="160"/>
              <w:spacing w:after="0" w:line="136" w:lineRule="exact"/>
              <w:rPr>
                <w:sz w:val="20"/>
                <w:szCs w:val="20"/>
                <w:color w:val="auto"/>
              </w:rPr>
            </w:pPr>
            <w:r>
              <w:rPr>
                <w:rFonts w:ascii="Arial" w:cs="Arial" w:eastAsia="Arial" w:hAnsi="Arial"/>
                <w:sz w:val="12"/>
                <w:szCs w:val="12"/>
                <w:color w:val="auto"/>
              </w:rPr>
              <w:t>Total</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5,002,720</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w w:val="97"/>
              </w:rPr>
              <w:t>5,443,091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88"/>
              </w:rPr>
              <w:t>2.83%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left w:val="single" w:sz="8" w:color="CCEEFF"/>
              <w:bottom w:val="single" w:sz="8" w:color="auto"/>
            </w:tcBorders>
            <w:gridSpan w:val="5"/>
            <w:shd w:val="clear" w:color="auto" w:fill="CCEEFF"/>
          </w:tcPr>
          <w:p>
            <w:pPr>
              <w:ind w:left="20"/>
              <w:spacing w:after="0"/>
              <w:rPr>
                <w:sz w:val="20"/>
                <w:szCs w:val="20"/>
                <w:color w:val="auto"/>
              </w:rPr>
            </w:pPr>
            <w:r>
              <w:rPr>
                <w:rFonts w:ascii="Arial" w:cs="Arial" w:eastAsia="Arial" w:hAnsi="Arial"/>
                <w:sz w:val="12"/>
                <w:szCs w:val="12"/>
                <w:b w:val="1"/>
                <w:bCs w:val="1"/>
                <w:color w:val="auto"/>
                <w:w w:val="89"/>
              </w:rPr>
              <w:t>Snap Inc. (f/k/a Snapchat, Inc.)</w:t>
            </w:r>
          </w:p>
        </w:tc>
        <w:tc>
          <w:tcPr>
            <w:tcW w:w="102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Venice, CA</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620" w:type="dxa"/>
            <w:vAlign w:val="bottom"/>
            <w:gridSpan w:val="10"/>
          </w:tcPr>
          <w:p>
            <w:pPr>
              <w:ind w:left="20"/>
              <w:spacing w:after="0" w:line="136" w:lineRule="exact"/>
              <w:rPr>
                <w:sz w:val="20"/>
                <w:szCs w:val="20"/>
                <w:color w:val="auto"/>
              </w:rPr>
            </w:pPr>
            <w:r>
              <w:rPr>
                <w:rFonts w:ascii="Arial" w:cs="Arial" w:eastAsia="Arial" w:hAnsi="Arial"/>
                <w:sz w:val="11"/>
                <w:szCs w:val="11"/>
                <w:color w:val="auto"/>
              </w:rPr>
              <w:t>Preferred shares, Series F</w:t>
            </w:r>
            <w:r>
              <w:rPr>
                <w:rFonts w:ascii="Arial" w:cs="Arial" w:eastAsia="Arial" w:hAnsi="Arial"/>
                <w:sz w:val="15"/>
                <w:szCs w:val="15"/>
                <w:color w:val="auto"/>
                <w:vertAlign w:val="superscript"/>
              </w:rPr>
              <w:t>(17)</w:t>
            </w:r>
          </w:p>
        </w:tc>
        <w:tc>
          <w:tcPr>
            <w:tcW w:w="140" w:type="dxa"/>
            <w:vAlign w:val="bottom"/>
          </w:tcPr>
          <w:p>
            <w:pPr>
              <w:spacing w:after="0"/>
              <w:rPr>
                <w:sz w:val="11"/>
                <w:szCs w:val="11"/>
                <w:color w:val="auto"/>
              </w:rPr>
            </w:pPr>
          </w:p>
        </w:tc>
        <w:tc>
          <w:tcPr>
            <w:tcW w:w="140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0"/>
              </w:rPr>
              <w:t>Social Communication</w:t>
            </w: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130,208</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2,001,135</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2,184,565</w:t>
            </w: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620" w:type="dxa"/>
            <w:vAlign w:val="bottom"/>
            <w:tcBorders>
              <w:left w:val="single" w:sz="8" w:color="CCEEFF"/>
            </w:tcBorders>
            <w:gridSpan w:val="10"/>
            <w:shd w:val="clear" w:color="auto" w:fill="CCEEFF"/>
          </w:tcPr>
          <w:p>
            <w:pPr>
              <w:ind w:left="20"/>
              <w:spacing w:after="0" w:line="156" w:lineRule="exact"/>
              <w:rPr>
                <w:sz w:val="20"/>
                <w:szCs w:val="20"/>
                <w:color w:val="auto"/>
              </w:rPr>
            </w:pPr>
            <w:r>
              <w:rPr>
                <w:rFonts w:ascii="Arial" w:cs="Arial" w:eastAsia="Arial" w:hAnsi="Arial"/>
                <w:sz w:val="12"/>
                <w:szCs w:val="12"/>
                <w:color w:val="auto"/>
              </w:rPr>
              <w:t>Common shares, Class A</w:t>
            </w:r>
            <w:r>
              <w:rPr>
                <w:rFonts w:ascii="Arial" w:cs="Arial" w:eastAsia="Arial" w:hAnsi="Arial"/>
                <w:sz w:val="17"/>
                <w:szCs w:val="17"/>
                <w:color w:val="auto"/>
                <w:vertAlign w:val="superscript"/>
              </w:rPr>
              <w:t>(17)</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130,208</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2,001,135</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2,184,565</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10"/>
          </w:tcPr>
          <w:p>
            <w:pPr>
              <w:ind w:left="160"/>
              <w:spacing w:after="0" w:line="136" w:lineRule="exact"/>
              <w:rPr>
                <w:sz w:val="20"/>
                <w:szCs w:val="20"/>
                <w:color w:val="auto"/>
              </w:rPr>
            </w:pPr>
            <w:r>
              <w:rPr>
                <w:rFonts w:ascii="Arial" w:cs="Arial" w:eastAsia="Arial" w:hAnsi="Arial"/>
                <w:sz w:val="12"/>
                <w:szCs w:val="12"/>
                <w:color w:val="auto"/>
              </w:rPr>
              <w:t>Total</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4,002,270</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w w:val="97"/>
              </w:rPr>
              <w:t>4,369,130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w w:val="88"/>
              </w:rPr>
              <w:t>2.28%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Parchment, Inc.</w:t>
            </w:r>
          </w:p>
        </w:tc>
        <w:tc>
          <w:tcPr>
            <w:tcW w:w="1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Scottsdale, AZ</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20" w:type="dxa"/>
            <w:vAlign w:val="bottom"/>
            <w:gridSpan w:val="10"/>
          </w:tcPr>
          <w:p>
            <w:pPr>
              <w:ind w:left="20"/>
              <w:spacing w:after="0" w:line="125" w:lineRule="exact"/>
              <w:rPr>
                <w:sz w:val="20"/>
                <w:szCs w:val="20"/>
                <w:color w:val="auto"/>
              </w:rPr>
            </w:pPr>
            <w:r>
              <w:rPr>
                <w:rFonts w:ascii="Arial" w:cs="Arial" w:eastAsia="Arial" w:hAnsi="Arial"/>
                <w:sz w:val="12"/>
                <w:szCs w:val="12"/>
                <w:color w:val="auto"/>
              </w:rPr>
              <w:t>Preferred shares, Series D</w:t>
            </w:r>
          </w:p>
        </w:tc>
        <w:tc>
          <w:tcPr>
            <w:tcW w:w="140" w:type="dxa"/>
            <w:vAlign w:val="bottom"/>
          </w:tcPr>
          <w:p>
            <w:pPr>
              <w:spacing w:after="0"/>
              <w:rPr>
                <w:sz w:val="10"/>
                <w:szCs w:val="10"/>
                <w:color w:val="auto"/>
              </w:rPr>
            </w:pPr>
          </w:p>
        </w:tc>
        <w:tc>
          <w:tcPr>
            <w:tcW w:w="1400" w:type="dxa"/>
            <w:vAlign w:val="bottom"/>
            <w:gridSpan w:val="2"/>
          </w:tcPr>
          <w:p>
            <w:pPr>
              <w:jc w:val="center"/>
              <w:ind w:right="100"/>
              <w:spacing w:after="0" w:line="125" w:lineRule="exact"/>
              <w:rPr>
                <w:sz w:val="20"/>
                <w:szCs w:val="20"/>
                <w:color w:val="auto"/>
              </w:rPr>
            </w:pPr>
            <w:r>
              <w:rPr>
                <w:rFonts w:ascii="Arial" w:cs="Arial" w:eastAsia="Arial" w:hAnsi="Arial"/>
                <w:sz w:val="12"/>
                <w:szCs w:val="12"/>
                <w:color w:val="auto"/>
                <w:w w:val="90"/>
              </w:rPr>
              <w:t>E-Transcript Exchange</w:t>
            </w:r>
          </w:p>
        </w:tc>
        <w:tc>
          <w:tcPr>
            <w:tcW w:w="72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3,200,512</w:t>
            </w:r>
          </w:p>
        </w:tc>
        <w:tc>
          <w:tcPr>
            <w:tcW w:w="74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4,000,982</w:t>
            </w:r>
          </w:p>
        </w:tc>
        <w:tc>
          <w:tcPr>
            <w:tcW w:w="68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4,000,000</w:t>
            </w:r>
          </w:p>
        </w:tc>
        <w:tc>
          <w:tcPr>
            <w:tcW w:w="440" w:type="dxa"/>
            <w:vAlign w:val="bottom"/>
            <w:gridSpan w:val="3"/>
          </w:tcPr>
          <w:p>
            <w:pPr>
              <w:jc w:val="right"/>
              <w:ind w:right="20"/>
              <w:spacing w:after="0" w:line="125" w:lineRule="exact"/>
              <w:rPr>
                <w:sz w:val="20"/>
                <w:szCs w:val="20"/>
                <w:color w:val="auto"/>
              </w:rPr>
            </w:pPr>
            <w:r>
              <w:rPr>
                <w:rFonts w:ascii="Arial" w:cs="Arial" w:eastAsia="Arial" w:hAnsi="Arial"/>
                <w:sz w:val="12"/>
                <w:szCs w:val="12"/>
                <w:color w:val="auto"/>
              </w:rPr>
              <w:t>2.08%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Knewton, Inc.</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5"/>
              </w:rPr>
              <w:t>New York, NY</w:t>
            </w: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10"/>
          </w:tcPr>
          <w:p>
            <w:pPr>
              <w:ind w:left="20"/>
              <w:spacing w:after="0" w:line="136" w:lineRule="exact"/>
              <w:rPr>
                <w:sz w:val="20"/>
                <w:szCs w:val="20"/>
                <w:color w:val="auto"/>
              </w:rPr>
            </w:pPr>
            <w:r>
              <w:rPr>
                <w:rFonts w:ascii="Arial" w:cs="Arial" w:eastAsia="Arial" w:hAnsi="Arial"/>
                <w:sz w:val="12"/>
                <w:szCs w:val="12"/>
                <w:color w:val="auto"/>
              </w:rPr>
              <w:t>Preferred shares, Series E</w:t>
            </w:r>
          </w:p>
        </w:tc>
        <w:tc>
          <w:tcPr>
            <w:tcW w:w="140" w:type="dxa"/>
            <w:vAlign w:val="bottom"/>
          </w:tcPr>
          <w:p>
            <w:pPr>
              <w:spacing w:after="0"/>
              <w:rPr>
                <w:sz w:val="11"/>
                <w:szCs w:val="11"/>
                <w:color w:val="auto"/>
              </w:rPr>
            </w:pPr>
          </w:p>
        </w:tc>
        <w:tc>
          <w:tcPr>
            <w:tcW w:w="140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1"/>
              </w:rPr>
              <w:t>Online Education</w:t>
            </w: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375,985</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4,999,999</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3,782,409</w:t>
            </w: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1.97%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DogVacay, Inc.</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0"/>
              </w:rPr>
              <w:t>Santa Monica, CA</w:t>
            </w: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10"/>
          </w:tcPr>
          <w:p>
            <w:pPr>
              <w:ind w:left="20"/>
              <w:spacing w:after="0" w:line="136" w:lineRule="exact"/>
              <w:rPr>
                <w:sz w:val="20"/>
                <w:szCs w:val="20"/>
                <w:color w:val="auto"/>
              </w:rPr>
            </w:pPr>
            <w:r>
              <w:rPr>
                <w:rFonts w:ascii="Arial" w:cs="Arial" w:eastAsia="Arial" w:hAnsi="Arial"/>
                <w:sz w:val="12"/>
                <w:szCs w:val="12"/>
                <w:color w:val="auto"/>
              </w:rPr>
              <w:t>Preferred shares, Series B-1</w:t>
            </w:r>
          </w:p>
        </w:tc>
        <w:tc>
          <w:tcPr>
            <w:tcW w:w="140" w:type="dxa"/>
            <w:vAlign w:val="bottom"/>
          </w:tcPr>
          <w:p>
            <w:pPr>
              <w:spacing w:after="0"/>
              <w:rPr>
                <w:sz w:val="11"/>
                <w:szCs w:val="11"/>
                <w:color w:val="auto"/>
              </w:rPr>
            </w:pPr>
          </w:p>
        </w:tc>
        <w:tc>
          <w:tcPr>
            <w:tcW w:w="140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86"/>
              </w:rPr>
              <w:t>Peer-to-Peer Pet Services</w:t>
            </w: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514,562</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2,506,119</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2,500,771</w:t>
            </w: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SharesPost, Inc.</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San Bruno, CA</w:t>
            </w: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620" w:type="dxa"/>
            <w:vAlign w:val="bottom"/>
            <w:gridSpan w:val="10"/>
            <w:vMerge w:val="restart"/>
          </w:tcPr>
          <w:p>
            <w:pPr>
              <w:ind w:left="20"/>
              <w:spacing w:after="0"/>
              <w:rPr>
                <w:sz w:val="20"/>
                <w:szCs w:val="20"/>
                <w:color w:val="auto"/>
              </w:rPr>
            </w:pPr>
            <w:r>
              <w:rPr>
                <w:rFonts w:ascii="Arial" w:cs="Arial" w:eastAsia="Arial" w:hAnsi="Arial"/>
                <w:sz w:val="12"/>
                <w:szCs w:val="12"/>
                <w:color w:val="auto"/>
              </w:rPr>
              <w:t>Preferred shares, Series B</w:t>
            </w:r>
          </w:p>
        </w:tc>
        <w:tc>
          <w:tcPr>
            <w:tcW w:w="140" w:type="dxa"/>
            <w:vAlign w:val="bottom"/>
          </w:tcPr>
          <w:p>
            <w:pPr>
              <w:spacing w:after="0"/>
              <w:rPr>
                <w:sz w:val="9"/>
                <w:szCs w:val="9"/>
                <w:color w:val="auto"/>
              </w:rPr>
            </w:pPr>
          </w:p>
        </w:tc>
        <w:tc>
          <w:tcPr>
            <w:tcW w:w="1400" w:type="dxa"/>
            <w:vAlign w:val="bottom"/>
            <w:gridSpan w:val="2"/>
          </w:tcPr>
          <w:p>
            <w:pPr>
              <w:jc w:val="center"/>
              <w:ind w:right="120"/>
              <w:spacing w:after="0" w:line="114" w:lineRule="exact"/>
              <w:rPr>
                <w:sz w:val="20"/>
                <w:szCs w:val="20"/>
                <w:color w:val="auto"/>
              </w:rPr>
            </w:pPr>
            <w:r>
              <w:rPr>
                <w:rFonts w:ascii="Arial" w:cs="Arial" w:eastAsia="Arial" w:hAnsi="Arial"/>
                <w:sz w:val="12"/>
                <w:szCs w:val="12"/>
                <w:color w:val="auto"/>
                <w:w w:val="92"/>
              </w:rPr>
              <w:t>Online Marketplace</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1,771,653</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2,259,716</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2,249,999</w:t>
            </w:r>
          </w:p>
        </w:tc>
        <w:tc>
          <w:tcPr>
            <w:tcW w:w="44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1.17%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620" w:type="dxa"/>
            <w:vAlign w:val="bottom"/>
            <w:gridSpan w:val="10"/>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100"/>
              <w:spacing w:after="0" w:line="134" w:lineRule="exact"/>
              <w:rPr>
                <w:sz w:val="20"/>
                <w:szCs w:val="20"/>
                <w:color w:val="auto"/>
              </w:rPr>
            </w:pPr>
            <w:r>
              <w:rPr>
                <w:rFonts w:ascii="Arial" w:cs="Arial" w:eastAsia="Arial" w:hAnsi="Arial"/>
                <w:sz w:val="12"/>
                <w:szCs w:val="12"/>
                <w:color w:val="auto"/>
                <w:w w:val="88"/>
              </w:rPr>
              <w:t>Finance</w:t>
            </w:r>
          </w:p>
        </w:tc>
        <w:tc>
          <w:tcPr>
            <w:tcW w:w="7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620" w:type="dxa"/>
            <w:vAlign w:val="bottom"/>
            <w:tcBorders>
              <w:left w:val="single" w:sz="8" w:color="CCEEFF"/>
            </w:tcBorders>
            <w:gridSpan w:val="10"/>
            <w:shd w:val="clear" w:color="auto" w:fill="CCEEFF"/>
          </w:tcPr>
          <w:p>
            <w:pPr>
              <w:ind w:left="20"/>
              <w:spacing w:after="0" w:line="123" w:lineRule="exact"/>
              <w:rPr>
                <w:sz w:val="20"/>
                <w:szCs w:val="20"/>
                <w:color w:val="auto"/>
              </w:rPr>
            </w:pPr>
            <w:r>
              <w:rPr>
                <w:rFonts w:ascii="Arial" w:cs="Arial" w:eastAsia="Arial" w:hAnsi="Arial"/>
                <w:sz w:val="12"/>
                <w:szCs w:val="12"/>
                <w:color w:val="auto"/>
                <w:w w:val="89"/>
              </w:rPr>
              <w:t>Common warrants, $0.13 Strike Price, Expiration Date</w:t>
            </w: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770,934</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23,128</w:t>
            </w:r>
          </w:p>
        </w:tc>
        <w:tc>
          <w:tcPr>
            <w:tcW w:w="140" w:type="dxa"/>
            <w:vAlign w:val="bottom"/>
            <w:tcBorders>
              <w:right w:val="single" w:sz="8" w:color="CCEEFF"/>
            </w:tcBorders>
            <w:vMerge w:val="restart"/>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69,384</w:t>
            </w:r>
          </w:p>
        </w:tc>
        <w:tc>
          <w:tcPr>
            <w:tcW w:w="4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0.04%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20" w:type="dxa"/>
            <w:vAlign w:val="bottom"/>
            <w:tcBorders>
              <w:left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6/15/2018</w:t>
            </w:r>
          </w:p>
        </w:tc>
        <w:tc>
          <w:tcPr>
            <w:tcW w:w="3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44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gridSpan w:val="10"/>
          </w:tcPr>
          <w:p>
            <w:pPr>
              <w:ind w:left="160"/>
              <w:spacing w:after="0"/>
              <w:rPr>
                <w:sz w:val="20"/>
                <w:szCs w:val="20"/>
                <w:color w:val="auto"/>
              </w:rPr>
            </w:pPr>
            <w:r>
              <w:rPr>
                <w:rFonts w:ascii="Arial" w:cs="Arial" w:eastAsia="Arial" w:hAnsi="Arial"/>
                <w:sz w:val="12"/>
                <w:szCs w:val="12"/>
                <w:color w:val="auto"/>
              </w:rPr>
              <w:t>Total</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2,282,844</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2,319,383</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color w:val="auto"/>
              </w:rPr>
              <w:t>1.21%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620" w:type="dxa"/>
            <w:vAlign w:val="bottom"/>
            <w:tcBorders>
              <w:top w:val="single" w:sz="8" w:color="CCEEFF"/>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DreamBox Learning, Inc.</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4"/>
              </w:rPr>
              <w:t>Bellevue, WA</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10"/>
          </w:tcPr>
          <w:p>
            <w:pPr>
              <w:ind w:left="20"/>
              <w:spacing w:after="0" w:line="136" w:lineRule="exact"/>
              <w:rPr>
                <w:sz w:val="20"/>
                <w:szCs w:val="20"/>
                <w:color w:val="auto"/>
              </w:rPr>
            </w:pPr>
            <w:r>
              <w:rPr>
                <w:rFonts w:ascii="Arial" w:cs="Arial" w:eastAsia="Arial" w:hAnsi="Arial"/>
                <w:sz w:val="12"/>
                <w:szCs w:val="12"/>
                <w:color w:val="auto"/>
              </w:rPr>
              <w:t>Preferred shares, Series A-1</w:t>
            </w:r>
          </w:p>
        </w:tc>
        <w:tc>
          <w:tcPr>
            <w:tcW w:w="140" w:type="dxa"/>
            <w:vAlign w:val="bottom"/>
          </w:tcPr>
          <w:p>
            <w:pPr>
              <w:spacing w:after="0"/>
              <w:rPr>
                <w:sz w:val="11"/>
                <w:szCs w:val="11"/>
                <w:color w:val="auto"/>
              </w:rPr>
            </w:pPr>
          </w:p>
        </w:tc>
        <w:tc>
          <w:tcPr>
            <w:tcW w:w="140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0"/>
              </w:rPr>
              <w:t>Education Technology</w:t>
            </w: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7,159,221</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1,502,362</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1,503,436</w:t>
            </w: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3,579,610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758,017</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751,718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0.39%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gridSpan w:val="10"/>
          </w:tcPr>
          <w:p>
            <w:pPr>
              <w:ind w:left="160"/>
              <w:spacing w:after="0"/>
              <w:rPr>
                <w:sz w:val="20"/>
                <w:szCs w:val="20"/>
                <w:color w:val="auto"/>
              </w:rPr>
            </w:pPr>
            <w:r>
              <w:rPr>
                <w:rFonts w:ascii="Arial" w:cs="Arial" w:eastAsia="Arial" w:hAnsi="Arial"/>
                <w:sz w:val="12"/>
                <w:szCs w:val="12"/>
                <w:color w:val="auto"/>
              </w:rPr>
              <w:t>Total</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2,260,379</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2,255,154</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color w:val="auto"/>
              </w:rPr>
              <w:t>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00" w:type="dxa"/>
            <w:vAlign w:val="bottom"/>
            <w:tcBorders>
              <w:top w:val="single" w:sz="8" w:color="CCEEFF"/>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w w:val="87"/>
              </w:rPr>
              <w:t>Clever, Inc.</w:t>
            </w:r>
          </w:p>
        </w:tc>
        <w:tc>
          <w:tcPr>
            <w:tcW w:w="202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San Francisco, CA</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620" w:type="dxa"/>
            <w:vAlign w:val="bottom"/>
            <w:gridSpan w:val="10"/>
          </w:tcPr>
          <w:p>
            <w:pPr>
              <w:ind w:left="20"/>
              <w:spacing w:after="0" w:line="136" w:lineRule="exact"/>
              <w:rPr>
                <w:sz w:val="20"/>
                <w:szCs w:val="20"/>
                <w:color w:val="auto"/>
              </w:rPr>
            </w:pPr>
            <w:r>
              <w:rPr>
                <w:rFonts w:ascii="Arial" w:cs="Arial" w:eastAsia="Arial" w:hAnsi="Arial"/>
                <w:sz w:val="12"/>
                <w:szCs w:val="12"/>
                <w:color w:val="auto"/>
              </w:rPr>
              <w:t>Preferred shares, Series B</w:t>
            </w:r>
          </w:p>
        </w:tc>
        <w:tc>
          <w:tcPr>
            <w:tcW w:w="140" w:type="dxa"/>
            <w:vAlign w:val="bottom"/>
          </w:tcPr>
          <w:p>
            <w:pPr>
              <w:spacing w:after="0"/>
              <w:rPr>
                <w:sz w:val="11"/>
                <w:szCs w:val="11"/>
                <w:color w:val="auto"/>
              </w:rPr>
            </w:pPr>
          </w:p>
        </w:tc>
        <w:tc>
          <w:tcPr>
            <w:tcW w:w="1400" w:type="dxa"/>
            <w:vAlign w:val="bottom"/>
            <w:gridSpan w:val="2"/>
          </w:tcPr>
          <w:p>
            <w:pPr>
              <w:jc w:val="center"/>
              <w:ind w:right="100"/>
              <w:spacing w:after="0" w:line="136" w:lineRule="exact"/>
              <w:rPr>
                <w:sz w:val="20"/>
                <w:szCs w:val="20"/>
                <w:color w:val="auto"/>
              </w:rPr>
            </w:pPr>
            <w:r>
              <w:rPr>
                <w:rFonts w:ascii="Arial" w:cs="Arial" w:eastAsia="Arial" w:hAnsi="Arial"/>
                <w:sz w:val="12"/>
                <w:szCs w:val="12"/>
                <w:color w:val="auto"/>
                <w:w w:val="90"/>
              </w:rPr>
              <w:t>Education Software</w:t>
            </w: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1,799,047</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2,000,601</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2,000,001</w:t>
            </w: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640" w:type="dxa"/>
            <w:vAlign w:val="bottom"/>
            <w:tcBorders>
              <w:left w:val="single" w:sz="8" w:color="CCEEFF"/>
              <w:bottom w:val="single" w:sz="8" w:color="auto"/>
            </w:tcBorders>
            <w:gridSpan w:val="6"/>
            <w:shd w:val="clear" w:color="auto" w:fill="CCEEFF"/>
          </w:tcPr>
          <w:p>
            <w:pPr>
              <w:ind w:left="20"/>
              <w:spacing w:after="0"/>
              <w:rPr>
                <w:sz w:val="20"/>
                <w:szCs w:val="20"/>
                <w:color w:val="auto"/>
              </w:rPr>
            </w:pPr>
            <w:r>
              <w:rPr>
                <w:rFonts w:ascii="Arial" w:cs="Arial" w:eastAsia="Arial" w:hAnsi="Arial"/>
                <w:sz w:val="12"/>
                <w:szCs w:val="12"/>
                <w:b w:val="1"/>
                <w:bCs w:val="1"/>
                <w:color w:val="auto"/>
                <w:w w:val="91"/>
              </w:rPr>
              <w:t>Tynker (f/k/a Neuron Fuel, Inc.)</w:t>
            </w:r>
          </w:p>
        </w:tc>
        <w:tc>
          <w:tcPr>
            <w:tcW w:w="980" w:type="dxa"/>
            <w:vAlign w:val="bottom"/>
            <w:tcBorders>
              <w:bottom w:val="single" w:sz="8" w:color="CCEEFF"/>
            </w:tcBorders>
            <w:gridSpan w:val="4"/>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4"/>
              </w:rPr>
              <w:t>Mountain View, CA</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620" w:type="dxa"/>
            <w:vAlign w:val="bottom"/>
            <w:gridSpan w:val="10"/>
          </w:tcPr>
          <w:p>
            <w:pPr>
              <w:ind w:left="20"/>
              <w:spacing w:after="0" w:line="136" w:lineRule="exact"/>
              <w:rPr>
                <w:sz w:val="20"/>
                <w:szCs w:val="20"/>
                <w:color w:val="auto"/>
              </w:rPr>
            </w:pPr>
            <w:r>
              <w:rPr>
                <w:rFonts w:ascii="Arial" w:cs="Arial" w:eastAsia="Arial" w:hAnsi="Arial"/>
                <w:sz w:val="12"/>
                <w:szCs w:val="12"/>
                <w:color w:val="auto"/>
              </w:rPr>
              <w:t>Preferred shares, Series A</w:t>
            </w:r>
          </w:p>
        </w:tc>
        <w:tc>
          <w:tcPr>
            <w:tcW w:w="140" w:type="dxa"/>
            <w:vAlign w:val="bottom"/>
          </w:tcPr>
          <w:p>
            <w:pPr>
              <w:spacing w:after="0"/>
              <w:rPr>
                <w:sz w:val="11"/>
                <w:szCs w:val="11"/>
                <w:color w:val="auto"/>
              </w:rPr>
            </w:pPr>
          </w:p>
        </w:tc>
        <w:tc>
          <w:tcPr>
            <w:tcW w:w="1400" w:type="dxa"/>
            <w:vAlign w:val="bottom"/>
            <w:gridSpan w:val="2"/>
          </w:tcPr>
          <w:p>
            <w:pPr>
              <w:jc w:val="center"/>
              <w:ind w:right="100"/>
              <w:spacing w:after="0" w:line="136" w:lineRule="exact"/>
              <w:rPr>
                <w:sz w:val="20"/>
                <w:szCs w:val="20"/>
                <w:color w:val="auto"/>
              </w:rPr>
            </w:pPr>
            <w:r>
              <w:rPr>
                <w:rFonts w:ascii="Arial" w:cs="Arial" w:eastAsia="Arial" w:hAnsi="Arial"/>
                <w:sz w:val="12"/>
                <w:szCs w:val="12"/>
                <w:color w:val="auto"/>
                <w:w w:val="90"/>
              </w:rPr>
              <w:t>Computer Software</w:t>
            </w:r>
          </w:p>
        </w:tc>
        <w:tc>
          <w:tcPr>
            <w:tcW w:w="7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534,162</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309,310</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881,367</w:t>
            </w:r>
          </w:p>
        </w:tc>
        <w:tc>
          <w:tcPr>
            <w:tcW w:w="44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0.46%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Fullbridge, Inc.</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Cambridge, MA</w:t>
            </w: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82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2"/>
                <w:szCs w:val="12"/>
                <w:color w:val="auto"/>
                <w:w w:val="86"/>
              </w:rPr>
              <w:t>Common shares</w:t>
            </w:r>
          </w:p>
        </w:tc>
        <w:tc>
          <w:tcPr>
            <w:tcW w:w="1800" w:type="dxa"/>
            <w:vAlign w:val="bottom"/>
            <w:tcBorders>
              <w:top w:val="single" w:sz="8" w:color="CCEEFF"/>
            </w:tcBorders>
            <w:gridSpan w:val="8"/>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0" w:type="dxa"/>
            <w:vAlign w:val="bottom"/>
            <w:tcBorders>
              <w:top w:val="single" w:sz="8" w:color="CCEEFF"/>
            </w:tcBorders>
            <w:gridSpan w:val="2"/>
          </w:tcPr>
          <w:p>
            <w:pPr>
              <w:jc w:val="center"/>
              <w:ind w:right="100"/>
              <w:spacing w:after="0" w:line="136" w:lineRule="exact"/>
              <w:rPr>
                <w:sz w:val="20"/>
                <w:szCs w:val="20"/>
                <w:color w:val="auto"/>
              </w:rPr>
            </w:pPr>
            <w:r>
              <w:rPr>
                <w:rFonts w:ascii="Arial" w:cs="Arial" w:eastAsia="Arial" w:hAnsi="Arial"/>
                <w:sz w:val="12"/>
                <w:szCs w:val="12"/>
                <w:color w:val="auto"/>
                <w:w w:val="89"/>
              </w:rPr>
              <w:t>Business Education</w:t>
            </w:r>
          </w:p>
        </w:tc>
        <w:tc>
          <w:tcPr>
            <w:tcW w:w="72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517,917</w:t>
            </w:r>
          </w:p>
        </w:tc>
        <w:tc>
          <w:tcPr>
            <w:tcW w:w="74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6,150,506</w:t>
            </w:r>
          </w:p>
        </w:tc>
        <w:tc>
          <w:tcPr>
            <w:tcW w:w="680" w:type="dxa"/>
            <w:vAlign w:val="bottom"/>
            <w:tcBorders>
              <w:top w:val="single" w:sz="8" w:color="CCEEFF"/>
            </w:tcBorders>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gridSpan w:val="3"/>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color w:val="auto"/>
              </w:rPr>
              <w:t>Junior note 1.49%, Due 11/9/2021</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2,270,458</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2,270,858</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877,359</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0.46%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gridSpan w:val="10"/>
          </w:tcPr>
          <w:p>
            <w:pPr>
              <w:ind w:left="160"/>
              <w:spacing w:after="0"/>
              <w:rPr>
                <w:sz w:val="20"/>
                <w:szCs w:val="20"/>
                <w:color w:val="auto"/>
              </w:rPr>
            </w:pPr>
            <w:r>
              <w:rPr>
                <w:rFonts w:ascii="Arial" w:cs="Arial" w:eastAsia="Arial" w:hAnsi="Arial"/>
                <w:sz w:val="12"/>
                <w:szCs w:val="12"/>
                <w:color w:val="auto"/>
              </w:rPr>
              <w:t>Total</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8,421,364</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877,359</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color w:val="auto"/>
              </w:rPr>
              <w:t>0.46%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620" w:type="dxa"/>
            <w:vAlign w:val="bottom"/>
            <w:tcBorders>
              <w:top w:val="single" w:sz="8" w:color="CCEEFF"/>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4C Insights (f/k/a The Echo Systems Corp.)</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2"/>
              </w:rPr>
              <w:t>Chicago, IL</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200" w:type="dxa"/>
            <w:vAlign w:val="bottom"/>
            <w:tcBorders>
              <w:top w:val="single" w:sz="8" w:color="auto"/>
            </w:tcBorders>
            <w:gridSpan w:val="8"/>
          </w:tcPr>
          <w:p>
            <w:pPr>
              <w:ind w:left="20"/>
              <w:spacing w:after="0" w:line="136" w:lineRule="exact"/>
              <w:rPr>
                <w:sz w:val="20"/>
                <w:szCs w:val="20"/>
                <w:color w:val="auto"/>
              </w:rPr>
            </w:pPr>
            <w:r>
              <w:rPr>
                <w:rFonts w:ascii="Arial" w:cs="Arial" w:eastAsia="Arial" w:hAnsi="Arial"/>
                <w:sz w:val="12"/>
                <w:szCs w:val="12"/>
                <w:color w:val="auto"/>
              </w:rPr>
              <w:t>Common shares</w:t>
            </w:r>
          </w:p>
        </w:tc>
        <w:tc>
          <w:tcPr>
            <w:tcW w:w="420" w:type="dxa"/>
            <w:vAlign w:val="bottom"/>
            <w:tcBorders>
              <w:top w:val="single" w:sz="8" w:color="CCEEFF"/>
            </w:tcBorders>
            <w:gridSpan w:val="2"/>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400" w:type="dxa"/>
            <w:vAlign w:val="bottom"/>
            <w:tcBorders>
              <w:top w:val="single" w:sz="8" w:color="CCEEFF"/>
            </w:tcBorders>
            <w:gridSpan w:val="2"/>
          </w:tcPr>
          <w:p>
            <w:pPr>
              <w:jc w:val="center"/>
              <w:ind w:right="120"/>
              <w:spacing w:after="0" w:line="136" w:lineRule="exact"/>
              <w:rPr>
                <w:sz w:val="20"/>
                <w:szCs w:val="20"/>
                <w:color w:val="auto"/>
              </w:rPr>
            </w:pPr>
            <w:r>
              <w:rPr>
                <w:rFonts w:ascii="Arial" w:cs="Arial" w:eastAsia="Arial" w:hAnsi="Arial"/>
                <w:sz w:val="12"/>
                <w:szCs w:val="12"/>
                <w:color w:val="auto"/>
                <w:w w:val="91"/>
              </w:rPr>
              <w:t>Social Data Platform</w:t>
            </w:r>
          </w:p>
        </w:tc>
        <w:tc>
          <w:tcPr>
            <w:tcW w:w="72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436,219</w:t>
            </w:r>
          </w:p>
        </w:tc>
        <w:tc>
          <w:tcPr>
            <w:tcW w:w="740" w:type="dxa"/>
            <w:vAlign w:val="bottom"/>
            <w:tcBorders>
              <w:top w:val="single" w:sz="8" w:color="CCEEFF"/>
            </w:tcBorders>
            <w:gridSpan w:val="2"/>
          </w:tcPr>
          <w:p>
            <w:pPr>
              <w:jc w:val="right"/>
              <w:ind w:right="140"/>
              <w:spacing w:after="0" w:line="136" w:lineRule="exact"/>
              <w:rPr>
                <w:sz w:val="20"/>
                <w:szCs w:val="20"/>
                <w:color w:val="auto"/>
              </w:rPr>
            </w:pPr>
            <w:r>
              <w:rPr>
                <w:rFonts w:ascii="Arial" w:cs="Arial" w:eastAsia="Arial" w:hAnsi="Arial"/>
                <w:sz w:val="12"/>
                <w:szCs w:val="12"/>
                <w:color w:val="auto"/>
              </w:rPr>
              <w:t>1,436,404</w:t>
            </w:r>
          </w:p>
        </w:tc>
        <w:tc>
          <w:tcPr>
            <w:tcW w:w="680" w:type="dxa"/>
            <w:vAlign w:val="bottom"/>
            <w:tcBorders>
              <w:top w:val="single" w:sz="8" w:color="CCEEFF"/>
            </w:tcBorders>
            <w:gridSpan w:val="2"/>
          </w:tcPr>
          <w:p>
            <w:pPr>
              <w:jc w:val="right"/>
              <w:ind w:right="120"/>
              <w:spacing w:after="0" w:line="136" w:lineRule="exact"/>
              <w:rPr>
                <w:sz w:val="20"/>
                <w:szCs w:val="20"/>
                <w:color w:val="auto"/>
              </w:rPr>
            </w:pPr>
            <w:r>
              <w:rPr>
                <w:rFonts w:ascii="Arial" w:cs="Arial" w:eastAsia="Arial" w:hAnsi="Arial"/>
                <w:sz w:val="12"/>
                <w:szCs w:val="12"/>
                <w:color w:val="auto"/>
              </w:rPr>
              <w:t>505,744</w:t>
            </w:r>
          </w:p>
        </w:tc>
        <w:tc>
          <w:tcPr>
            <w:tcW w:w="440" w:type="dxa"/>
            <w:vAlign w:val="bottom"/>
            <w:tcBorders>
              <w:top w:val="single" w:sz="8" w:color="CCEEFF"/>
            </w:tcBorders>
            <w:gridSpan w:val="3"/>
          </w:tcPr>
          <w:p>
            <w:pPr>
              <w:jc w:val="right"/>
              <w:ind w:right="20"/>
              <w:spacing w:after="0" w:line="136" w:lineRule="exact"/>
              <w:rPr>
                <w:sz w:val="20"/>
                <w:szCs w:val="20"/>
                <w:color w:val="auto"/>
              </w:rPr>
            </w:pPr>
            <w:r>
              <w:rPr>
                <w:rFonts w:ascii="Arial" w:cs="Arial" w:eastAsia="Arial" w:hAnsi="Arial"/>
                <w:sz w:val="12"/>
                <w:szCs w:val="12"/>
                <w:color w:val="auto"/>
              </w:rPr>
              <w:t>0.26%</w:t>
            </w: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CCEEFF"/>
              <w:bottom w:val="single" w:sz="8" w:color="auto"/>
              <w:righ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b w:val="1"/>
                <w:bCs w:val="1"/>
                <w:color w:val="auto"/>
                <w:w w:val="89"/>
              </w:rPr>
              <w:t>Aspiration Partners, Inc.</w:t>
            </w:r>
          </w:p>
        </w:tc>
        <w:tc>
          <w:tcPr>
            <w:tcW w:w="1320" w:type="dxa"/>
            <w:vAlign w:val="bottom"/>
            <w:tcBorders>
              <w:bottom w:val="single" w:sz="8" w:color="CCEEFF"/>
            </w:tcBorders>
            <w:gridSpan w:val="6"/>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Marina Del Rey, CA</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620" w:type="dxa"/>
            <w:vAlign w:val="bottom"/>
            <w:gridSpan w:val="10"/>
          </w:tcPr>
          <w:p>
            <w:pPr>
              <w:ind w:left="20"/>
              <w:spacing w:after="0" w:line="147" w:lineRule="exact"/>
              <w:rPr>
                <w:sz w:val="20"/>
                <w:szCs w:val="20"/>
                <w:color w:val="auto"/>
              </w:rPr>
            </w:pPr>
            <w:r>
              <w:rPr>
                <w:rFonts w:ascii="Arial" w:cs="Arial" w:eastAsia="Arial" w:hAnsi="Arial"/>
                <w:sz w:val="12"/>
                <w:szCs w:val="12"/>
                <w:color w:val="auto"/>
              </w:rPr>
              <w:t>Preferred shares, Series A</w:t>
            </w:r>
            <w:r>
              <w:rPr>
                <w:rFonts w:ascii="Arial" w:cs="Arial" w:eastAsia="Arial" w:hAnsi="Arial"/>
                <w:sz w:val="17"/>
                <w:szCs w:val="17"/>
                <w:color w:val="auto"/>
                <w:vertAlign w:val="superscript"/>
              </w:rPr>
              <w:t>(11)</w:t>
            </w:r>
          </w:p>
        </w:tc>
        <w:tc>
          <w:tcPr>
            <w:tcW w:w="140" w:type="dxa"/>
            <w:vAlign w:val="bottom"/>
          </w:tcPr>
          <w:p>
            <w:pPr>
              <w:spacing w:after="0"/>
              <w:rPr>
                <w:sz w:val="12"/>
                <w:szCs w:val="1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Financial Services</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540,270</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1,001,815</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307,954</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color w:val="auto"/>
              </w:rPr>
              <w:t>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380" w:type="dxa"/>
            <w:vAlign w:val="bottom"/>
            <w:tcBorders>
              <w:left w:val="single" w:sz="8" w:color="CCEEFF"/>
              <w:bottom w:val="single" w:sz="8" w:color="auto"/>
            </w:tcBorders>
            <w:gridSpan w:val="9"/>
            <w:shd w:val="clear" w:color="auto" w:fill="CCEEFF"/>
          </w:tcPr>
          <w:p>
            <w:pPr>
              <w:ind w:left="20"/>
              <w:spacing w:after="0"/>
              <w:rPr>
                <w:sz w:val="20"/>
                <w:szCs w:val="20"/>
                <w:color w:val="auto"/>
              </w:rPr>
            </w:pPr>
            <w:r>
              <w:rPr>
                <w:rFonts w:ascii="Arial" w:cs="Arial" w:eastAsia="Arial" w:hAnsi="Arial"/>
                <w:sz w:val="12"/>
                <w:szCs w:val="12"/>
                <w:b w:val="1"/>
                <w:bCs w:val="1"/>
                <w:color w:val="auto"/>
                <w:w w:val="92"/>
              </w:rPr>
              <w:t>Handle Financial, Inc. (f/k/a PayNearMe, Inc.)</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0"/>
              </w:rPr>
              <w:t>Sunnyvale, CA</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620" w:type="dxa"/>
            <w:vAlign w:val="bottom"/>
            <w:gridSpan w:val="10"/>
          </w:tcPr>
          <w:p>
            <w:pPr>
              <w:ind w:left="20"/>
              <w:spacing w:after="0" w:line="147" w:lineRule="exact"/>
              <w:rPr>
                <w:sz w:val="20"/>
                <w:szCs w:val="20"/>
                <w:color w:val="auto"/>
              </w:rPr>
            </w:pPr>
            <w:r>
              <w:rPr>
                <w:rFonts w:ascii="Arial" w:cs="Arial" w:eastAsia="Arial" w:hAnsi="Arial"/>
                <w:sz w:val="12"/>
                <w:szCs w:val="12"/>
                <w:color w:val="auto"/>
              </w:rPr>
              <w:t>Common shares</w:t>
            </w:r>
            <w:r>
              <w:rPr>
                <w:rFonts w:ascii="Arial" w:cs="Arial" w:eastAsia="Arial" w:hAnsi="Arial"/>
                <w:sz w:val="17"/>
                <w:szCs w:val="17"/>
                <w:color w:val="auto"/>
                <w:vertAlign w:val="superscript"/>
              </w:rPr>
              <w:t>(13)</w:t>
            </w:r>
          </w:p>
        </w:tc>
        <w:tc>
          <w:tcPr>
            <w:tcW w:w="140" w:type="dxa"/>
            <w:vAlign w:val="bottom"/>
          </w:tcPr>
          <w:p>
            <w:pPr>
              <w:spacing w:after="0"/>
              <w:rPr>
                <w:sz w:val="12"/>
                <w:szCs w:val="1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Cash Payment Network</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5,480,348</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96"/>
              </w:rPr>
              <w:t>14,000,398</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164,410</w:t>
            </w:r>
          </w:p>
        </w:tc>
        <w:tc>
          <w:tcPr>
            <w:tcW w:w="440" w:type="dxa"/>
            <w:vAlign w:val="bottom"/>
            <w:gridSpan w:val="3"/>
          </w:tcPr>
          <w:p>
            <w:pPr>
              <w:jc w:val="right"/>
              <w:ind w:right="20"/>
              <w:spacing w:after="0"/>
              <w:rPr>
                <w:sz w:val="20"/>
                <w:szCs w:val="20"/>
                <w:color w:val="auto"/>
              </w:rPr>
            </w:pPr>
            <w:r>
              <w:rPr>
                <w:rFonts w:ascii="Arial" w:cs="Arial" w:eastAsia="Arial" w:hAnsi="Arial"/>
                <w:sz w:val="12"/>
                <w:szCs w:val="12"/>
                <w:color w:val="auto"/>
              </w:rPr>
              <w:t>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Cricket Media (f/k/a ePals Inc.)</w:t>
            </w:r>
            <w:r>
              <w:rPr>
                <w:rFonts w:ascii="Arial" w:cs="Arial" w:eastAsia="Arial" w:hAnsi="Arial"/>
                <w:sz w:val="17"/>
                <w:szCs w:val="17"/>
                <w:b w:val="1"/>
                <w:bCs w:val="1"/>
                <w:color w:val="auto"/>
                <w:vertAlign w:val="superscript"/>
              </w:rPr>
              <w:t>(10)</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Herndon, VA</w:t>
            </w: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600" w:type="dxa"/>
            <w:vAlign w:val="bottom"/>
            <w:tcBorders>
              <w:top w:val="single" w:sz="8" w:color="auto"/>
            </w:tcBorders>
            <w:gridSpan w:val="5"/>
          </w:tcPr>
          <w:p>
            <w:pPr>
              <w:ind w:left="20"/>
              <w:spacing w:after="0"/>
              <w:rPr>
                <w:sz w:val="20"/>
                <w:szCs w:val="20"/>
                <w:color w:val="auto"/>
              </w:rPr>
            </w:pPr>
            <w:r>
              <w:rPr>
                <w:rFonts w:ascii="Arial" w:cs="Arial" w:eastAsia="Arial" w:hAnsi="Arial"/>
                <w:sz w:val="12"/>
                <w:szCs w:val="12"/>
                <w:color w:val="auto"/>
              </w:rPr>
              <w:t>Common shares</w:t>
            </w:r>
          </w:p>
        </w:tc>
        <w:tc>
          <w:tcPr>
            <w:tcW w:w="1020" w:type="dxa"/>
            <w:vAlign w:val="bottom"/>
            <w:tcBorders>
              <w:top w:val="single" w:sz="8" w:color="CCEEFF"/>
            </w:tcBorders>
            <w:gridSpan w:val="5"/>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2"/>
                <w:szCs w:val="12"/>
                <w:color w:val="auto"/>
                <w:w w:val="91"/>
              </w:rPr>
              <w:t>Online Education</w:t>
            </w:r>
          </w:p>
        </w:tc>
        <w:tc>
          <w:tcPr>
            <w:tcW w:w="7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133,333</w:t>
            </w:r>
          </w:p>
        </w:tc>
        <w:tc>
          <w:tcPr>
            <w:tcW w:w="7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2,448,959</w:t>
            </w:r>
          </w:p>
        </w:tc>
        <w:tc>
          <w:tcPr>
            <w:tcW w:w="6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b w:val="1"/>
                <w:bCs w:val="1"/>
                <w:color w:val="auto"/>
              </w:rPr>
              <w:t>Beamreach Solar, Inc. (f/k/a Solexel, Inc.)</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Milpitas, CA</w:t>
            </w:r>
          </w:p>
        </w:tc>
        <w:tc>
          <w:tcPr>
            <w:tcW w:w="5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620" w:type="dxa"/>
            <w:vAlign w:val="bottom"/>
            <w:gridSpan w:val="10"/>
          </w:tcPr>
          <w:p>
            <w:pPr>
              <w:ind w:left="20"/>
              <w:spacing w:after="0" w:line="114" w:lineRule="exact"/>
              <w:rPr>
                <w:sz w:val="20"/>
                <w:szCs w:val="20"/>
                <w:color w:val="auto"/>
              </w:rPr>
            </w:pPr>
            <w:r>
              <w:rPr>
                <w:rFonts w:ascii="Arial" w:cs="Arial" w:eastAsia="Arial" w:hAnsi="Arial"/>
                <w:sz w:val="12"/>
                <w:szCs w:val="12"/>
                <w:color w:val="auto"/>
                <w:w w:val="94"/>
              </w:rPr>
              <w:t>Convertible Promissory Note 9%, Due 5/10/2017***</w:t>
            </w: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600" w:type="dxa"/>
            <w:vAlign w:val="bottom"/>
          </w:tcPr>
          <w:p>
            <w:pPr>
              <w:ind w:left="160"/>
              <w:spacing w:after="0"/>
              <w:rPr>
                <w:sz w:val="20"/>
                <w:szCs w:val="20"/>
                <w:color w:val="auto"/>
              </w:rPr>
            </w:pPr>
            <w:r>
              <w:rPr>
                <w:rFonts w:ascii="Arial" w:cs="Arial" w:eastAsia="Arial" w:hAnsi="Arial"/>
                <w:sz w:val="9"/>
                <w:szCs w:val="9"/>
                <w:color w:val="auto"/>
              </w:rPr>
              <w:t>(3)(16)</w:t>
            </w: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tcPr>
          <w:p>
            <w:pPr>
              <w:jc w:val="center"/>
              <w:ind w:right="100"/>
              <w:spacing w:after="0" w:line="134" w:lineRule="exact"/>
              <w:rPr>
                <w:sz w:val="20"/>
                <w:szCs w:val="20"/>
                <w:color w:val="auto"/>
              </w:rPr>
            </w:pPr>
            <w:r>
              <w:rPr>
                <w:rFonts w:ascii="Arial" w:cs="Arial" w:eastAsia="Arial" w:hAnsi="Arial"/>
                <w:sz w:val="12"/>
                <w:szCs w:val="12"/>
                <w:color w:val="auto"/>
                <w:w w:val="88"/>
              </w:rPr>
              <w:t>Solar Power</w:t>
            </w:r>
          </w:p>
        </w:tc>
        <w:tc>
          <w:tcPr>
            <w:tcW w:w="720" w:type="dxa"/>
            <w:vAlign w:val="bottom"/>
            <w:gridSpan w:val="2"/>
            <w:vMerge w:val="restart"/>
          </w:tcPr>
          <w:p>
            <w:pPr>
              <w:jc w:val="right"/>
              <w:ind w:right="140"/>
              <w:spacing w:after="0" w:line="134" w:lineRule="exact"/>
              <w:rPr>
                <w:sz w:val="20"/>
                <w:szCs w:val="20"/>
                <w:color w:val="auto"/>
              </w:rPr>
            </w:pPr>
            <w:r>
              <w:rPr>
                <w:rFonts w:ascii="Arial" w:cs="Arial" w:eastAsia="Arial" w:hAnsi="Arial"/>
                <w:sz w:val="12"/>
                <w:szCs w:val="12"/>
                <w:color w:val="auto"/>
                <w:w w:val="98"/>
              </w:rPr>
              <w:t>$  250,000</w:t>
            </w:r>
          </w:p>
        </w:tc>
        <w:tc>
          <w:tcPr>
            <w:tcW w:w="740" w:type="dxa"/>
            <w:vAlign w:val="bottom"/>
            <w:gridSpan w:val="2"/>
            <w:vMerge w:val="restart"/>
          </w:tcPr>
          <w:p>
            <w:pPr>
              <w:jc w:val="right"/>
              <w:ind w:right="140"/>
              <w:spacing w:after="0" w:line="134" w:lineRule="exact"/>
              <w:rPr>
                <w:sz w:val="20"/>
                <w:szCs w:val="20"/>
                <w:color w:val="auto"/>
              </w:rPr>
            </w:pPr>
            <w:r>
              <w:rPr>
                <w:rFonts w:ascii="Arial" w:cs="Arial" w:eastAsia="Arial" w:hAnsi="Arial"/>
                <w:sz w:val="12"/>
                <w:szCs w:val="12"/>
                <w:color w:val="auto"/>
              </w:rPr>
              <w:t>254,444</w:t>
            </w:r>
          </w:p>
        </w:tc>
        <w:tc>
          <w:tcPr>
            <w:tcW w:w="680" w:type="dxa"/>
            <w:vAlign w:val="bottom"/>
            <w:gridSpan w:val="2"/>
            <w:vMerge w:val="restart"/>
          </w:tcPr>
          <w:p>
            <w:pPr>
              <w:jc w:val="right"/>
              <w:ind w:right="12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400" w:type="dxa"/>
            <w:vAlign w:val="bottom"/>
            <w:gridSpan w:val="3"/>
            <w:vMerge w:val="restart"/>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620" w:type="dxa"/>
            <w:vAlign w:val="bottom"/>
            <w:tcBorders>
              <w:left w:val="single" w:sz="8" w:color="CCEEFF"/>
            </w:tcBorders>
            <w:gridSpan w:val="10"/>
            <w:shd w:val="clear" w:color="auto" w:fill="CCEEFF"/>
          </w:tcPr>
          <w:p>
            <w:pPr>
              <w:ind w:left="20"/>
              <w:spacing w:after="0"/>
              <w:rPr>
                <w:sz w:val="20"/>
                <w:szCs w:val="20"/>
                <w:color w:val="auto"/>
              </w:rPr>
            </w:pPr>
            <w:r>
              <w:rPr>
                <w:rFonts w:ascii="Arial" w:cs="Arial" w:eastAsia="Arial" w:hAnsi="Arial"/>
                <w:sz w:val="12"/>
                <w:szCs w:val="12"/>
                <w:color w:val="auto"/>
              </w:rPr>
              <w:t>Preferred shares, Series D</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1,613,413</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2,419,751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620" w:type="dxa"/>
            <w:vAlign w:val="bottom"/>
            <w:gridSpan w:val="10"/>
          </w:tcPr>
          <w:p>
            <w:pPr>
              <w:ind w:left="20"/>
              <w:spacing w:after="0"/>
              <w:rPr>
                <w:sz w:val="20"/>
                <w:szCs w:val="20"/>
                <w:color w:val="auto"/>
              </w:rPr>
            </w:pPr>
            <w:r>
              <w:rPr>
                <w:rFonts w:ascii="Arial" w:cs="Arial" w:eastAsia="Arial" w:hAnsi="Arial"/>
                <w:sz w:val="12"/>
                <w:szCs w:val="12"/>
                <w:color w:val="auto"/>
              </w:rPr>
              <w:t>Preferred shares, Series C</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5,300,158</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11,598,648</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tcBorders>
              <w:left w:val="single" w:sz="8" w:color="CCEEFF"/>
            </w:tcBorders>
            <w:gridSpan w:val="10"/>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14,272,843</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-113030</wp:posOffset>
            </wp:positionV>
            <wp:extent cx="430847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-1607820</wp:posOffset>
            </wp:positionV>
            <wp:extent cx="430847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-2543175</wp:posOffset>
            </wp:positionV>
            <wp:extent cx="430847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-2996565</wp:posOffset>
            </wp:positionV>
            <wp:extent cx="430847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-4293870</wp:posOffset>
            </wp:positionV>
            <wp:extent cx="430847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-4732655</wp:posOffset>
            </wp:positionV>
            <wp:extent cx="430847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-5101590</wp:posOffset>
            </wp:positionV>
            <wp:extent cx="3556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-5101590</wp:posOffset>
            </wp:positionV>
            <wp:extent cx="8509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-5101590</wp:posOffset>
            </wp:positionV>
            <wp:extent cx="8509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-5101590</wp:posOffset>
            </wp:positionV>
            <wp:extent cx="8509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-5101590</wp:posOffset>
            </wp:positionV>
            <wp:extent cx="8509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-5101590</wp:posOffset>
            </wp:positionV>
            <wp:extent cx="8509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090" cy="6985"/>
                    </a:xfrm>
                    <a:prstGeom prst="rect">
                      <a:avLst/>
                    </a:prstGeom>
                    <a:noFill/>
                  </pic:spPr>
                </pic:pic>
              </a:graphicData>
            </a:graphic>
          </wp:anchor>
        </w:drawing>
      </w:r>
    </w:p>
    <w:p>
      <w:pPr>
        <w:spacing w:after="0" w:line="126"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8" w:name="page89"/>
    <w:bookmarkEnd w:id="8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2016</w:t>
      </w:r>
    </w:p>
    <w:p>
      <w:pPr>
        <w:spacing w:after="0" w:line="135" w:lineRule="exact"/>
        <w:rPr>
          <w:sz w:val="20"/>
          <w:szCs w:val="20"/>
          <w:color w:val="auto"/>
        </w:rPr>
      </w:pPr>
    </w:p>
    <w:tbl>
      <w:tblPr>
        <w:tblLayout w:type="fixed"/>
        <w:tblInd w:w="1050" w:type="dxa"/>
        <w:tblCellMar>
          <w:top w:w="0" w:type="dxa"/>
          <w:left w:w="0" w:type="dxa"/>
          <w:bottom w:w="0" w:type="dxa"/>
          <w:right w:w="0" w:type="dxa"/>
        </w:tblCellMar>
      </w:tblPr>
      <w:tr>
        <w:trPr>
          <w:trHeight w:val="115"/>
        </w:trPr>
        <w:tc>
          <w:tcPr>
            <w:tcW w:w="2580" w:type="dxa"/>
            <w:vAlign w:val="bottom"/>
            <w:gridSpan w:val="8"/>
            <w:vMerge w:val="restart"/>
          </w:tcPr>
          <w:p>
            <w:pPr>
              <w:ind w:left="20"/>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7"/>
              </w:rPr>
              <w:t>Headquarters/Industry</w:t>
            </w:r>
          </w:p>
        </w:tc>
        <w:tc>
          <w:tcPr>
            <w:tcW w:w="10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9"/>
              </w:rPr>
              <w:t>Shares/</w:t>
            </w:r>
          </w:p>
        </w:tc>
        <w:tc>
          <w:tcPr>
            <w:tcW w:w="80" w:type="dxa"/>
            <w:vAlign w:val="bottom"/>
          </w:tcPr>
          <w:p>
            <w:pPr>
              <w:spacing w:after="0"/>
              <w:rPr>
                <w:sz w:val="10"/>
                <w:szCs w:val="10"/>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Cost</w:t>
            </w:r>
          </w:p>
        </w:tc>
        <w:tc>
          <w:tcPr>
            <w:tcW w:w="6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Fair Value</w:t>
            </w: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 of Net</w:t>
            </w:r>
          </w:p>
        </w:tc>
        <w:tc>
          <w:tcPr>
            <w:tcW w:w="0" w:type="dxa"/>
            <w:vAlign w:val="bottom"/>
          </w:tcPr>
          <w:p>
            <w:pPr>
              <w:spacing w:after="0"/>
              <w:rPr>
                <w:sz w:val="1"/>
                <w:szCs w:val="1"/>
                <w:color w:val="auto"/>
              </w:rPr>
            </w:pPr>
          </w:p>
        </w:tc>
      </w:tr>
      <w:tr>
        <w:trPr>
          <w:trHeight w:val="140"/>
        </w:trPr>
        <w:tc>
          <w:tcPr>
            <w:tcW w:w="258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4"/>
              </w:rPr>
              <w:t>Principal</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19"/>
        </w:trPr>
        <w:tc>
          <w:tcPr>
            <w:tcW w:w="2580" w:type="dxa"/>
            <w:vAlign w:val="bottom"/>
            <w:tcBorders>
              <w:top w:val="single" w:sz="8" w:color="auto"/>
              <w:left w:val="single" w:sz="8" w:color="CCEEFF"/>
            </w:tcBorders>
            <w:gridSpan w:val="8"/>
            <w:shd w:val="clear" w:color="auto" w:fill="CCEEFF"/>
          </w:tcPr>
          <w:p>
            <w:pPr>
              <w:ind w:left="20"/>
              <w:spacing w:after="0" w:line="120" w:lineRule="exact"/>
              <w:rPr>
                <w:sz w:val="20"/>
                <w:szCs w:val="20"/>
                <w:color w:val="auto"/>
              </w:rPr>
            </w:pPr>
            <w:r>
              <w:rPr>
                <w:rFonts w:ascii="Arial" w:cs="Arial" w:eastAsia="Arial" w:hAnsi="Arial"/>
                <w:sz w:val="12"/>
                <w:szCs w:val="12"/>
                <w:b w:val="1"/>
                <w:bCs w:val="1"/>
                <w:color w:val="auto"/>
              </w:rPr>
              <w:t>Orchestra One, Inc. (f/k/a Learnist Inc.)</w:t>
            </w:r>
          </w:p>
        </w:tc>
        <w:tc>
          <w:tcPr>
            <w:tcW w:w="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San Francisco, CA</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lef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40" w:type="dxa"/>
            <w:vAlign w:val="bottom"/>
            <w:tcBorders>
              <w:top w:val="single" w:sz="8" w:color="auto"/>
            </w:tcBorders>
            <w:gridSpan w:val="7"/>
            <w:vMerge w:val="restart"/>
          </w:tcPr>
          <w:p>
            <w:pPr>
              <w:ind w:left="20"/>
              <w:spacing w:after="0"/>
              <w:rPr>
                <w:sz w:val="20"/>
                <w:szCs w:val="20"/>
                <w:color w:val="auto"/>
              </w:rPr>
            </w:pPr>
            <w:r>
              <w:rPr>
                <w:rFonts w:ascii="Arial" w:cs="Arial" w:eastAsia="Arial" w:hAnsi="Arial"/>
                <w:sz w:val="12"/>
                <w:szCs w:val="12"/>
                <w:color w:val="auto"/>
              </w:rPr>
              <w:t>Common shares</w:t>
            </w:r>
          </w:p>
        </w:tc>
        <w:tc>
          <w:tcPr>
            <w:tcW w:w="540" w:type="dxa"/>
            <w:vAlign w:val="bottom"/>
            <w:tcBorders>
              <w:top w:val="single" w:sz="8" w:color="CCEEFF"/>
            </w:tcBorders>
            <w:vMerge w:val="restart"/>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0" w:type="dxa"/>
            <w:vAlign w:val="bottom"/>
            <w:tcBorders>
              <w:top w:val="single" w:sz="8" w:color="CCEEFF"/>
            </w:tcBorders>
            <w:gridSpan w:val="2"/>
          </w:tcPr>
          <w:p>
            <w:pPr>
              <w:jc w:val="center"/>
              <w:ind w:right="80"/>
              <w:spacing w:after="0" w:line="103" w:lineRule="exact"/>
              <w:rPr>
                <w:sz w:val="20"/>
                <w:szCs w:val="20"/>
                <w:color w:val="auto"/>
              </w:rPr>
            </w:pPr>
            <w:r>
              <w:rPr>
                <w:rFonts w:ascii="Arial" w:cs="Arial" w:eastAsia="Arial" w:hAnsi="Arial"/>
                <w:sz w:val="11"/>
                <w:szCs w:val="11"/>
                <w:color w:val="auto"/>
                <w:w w:val="98"/>
              </w:rPr>
              <w:t>Consumer Health</w:t>
            </w:r>
          </w:p>
        </w:tc>
        <w:tc>
          <w:tcPr>
            <w:tcW w:w="10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gridSpan w:val="2"/>
            <w:vMerge w:val="restart"/>
          </w:tcPr>
          <w:p>
            <w:pPr>
              <w:jc w:val="right"/>
              <w:ind w:right="100"/>
              <w:spacing w:after="0"/>
              <w:rPr>
                <w:sz w:val="20"/>
                <w:szCs w:val="20"/>
                <w:color w:val="auto"/>
              </w:rPr>
            </w:pPr>
            <w:r>
              <w:rPr>
                <w:rFonts w:ascii="Arial" w:cs="Arial" w:eastAsia="Arial" w:hAnsi="Arial"/>
                <w:sz w:val="12"/>
                <w:szCs w:val="12"/>
                <w:color w:val="auto"/>
              </w:rPr>
              <w:t>57,026</w:t>
            </w:r>
          </w:p>
        </w:tc>
        <w:tc>
          <w:tcPr>
            <w:tcW w:w="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CCEEFF"/>
            </w:tcBorders>
            <w:gridSpan w:val="2"/>
            <w:vMerge w:val="restart"/>
          </w:tcPr>
          <w:p>
            <w:pPr>
              <w:jc w:val="right"/>
              <w:ind w:right="100"/>
              <w:spacing w:after="0"/>
              <w:rPr>
                <w:sz w:val="20"/>
                <w:szCs w:val="20"/>
                <w:color w:val="auto"/>
              </w:rPr>
            </w:pPr>
            <w:r>
              <w:rPr>
                <w:rFonts w:ascii="Arial" w:cs="Arial" w:eastAsia="Arial" w:hAnsi="Arial"/>
                <w:sz w:val="12"/>
                <w:szCs w:val="12"/>
                <w:color w:val="auto"/>
              </w:rPr>
              <w:t>4,959,614</w:t>
            </w:r>
          </w:p>
        </w:tc>
        <w:tc>
          <w:tcPr>
            <w:tcW w:w="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40" w:type="dxa"/>
            <w:vAlign w:val="bottom"/>
            <w:gridSpan w:val="7"/>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80"/>
              <w:spacing w:after="0" w:line="134" w:lineRule="exact"/>
              <w:rPr>
                <w:sz w:val="20"/>
                <w:szCs w:val="20"/>
                <w:color w:val="auto"/>
              </w:rPr>
            </w:pPr>
            <w:r>
              <w:rPr>
                <w:rFonts w:ascii="Arial" w:cs="Arial" w:eastAsia="Arial" w:hAnsi="Arial"/>
                <w:sz w:val="12"/>
                <w:szCs w:val="12"/>
                <w:color w:val="auto"/>
                <w:w w:val="90"/>
              </w:rPr>
              <w:t>Technology</w:t>
            </w: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CCEEFF"/>
              <w:bottom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w w:val="87"/>
              </w:rPr>
              <w:t>Earlyshares.com, Inc.</w:t>
            </w:r>
          </w:p>
        </w:tc>
        <w:tc>
          <w:tcPr>
            <w:tcW w:w="1460" w:type="dxa"/>
            <w:vAlign w:val="bottom"/>
            <w:tcBorders>
              <w:bottom w:val="single" w:sz="8" w:color="CCEEFF"/>
            </w:tcBorders>
            <w:gridSpan w:val="5"/>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8"/>
              </w:rPr>
              <w:t>Miami, FL</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580" w:type="dxa"/>
            <w:vAlign w:val="bottom"/>
            <w:gridSpan w:val="8"/>
          </w:tcPr>
          <w:p>
            <w:pPr>
              <w:ind w:left="20"/>
              <w:spacing w:after="0" w:line="114" w:lineRule="exact"/>
              <w:rPr>
                <w:sz w:val="20"/>
                <w:szCs w:val="20"/>
                <w:color w:val="auto"/>
              </w:rPr>
            </w:pPr>
            <w:r>
              <w:rPr>
                <w:rFonts w:ascii="Arial" w:cs="Arial" w:eastAsia="Arial" w:hAnsi="Arial"/>
                <w:sz w:val="12"/>
                <w:szCs w:val="12"/>
                <w:color w:val="auto"/>
              </w:rPr>
              <w:t>Convertible Promissory Note 5%,</w:t>
            </w: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80" w:type="dxa"/>
            <w:vAlign w:val="bottom"/>
            <w:gridSpan w:val="8"/>
          </w:tcPr>
          <w:p>
            <w:pPr>
              <w:ind w:left="160"/>
              <w:spacing w:after="0" w:line="145" w:lineRule="exact"/>
              <w:rPr>
                <w:sz w:val="20"/>
                <w:szCs w:val="20"/>
                <w:color w:val="auto"/>
              </w:rPr>
            </w:pPr>
            <w:r>
              <w:rPr>
                <w:rFonts w:ascii="Arial" w:cs="Arial" w:eastAsia="Arial" w:hAnsi="Arial"/>
                <w:sz w:val="11"/>
                <w:szCs w:val="11"/>
                <w:color w:val="auto"/>
              </w:rPr>
              <w:t>Due 2/26/2017 ***</w:t>
            </w:r>
            <w:r>
              <w:rPr>
                <w:rFonts w:ascii="Arial" w:cs="Arial" w:eastAsia="Arial" w:hAnsi="Arial"/>
                <w:sz w:val="16"/>
                <w:szCs w:val="16"/>
                <w:color w:val="auto"/>
                <w:vertAlign w:val="superscript"/>
              </w:rPr>
              <w:t>(9)(3)</w:t>
            </w:r>
          </w:p>
        </w:tc>
        <w:tc>
          <w:tcPr>
            <w:tcW w:w="8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Equity Crowdfunding</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50,000</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50,840</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165,715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261,598</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312,438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1640" w:type="dxa"/>
            <w:vAlign w:val="bottom"/>
            <w:tcBorders>
              <w:top w:val="single" w:sz="8" w:color="CCEEFF"/>
              <w:left w:val="single" w:sz="8" w:color="CCEEFF"/>
              <w:bottom w:val="single" w:sz="8" w:color="auto"/>
            </w:tcBorders>
            <w:gridSpan w:val="6"/>
            <w:shd w:val="clear" w:color="auto" w:fill="CCEEFF"/>
          </w:tcPr>
          <w:p>
            <w:pPr>
              <w:ind w:left="20"/>
              <w:spacing w:after="0"/>
              <w:rPr>
                <w:sz w:val="20"/>
                <w:szCs w:val="20"/>
                <w:color w:val="auto"/>
              </w:rPr>
            </w:pPr>
            <w:r>
              <w:rPr>
                <w:rFonts w:ascii="Arial" w:cs="Arial" w:eastAsia="Arial" w:hAnsi="Arial"/>
                <w:sz w:val="12"/>
                <w:szCs w:val="12"/>
                <w:b w:val="1"/>
                <w:bCs w:val="1"/>
                <w:color w:val="auto"/>
                <w:w w:val="89"/>
              </w:rPr>
              <w:t>AliphCom, Inc. (d/b/a Jawbone)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9"/>
              </w:rPr>
              <w:t>San Francisco, CA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580" w:type="dxa"/>
            <w:vAlign w:val="bottom"/>
            <w:gridSpan w:val="8"/>
          </w:tcPr>
          <w:p>
            <w:pPr>
              <w:ind w:left="20"/>
              <w:spacing w:after="0"/>
              <w:rPr>
                <w:sz w:val="20"/>
                <w:szCs w:val="20"/>
                <w:color w:val="auto"/>
              </w:rPr>
            </w:pPr>
            <w:r>
              <w:rPr>
                <w:rFonts w:ascii="Arial" w:cs="Arial" w:eastAsia="Arial" w:hAnsi="Arial"/>
                <w:sz w:val="12"/>
                <w:szCs w:val="12"/>
                <w:color w:val="auto"/>
              </w:rPr>
              <w:t>Common shares</w:t>
            </w:r>
          </w:p>
        </w:tc>
        <w:tc>
          <w:tcPr>
            <w:tcW w:w="80" w:type="dxa"/>
            <w:vAlign w:val="bottom"/>
          </w:tcPr>
          <w:p>
            <w:pPr>
              <w:spacing w:after="0"/>
              <w:rPr>
                <w:sz w:val="12"/>
                <w:szCs w:val="12"/>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2"/>
                <w:szCs w:val="12"/>
                <w:color w:val="auto"/>
                <w:w w:val="89"/>
              </w:rPr>
              <w:t>Smart Device Company</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150,000</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793,152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b w:val="1"/>
                <w:bCs w:val="1"/>
                <w:color w:val="auto"/>
              </w:rPr>
              <w:t>Total Non-controlled/Non-affiliate</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204,101,445</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86"/>
              </w:rPr>
              <w:t>200,532,890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8"/>
              </w:rPr>
              <w:t>104.38%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80" w:type="dxa"/>
            <w:vAlign w:val="bottom"/>
            <w:gridSpan w:val="8"/>
          </w:tcPr>
          <w:p>
            <w:pPr>
              <w:ind w:left="20"/>
              <w:spacing w:after="0"/>
              <w:rPr>
                <w:sz w:val="20"/>
                <w:szCs w:val="20"/>
                <w:color w:val="auto"/>
              </w:rPr>
            </w:pPr>
            <w:r>
              <w:rPr>
                <w:rFonts w:ascii="Arial" w:cs="Arial" w:eastAsia="Arial" w:hAnsi="Arial"/>
                <w:sz w:val="12"/>
                <w:szCs w:val="12"/>
                <w:b w:val="1"/>
                <w:bCs w:val="1"/>
                <w:color w:val="auto"/>
              </w:rPr>
              <w:t>NON-CONTROLLED/AFFILIATE</w:t>
            </w:r>
            <w:r>
              <w:rPr>
                <w:rFonts w:ascii="Arial" w:cs="Arial" w:eastAsia="Arial" w:hAnsi="Arial"/>
                <w:sz w:val="17"/>
                <w:szCs w:val="17"/>
                <w:b w:val="1"/>
                <w:bCs w:val="1"/>
                <w:color w:val="auto"/>
                <w:vertAlign w:val="superscript"/>
              </w:rPr>
              <w:t>(1)</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8"/>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Ozy Media, Inc.</w:t>
            </w: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80"/>
              <w:spacing w:after="0" w:line="134" w:lineRule="exact"/>
              <w:rPr>
                <w:sz w:val="20"/>
                <w:szCs w:val="20"/>
                <w:color w:val="auto"/>
              </w:rPr>
            </w:pPr>
            <w:r>
              <w:rPr>
                <w:rFonts w:ascii="Arial" w:cs="Arial" w:eastAsia="Arial" w:hAnsi="Arial"/>
                <w:sz w:val="12"/>
                <w:szCs w:val="12"/>
                <w:color w:val="auto"/>
                <w:w w:val="94"/>
              </w:rPr>
              <w:t>Mountain View, CA</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580" w:type="dxa"/>
            <w:vAlign w:val="bottom"/>
            <w:gridSpan w:val="8"/>
          </w:tcPr>
          <w:p>
            <w:pPr>
              <w:ind w:left="20"/>
              <w:spacing w:after="0" w:line="114" w:lineRule="exact"/>
              <w:rPr>
                <w:sz w:val="20"/>
                <w:szCs w:val="20"/>
                <w:color w:val="auto"/>
              </w:rPr>
            </w:pPr>
            <w:r>
              <w:rPr>
                <w:rFonts w:ascii="Arial" w:cs="Arial" w:eastAsia="Arial" w:hAnsi="Arial"/>
                <w:sz w:val="12"/>
                <w:szCs w:val="12"/>
                <w:color w:val="auto"/>
              </w:rPr>
              <w:t>Convertible Promissory Note 5% Due</w:t>
            </w:r>
          </w:p>
        </w:tc>
        <w:tc>
          <w:tcPr>
            <w:tcW w:w="80" w:type="dxa"/>
            <w:vAlign w:val="bottom"/>
          </w:tcPr>
          <w:p>
            <w:pPr>
              <w:spacing w:after="0"/>
              <w:rPr>
                <w:sz w:val="9"/>
                <w:szCs w:val="9"/>
                <w:color w:val="auto"/>
              </w:rPr>
            </w:pPr>
          </w:p>
        </w:tc>
        <w:tc>
          <w:tcPr>
            <w:tcW w:w="140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93"/>
              </w:rPr>
              <w:t>Digital Media Platform</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3"/>
              </w:rPr>
              <w:t>2,000,000</w:t>
            </w:r>
          </w:p>
        </w:tc>
        <w:tc>
          <w:tcPr>
            <w:tcW w:w="8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2,000,000</w:t>
            </w:r>
          </w:p>
        </w:tc>
        <w:tc>
          <w:tcPr>
            <w:tcW w:w="6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2,000,000</w:t>
            </w:r>
          </w:p>
        </w:tc>
        <w:tc>
          <w:tcPr>
            <w:tcW w:w="46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34"/>
        </w:trPr>
        <w:tc>
          <w:tcPr>
            <w:tcW w:w="880" w:type="dxa"/>
            <w:vAlign w:val="bottom"/>
            <w:gridSpan w:val="2"/>
          </w:tcPr>
          <w:p>
            <w:pPr>
              <w:ind w:left="160"/>
              <w:spacing w:after="0" w:line="134" w:lineRule="exact"/>
              <w:rPr>
                <w:sz w:val="20"/>
                <w:szCs w:val="20"/>
                <w:color w:val="auto"/>
              </w:rPr>
            </w:pPr>
            <w:r>
              <w:rPr>
                <w:rFonts w:ascii="Arial" w:cs="Arial" w:eastAsia="Arial" w:hAnsi="Arial"/>
                <w:sz w:val="12"/>
                <w:szCs w:val="12"/>
                <w:color w:val="auto"/>
              </w:rPr>
              <w:t>2/28/2018***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Preferred shares, Series B</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922,509</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4,999,999</w:t>
            </w: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4,999,999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8"/>
          </w:tcPr>
          <w:p>
            <w:pPr>
              <w:ind w:left="20"/>
              <w:spacing w:after="0"/>
              <w:rPr>
                <w:sz w:val="20"/>
                <w:szCs w:val="20"/>
                <w:color w:val="auto"/>
              </w:rPr>
            </w:pPr>
            <w:r>
              <w:rPr>
                <w:rFonts w:ascii="Arial" w:cs="Arial" w:eastAsia="Arial" w:hAnsi="Arial"/>
                <w:sz w:val="12"/>
                <w:szCs w:val="12"/>
                <w:color w:val="auto"/>
              </w:rPr>
              <w:t>Preferred shares, Series A</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1,090,909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3,000,200</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3,000,000</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Preferred shares, Series Seed</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10,500,199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96"/>
              </w:rPr>
              <w:t>10,609,999</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b w:val="1"/>
                <w:bCs w:val="1"/>
                <w:color w:val="auto"/>
              </w:rPr>
              <w:t>Curious.com Inc.</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2"/>
              </w:rPr>
              <w:t>Menlo Park, CA</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gridSpan w:val="8"/>
          </w:tcPr>
          <w:p>
            <w:pPr>
              <w:ind w:left="20"/>
              <w:spacing w:after="0" w:line="136" w:lineRule="exact"/>
              <w:rPr>
                <w:sz w:val="20"/>
                <w:szCs w:val="20"/>
                <w:color w:val="auto"/>
              </w:rPr>
            </w:pPr>
            <w:r>
              <w:rPr>
                <w:rFonts w:ascii="Arial" w:cs="Arial" w:eastAsia="Arial" w:hAnsi="Arial"/>
                <w:sz w:val="12"/>
                <w:szCs w:val="12"/>
                <w:color w:val="auto"/>
              </w:rPr>
              <w:t>Preferred shares, Series B</w:t>
            </w:r>
          </w:p>
        </w:tc>
        <w:tc>
          <w:tcPr>
            <w:tcW w:w="80" w:type="dxa"/>
            <w:vAlign w:val="bottom"/>
          </w:tcPr>
          <w:p>
            <w:pPr>
              <w:spacing w:after="0"/>
              <w:rPr>
                <w:sz w:val="11"/>
                <w:szCs w:val="11"/>
                <w:color w:val="auto"/>
              </w:rPr>
            </w:pPr>
          </w:p>
        </w:tc>
        <w:tc>
          <w:tcPr>
            <w:tcW w:w="1400" w:type="dxa"/>
            <w:vAlign w:val="bottom"/>
            <w:gridSpan w:val="2"/>
          </w:tcPr>
          <w:p>
            <w:pPr>
              <w:jc w:val="center"/>
              <w:ind w:right="80"/>
              <w:spacing w:after="0" w:line="136" w:lineRule="exact"/>
              <w:rPr>
                <w:sz w:val="20"/>
                <w:szCs w:val="20"/>
                <w:color w:val="auto"/>
              </w:rPr>
            </w:pPr>
            <w:r>
              <w:rPr>
                <w:rFonts w:ascii="Arial" w:cs="Arial" w:eastAsia="Arial" w:hAnsi="Arial"/>
                <w:sz w:val="12"/>
                <w:szCs w:val="12"/>
                <w:color w:val="auto"/>
                <w:w w:val="91"/>
              </w:rPr>
              <w:t>Online Education</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w w:val="93"/>
              </w:rPr>
              <w:t>3,407,834</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w w:val="96"/>
              </w:rPr>
              <w:t>12,000,006</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9,984,954</w:t>
            </w:r>
          </w:p>
        </w:tc>
        <w:tc>
          <w:tcPr>
            <w:tcW w:w="46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223"/>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b w:val="1"/>
                <w:bCs w:val="1"/>
                <w:color w:val="auto"/>
              </w:rPr>
              <w:t>Declara, Inc.</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5"/>
              </w:rPr>
              <w:t>Palo Alto, CA</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580" w:type="dxa"/>
            <w:vAlign w:val="bottom"/>
            <w:gridSpan w:val="8"/>
          </w:tcPr>
          <w:p>
            <w:pPr>
              <w:ind w:left="20"/>
              <w:spacing w:after="0" w:line="114" w:lineRule="exact"/>
              <w:rPr>
                <w:sz w:val="20"/>
                <w:szCs w:val="20"/>
                <w:color w:val="auto"/>
              </w:rPr>
            </w:pPr>
            <w:r>
              <w:rPr>
                <w:rFonts w:ascii="Arial" w:cs="Arial" w:eastAsia="Arial" w:hAnsi="Arial"/>
                <w:sz w:val="12"/>
                <w:szCs w:val="12"/>
                <w:color w:val="auto"/>
                <w:w w:val="94"/>
              </w:rPr>
              <w:t>Convertible Promissory Note 9% Due 6/30/2017***</w:t>
            </w: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160"/>
              <w:spacing w:after="0"/>
              <w:rPr>
                <w:sz w:val="20"/>
                <w:szCs w:val="20"/>
                <w:color w:val="auto"/>
              </w:rPr>
            </w:pPr>
            <w:r>
              <w:rPr>
                <w:rFonts w:ascii="Arial" w:cs="Arial" w:eastAsia="Arial" w:hAnsi="Arial"/>
                <w:sz w:val="9"/>
                <w:szCs w:val="9"/>
                <w:color w:val="auto"/>
              </w:rPr>
              <w:t>(12)</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jc w:val="center"/>
              <w:ind w:right="60"/>
              <w:spacing w:after="0" w:line="134" w:lineRule="exact"/>
              <w:rPr>
                <w:sz w:val="20"/>
                <w:szCs w:val="20"/>
                <w:color w:val="auto"/>
              </w:rPr>
            </w:pPr>
            <w:r>
              <w:rPr>
                <w:rFonts w:ascii="Arial" w:cs="Arial" w:eastAsia="Arial" w:hAnsi="Arial"/>
                <w:sz w:val="12"/>
                <w:szCs w:val="12"/>
                <w:color w:val="auto"/>
                <w:w w:val="92"/>
              </w:rPr>
              <w:t>Social Cognitive Learning</w:t>
            </w:r>
          </w:p>
        </w:tc>
        <w:tc>
          <w:tcPr>
            <w:tcW w:w="100" w:type="dxa"/>
            <w:vAlign w:val="bottom"/>
            <w:vMerge w:val="restart"/>
          </w:tcPr>
          <w:p>
            <w:pPr>
              <w:jc w:val="right"/>
              <w:spacing w:after="0" w:line="134" w:lineRule="exact"/>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100"/>
              <w:spacing w:after="0" w:line="134" w:lineRule="exact"/>
              <w:rPr>
                <w:sz w:val="20"/>
                <w:szCs w:val="20"/>
                <w:color w:val="auto"/>
              </w:rPr>
            </w:pPr>
            <w:r>
              <w:rPr>
                <w:rFonts w:ascii="Arial" w:cs="Arial" w:eastAsia="Arial" w:hAnsi="Arial"/>
                <w:sz w:val="12"/>
                <w:szCs w:val="12"/>
                <w:color w:val="auto"/>
                <w:w w:val="93"/>
              </w:rPr>
              <w:t>2,120,658</w:t>
            </w:r>
          </w:p>
        </w:tc>
        <w:tc>
          <w:tcPr>
            <w:tcW w:w="80" w:type="dxa"/>
            <w:vAlign w:val="bottom"/>
          </w:tcPr>
          <w:p>
            <w:pPr>
              <w:spacing w:after="0"/>
              <w:rPr>
                <w:sz w:val="9"/>
                <w:szCs w:val="9"/>
                <w:color w:val="auto"/>
              </w:rPr>
            </w:pPr>
          </w:p>
        </w:tc>
        <w:tc>
          <w:tcPr>
            <w:tcW w:w="700" w:type="dxa"/>
            <w:vAlign w:val="bottom"/>
            <w:gridSpan w:val="2"/>
            <w:vMerge w:val="restart"/>
          </w:tcPr>
          <w:p>
            <w:pPr>
              <w:jc w:val="right"/>
              <w:ind w:right="100"/>
              <w:spacing w:after="0" w:line="134" w:lineRule="exact"/>
              <w:rPr>
                <w:sz w:val="20"/>
                <w:szCs w:val="20"/>
                <w:color w:val="auto"/>
              </w:rPr>
            </w:pPr>
            <w:r>
              <w:rPr>
                <w:rFonts w:ascii="Arial" w:cs="Arial" w:eastAsia="Arial" w:hAnsi="Arial"/>
                <w:sz w:val="12"/>
                <w:szCs w:val="12"/>
                <w:color w:val="auto"/>
              </w:rPr>
              <w:t>2,120,658</w:t>
            </w:r>
          </w:p>
        </w:tc>
        <w:tc>
          <w:tcPr>
            <w:tcW w:w="60" w:type="dxa"/>
            <w:vAlign w:val="bottom"/>
          </w:tcPr>
          <w:p>
            <w:pPr>
              <w:spacing w:after="0"/>
              <w:rPr>
                <w:sz w:val="9"/>
                <w:szCs w:val="9"/>
                <w:color w:val="auto"/>
              </w:rPr>
            </w:pPr>
          </w:p>
        </w:tc>
        <w:tc>
          <w:tcPr>
            <w:tcW w:w="740" w:type="dxa"/>
            <w:vAlign w:val="bottom"/>
            <w:gridSpan w:val="2"/>
            <w:vMerge w:val="restart"/>
          </w:tcPr>
          <w:p>
            <w:pPr>
              <w:jc w:val="right"/>
              <w:ind w:right="140"/>
              <w:spacing w:after="0" w:line="134" w:lineRule="exact"/>
              <w:rPr>
                <w:sz w:val="20"/>
                <w:szCs w:val="20"/>
                <w:color w:val="auto"/>
              </w:rPr>
            </w:pPr>
            <w:r>
              <w:rPr>
                <w:rFonts w:ascii="Arial" w:cs="Arial" w:eastAsia="Arial" w:hAnsi="Arial"/>
                <w:sz w:val="12"/>
                <w:szCs w:val="12"/>
                <w:color w:val="auto"/>
              </w:rPr>
              <w:t>2,827,020</w:t>
            </w:r>
          </w:p>
        </w:tc>
        <w:tc>
          <w:tcPr>
            <w:tcW w:w="460" w:type="dxa"/>
            <w:vAlign w:val="bottom"/>
            <w:gridSpan w:val="3"/>
            <w:vMerge w:val="restart"/>
          </w:tcPr>
          <w:p>
            <w:pPr>
              <w:jc w:val="right"/>
              <w:ind w:right="20"/>
              <w:spacing w:after="0" w:line="134" w:lineRule="exact"/>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3"/>
              </w:rPr>
              <w:t>10,716,390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9,999,999</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4,786,654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12,120,657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7,613,674</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3.96%</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left w:val="single" w:sz="8" w:color="CCEEFF"/>
            </w:tcBorders>
            <w:gridSpan w:val="8"/>
            <w:shd w:val="clear" w:color="auto" w:fill="CCEEFF"/>
          </w:tcPr>
          <w:p>
            <w:pPr>
              <w:ind w:left="20"/>
              <w:spacing w:after="0" w:line="194" w:lineRule="exact"/>
              <w:rPr>
                <w:sz w:val="20"/>
                <w:szCs w:val="20"/>
                <w:color w:val="auto"/>
              </w:rPr>
            </w:pPr>
            <w:r>
              <w:rPr>
                <w:rFonts w:ascii="Arial" w:cs="Arial" w:eastAsia="Arial" w:hAnsi="Arial"/>
                <w:sz w:val="12"/>
                <w:szCs w:val="12"/>
                <w:b w:val="1"/>
                <w:bCs w:val="1"/>
                <w:color w:val="auto"/>
              </w:rPr>
              <w:t>Whittle Schools, LLC</w:t>
            </w:r>
            <w:r>
              <w:rPr>
                <w:rFonts w:ascii="Arial" w:cs="Arial" w:eastAsia="Arial" w:hAnsi="Arial"/>
                <w:sz w:val="17"/>
                <w:szCs w:val="17"/>
                <w:b w:val="1"/>
                <w:bCs w:val="1"/>
                <w:color w:val="auto"/>
                <w:vertAlign w:val="superscript"/>
              </w:rPr>
              <w:t>(5)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5"/>
              </w:rPr>
              <w:t>New York, NY</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8"/>
            <w:vMerge w:val="restart"/>
          </w:tcPr>
          <w:p>
            <w:pPr>
              <w:ind w:left="20"/>
              <w:spacing w:after="0"/>
              <w:rPr>
                <w:sz w:val="20"/>
                <w:szCs w:val="20"/>
                <w:color w:val="auto"/>
              </w:rPr>
            </w:pPr>
            <w:r>
              <w:rPr>
                <w:rFonts w:ascii="Arial" w:cs="Arial" w:eastAsia="Arial" w:hAnsi="Arial"/>
                <w:sz w:val="12"/>
                <w:szCs w:val="12"/>
                <w:color w:val="auto"/>
              </w:rPr>
              <w:t>Preferred shares, Series B</w:t>
            </w:r>
          </w:p>
        </w:tc>
        <w:tc>
          <w:tcPr>
            <w:tcW w:w="80" w:type="dxa"/>
            <w:vAlign w:val="bottom"/>
          </w:tcPr>
          <w:p>
            <w:pPr>
              <w:spacing w:after="0"/>
              <w:rPr>
                <w:sz w:val="10"/>
                <w:szCs w:val="10"/>
                <w:color w:val="auto"/>
              </w:rPr>
            </w:pPr>
          </w:p>
        </w:tc>
        <w:tc>
          <w:tcPr>
            <w:tcW w:w="1400" w:type="dxa"/>
            <w:vAlign w:val="bottom"/>
            <w:gridSpan w:val="2"/>
          </w:tcPr>
          <w:p>
            <w:pPr>
              <w:jc w:val="center"/>
              <w:ind w:right="100"/>
              <w:spacing w:after="0" w:line="123" w:lineRule="exact"/>
              <w:rPr>
                <w:sz w:val="20"/>
                <w:szCs w:val="20"/>
                <w:color w:val="auto"/>
              </w:rPr>
            </w:pPr>
            <w:r>
              <w:rPr>
                <w:rFonts w:ascii="Arial" w:cs="Arial" w:eastAsia="Arial" w:hAnsi="Arial"/>
                <w:sz w:val="12"/>
                <w:szCs w:val="12"/>
                <w:color w:val="auto"/>
                <w:w w:val="90"/>
              </w:rPr>
              <w:t>Globally-Focused Private</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3"/>
              </w:rPr>
              <w:t>3,000,000</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3,000,000</w:t>
            </w:r>
          </w:p>
        </w:tc>
        <w:tc>
          <w:tcPr>
            <w:tcW w:w="6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3,000,000</w:t>
            </w:r>
          </w:p>
        </w:tc>
        <w:tc>
          <w:tcPr>
            <w:tcW w:w="46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34"/>
        </w:trPr>
        <w:tc>
          <w:tcPr>
            <w:tcW w:w="258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60"/>
              <w:spacing w:after="0" w:line="134" w:lineRule="exact"/>
              <w:rPr>
                <w:sz w:val="20"/>
                <w:szCs w:val="20"/>
                <w:color w:val="auto"/>
              </w:rPr>
            </w:pPr>
            <w:r>
              <w:rPr>
                <w:rFonts w:ascii="Arial" w:cs="Arial" w:eastAsia="Arial" w:hAnsi="Arial"/>
                <w:sz w:val="12"/>
                <w:szCs w:val="12"/>
                <w:color w:val="auto"/>
                <w:w w:val="92"/>
              </w:rPr>
              <w:t>School</w:t>
            </w: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Common shares</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1,577,097</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1,500,000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4,577,097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4,500,000</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b w:val="1"/>
                <w:bCs w:val="1"/>
                <w:color w:val="auto"/>
              </w:rPr>
              <w:t>CUX, Inc. (d/b/a CorpU)</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Philadelphia, PA</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580" w:type="dxa"/>
            <w:vAlign w:val="bottom"/>
            <w:gridSpan w:val="8"/>
          </w:tcPr>
          <w:p>
            <w:pPr>
              <w:ind w:left="20"/>
              <w:spacing w:after="0" w:line="114" w:lineRule="exact"/>
              <w:rPr>
                <w:sz w:val="20"/>
                <w:szCs w:val="20"/>
                <w:color w:val="auto"/>
              </w:rPr>
            </w:pPr>
            <w:r>
              <w:rPr>
                <w:rFonts w:ascii="Arial" w:cs="Arial" w:eastAsia="Arial" w:hAnsi="Arial"/>
                <w:sz w:val="12"/>
                <w:szCs w:val="12"/>
                <w:color w:val="auto"/>
                <w:w w:val="95"/>
              </w:rPr>
              <w:t>Senior Subordinated Convertible Promissory Note</w:t>
            </w: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80" w:type="dxa"/>
            <w:vAlign w:val="bottom"/>
            <w:gridSpan w:val="8"/>
          </w:tcPr>
          <w:p>
            <w:pPr>
              <w:ind w:left="160"/>
              <w:spacing w:after="0" w:line="145" w:lineRule="exact"/>
              <w:rPr>
                <w:sz w:val="20"/>
                <w:szCs w:val="20"/>
                <w:color w:val="auto"/>
              </w:rPr>
            </w:pPr>
            <w:r>
              <w:rPr>
                <w:rFonts w:ascii="Arial" w:cs="Arial" w:eastAsia="Arial" w:hAnsi="Arial"/>
                <w:sz w:val="11"/>
                <w:szCs w:val="11"/>
                <w:color w:val="auto"/>
              </w:rPr>
              <w:t>8%, Due 11/26/2018***</w:t>
            </w:r>
            <w:r>
              <w:rPr>
                <w:rFonts w:ascii="Arial" w:cs="Arial" w:eastAsia="Arial" w:hAnsi="Arial"/>
                <w:sz w:val="16"/>
                <w:szCs w:val="16"/>
                <w:color w:val="auto"/>
                <w:vertAlign w:val="superscript"/>
              </w:rPr>
              <w:t>(8)</w:t>
            </w:r>
          </w:p>
        </w:tc>
        <w:tc>
          <w:tcPr>
            <w:tcW w:w="80" w:type="dxa"/>
            <w:vAlign w:val="bottom"/>
          </w:tcPr>
          <w:p>
            <w:pPr>
              <w:spacing w:after="0"/>
              <w:rPr>
                <w:sz w:val="12"/>
                <w:szCs w:val="12"/>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2"/>
                <w:szCs w:val="12"/>
                <w:color w:val="auto"/>
                <w:w w:val="89"/>
              </w:rPr>
              <w:t>Corporate Education</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1,166,400</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1,166,400</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1,166,400</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0.61%</w:t>
            </w:r>
          </w:p>
        </w:tc>
        <w:tc>
          <w:tcPr>
            <w:tcW w:w="0" w:type="dxa"/>
            <w:vAlign w:val="bottom"/>
          </w:tcPr>
          <w:p>
            <w:pPr>
              <w:spacing w:after="0"/>
              <w:rPr>
                <w:sz w:val="1"/>
                <w:szCs w:val="1"/>
                <w:color w:val="auto"/>
              </w:rPr>
            </w:pPr>
          </w:p>
        </w:tc>
      </w:tr>
      <w:tr>
        <w:trPr>
          <w:trHeight w:val="145"/>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Convertible preferred shares, Series D</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169,033</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778,607</w:t>
            </w: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775,861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8"/>
          </w:tcPr>
          <w:p>
            <w:pPr>
              <w:ind w:left="20"/>
              <w:spacing w:after="0"/>
              <w:rPr>
                <w:sz w:val="20"/>
                <w:szCs w:val="20"/>
                <w:color w:val="auto"/>
              </w:rPr>
            </w:pPr>
            <w:r>
              <w:rPr>
                <w:rFonts w:ascii="Arial" w:cs="Arial" w:eastAsia="Arial" w:hAnsi="Arial"/>
                <w:sz w:val="12"/>
                <w:szCs w:val="12"/>
                <w:color w:val="auto"/>
              </w:rPr>
              <w:t>Convertible preferred shares, Series C</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615,763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2,006,077</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1,913,484</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23"/>
        </w:trPr>
        <w:tc>
          <w:tcPr>
            <w:tcW w:w="2580" w:type="dxa"/>
            <w:vAlign w:val="bottom"/>
            <w:tcBorders>
              <w:left w:val="single" w:sz="8" w:color="CCEEFF"/>
            </w:tcBorders>
            <w:gridSpan w:val="8"/>
            <w:shd w:val="clear" w:color="auto" w:fill="CCEEFF"/>
          </w:tcPr>
          <w:p>
            <w:pPr>
              <w:ind w:left="20"/>
              <w:spacing w:after="0" w:line="123" w:lineRule="exact"/>
              <w:rPr>
                <w:sz w:val="20"/>
                <w:szCs w:val="20"/>
                <w:color w:val="auto"/>
              </w:rPr>
            </w:pPr>
            <w:r>
              <w:rPr>
                <w:rFonts w:ascii="Arial" w:cs="Arial" w:eastAsia="Arial" w:hAnsi="Arial"/>
                <w:sz w:val="12"/>
                <w:szCs w:val="12"/>
                <w:color w:val="auto"/>
                <w:w w:val="98"/>
              </w:rPr>
              <w:t>Preferred warrants, Series D, $4.59 Strike Price,</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16,903</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4,395</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80" w:type="dxa"/>
            <w:vAlign w:val="bottom"/>
            <w:tcBorders>
              <w:left w:val="single" w:sz="8" w:color="CCEEFF"/>
            </w:tcBorders>
            <w:gridSpan w:val="8"/>
            <w:shd w:val="clear" w:color="auto" w:fill="CCEEFF"/>
          </w:tcPr>
          <w:p>
            <w:pPr>
              <w:ind w:left="160"/>
              <w:spacing w:after="0"/>
              <w:rPr>
                <w:sz w:val="20"/>
                <w:szCs w:val="20"/>
                <w:color w:val="auto"/>
              </w:rPr>
            </w:pPr>
            <w:r>
              <w:rPr>
                <w:rFonts w:ascii="Arial" w:cs="Arial" w:eastAsia="Arial" w:hAnsi="Arial"/>
                <w:sz w:val="12"/>
                <w:szCs w:val="12"/>
                <w:color w:val="auto"/>
              </w:rPr>
              <w:t>Expiration Date 2/25/2018</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continue"/>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3,951,084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3,860,140</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214"/>
        </w:trPr>
        <w:tc>
          <w:tcPr>
            <w:tcW w:w="1120" w:type="dxa"/>
            <w:vAlign w:val="bottom"/>
            <w:tcBorders>
              <w:top w:val="single" w:sz="8" w:color="CCEEFF"/>
              <w:left w:val="single" w:sz="8" w:color="CCEEFF"/>
              <w:bottom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w w:val="88"/>
              </w:rPr>
              <w:t>Maven Research, Inc.</w:t>
            </w:r>
          </w:p>
        </w:tc>
        <w:tc>
          <w:tcPr>
            <w:tcW w:w="146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9"/>
              </w:rPr>
              <w:t>San Francisco, CA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580" w:type="dxa"/>
            <w:vAlign w:val="bottom"/>
            <w:gridSpan w:val="8"/>
          </w:tcPr>
          <w:p>
            <w:pPr>
              <w:ind w:left="20"/>
              <w:spacing w:after="0" w:line="136" w:lineRule="exact"/>
              <w:rPr>
                <w:sz w:val="20"/>
                <w:szCs w:val="20"/>
                <w:color w:val="auto"/>
              </w:rPr>
            </w:pPr>
            <w:r>
              <w:rPr>
                <w:rFonts w:ascii="Arial" w:cs="Arial" w:eastAsia="Arial" w:hAnsi="Arial"/>
                <w:sz w:val="12"/>
                <w:szCs w:val="12"/>
                <w:color w:val="auto"/>
              </w:rPr>
              <w:t>Preferred shares, Series C</w:t>
            </w:r>
          </w:p>
        </w:tc>
        <w:tc>
          <w:tcPr>
            <w:tcW w:w="80" w:type="dxa"/>
            <w:vAlign w:val="bottom"/>
          </w:tcPr>
          <w:p>
            <w:pPr>
              <w:spacing w:after="0"/>
              <w:rPr>
                <w:sz w:val="11"/>
                <w:szCs w:val="11"/>
                <w:color w:val="auto"/>
              </w:rPr>
            </w:pPr>
          </w:p>
        </w:tc>
        <w:tc>
          <w:tcPr>
            <w:tcW w:w="1400" w:type="dxa"/>
            <w:vAlign w:val="bottom"/>
            <w:gridSpan w:val="2"/>
          </w:tcPr>
          <w:p>
            <w:pPr>
              <w:jc w:val="center"/>
              <w:ind w:right="80"/>
              <w:spacing w:after="0" w:line="136" w:lineRule="exact"/>
              <w:rPr>
                <w:sz w:val="20"/>
                <w:szCs w:val="20"/>
                <w:color w:val="auto"/>
              </w:rPr>
            </w:pPr>
            <w:r>
              <w:rPr>
                <w:rFonts w:ascii="Arial" w:cs="Arial" w:eastAsia="Arial" w:hAnsi="Arial"/>
                <w:sz w:val="12"/>
                <w:szCs w:val="12"/>
                <w:color w:val="auto"/>
                <w:w w:val="92"/>
              </w:rPr>
              <w:t>Knowledge Networks</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318,979</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2,000,447</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1,999,998</w:t>
            </w:r>
          </w:p>
        </w:tc>
        <w:tc>
          <w:tcPr>
            <w:tcW w:w="46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Preferred shares, Series B</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49,505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217,206</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223,763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2,217,653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2,223,761</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17"/>
        </w:trPr>
        <w:tc>
          <w:tcPr>
            <w:tcW w:w="2580" w:type="dxa"/>
            <w:vAlign w:val="bottom"/>
            <w:tcBorders>
              <w:top w:val="single" w:sz="8" w:color="CCEEFF"/>
              <w:left w:val="single" w:sz="8" w:color="CCEEFF"/>
            </w:tcBorders>
            <w:gridSpan w:val="8"/>
            <w:shd w:val="clear" w:color="auto" w:fill="CCEEFF"/>
          </w:tcPr>
          <w:p>
            <w:pPr>
              <w:ind w:left="20"/>
              <w:spacing w:after="0" w:line="194"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7"/>
                <w:szCs w:val="17"/>
                <w:b w:val="1"/>
                <w:bCs w:val="1"/>
                <w:color w:val="auto"/>
                <w:vertAlign w:val="superscript"/>
              </w:rPr>
              <w:t>(7)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Sunnyvale, CA</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600" w:type="dxa"/>
            <w:vAlign w:val="bottom"/>
            <w:tcBorders>
              <w:top w:val="single" w:sz="8" w:color="auto"/>
            </w:tcBorders>
            <w:gridSpan w:val="5"/>
          </w:tcPr>
          <w:p>
            <w:pPr>
              <w:ind w:left="20"/>
              <w:spacing w:after="0"/>
              <w:rPr>
                <w:sz w:val="20"/>
                <w:szCs w:val="20"/>
                <w:color w:val="auto"/>
              </w:rPr>
            </w:pPr>
            <w:r>
              <w:rPr>
                <w:rFonts w:ascii="Arial" w:cs="Arial" w:eastAsia="Arial" w:hAnsi="Arial"/>
                <w:sz w:val="12"/>
                <w:szCs w:val="12"/>
                <w:color w:val="auto"/>
              </w:rPr>
              <w:t>Common shares</w:t>
            </w:r>
          </w:p>
        </w:tc>
        <w:tc>
          <w:tcPr>
            <w:tcW w:w="980" w:type="dxa"/>
            <w:vAlign w:val="bottom"/>
            <w:tcBorders>
              <w:top w:val="single" w:sz="8" w:color="CCEEFF"/>
            </w:tcBorders>
            <w:gridSpan w:val="3"/>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2"/>
                <w:szCs w:val="12"/>
                <w:color w:val="auto"/>
                <w:w w:val="92"/>
              </w:rPr>
              <w:t>Big Data Consulting</w:t>
            </w: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2"/>
                <w:szCs w:val="12"/>
                <w:color w:val="auto"/>
                <w:w w:val="93"/>
              </w:rPr>
              <w:t>2,400,000</w:t>
            </w: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2"/>
                <w:szCs w:val="12"/>
                <w:color w:val="auto"/>
              </w:rPr>
              <w:t>989,277</w:t>
            </w:r>
          </w:p>
        </w:tc>
        <w:tc>
          <w:tcPr>
            <w:tcW w:w="6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2,052,555</w:t>
            </w:r>
          </w:p>
        </w:tc>
        <w:tc>
          <w:tcPr>
            <w:tcW w:w="440" w:type="dxa"/>
            <w:vAlign w:val="bottom"/>
            <w:tcBorders>
              <w:top w:val="single" w:sz="8" w:color="CCEEFF"/>
            </w:tcBorders>
            <w:gridSpan w:val="2"/>
          </w:tcPr>
          <w:p>
            <w:pPr>
              <w:jc w:val="right"/>
              <w:spacing w:after="0"/>
              <w:rPr>
                <w:sz w:val="20"/>
                <w:szCs w:val="20"/>
                <w:color w:val="auto"/>
              </w:rPr>
            </w:pPr>
            <w:r>
              <w:rPr>
                <w:rFonts w:ascii="Arial" w:cs="Arial" w:eastAsia="Arial" w:hAnsi="Arial"/>
                <w:sz w:val="12"/>
                <w:szCs w:val="12"/>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b w:val="1"/>
                <w:bCs w:val="1"/>
                <w:color w:val="auto"/>
              </w:rPr>
              <w:t>EdSurge, Inc.</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2"/>
              </w:rPr>
              <w:t>Burlingame, CA</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gridSpan w:val="8"/>
          </w:tcPr>
          <w:p>
            <w:pPr>
              <w:ind w:left="20"/>
              <w:spacing w:after="0" w:line="136" w:lineRule="exact"/>
              <w:rPr>
                <w:sz w:val="20"/>
                <w:szCs w:val="20"/>
                <w:color w:val="auto"/>
              </w:rPr>
            </w:pPr>
            <w:r>
              <w:rPr>
                <w:rFonts w:ascii="Arial" w:cs="Arial" w:eastAsia="Arial" w:hAnsi="Arial"/>
                <w:sz w:val="12"/>
                <w:szCs w:val="12"/>
                <w:color w:val="auto"/>
              </w:rPr>
              <w:t>Preferred shares, Series A-1</w:t>
            </w:r>
          </w:p>
        </w:tc>
        <w:tc>
          <w:tcPr>
            <w:tcW w:w="80" w:type="dxa"/>
            <w:vAlign w:val="bottom"/>
          </w:tcPr>
          <w:p>
            <w:pPr>
              <w:spacing w:after="0"/>
              <w:rPr>
                <w:sz w:val="11"/>
                <w:szCs w:val="11"/>
                <w:color w:val="auto"/>
              </w:rPr>
            </w:pPr>
          </w:p>
        </w:tc>
        <w:tc>
          <w:tcPr>
            <w:tcW w:w="1400" w:type="dxa"/>
            <w:vAlign w:val="bottom"/>
            <w:gridSpan w:val="2"/>
          </w:tcPr>
          <w:p>
            <w:pPr>
              <w:jc w:val="center"/>
              <w:ind w:right="60"/>
              <w:spacing w:after="0" w:line="136" w:lineRule="exact"/>
              <w:rPr>
                <w:sz w:val="20"/>
                <w:szCs w:val="20"/>
                <w:color w:val="auto"/>
              </w:rPr>
            </w:pPr>
            <w:r>
              <w:rPr>
                <w:rFonts w:ascii="Arial" w:cs="Arial" w:eastAsia="Arial" w:hAnsi="Arial"/>
                <w:sz w:val="12"/>
                <w:szCs w:val="12"/>
                <w:color w:val="auto"/>
                <w:w w:val="91"/>
              </w:rPr>
              <w:t>Education Media Platform</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378,788</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501,360</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500,000</w:t>
            </w:r>
          </w:p>
        </w:tc>
        <w:tc>
          <w:tcPr>
            <w:tcW w:w="460" w:type="dxa"/>
            <w:vAlign w:val="bottom"/>
            <w:gridSpan w:val="3"/>
          </w:tcPr>
          <w:p>
            <w:pPr>
              <w:jc w:val="right"/>
              <w:ind w:right="20"/>
              <w:spacing w:after="0" w:line="136" w:lineRule="exact"/>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8"/>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494,365</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500,801</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588,294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8"/>
          </w:tcPr>
          <w:p>
            <w:pPr>
              <w:ind w:left="160"/>
              <w:spacing w:after="0"/>
              <w:rPr>
                <w:sz w:val="20"/>
                <w:szCs w:val="20"/>
                <w:color w:val="auto"/>
              </w:rPr>
            </w:pPr>
            <w:r>
              <w:rPr>
                <w:rFonts w:ascii="Arial" w:cs="Arial" w:eastAsia="Arial" w:hAnsi="Arial"/>
                <w:sz w:val="12"/>
                <w:szCs w:val="12"/>
                <w:color w:val="auto"/>
              </w:rPr>
              <w:t>Total</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1,002,161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1,088,294</w:t>
            </w:r>
          </w:p>
        </w:tc>
        <w:tc>
          <w:tcPr>
            <w:tcW w:w="460" w:type="dxa"/>
            <w:vAlign w:val="bottom"/>
            <w:gridSpan w:val="3"/>
          </w:tcPr>
          <w:p>
            <w:pPr>
              <w:jc w:val="right"/>
              <w:ind w:right="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-708025</wp:posOffset>
            </wp:positionV>
            <wp:extent cx="6350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-708025</wp:posOffset>
            </wp:positionV>
            <wp:extent cx="403225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-1161415</wp:posOffset>
            </wp:positionV>
            <wp:extent cx="6350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-1161415</wp:posOffset>
            </wp:positionV>
            <wp:extent cx="403225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-1948180</wp:posOffset>
            </wp:positionV>
            <wp:extent cx="6350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-1948180</wp:posOffset>
            </wp:positionV>
            <wp:extent cx="403225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-2479675</wp:posOffset>
            </wp:positionV>
            <wp:extent cx="6350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-2479675</wp:posOffset>
            </wp:positionV>
            <wp:extent cx="403225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-3244850</wp:posOffset>
            </wp:positionV>
            <wp:extent cx="6350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-3244850</wp:posOffset>
            </wp:positionV>
            <wp:extent cx="403225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-4272280</wp:posOffset>
            </wp:positionV>
            <wp:extent cx="6350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-4272280</wp:posOffset>
            </wp:positionV>
            <wp:extent cx="403225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-4527550</wp:posOffset>
            </wp:positionV>
            <wp:extent cx="6350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-4527550</wp:posOffset>
            </wp:positionV>
            <wp:extent cx="403225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32250"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-5299710</wp:posOffset>
            </wp:positionV>
            <wp:extent cx="2857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-5299710</wp:posOffset>
            </wp:positionV>
            <wp:extent cx="5651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-5299710</wp:posOffset>
            </wp:positionV>
            <wp:extent cx="5651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-5299710</wp:posOffset>
            </wp:positionV>
            <wp:extent cx="5651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-5299710</wp:posOffset>
            </wp:positionV>
            <wp:extent cx="5651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-5299710</wp:posOffset>
            </wp:positionV>
            <wp:extent cx="5651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515" cy="6985"/>
                    </a:xfrm>
                    <a:prstGeom prst="rect">
                      <a:avLst/>
                    </a:prstGeom>
                    <a:noFill/>
                  </pic:spPr>
                </pic:pic>
              </a:graphicData>
            </a:graphic>
          </wp:anchor>
        </w:drawing>
      </w:r>
    </w:p>
    <w:p>
      <w:pPr>
        <w:spacing w:after="0" w:line="70"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89" w:name="page90"/>
    <w:bookmarkEnd w:id="8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2016</w:t>
      </w:r>
    </w:p>
    <w:p>
      <w:pPr>
        <w:spacing w:after="0" w:line="146" w:lineRule="exact"/>
        <w:rPr>
          <w:sz w:val="20"/>
          <w:szCs w:val="20"/>
          <w:color w:val="auto"/>
        </w:rPr>
      </w:pPr>
    </w:p>
    <w:tbl>
      <w:tblPr>
        <w:tblLayout w:type="fixed"/>
        <w:tblInd w:w="1050" w:type="dxa"/>
        <w:tblCellMar>
          <w:top w:w="0" w:type="dxa"/>
          <w:left w:w="0" w:type="dxa"/>
          <w:bottom w:w="0" w:type="dxa"/>
          <w:right w:w="0" w:type="dxa"/>
        </w:tblCellMar>
      </w:tblPr>
      <w:tr>
        <w:trPr>
          <w:trHeight w:val="115"/>
        </w:trPr>
        <w:tc>
          <w:tcPr>
            <w:tcW w:w="2580" w:type="dxa"/>
            <w:vAlign w:val="bottom"/>
            <w:gridSpan w:val="9"/>
            <w:vMerge w:val="restart"/>
          </w:tcPr>
          <w:p>
            <w:pPr>
              <w:ind w:left="20"/>
              <w:spacing w:after="0"/>
              <w:rPr>
                <w:sz w:val="20"/>
                <w:szCs w:val="20"/>
                <w:color w:val="auto"/>
              </w:rPr>
            </w:pPr>
            <w:r>
              <w:rPr>
                <w:rFonts w:ascii="Arial" w:cs="Arial" w:eastAsia="Arial" w:hAnsi="Arial"/>
                <w:sz w:val="10"/>
                <w:szCs w:val="10"/>
                <w:b w:val="1"/>
                <w:bCs w:val="1"/>
                <w:color w:val="auto"/>
              </w:rPr>
              <w:t>Portfolio Investments*</w:t>
            </w:r>
          </w:p>
        </w:tc>
        <w:tc>
          <w:tcPr>
            <w:tcW w:w="100" w:type="dxa"/>
            <w:vAlign w:val="bottom"/>
          </w:tcPr>
          <w:p>
            <w:pPr>
              <w:spacing w:after="0"/>
              <w:rPr>
                <w:sz w:val="10"/>
                <w:szCs w:val="10"/>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7"/>
              </w:rPr>
              <w:t>Headquarters/Industry</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Shares/</w:t>
            </w:r>
          </w:p>
        </w:tc>
        <w:tc>
          <w:tcPr>
            <w:tcW w:w="60" w:type="dxa"/>
            <w:vAlign w:val="bottom"/>
          </w:tcPr>
          <w:p>
            <w:pPr>
              <w:spacing w:after="0"/>
              <w:rPr>
                <w:sz w:val="10"/>
                <w:szCs w:val="10"/>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Cost</w:t>
            </w:r>
          </w:p>
        </w:tc>
        <w:tc>
          <w:tcPr>
            <w:tcW w:w="6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Fair Value</w:t>
            </w: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89"/>
              </w:rPr>
              <w:t>% of Net</w:t>
            </w:r>
          </w:p>
        </w:tc>
        <w:tc>
          <w:tcPr>
            <w:tcW w:w="0" w:type="dxa"/>
            <w:vAlign w:val="bottom"/>
          </w:tcPr>
          <w:p>
            <w:pPr>
              <w:spacing w:after="0"/>
              <w:rPr>
                <w:sz w:val="1"/>
                <w:szCs w:val="1"/>
                <w:color w:val="auto"/>
              </w:rPr>
            </w:pPr>
          </w:p>
        </w:tc>
      </w:tr>
      <w:tr>
        <w:trPr>
          <w:trHeight w:val="140"/>
        </w:trPr>
        <w:tc>
          <w:tcPr>
            <w:tcW w:w="258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Principal</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1"/>
              </w:rPr>
              <w:t>Assets</w:t>
            </w:r>
          </w:p>
        </w:tc>
        <w:tc>
          <w:tcPr>
            <w:tcW w:w="0" w:type="dxa"/>
            <w:vAlign w:val="bottom"/>
          </w:tcPr>
          <w:p>
            <w:pPr>
              <w:spacing w:after="0"/>
              <w:rPr>
                <w:sz w:val="1"/>
                <w:szCs w:val="1"/>
                <w:color w:val="auto"/>
              </w:rPr>
            </w:pPr>
          </w:p>
        </w:tc>
      </w:tr>
      <w:tr>
        <w:trPr>
          <w:trHeight w:val="108"/>
        </w:trPr>
        <w:tc>
          <w:tcPr>
            <w:tcW w:w="2420" w:type="dxa"/>
            <w:vAlign w:val="bottom"/>
            <w:tcBorders>
              <w:top w:val="single" w:sz="8" w:color="auto"/>
              <w:left w:val="single" w:sz="8" w:color="CCEEFF"/>
              <w:bottom w:val="single" w:sz="8" w:color="auto"/>
            </w:tcBorders>
            <w:gridSpan w:val="7"/>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w w:val="91"/>
              </w:rPr>
              <w:t>Circle Media (f/k/a S3 Digital Corp. (d/b/a S3i))</w:t>
            </w:r>
          </w:p>
        </w:tc>
        <w:tc>
          <w:tcPr>
            <w:tcW w:w="160" w:type="dxa"/>
            <w:vAlign w:val="bottom"/>
            <w:tcBorders>
              <w:top w:val="single" w:sz="8" w:color="auto"/>
              <w:bottom w:val="single" w:sz="8" w:color="CCEEFF"/>
            </w:tcBorders>
            <w:gridSpan w:val="2"/>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320" w:type="dxa"/>
            <w:vAlign w:val="bottom"/>
            <w:tcBorders>
              <w:top w:val="single" w:sz="8" w:color="auto"/>
              <w:bottom w:val="single" w:sz="8" w:color="CCEEFF"/>
            </w:tcBorders>
            <w:shd w:val="clear" w:color="auto" w:fill="CCEEFF"/>
          </w:tcPr>
          <w:p>
            <w:pPr>
              <w:jc w:val="center"/>
              <w:spacing w:after="0" w:line="108" w:lineRule="exact"/>
              <w:rPr>
                <w:sz w:val="20"/>
                <w:szCs w:val="20"/>
                <w:color w:val="auto"/>
              </w:rPr>
            </w:pPr>
            <w:r>
              <w:rPr>
                <w:rFonts w:ascii="Arial" w:cs="Arial" w:eastAsia="Arial" w:hAnsi="Arial"/>
                <w:sz w:val="12"/>
                <w:szCs w:val="12"/>
                <w:color w:val="auto"/>
                <w:w w:val="95"/>
              </w:rPr>
              <w:t>New York, NY</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CCEEFF"/>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580" w:type="dxa"/>
            <w:vAlign w:val="bottom"/>
            <w:gridSpan w:val="9"/>
          </w:tcPr>
          <w:p>
            <w:pPr>
              <w:ind w:left="20"/>
              <w:spacing w:after="0" w:line="147" w:lineRule="exact"/>
              <w:rPr>
                <w:sz w:val="20"/>
                <w:szCs w:val="20"/>
                <w:color w:val="auto"/>
              </w:rPr>
            </w:pPr>
            <w:r>
              <w:rPr>
                <w:rFonts w:ascii="Arial" w:cs="Arial" w:eastAsia="Arial" w:hAnsi="Arial"/>
                <w:sz w:val="12"/>
                <w:szCs w:val="12"/>
                <w:color w:val="auto"/>
              </w:rPr>
              <w:t>Promissory Note 12%, Due 11/17/2017***</w:t>
            </w:r>
            <w:r>
              <w:rPr>
                <w:rFonts w:ascii="Arial" w:cs="Arial" w:eastAsia="Arial" w:hAnsi="Arial"/>
                <w:sz w:val="17"/>
                <w:szCs w:val="17"/>
                <w:color w:val="auto"/>
                <w:vertAlign w:val="superscript"/>
              </w:rPr>
              <w:t>(15)</w:t>
            </w:r>
          </w:p>
        </w:tc>
        <w:tc>
          <w:tcPr>
            <w:tcW w:w="10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Sports Analytics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25,000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26,840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26,544</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5"/>
        </w:trPr>
        <w:tc>
          <w:tcPr>
            <w:tcW w:w="25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1,864,495</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1,777,576</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484,769</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2"/>
                <w:szCs w:val="12"/>
                <w:color w:val="auto"/>
                <w:w w:val="97"/>
              </w:rPr>
              <w:t>Preferred warrants, $1.17 Strike Price, Expiration</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5,360</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576</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580" w:type="dxa"/>
            <w:vAlign w:val="bottom"/>
            <w:gridSpan w:val="9"/>
          </w:tcPr>
          <w:p>
            <w:pPr>
              <w:ind w:left="160"/>
              <w:spacing w:after="0" w:line="134" w:lineRule="exact"/>
              <w:rPr>
                <w:sz w:val="20"/>
                <w:szCs w:val="20"/>
                <w:color w:val="auto"/>
              </w:rPr>
            </w:pPr>
            <w:r>
              <w:rPr>
                <w:rFonts w:ascii="Arial" w:cs="Arial" w:eastAsia="Arial" w:hAnsi="Arial"/>
                <w:sz w:val="12"/>
                <w:szCs w:val="12"/>
                <w:color w:val="auto"/>
              </w:rPr>
              <w:t>Date 11/18/2022</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80" w:type="dxa"/>
            <w:vAlign w:val="bottom"/>
            <w:tcBorders>
              <w:left w:val="single" w:sz="8" w:color="CCEEFF"/>
            </w:tcBorders>
            <w:gridSpan w:val="9"/>
            <w:shd w:val="clear" w:color="auto" w:fill="CCEEFF"/>
          </w:tcPr>
          <w:p>
            <w:pPr>
              <w:ind w:left="20"/>
              <w:spacing w:after="0" w:line="123" w:lineRule="exact"/>
              <w:rPr>
                <w:sz w:val="20"/>
                <w:szCs w:val="20"/>
                <w:color w:val="auto"/>
              </w:rPr>
            </w:pPr>
            <w:r>
              <w:rPr>
                <w:rFonts w:ascii="Arial" w:cs="Arial" w:eastAsia="Arial" w:hAnsi="Arial"/>
                <w:sz w:val="12"/>
                <w:szCs w:val="12"/>
                <w:color w:val="auto"/>
                <w:w w:val="97"/>
              </w:rPr>
              <w:t>Preferred warrants, $1.17 Strike Price, Expiration</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175,815</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160"/>
              <w:spacing w:after="0" w:line="134" w:lineRule="exact"/>
              <w:rPr>
                <w:sz w:val="20"/>
                <w:szCs w:val="20"/>
                <w:color w:val="auto"/>
              </w:rPr>
            </w:pPr>
            <w:r>
              <w:rPr>
                <w:rFonts w:ascii="Arial" w:cs="Arial" w:eastAsia="Arial" w:hAnsi="Arial"/>
                <w:sz w:val="12"/>
                <w:szCs w:val="12"/>
                <w:color w:val="auto"/>
              </w:rPr>
              <w:t>Date 8/29/2021</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2"/>
                <w:szCs w:val="12"/>
                <w:color w:val="auto"/>
                <w:w w:val="97"/>
              </w:rPr>
              <w:t>Preferred warrants, $1.17 Strike Price, Expiration</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38,594</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580" w:type="dxa"/>
            <w:vAlign w:val="bottom"/>
            <w:gridSpan w:val="9"/>
          </w:tcPr>
          <w:p>
            <w:pPr>
              <w:ind w:left="160"/>
              <w:spacing w:after="0" w:line="134" w:lineRule="exact"/>
              <w:rPr>
                <w:sz w:val="20"/>
                <w:szCs w:val="20"/>
                <w:color w:val="auto"/>
              </w:rPr>
            </w:pPr>
            <w:r>
              <w:rPr>
                <w:rFonts w:ascii="Arial" w:cs="Arial" w:eastAsia="Arial" w:hAnsi="Arial"/>
                <w:sz w:val="12"/>
                <w:szCs w:val="12"/>
                <w:color w:val="auto"/>
              </w:rPr>
              <w:t>Date 6/26/2021</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80" w:type="dxa"/>
            <w:vAlign w:val="bottom"/>
            <w:tcBorders>
              <w:left w:val="single" w:sz="8" w:color="CCEEFF"/>
            </w:tcBorders>
            <w:gridSpan w:val="9"/>
            <w:shd w:val="clear" w:color="auto" w:fill="CCEEFF"/>
          </w:tcPr>
          <w:p>
            <w:pPr>
              <w:ind w:left="20"/>
              <w:spacing w:after="0" w:line="123" w:lineRule="exact"/>
              <w:rPr>
                <w:sz w:val="20"/>
                <w:szCs w:val="20"/>
                <w:color w:val="auto"/>
              </w:rPr>
            </w:pPr>
            <w:r>
              <w:rPr>
                <w:rFonts w:ascii="Arial" w:cs="Arial" w:eastAsia="Arial" w:hAnsi="Arial"/>
                <w:sz w:val="12"/>
                <w:szCs w:val="12"/>
                <w:color w:val="auto"/>
                <w:w w:val="97"/>
              </w:rPr>
              <w:t>Preferred warrants, $1.17 Strike Price, Expiration</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160,806</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160"/>
              <w:spacing w:after="0" w:line="134" w:lineRule="exact"/>
              <w:rPr>
                <w:sz w:val="20"/>
                <w:szCs w:val="20"/>
                <w:color w:val="auto"/>
              </w:rPr>
            </w:pPr>
            <w:r>
              <w:rPr>
                <w:rFonts w:ascii="Arial" w:cs="Arial" w:eastAsia="Arial" w:hAnsi="Arial"/>
                <w:sz w:val="12"/>
                <w:szCs w:val="12"/>
                <w:color w:val="auto"/>
              </w:rPr>
              <w:t>Date 9/30/2020</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2"/>
                <w:szCs w:val="12"/>
                <w:color w:val="auto"/>
                <w:w w:val="97"/>
              </w:rPr>
              <w:t>Preferred warrants, $1.00 Strike Price, Expiration</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500,000</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31,354</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580" w:type="dxa"/>
            <w:vAlign w:val="bottom"/>
            <w:gridSpan w:val="9"/>
          </w:tcPr>
          <w:p>
            <w:pPr>
              <w:ind w:left="160"/>
              <w:spacing w:after="0" w:line="134" w:lineRule="exact"/>
              <w:rPr>
                <w:sz w:val="20"/>
                <w:szCs w:val="20"/>
                <w:color w:val="auto"/>
              </w:rPr>
            </w:pPr>
            <w:r>
              <w:rPr>
                <w:rFonts w:ascii="Arial" w:cs="Arial" w:eastAsia="Arial" w:hAnsi="Arial"/>
                <w:sz w:val="12"/>
                <w:szCs w:val="12"/>
                <w:color w:val="auto"/>
              </w:rPr>
              <w:t>Date 11/21/2017</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left w:val="single" w:sz="8" w:color="CCEEFF"/>
            </w:tcBorders>
            <w:gridSpan w:val="9"/>
            <w:vMerge w:val="restart"/>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80" w:type="dxa"/>
            <w:vAlign w:val="bottom"/>
            <w:tcBorders>
              <w:left w:val="single" w:sz="8" w:color="CCEEFF"/>
            </w:tcBorders>
            <w:gridSpan w:val="9"/>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1,836,346</w:t>
            </w: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511,313</w:t>
            </w: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0.27%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gridSpan w:val="9"/>
          </w:tcPr>
          <w:p>
            <w:pPr>
              <w:ind w:left="20"/>
              <w:spacing w:after="0"/>
              <w:rPr>
                <w:sz w:val="20"/>
                <w:szCs w:val="20"/>
                <w:color w:val="auto"/>
              </w:rPr>
            </w:pPr>
            <w:r>
              <w:rPr>
                <w:rFonts w:ascii="Arial" w:cs="Arial" w:eastAsia="Arial" w:hAnsi="Arial"/>
                <w:sz w:val="12"/>
                <w:szCs w:val="12"/>
                <w:b w:val="1"/>
                <w:bCs w:val="1"/>
                <w:color w:val="auto"/>
              </w:rPr>
              <w:t>Global Education Learning (Holdings) Ltd.**</w:t>
            </w: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2"/>
                <w:szCs w:val="12"/>
                <w:color w:val="auto"/>
                <w:w w:val="93"/>
              </w:rPr>
              <w:t>Hong Kong</w:t>
            </w: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220" w:type="dxa"/>
            <w:vAlign w:val="bottom"/>
            <w:tcBorders>
              <w:top w:val="single" w:sz="8" w:color="auto"/>
              <w:left w:val="single" w:sz="8" w:color="CCEEFF"/>
            </w:tcBorders>
            <w:gridSpan w:val="6"/>
            <w:shd w:val="clear" w:color="auto" w:fill="CCEEFF"/>
          </w:tcPr>
          <w:p>
            <w:pPr>
              <w:ind w:left="20"/>
              <w:spacing w:after="0" w:line="136" w:lineRule="exact"/>
              <w:rPr>
                <w:sz w:val="20"/>
                <w:szCs w:val="20"/>
                <w:color w:val="auto"/>
              </w:rPr>
            </w:pPr>
            <w:r>
              <w:rPr>
                <w:rFonts w:ascii="Arial" w:cs="Arial" w:eastAsia="Arial" w:hAnsi="Arial"/>
                <w:sz w:val="12"/>
                <w:szCs w:val="12"/>
                <w:color w:val="auto"/>
              </w:rPr>
              <w:t>Preferred shares, Series A</w:t>
            </w:r>
          </w:p>
        </w:tc>
        <w:tc>
          <w:tcPr>
            <w:tcW w:w="360" w:type="dxa"/>
            <w:vAlign w:val="bottom"/>
            <w:gridSpan w:val="3"/>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90"/>
              </w:rPr>
              <w:t>Education Technology</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w w:val="97"/>
              </w:rPr>
              <w:t>2,126,475</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675,495</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88"/>
              </w:rPr>
              <w:t>AlwaysOn, Inc.</w:t>
            </w:r>
          </w:p>
        </w:tc>
        <w:tc>
          <w:tcPr>
            <w:tcW w:w="1780" w:type="dxa"/>
            <w:vAlign w:val="bottom"/>
            <w:gridSpan w:val="6"/>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Woodside, CA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580" w:type="dxa"/>
            <w:vAlign w:val="bottom"/>
            <w:tcBorders>
              <w:left w:val="single" w:sz="8" w:color="CCEEFF"/>
            </w:tcBorders>
            <w:gridSpan w:val="9"/>
            <w:shd w:val="clear" w:color="auto" w:fill="CCEEFF"/>
          </w:tcPr>
          <w:p>
            <w:pPr>
              <w:ind w:left="20"/>
              <w:spacing w:after="0" w:line="136" w:lineRule="exact"/>
              <w:rPr>
                <w:sz w:val="20"/>
                <w:szCs w:val="20"/>
                <w:color w:val="auto"/>
              </w:rPr>
            </w:pPr>
            <w:r>
              <w:rPr>
                <w:rFonts w:ascii="Arial" w:cs="Arial" w:eastAsia="Arial" w:hAnsi="Arial"/>
                <w:sz w:val="12"/>
                <w:szCs w:val="12"/>
                <w:color w:val="auto"/>
              </w:rPr>
              <w:t>Preferred shares, Series A-1</w:t>
            </w:r>
          </w:p>
        </w:tc>
        <w:tc>
          <w:tcPr>
            <w:tcW w:w="1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93"/>
              </w:rPr>
              <w:t>Social Media</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w w:val="97"/>
              </w:rPr>
              <w:t>4,465,925</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876,023</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80" w:type="dxa"/>
            <w:vAlign w:val="bottom"/>
            <w:gridSpan w:val="9"/>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1,066,626</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1,027,391</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2580" w:type="dxa"/>
            <w:vAlign w:val="bottom"/>
            <w:tcBorders>
              <w:left w:val="single" w:sz="8" w:color="CCEEFF"/>
            </w:tcBorders>
            <w:gridSpan w:val="9"/>
            <w:shd w:val="clear" w:color="auto" w:fill="CCEEFF"/>
          </w:tcPr>
          <w:p>
            <w:pPr>
              <w:ind w:left="20"/>
              <w:spacing w:after="0" w:line="123" w:lineRule="exact"/>
              <w:rPr>
                <w:sz w:val="20"/>
                <w:szCs w:val="20"/>
                <w:color w:val="auto"/>
              </w:rPr>
            </w:pPr>
            <w:r>
              <w:rPr>
                <w:rFonts w:ascii="Arial" w:cs="Arial" w:eastAsia="Arial" w:hAnsi="Arial"/>
                <w:sz w:val="12"/>
                <w:szCs w:val="12"/>
                <w:color w:val="auto"/>
              </w:rPr>
              <w:t>Preferred warrants Series A, $1.00 Strike Price,</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109,375</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160"/>
              <w:spacing w:after="0" w:line="134" w:lineRule="exact"/>
              <w:rPr>
                <w:sz w:val="20"/>
                <w:szCs w:val="20"/>
                <w:color w:val="auto"/>
              </w:rPr>
            </w:pPr>
            <w:r>
              <w:rPr>
                <w:rFonts w:ascii="Arial" w:cs="Arial" w:eastAsia="Arial" w:hAnsi="Arial"/>
                <w:sz w:val="12"/>
                <w:szCs w:val="12"/>
                <w:color w:val="auto"/>
              </w:rPr>
              <w:t>Expiration Date 1/9/2017</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80" w:type="dxa"/>
            <w:vAlign w:val="bottom"/>
            <w:gridSpan w:val="9"/>
          </w:tcPr>
          <w:p>
            <w:pPr>
              <w:ind w:left="160"/>
              <w:spacing w:after="0" w:line="125"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1,903,414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b w:val="1"/>
                <w:bCs w:val="1"/>
                <w:color w:val="auto"/>
              </w:rPr>
              <w:t>Total Non-controlled/Affiliate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6"/>
              </w:rPr>
              <w:t>51,773,388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6"/>
              </w:rPr>
              <w:t>42,444,690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580" w:type="dxa"/>
            <w:vAlign w:val="bottom"/>
            <w:gridSpan w:val="9"/>
          </w:tcPr>
          <w:p>
            <w:pPr>
              <w:ind w:left="20"/>
              <w:spacing w:after="0"/>
              <w:rPr>
                <w:sz w:val="20"/>
                <w:szCs w:val="20"/>
                <w:color w:val="auto"/>
              </w:rPr>
            </w:pPr>
            <w:r>
              <w:rPr>
                <w:rFonts w:ascii="Arial" w:cs="Arial" w:eastAsia="Arial" w:hAnsi="Arial"/>
                <w:sz w:val="12"/>
                <w:szCs w:val="12"/>
                <w:b w:val="1"/>
                <w:bCs w:val="1"/>
                <w:color w:val="auto"/>
              </w:rPr>
              <w:t>CONTROLLED</w:t>
            </w:r>
            <w:r>
              <w:rPr>
                <w:rFonts w:ascii="Arial" w:cs="Arial" w:eastAsia="Arial" w:hAnsi="Arial"/>
                <w:sz w:val="17"/>
                <w:szCs w:val="17"/>
                <w:b w:val="1"/>
                <w:bCs w:val="1"/>
                <w:color w:val="auto"/>
                <w:vertAlign w:val="superscript"/>
              </w:rPr>
              <w:t>(2)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b w:val="1"/>
                <w:bCs w:val="1"/>
                <w:color w:val="auto"/>
              </w:rPr>
              <w:t>StormWind, LLC</w:t>
            </w:r>
            <w:r>
              <w:rPr>
                <w:rFonts w:ascii="Arial" w:cs="Arial" w:eastAsia="Arial" w:hAnsi="Arial"/>
                <w:sz w:val="17"/>
                <w:szCs w:val="17"/>
                <w:b w:val="1"/>
                <w:bCs w:val="1"/>
                <w:color w:val="auto"/>
                <w:vertAlign w:val="superscript"/>
              </w:rPr>
              <w:t>(6)</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Scottsdale, AZ</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0" w:type="dxa"/>
            <w:vAlign w:val="bottom"/>
            <w:tcBorders>
              <w:lef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580" w:type="dxa"/>
            <w:vAlign w:val="bottom"/>
            <w:gridSpan w:val="9"/>
          </w:tcPr>
          <w:p>
            <w:pPr>
              <w:ind w:left="20"/>
              <w:spacing w:after="0"/>
              <w:rPr>
                <w:sz w:val="20"/>
                <w:szCs w:val="20"/>
                <w:color w:val="auto"/>
              </w:rPr>
            </w:pPr>
            <w:r>
              <w:rPr>
                <w:rFonts w:ascii="Arial" w:cs="Arial" w:eastAsia="Arial" w:hAnsi="Arial"/>
                <w:sz w:val="12"/>
                <w:szCs w:val="12"/>
                <w:color w:val="auto"/>
              </w:rPr>
              <w:t>Preferred shares, Series C</w:t>
            </w:r>
          </w:p>
        </w:tc>
        <w:tc>
          <w:tcPr>
            <w:tcW w:w="10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Interactive Learning</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2,779,134</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4,000,787</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4,650,838</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5"/>
        </w:trPr>
        <w:tc>
          <w:tcPr>
            <w:tcW w:w="25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3,279,629</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2,019,687</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4,470,403</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9"/>
          </w:tcPr>
          <w:p>
            <w:pPr>
              <w:ind w:left="20"/>
              <w:spacing w:after="0"/>
              <w:rPr>
                <w:sz w:val="20"/>
                <w:szCs w:val="20"/>
                <w:color w:val="auto"/>
              </w:rPr>
            </w:pPr>
            <w:r>
              <w:rPr>
                <w:rFonts w:ascii="Arial" w:cs="Arial" w:eastAsia="Arial" w:hAnsi="Arial"/>
                <w:sz w:val="12"/>
                <w:szCs w:val="12"/>
                <w:color w:val="auto"/>
              </w:rPr>
              <w:t>Preferred shares, Series A</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366,666</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110,000</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499,796</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20"/>
        </w:trPr>
        <w:tc>
          <w:tcPr>
            <w:tcW w:w="2580" w:type="dxa"/>
            <w:vAlign w:val="bottom"/>
            <w:tcBorders>
              <w:left w:val="single" w:sz="8" w:color="CCEEFF"/>
            </w:tcBorders>
            <w:gridSpan w:val="9"/>
            <w:vMerge w:val="restart"/>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80" w:type="dxa"/>
            <w:vAlign w:val="bottom"/>
            <w:tcBorders>
              <w:left w:val="single" w:sz="8" w:color="CCEEFF"/>
            </w:tcBorders>
            <w:gridSpan w:val="9"/>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6,130,474</w:t>
            </w: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9,621,037</w:t>
            </w: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5.01%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900" w:type="dxa"/>
            <w:vAlign w:val="bottom"/>
            <w:tcBorders>
              <w:top w:val="single" w:sz="8" w:color="CCEEFF"/>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90"/>
              </w:rPr>
              <w:t>NestGSV, Inc. (d/b/a GSV Labs, Inc.)</w:t>
            </w:r>
          </w:p>
        </w:tc>
        <w:tc>
          <w:tcPr>
            <w:tcW w:w="680" w:type="dxa"/>
            <w:vAlign w:val="bottom"/>
            <w:tcBorders>
              <w:top w:val="single" w:sz="8" w:color="CCEEFF"/>
            </w:tcBorders>
            <w:gridSpan w:val="4"/>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2"/>
                <w:szCs w:val="12"/>
                <w:color w:val="auto"/>
                <w:w w:val="91"/>
              </w:rPr>
              <w:t>Redwood City, CA</w:t>
            </w: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580" w:type="dxa"/>
            <w:vAlign w:val="bottom"/>
            <w:tcBorders>
              <w:left w:val="single" w:sz="8" w:color="CCEEFF"/>
            </w:tcBorders>
            <w:gridSpan w:val="9"/>
            <w:shd w:val="clear" w:color="auto" w:fill="CCEEFF"/>
          </w:tcPr>
          <w:p>
            <w:pPr>
              <w:ind w:left="20"/>
              <w:spacing w:after="0" w:line="114" w:lineRule="exact"/>
              <w:rPr>
                <w:sz w:val="20"/>
                <w:szCs w:val="20"/>
                <w:color w:val="auto"/>
              </w:rPr>
            </w:pPr>
            <w:r>
              <w:rPr>
                <w:rFonts w:ascii="Arial" w:cs="Arial" w:eastAsia="Arial" w:hAnsi="Arial"/>
                <w:sz w:val="12"/>
                <w:szCs w:val="12"/>
                <w:color w:val="auto"/>
              </w:rPr>
              <w:t>Convertible Promissory Note 8%</w:t>
            </w:r>
          </w:p>
        </w:tc>
        <w:tc>
          <w:tcPr>
            <w:tcW w:w="100" w:type="dxa"/>
            <w:vAlign w:val="bottom"/>
            <w:shd w:val="clear" w:color="auto" w:fill="CCEEFF"/>
          </w:tcPr>
          <w:p>
            <w:pPr>
              <w:spacing w:after="0"/>
              <w:rPr>
                <w:sz w:val="9"/>
                <w:szCs w:val="9"/>
                <w:color w:val="auto"/>
              </w:rPr>
            </w:pPr>
          </w:p>
        </w:tc>
        <w:tc>
          <w:tcPr>
            <w:tcW w:w="1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2"/>
                <w:szCs w:val="12"/>
                <w:color w:val="auto"/>
                <w:w w:val="93"/>
              </w:rPr>
              <w:t>Global Innovation Platform</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457,592</w:t>
            </w:r>
          </w:p>
        </w:tc>
        <w:tc>
          <w:tcPr>
            <w:tcW w:w="6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427,900</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0.22%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160"/>
              <w:spacing w:after="0" w:line="134" w:lineRule="exact"/>
              <w:rPr>
                <w:sz w:val="20"/>
                <w:szCs w:val="20"/>
                <w:color w:val="auto"/>
              </w:rPr>
            </w:pPr>
            <w:r>
              <w:rPr>
                <w:rFonts w:ascii="Arial" w:cs="Arial" w:eastAsia="Arial" w:hAnsi="Arial"/>
                <w:sz w:val="12"/>
                <w:szCs w:val="12"/>
                <w:color w:val="auto"/>
              </w:rPr>
              <w:t>Due 7/31/2017***</w:t>
            </w:r>
          </w:p>
        </w:tc>
        <w:tc>
          <w:tcPr>
            <w:tcW w:w="10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4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2"/>
                <w:szCs w:val="12"/>
                <w:color w:val="auto"/>
              </w:rPr>
              <w:t>Unsecured Promissory Note 12%</w:t>
            </w: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526,000</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501,802</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496,725</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134"/>
        </w:trPr>
        <w:tc>
          <w:tcPr>
            <w:tcW w:w="2580" w:type="dxa"/>
            <w:vAlign w:val="bottom"/>
            <w:gridSpan w:val="9"/>
          </w:tcPr>
          <w:p>
            <w:pPr>
              <w:ind w:left="160"/>
              <w:spacing w:after="0" w:line="134" w:lineRule="exact"/>
              <w:rPr>
                <w:sz w:val="20"/>
                <w:szCs w:val="20"/>
                <w:color w:val="auto"/>
              </w:rPr>
            </w:pPr>
            <w:r>
              <w:rPr>
                <w:rFonts w:ascii="Arial" w:cs="Arial" w:eastAsia="Arial" w:hAnsi="Arial"/>
                <w:sz w:val="12"/>
                <w:szCs w:val="12"/>
                <w:color w:val="auto"/>
              </w:rPr>
              <w:t>Due 5/29/2017***</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9"/>
            <w:shd w:val="clear" w:color="auto" w:fill="CCEEFF"/>
          </w:tcPr>
          <w:p>
            <w:pPr>
              <w:ind w:left="20"/>
              <w:spacing w:after="0" w:line="156" w:lineRule="exact"/>
              <w:rPr>
                <w:sz w:val="20"/>
                <w:szCs w:val="20"/>
                <w:color w:val="auto"/>
              </w:rPr>
            </w:pPr>
            <w:r>
              <w:rPr>
                <w:rFonts w:ascii="Arial" w:cs="Arial" w:eastAsia="Arial" w:hAnsi="Arial"/>
                <w:sz w:val="12"/>
                <w:szCs w:val="12"/>
                <w:color w:val="auto"/>
              </w:rPr>
              <w:t>Preferred shares, Series A-4</w:t>
            </w:r>
            <w:r>
              <w:rPr>
                <w:rFonts w:ascii="Arial" w:cs="Arial" w:eastAsia="Arial" w:hAnsi="Arial"/>
                <w:sz w:val="17"/>
                <w:szCs w:val="17"/>
                <w:color w:val="auto"/>
                <w:vertAlign w:val="superscript"/>
              </w:rPr>
              <w:t>(14)</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3,720,424</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4,904,498</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2,715,910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580" w:type="dxa"/>
            <w:vAlign w:val="bottom"/>
            <w:gridSpan w:val="9"/>
          </w:tcPr>
          <w:p>
            <w:pPr>
              <w:ind w:left="20"/>
              <w:spacing w:after="0" w:line="167" w:lineRule="exact"/>
              <w:rPr>
                <w:sz w:val="20"/>
                <w:szCs w:val="20"/>
                <w:color w:val="auto"/>
              </w:rPr>
            </w:pPr>
            <w:r>
              <w:rPr>
                <w:rFonts w:ascii="Arial" w:cs="Arial" w:eastAsia="Arial" w:hAnsi="Arial"/>
                <w:sz w:val="12"/>
                <w:szCs w:val="12"/>
                <w:color w:val="auto"/>
              </w:rPr>
              <w:t>Preferred shares, Series A-3</w:t>
            </w:r>
            <w:r>
              <w:rPr>
                <w:rFonts w:ascii="Arial" w:cs="Arial" w:eastAsia="Arial" w:hAnsi="Arial"/>
                <w:sz w:val="17"/>
                <w:szCs w:val="17"/>
                <w:color w:val="auto"/>
                <w:vertAlign w:val="superscript"/>
              </w:rPr>
              <w:t>(14)</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1,561,625</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2,005,730</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952,591</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9"/>
            <w:shd w:val="clear" w:color="auto" w:fill="CCEEFF"/>
          </w:tcPr>
          <w:p>
            <w:pPr>
              <w:ind w:left="20"/>
              <w:spacing w:after="0" w:line="167" w:lineRule="exact"/>
              <w:rPr>
                <w:sz w:val="20"/>
                <w:szCs w:val="20"/>
                <w:color w:val="auto"/>
              </w:rPr>
            </w:pPr>
            <w:r>
              <w:rPr>
                <w:rFonts w:ascii="Arial" w:cs="Arial" w:eastAsia="Arial" w:hAnsi="Arial"/>
                <w:sz w:val="12"/>
                <w:szCs w:val="12"/>
                <w:color w:val="auto"/>
              </w:rPr>
              <w:t>Preferred shares, Series A-2</w:t>
            </w:r>
            <w:r>
              <w:rPr>
                <w:rFonts w:ascii="Arial" w:cs="Arial" w:eastAsia="Arial" w:hAnsi="Arial"/>
                <w:sz w:val="17"/>
                <w:szCs w:val="17"/>
                <w:color w:val="auto"/>
                <w:vertAlign w:val="superscript"/>
              </w:rPr>
              <w:t>(14)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450,001</w:t>
            </w: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605,500</w:t>
            </w: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166,500</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80" w:type="dxa"/>
            <w:vAlign w:val="bottom"/>
            <w:gridSpan w:val="9"/>
          </w:tcPr>
          <w:p>
            <w:pPr>
              <w:ind w:left="20"/>
              <w:spacing w:after="0" w:line="167" w:lineRule="exact"/>
              <w:rPr>
                <w:sz w:val="20"/>
                <w:szCs w:val="20"/>
                <w:color w:val="auto"/>
              </w:rPr>
            </w:pPr>
            <w:r>
              <w:rPr>
                <w:rFonts w:ascii="Arial" w:cs="Arial" w:eastAsia="Arial" w:hAnsi="Arial"/>
                <w:sz w:val="12"/>
                <w:szCs w:val="12"/>
                <w:color w:val="auto"/>
              </w:rPr>
              <w:t>Preferred shares, Series A-1</w:t>
            </w:r>
            <w:r>
              <w:rPr>
                <w:rFonts w:ascii="Arial" w:cs="Arial" w:eastAsia="Arial" w:hAnsi="Arial"/>
                <w:sz w:val="17"/>
                <w:szCs w:val="17"/>
                <w:color w:val="auto"/>
                <w:vertAlign w:val="superscript"/>
              </w:rPr>
              <w:t>(14)</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1,000,000</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1,021,778</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270,000</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56"/>
        </w:trPr>
        <w:tc>
          <w:tcPr>
            <w:tcW w:w="25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color w:val="auto"/>
              </w:rPr>
              <w:t>Common shares</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200,000</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580" w:type="dxa"/>
            <w:vAlign w:val="bottom"/>
            <w:gridSpan w:val="9"/>
          </w:tcPr>
          <w:p>
            <w:pPr>
              <w:ind w:left="20"/>
              <w:spacing w:after="0" w:line="134" w:lineRule="exact"/>
              <w:rPr>
                <w:sz w:val="20"/>
                <w:szCs w:val="20"/>
                <w:color w:val="auto"/>
              </w:rPr>
            </w:pPr>
            <w:r>
              <w:rPr>
                <w:rFonts w:ascii="Arial" w:cs="Arial" w:eastAsia="Arial" w:hAnsi="Arial"/>
                <w:sz w:val="12"/>
                <w:szCs w:val="12"/>
                <w:color w:val="auto"/>
                <w:w w:val="92"/>
              </w:rPr>
              <w:t>Preferred warrants, Series A-3 – $1.33 Strike Price,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187,500</w:t>
            </w: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5,625</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580" w:type="dxa"/>
            <w:vAlign w:val="bottom"/>
            <w:gridSpan w:val="9"/>
          </w:tcPr>
          <w:p>
            <w:pPr>
              <w:ind w:left="160"/>
              <w:spacing w:after="0" w:line="134" w:lineRule="exact"/>
              <w:rPr>
                <w:sz w:val="20"/>
                <w:szCs w:val="20"/>
                <w:color w:val="auto"/>
              </w:rPr>
            </w:pPr>
            <w:r>
              <w:rPr>
                <w:rFonts w:ascii="Arial" w:cs="Arial" w:eastAsia="Arial" w:hAnsi="Arial"/>
                <w:sz w:val="12"/>
                <w:szCs w:val="12"/>
                <w:color w:val="auto"/>
              </w:rPr>
              <w:t>Expiration Date 4/4/2019</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20"/>
              <w:spacing w:after="0" w:line="134" w:lineRule="exact"/>
              <w:rPr>
                <w:sz w:val="20"/>
                <w:szCs w:val="20"/>
                <w:color w:val="auto"/>
              </w:rPr>
            </w:pPr>
            <w:r>
              <w:rPr>
                <w:rFonts w:ascii="Arial" w:cs="Arial" w:eastAsia="Arial" w:hAnsi="Arial"/>
                <w:sz w:val="12"/>
                <w:szCs w:val="12"/>
                <w:color w:val="auto"/>
                <w:w w:val="92"/>
              </w:rPr>
              <w:t>Preferred warrants, Series A-4 – $1.33 Strike Price,</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40,000</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160"/>
              <w:spacing w:after="0" w:line="134" w:lineRule="exact"/>
              <w:rPr>
                <w:sz w:val="20"/>
                <w:szCs w:val="20"/>
                <w:color w:val="auto"/>
              </w:rPr>
            </w:pPr>
            <w:r>
              <w:rPr>
                <w:rFonts w:ascii="Arial" w:cs="Arial" w:eastAsia="Arial" w:hAnsi="Arial"/>
                <w:sz w:val="12"/>
                <w:szCs w:val="12"/>
                <w:color w:val="auto"/>
              </w:rPr>
              <w:t>Expiration Date 10/6/2019</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gridSpan w:val="9"/>
          </w:tcPr>
          <w:p>
            <w:pPr>
              <w:ind w:left="20"/>
              <w:spacing w:after="0" w:line="134" w:lineRule="exact"/>
              <w:rPr>
                <w:sz w:val="20"/>
                <w:szCs w:val="20"/>
                <w:color w:val="auto"/>
              </w:rPr>
            </w:pPr>
            <w:r>
              <w:rPr>
                <w:rFonts w:ascii="Arial" w:cs="Arial" w:eastAsia="Arial" w:hAnsi="Arial"/>
                <w:sz w:val="12"/>
                <w:szCs w:val="12"/>
                <w:color w:val="auto"/>
                <w:w w:val="92"/>
              </w:rPr>
              <w:t>Preferred warrants, Series A-4 – $1.33 Strike Price,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250,000</w:t>
            </w: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74,380</w:t>
            </w: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22,500</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34"/>
        </w:trPr>
        <w:tc>
          <w:tcPr>
            <w:tcW w:w="2580" w:type="dxa"/>
            <w:vAlign w:val="bottom"/>
            <w:gridSpan w:val="9"/>
          </w:tcPr>
          <w:p>
            <w:pPr>
              <w:ind w:left="160"/>
              <w:spacing w:after="0" w:line="134" w:lineRule="exact"/>
              <w:rPr>
                <w:sz w:val="20"/>
                <w:szCs w:val="20"/>
                <w:color w:val="auto"/>
              </w:rPr>
            </w:pPr>
            <w:r>
              <w:rPr>
                <w:rFonts w:ascii="Arial" w:cs="Arial" w:eastAsia="Arial" w:hAnsi="Arial"/>
                <w:sz w:val="12"/>
                <w:szCs w:val="12"/>
                <w:color w:val="auto"/>
              </w:rPr>
              <w:t>Expiration Date 7/18/2021</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20"/>
              <w:spacing w:after="0" w:line="134" w:lineRule="exact"/>
              <w:rPr>
                <w:sz w:val="20"/>
                <w:szCs w:val="20"/>
                <w:color w:val="auto"/>
              </w:rPr>
            </w:pPr>
            <w:r>
              <w:rPr>
                <w:rFonts w:ascii="Arial" w:cs="Arial" w:eastAsia="Arial" w:hAnsi="Arial"/>
                <w:sz w:val="12"/>
                <w:szCs w:val="12"/>
                <w:color w:val="auto"/>
                <w:w w:val="92"/>
              </w:rPr>
              <w:t>Preferred warrants, Series A-4 – $1.33 Strike Price,</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100,000</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29,275</w:t>
            </w: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440" w:type="dxa"/>
            <w:vAlign w:val="bottom"/>
            <w:tcBorders>
              <w:right w:val="single" w:sz="8" w:color="CCEEFF"/>
            </w:tcBorders>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Borders>
              <w:left w:val="single" w:sz="8" w:color="CCEEFF"/>
            </w:tcBorders>
            <w:gridSpan w:val="9"/>
            <w:shd w:val="clear" w:color="auto" w:fill="CCEEFF"/>
          </w:tcPr>
          <w:p>
            <w:pPr>
              <w:ind w:left="160"/>
              <w:spacing w:after="0" w:line="134" w:lineRule="exact"/>
              <w:rPr>
                <w:sz w:val="20"/>
                <w:szCs w:val="20"/>
                <w:color w:val="auto"/>
              </w:rPr>
            </w:pPr>
            <w:r>
              <w:rPr>
                <w:rFonts w:ascii="Arial" w:cs="Arial" w:eastAsia="Arial" w:hAnsi="Arial"/>
                <w:sz w:val="12"/>
                <w:szCs w:val="12"/>
                <w:color w:val="auto"/>
              </w:rPr>
              <w:t>Expiration Date 11/29/2021</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gridSpan w:val="9"/>
          </w:tcPr>
          <w:p>
            <w:pPr>
              <w:ind w:left="160"/>
              <w:spacing w:after="0" w:line="136"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9,601,555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5,106,751</w:t>
            </w:r>
          </w:p>
        </w:tc>
        <w:tc>
          <w:tcPr>
            <w:tcW w:w="12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2.65%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580" w:type="dxa"/>
            <w:vAlign w:val="bottom"/>
            <w:tcBorders>
              <w:top w:val="single" w:sz="8" w:color="CCEEFF"/>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b w:val="1"/>
                <w:bCs w:val="1"/>
                <w:color w:val="auto"/>
                <w:w w:val="94"/>
              </w:rPr>
              <w:t>SPBRX, INC. (f/k/a GSV Sustainability Partners,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1"/>
              </w:rPr>
              <w:t>Woodside, CA</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40" w:type="dxa"/>
            <w:vAlign w:val="bottom"/>
            <w:tcBorders>
              <w:top w:val="single" w:sz="8" w:color="auto"/>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540" w:type="dxa"/>
            <w:vAlign w:val="bottom"/>
            <w:tcBorders>
              <w:top w:val="single" w:sz="8" w:color="auto"/>
              <w:left w:val="single" w:sz="8" w:color="CCEEFF"/>
            </w:tcBorders>
            <w:gridSpan w:val="8"/>
            <w:shd w:val="clear" w:color="auto" w:fill="CCEEFF"/>
          </w:tcPr>
          <w:p>
            <w:pPr>
              <w:ind w:left="160"/>
              <w:spacing w:after="0" w:line="92" w:lineRule="exact"/>
              <w:rPr>
                <w:sz w:val="20"/>
                <w:szCs w:val="20"/>
                <w:color w:val="auto"/>
              </w:rPr>
            </w:pPr>
            <w:r>
              <w:rPr>
                <w:rFonts w:ascii="Arial" w:cs="Arial" w:eastAsia="Arial" w:hAnsi="Arial"/>
                <w:sz w:val="10"/>
                <w:szCs w:val="10"/>
                <w:b w:val="1"/>
                <w:bCs w:val="1"/>
                <w:color w:val="auto"/>
              </w:rPr>
              <w:t>Inc.)</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0" w:type="dxa"/>
            <w:vAlign w:val="bottom"/>
            <w:tcBorders>
              <w:top w:val="single" w:sz="8" w:color="CCEEFF"/>
            </w:tcBorders>
            <w:gridSpan w:val="2"/>
            <w:vMerge w:val="continue"/>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44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gridSpan w:val="9"/>
          </w:tcPr>
          <w:p>
            <w:pPr>
              <w:ind w:left="20"/>
              <w:spacing w:after="0"/>
              <w:rPr>
                <w:sz w:val="20"/>
                <w:szCs w:val="20"/>
                <w:color w:val="auto"/>
              </w:rPr>
            </w:pPr>
            <w:r>
              <w:rPr>
                <w:rFonts w:ascii="Arial" w:cs="Arial" w:eastAsia="Arial" w:hAnsi="Arial"/>
                <w:sz w:val="12"/>
                <w:szCs w:val="12"/>
                <w:color w:val="auto"/>
              </w:rPr>
              <w:t>Preferred shares, Class A</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Clean Technology</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86"/>
              </w:rPr>
              <w:t>14,300,000</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7,151,412</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4,309,778</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2"/>
                <w:szCs w:val="12"/>
                <w:color w:val="auto"/>
              </w:rPr>
              <w:t>Common shares</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100,000</w:t>
            </w: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gridSpan w:val="9"/>
          </w:tcPr>
          <w:p>
            <w:pPr>
              <w:ind w:left="160"/>
              <w:spacing w:after="0" w:line="136" w:lineRule="exact"/>
              <w:rPr>
                <w:sz w:val="20"/>
                <w:szCs w:val="20"/>
                <w:color w:val="auto"/>
              </w:rPr>
            </w:pPr>
            <w:r>
              <w:rPr>
                <w:rFonts w:ascii="Arial" w:cs="Arial" w:eastAsia="Arial" w:hAnsi="Arial"/>
                <w:sz w:val="12"/>
                <w:szCs w:val="12"/>
                <w:color w:val="auto"/>
              </w:rPr>
              <w:t>Total</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7,161,412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4,309,778</w:t>
            </w:r>
          </w:p>
        </w:tc>
        <w:tc>
          <w:tcPr>
            <w:tcW w:w="12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2.24%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tcBorders>
              <w:left w:val="single" w:sz="8" w:color="CCEEFF"/>
            </w:tcBorders>
            <w:gridSpan w:val="9"/>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Total Controlled</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6"/>
              </w:rPr>
              <w:t>22,893,441</w:t>
            </w:r>
          </w:p>
        </w:tc>
        <w:tc>
          <w:tcPr>
            <w:tcW w:w="12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6"/>
              </w:rPr>
              <w:t>19,037,566</w:t>
            </w:r>
          </w:p>
        </w:tc>
        <w:tc>
          <w:tcPr>
            <w:tcW w:w="120" w:type="dxa"/>
            <w:vAlign w:val="bottom"/>
            <w:tcBorders>
              <w:right w:val="single" w:sz="8" w:color="CCEEFF"/>
            </w:tcBorders>
            <w:vMerge w:val="continue"/>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580" w:type="dxa"/>
            <w:vAlign w:val="bottom"/>
            <w:gridSpan w:val="9"/>
          </w:tcPr>
          <w:p>
            <w:pPr>
              <w:ind w:left="20"/>
              <w:spacing w:after="0"/>
              <w:rPr>
                <w:sz w:val="20"/>
                <w:szCs w:val="20"/>
                <w:color w:val="auto"/>
              </w:rPr>
            </w:pPr>
            <w:r>
              <w:rPr>
                <w:rFonts w:ascii="Arial" w:cs="Arial" w:eastAsia="Arial" w:hAnsi="Arial"/>
                <w:sz w:val="12"/>
                <w:szCs w:val="12"/>
                <w:b w:val="1"/>
                <w:bCs w:val="1"/>
                <w:color w:val="auto"/>
              </w:rPr>
              <w:t>Total Portfolio Investments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w w:val="86"/>
              </w:rPr>
              <w:t>278,768,274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w w:val="86"/>
              </w:rPr>
              <w:t>262,015,146</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88"/>
              </w:rPr>
              <w:t>136.38%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-269240</wp:posOffset>
            </wp:positionV>
            <wp:extent cx="5651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-269240</wp:posOffset>
            </wp:positionV>
            <wp:extent cx="403923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-807720</wp:posOffset>
            </wp:positionV>
            <wp:extent cx="5651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-807720</wp:posOffset>
            </wp:positionV>
            <wp:extent cx="403923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-2678430</wp:posOffset>
            </wp:positionV>
            <wp:extent cx="5651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-2678430</wp:posOffset>
            </wp:positionV>
            <wp:extent cx="403923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-3429635</wp:posOffset>
            </wp:positionV>
            <wp:extent cx="5651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-3429635</wp:posOffset>
            </wp:positionV>
            <wp:extent cx="403923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-4357370</wp:posOffset>
            </wp:positionV>
            <wp:extent cx="5651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-4357370</wp:posOffset>
            </wp:positionV>
            <wp:extent cx="403923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-5448935</wp:posOffset>
            </wp:positionV>
            <wp:extent cx="2857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-5448935</wp:posOffset>
            </wp:positionV>
            <wp:extent cx="5651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-5448935</wp:posOffset>
            </wp:positionV>
            <wp:extent cx="5651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-5448935</wp:posOffset>
            </wp:positionV>
            <wp:extent cx="5651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-5448935</wp:posOffset>
            </wp:positionV>
            <wp:extent cx="5651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-5448935</wp:posOffset>
            </wp:positionV>
            <wp:extent cx="5651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6515" cy="6985"/>
                    </a:xfrm>
                    <a:prstGeom prst="rect">
                      <a:avLst/>
                    </a:prstGeom>
                    <a:noFill/>
                  </pic:spPr>
                </pic:pic>
              </a:graphicData>
            </a:graphic>
          </wp:anchor>
        </w:drawing>
      </w:r>
    </w:p>
    <w:p>
      <w:pPr>
        <w:spacing w:after="0" w:line="13"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0" w:name="page91"/>
    <w:bookmarkEnd w:id="9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2016</w:t>
      </w:r>
    </w:p>
    <w:p>
      <w:pPr>
        <w:spacing w:after="0" w:line="135" w:lineRule="exact"/>
        <w:rPr>
          <w:sz w:val="20"/>
          <w:szCs w:val="20"/>
          <w:color w:val="auto"/>
        </w:rPr>
      </w:pPr>
    </w:p>
    <w:tbl>
      <w:tblPr>
        <w:tblLayout w:type="fixed"/>
        <w:tblInd w:w="1050" w:type="dxa"/>
        <w:tblCellMar>
          <w:top w:w="0" w:type="dxa"/>
          <w:left w:w="0" w:type="dxa"/>
          <w:bottom w:w="0" w:type="dxa"/>
          <w:right w:w="0" w:type="dxa"/>
        </w:tblCellMar>
      </w:tblPr>
      <w:tr>
        <w:trPr>
          <w:trHeight w:val="115"/>
        </w:trPr>
        <w:tc>
          <w:tcPr>
            <w:tcW w:w="2680" w:type="dxa"/>
            <w:vAlign w:val="bottom"/>
            <w:gridSpan w:val="4"/>
            <w:vMerge w:val="restart"/>
          </w:tcPr>
          <w:p>
            <w:pPr>
              <w:ind w:left="20"/>
              <w:spacing w:after="0"/>
              <w:rPr>
                <w:sz w:val="20"/>
                <w:szCs w:val="20"/>
                <w:color w:val="auto"/>
              </w:rPr>
            </w:pPr>
            <w:r>
              <w:rPr>
                <w:rFonts w:ascii="Arial" w:cs="Arial" w:eastAsia="Arial" w:hAnsi="Arial"/>
                <w:sz w:val="10"/>
                <w:szCs w:val="10"/>
                <w:b w:val="1"/>
                <w:bCs w:val="1"/>
                <w:color w:val="auto"/>
              </w:rPr>
              <w:t>Portfolio Investments*</w:t>
            </w:r>
          </w:p>
        </w:tc>
        <w:tc>
          <w:tcPr>
            <w:tcW w:w="14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Headquarters/Industry</w:t>
            </w:r>
          </w:p>
        </w:tc>
        <w:tc>
          <w:tcPr>
            <w:tcW w:w="7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Shares/</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Cost</w:t>
            </w:r>
          </w:p>
        </w:tc>
        <w:tc>
          <w:tcPr>
            <w:tcW w:w="80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Fair Value</w:t>
            </w: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89"/>
              </w:rPr>
              <w:t>% of Net</w:t>
            </w:r>
          </w:p>
        </w:tc>
        <w:tc>
          <w:tcPr>
            <w:tcW w:w="0" w:type="dxa"/>
            <w:vAlign w:val="bottom"/>
          </w:tcPr>
          <w:p>
            <w:pPr>
              <w:spacing w:after="0"/>
              <w:rPr>
                <w:sz w:val="1"/>
                <w:szCs w:val="1"/>
                <w:color w:val="auto"/>
              </w:rPr>
            </w:pPr>
          </w:p>
        </w:tc>
      </w:tr>
      <w:tr>
        <w:trPr>
          <w:trHeight w:val="140"/>
        </w:trPr>
        <w:tc>
          <w:tcPr>
            <w:tcW w:w="2680" w:type="dxa"/>
            <w:vAlign w:val="bottom"/>
            <w:gridSpan w:val="4"/>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Principal</w:t>
            </w: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1"/>
              </w:rPr>
              <w:t>Assets</w:t>
            </w:r>
          </w:p>
        </w:tc>
        <w:tc>
          <w:tcPr>
            <w:tcW w:w="0" w:type="dxa"/>
            <w:vAlign w:val="bottom"/>
          </w:tcPr>
          <w:p>
            <w:pPr>
              <w:spacing w:after="0"/>
              <w:rPr>
                <w:sz w:val="1"/>
                <w:szCs w:val="1"/>
                <w:color w:val="auto"/>
              </w:rPr>
            </w:pPr>
          </w:p>
        </w:tc>
      </w:tr>
      <w:tr>
        <w:trPr>
          <w:trHeight w:val="119"/>
        </w:trPr>
        <w:tc>
          <w:tcPr>
            <w:tcW w:w="2580" w:type="dxa"/>
            <w:vAlign w:val="bottom"/>
            <w:tcBorders>
              <w:top w:val="single" w:sz="8" w:color="auto"/>
              <w:left w:val="single" w:sz="8" w:color="CCEEFF"/>
            </w:tcBorders>
            <w:gridSpan w:val="3"/>
            <w:shd w:val="clear" w:color="auto" w:fill="CCEEFF"/>
          </w:tcPr>
          <w:p>
            <w:pPr>
              <w:ind w:left="20"/>
              <w:spacing w:after="0" w:line="120" w:lineRule="exact"/>
              <w:rPr>
                <w:sz w:val="20"/>
                <w:szCs w:val="20"/>
                <w:color w:val="auto"/>
              </w:rPr>
            </w:pPr>
            <w:r>
              <w:rPr>
                <w:rFonts w:ascii="Arial" w:cs="Arial" w:eastAsia="Arial" w:hAnsi="Arial"/>
                <w:sz w:val="12"/>
                <w:szCs w:val="12"/>
                <w:b w:val="1"/>
                <w:bCs w:val="1"/>
                <w:color w:val="auto"/>
              </w:rPr>
              <w:t>U.S. Treasury</w:t>
            </w:r>
          </w:p>
        </w:tc>
        <w:tc>
          <w:tcPr>
            <w:tcW w:w="10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80" w:type="dxa"/>
            <w:vAlign w:val="bottom"/>
            <w:gridSpan w:val="4"/>
          </w:tcPr>
          <w:p>
            <w:pPr>
              <w:ind w:left="20"/>
              <w:spacing w:after="0" w:line="147" w:lineRule="exact"/>
              <w:rPr>
                <w:sz w:val="20"/>
                <w:szCs w:val="20"/>
                <w:color w:val="auto"/>
              </w:rPr>
            </w:pPr>
            <w:r>
              <w:rPr>
                <w:rFonts w:ascii="Arial" w:cs="Arial" w:eastAsia="Arial" w:hAnsi="Arial"/>
                <w:sz w:val="12"/>
                <w:szCs w:val="12"/>
                <w:color w:val="auto"/>
              </w:rPr>
              <w:t>U.S. Treasury bill, 0%, due 1/5/2017***</w:t>
            </w:r>
            <w:r>
              <w:rPr>
                <w:rFonts w:ascii="Arial" w:cs="Arial" w:eastAsia="Arial" w:hAnsi="Arial"/>
                <w:sz w:val="17"/>
                <w:szCs w:val="17"/>
                <w:color w:val="auto"/>
                <w:vertAlign w:val="superscript"/>
              </w:rPr>
              <w:t>(18)</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$30,000,000</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29,998,750</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29,998,490</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15.62%</w:t>
            </w:r>
          </w:p>
        </w:tc>
        <w:tc>
          <w:tcPr>
            <w:tcW w:w="0" w:type="dxa"/>
            <w:vAlign w:val="bottom"/>
          </w:tcPr>
          <w:p>
            <w:pPr>
              <w:spacing w:after="0"/>
              <w:rPr>
                <w:sz w:val="1"/>
                <w:szCs w:val="1"/>
                <w:color w:val="auto"/>
              </w:rPr>
            </w:pPr>
          </w:p>
        </w:tc>
      </w:tr>
      <w:tr>
        <w:trPr>
          <w:trHeight w:val="20"/>
        </w:trPr>
        <w:tc>
          <w:tcPr>
            <w:tcW w:w="7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68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TOTAL INVESTMENTS</w:t>
            </w: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7"/>
              </w:rPr>
              <w:t>$308,767,024</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$292,013,636</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8"/>
              </w:rPr>
              <w:t>152.00%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-304165</wp:posOffset>
            </wp:positionV>
            <wp:extent cx="5651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-304165</wp:posOffset>
            </wp:positionV>
            <wp:extent cx="403923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03923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-495300</wp:posOffset>
            </wp:positionV>
            <wp:extent cx="2857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-495300</wp:posOffset>
            </wp:positionV>
            <wp:extent cx="5651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-495300</wp:posOffset>
            </wp:positionV>
            <wp:extent cx="5651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-495300</wp:posOffset>
            </wp:positionV>
            <wp:extent cx="5651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-495300</wp:posOffset>
            </wp:positionV>
            <wp:extent cx="5651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-495300</wp:posOffset>
            </wp:positionV>
            <wp:extent cx="5651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6515" cy="6985"/>
                    </a:xfrm>
                    <a:prstGeom prst="rect">
                      <a:avLst/>
                    </a:prstGeom>
                    <a:noFill/>
                  </pic:spPr>
                </pic:pic>
              </a:graphicData>
            </a:graphic>
          </wp:anchor>
        </w:drawing>
      </w:r>
    </w:p>
    <w:p>
      <w:pPr>
        <w:spacing w:after="0" w:line="114" w:lineRule="exact"/>
        <w:rPr>
          <w:sz w:val="20"/>
          <w:szCs w:val="20"/>
          <w:color w:val="auto"/>
        </w:rPr>
      </w:pPr>
    </w:p>
    <w:p>
      <w:pPr>
        <w:ind w:left="1340" w:right="2559" w:hanging="289"/>
        <w:spacing w:after="0" w:line="274" w:lineRule="auto"/>
        <w:tabs>
          <w:tab w:leader="none" w:pos="1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 — Related-Party Arrangements”). All portfolio investments are considered Level 3 and valued using significant unobservable inputs, unless otherwise noted. (Refer to “Note 4 — Investments at Fair Value”).</w:t>
      </w:r>
    </w:p>
    <w:p>
      <w:pPr>
        <w:spacing w:after="0" w:line="69" w:lineRule="exact"/>
        <w:rPr>
          <w:sz w:val="20"/>
          <w:szCs w:val="20"/>
          <w:color w:val="auto"/>
        </w:rPr>
      </w:pPr>
    </w:p>
    <w:p>
      <w:pPr>
        <w:jc w:val="both"/>
        <w:ind w:left="1340" w:right="2479" w:hanging="289"/>
        <w:spacing w:after="0" w:line="286" w:lineRule="auto"/>
        <w:tabs>
          <w:tab w:leader="none" w:pos="1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Indicates assets that GSV Capital Corp. believes do not represent “qualifying assets” under Section 55(a) of the Investment Company Act of 1940, as amended (the “1940 Act”). Of GSV Capital Corp.’s total portfolio as of December 31, 2016, 9.47% of its total investments are non-qualifying assets.</w:t>
      </w:r>
    </w:p>
    <w:p>
      <w:pPr>
        <w:spacing w:after="0" w:line="71" w:lineRule="exact"/>
        <w:rPr>
          <w:rFonts w:ascii="Arial" w:cs="Arial" w:eastAsia="Arial" w:hAnsi="Arial"/>
          <w:sz w:val="14"/>
          <w:szCs w:val="14"/>
          <w:color w:val="auto"/>
        </w:rPr>
      </w:pPr>
    </w:p>
    <w:p>
      <w:pPr>
        <w:ind w:left="1340" w:hanging="289"/>
        <w:spacing w:after="0"/>
        <w:tabs>
          <w:tab w:leader="none" w:pos="1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Investment is income-producing.</w:t>
      </w:r>
    </w:p>
    <w:p>
      <w:pPr>
        <w:spacing w:after="0" w:line="106" w:lineRule="exact"/>
        <w:rPr>
          <w:sz w:val="20"/>
          <w:szCs w:val="20"/>
          <w:color w:val="auto"/>
        </w:rPr>
      </w:pPr>
    </w:p>
    <w:p>
      <w:pPr>
        <w:ind w:left="1340" w:right="2459" w:hanging="289"/>
        <w:spacing w:after="0" w:line="252" w:lineRule="auto"/>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5"/>
          <w:szCs w:val="15"/>
          <w:i w:val="1"/>
          <w:iCs w:val="1"/>
          <w:color w:val="auto"/>
        </w:rPr>
        <w:t>i.e.</w:t>
      </w:r>
      <w:r>
        <w:rPr>
          <w:rFonts w:ascii="Arial" w:cs="Arial" w:eastAsia="Arial" w:hAnsi="Arial"/>
          <w:sz w:val="15"/>
          <w:szCs w:val="15"/>
          <w:color w:val="auto"/>
        </w:rPr>
        <w:t>, securities with the right to elect directors) of such company. For the Schedule of Investments In, and Advances To, Affiliates, as required by SEC Regulation S-X, Rule 12-14, refer to “Note 4 — Investments at Fair Value”.</w:t>
      </w:r>
    </w:p>
    <w:p>
      <w:pPr>
        <w:spacing w:after="0" w:line="96" w:lineRule="exact"/>
        <w:rPr>
          <w:rFonts w:ascii="Arial" w:cs="Arial" w:eastAsia="Arial" w:hAnsi="Arial"/>
          <w:sz w:val="15"/>
          <w:szCs w:val="15"/>
          <w:color w:val="auto"/>
        </w:rPr>
      </w:pPr>
    </w:p>
    <w:p>
      <w:pPr>
        <w:ind w:left="1340" w:right="2439" w:hanging="289"/>
        <w:spacing w:after="0" w:line="252" w:lineRule="auto"/>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5"/>
          <w:szCs w:val="15"/>
          <w:i w:val="1"/>
          <w:iCs w:val="1"/>
          <w:color w:val="auto"/>
        </w:rPr>
        <w:t>i.e.</w:t>
      </w:r>
      <w:r>
        <w:rPr>
          <w:rFonts w:ascii="Arial" w:cs="Arial" w:eastAsia="Arial" w:hAnsi="Arial"/>
          <w:sz w:val="15"/>
          <w:szCs w:val="15"/>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 — Investments at Fair Value”.</w:t>
      </w:r>
    </w:p>
    <w:p>
      <w:pPr>
        <w:spacing w:after="0" w:line="93" w:lineRule="exact"/>
        <w:rPr>
          <w:rFonts w:ascii="Arial" w:cs="Arial" w:eastAsia="Arial" w:hAnsi="Arial"/>
          <w:sz w:val="15"/>
          <w:szCs w:val="15"/>
          <w:color w:val="auto"/>
        </w:rPr>
      </w:pPr>
    </w:p>
    <w:p>
      <w:pPr>
        <w:ind w:left="1340" w:hanging="289"/>
        <w:spacing w:after="0"/>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December 31, 2016, the investments noted had been placed on non-accrual status.</w:t>
      </w:r>
    </w:p>
    <w:p>
      <w:pPr>
        <w:spacing w:after="0" w:line="106" w:lineRule="exact"/>
        <w:rPr>
          <w:rFonts w:ascii="Arial" w:cs="Arial" w:eastAsia="Arial" w:hAnsi="Arial"/>
          <w:sz w:val="15"/>
          <w:szCs w:val="15"/>
          <w:color w:val="auto"/>
        </w:rPr>
      </w:pPr>
    </w:p>
    <w:p>
      <w:pPr>
        <w:ind w:left="1340" w:right="2899" w:hanging="289"/>
        <w:spacing w:after="0" w:line="270" w:lineRule="auto"/>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GSV Capital Corp.’s investment in Avenues Global Holdings, LLC is held through its wholly owned subsidiary GSVC AV Holdings, Inc.</w:t>
      </w:r>
    </w:p>
    <w:p>
      <w:pPr>
        <w:spacing w:after="0" w:line="80" w:lineRule="exact"/>
        <w:rPr>
          <w:rFonts w:ascii="Arial" w:cs="Arial" w:eastAsia="Arial" w:hAnsi="Arial"/>
          <w:sz w:val="15"/>
          <w:szCs w:val="15"/>
          <w:color w:val="auto"/>
        </w:rPr>
      </w:pPr>
    </w:p>
    <w:p>
      <w:pPr>
        <w:ind w:left="1340" w:right="2539" w:hanging="289"/>
        <w:spacing w:after="0" w:line="255" w:lineRule="auto"/>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81" w:lineRule="exact"/>
        <w:rPr>
          <w:rFonts w:ascii="Arial" w:cs="Arial" w:eastAsia="Arial" w:hAnsi="Arial"/>
          <w:sz w:val="15"/>
          <w:szCs w:val="15"/>
          <w:color w:val="auto"/>
        </w:rPr>
      </w:pPr>
    </w:p>
    <w:p>
      <w:pPr>
        <w:ind w:left="1340" w:right="2659" w:hanging="289"/>
        <w:spacing w:after="0" w:line="270" w:lineRule="auto"/>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GSV Capital Corp.’s investment in StormWind, LLC is held through its wholly owned subsidiary GSVC SW Holdings, Inc.</w:t>
      </w:r>
    </w:p>
    <w:p>
      <w:pPr>
        <w:spacing w:after="0" w:line="80" w:lineRule="exact"/>
        <w:rPr>
          <w:rFonts w:ascii="Arial" w:cs="Arial" w:eastAsia="Arial" w:hAnsi="Arial"/>
          <w:sz w:val="15"/>
          <w:szCs w:val="15"/>
          <w:color w:val="auto"/>
        </w:rPr>
      </w:pPr>
    </w:p>
    <w:p>
      <w:pPr>
        <w:ind w:left="1340" w:right="2919" w:hanging="289"/>
        <w:spacing w:after="0" w:line="270" w:lineRule="auto"/>
        <w:tabs>
          <w:tab w:leader="none" w:pos="1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GSV Capital Corp.’s investment in Strategic Data Command, LLC is held through its wholly owned subsidiary GSVC SVDS Holdings, Inc.</w:t>
      </w:r>
    </w:p>
    <w:p>
      <w:pPr>
        <w:spacing w:after="0" w:line="80" w:lineRule="exact"/>
        <w:rPr>
          <w:rFonts w:ascii="Arial" w:cs="Arial" w:eastAsia="Arial" w:hAnsi="Arial"/>
          <w:sz w:val="15"/>
          <w:szCs w:val="15"/>
          <w:color w:val="auto"/>
        </w:rPr>
      </w:pPr>
    </w:p>
    <w:p>
      <w:pPr>
        <w:ind w:left="1340" w:right="2519" w:hanging="289"/>
        <w:spacing w:after="0" w:line="316" w:lineRule="auto"/>
        <w:tabs>
          <w:tab w:leader="none" w:pos="1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 w:lineRule="exact"/>
        <w:rPr>
          <w:sz w:val="20"/>
          <w:szCs w:val="20"/>
          <w:color w:val="auto"/>
        </w:rPr>
      </w:pPr>
    </w:p>
    <w:p>
      <w:pPr>
        <w:jc w:val="center"/>
        <w:ind w:right="135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5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1" w:name="page92"/>
    <w:bookmarkEnd w:id="9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73"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CONSOLIDATED SCHEDULE OF INVESTMENTS – continued</w:t>
      </w:r>
    </w:p>
    <w:p>
      <w:pPr>
        <w:ind w:left="3840"/>
        <w:spacing w:after="0"/>
        <w:rPr>
          <w:sz w:val="20"/>
          <w:szCs w:val="20"/>
          <w:color w:val="auto"/>
        </w:rPr>
      </w:pPr>
      <w:r>
        <w:rPr>
          <w:rFonts w:ascii="Arial" w:cs="Arial" w:eastAsia="Arial" w:hAnsi="Arial"/>
          <w:sz w:val="15"/>
          <w:szCs w:val="15"/>
          <w:b w:val="1"/>
          <w:bCs w:val="1"/>
          <w:color w:val="auto"/>
        </w:rPr>
        <w:t>December 31, 2016</w:t>
      </w:r>
    </w:p>
    <w:p>
      <w:pPr>
        <w:spacing w:after="0" w:line="128" w:lineRule="exact"/>
        <w:rPr>
          <w:sz w:val="20"/>
          <w:szCs w:val="20"/>
          <w:color w:val="auto"/>
        </w:rPr>
      </w:pPr>
    </w:p>
    <w:p>
      <w:pPr>
        <w:ind w:left="1340" w:right="2519" w:hanging="289"/>
        <w:spacing w:after="0" w:line="317" w:lineRule="auto"/>
        <w:tabs>
          <w:tab w:leader="none" w:pos="1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Interest will accrue daily on the unpaid principal balance of the note. Interest began compounding annually on February 26, 2015. Accrued interest is not payable until the earlier of (a) the closing of a subsequent equity offering by Earlyshares.com, Inc., or (b) the maturity of the note (February 26, 2017).</w:t>
      </w:r>
    </w:p>
    <w:p>
      <w:pPr>
        <w:spacing w:after="0" w:line="88" w:lineRule="exact"/>
        <w:rPr>
          <w:rFonts w:ascii="Arial" w:cs="Arial" w:eastAsia="Arial" w:hAnsi="Arial"/>
          <w:sz w:val="13"/>
          <w:szCs w:val="13"/>
          <w:color w:val="auto"/>
        </w:rPr>
      </w:pPr>
    </w:p>
    <w:p>
      <w:pPr>
        <w:ind w:left="1340" w:hanging="289"/>
        <w:spacing w:after="0"/>
        <w:tabs>
          <w:tab w:leader="none" w:pos="1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June 6, 2016, Cricket Media (f/k/a ePals Inc.) declared a 10:1 reverse split of its common shares.</w:t>
      </w:r>
    </w:p>
    <w:p>
      <w:pPr>
        <w:spacing w:after="0" w:line="173" w:lineRule="exact"/>
        <w:rPr>
          <w:rFonts w:ascii="Arial" w:cs="Arial" w:eastAsia="Arial" w:hAnsi="Arial"/>
          <w:sz w:val="14"/>
          <w:szCs w:val="14"/>
          <w:color w:val="auto"/>
        </w:rPr>
      </w:pPr>
    </w:p>
    <w:p>
      <w:pPr>
        <w:ind w:left="1340" w:hanging="289"/>
        <w:spacing w:after="0"/>
        <w:tabs>
          <w:tab w:leader="none" w:pos="1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July 29, 2016, Aspiration Partners, Inc. declared a 30:1 split of its preferred shares.</w:t>
      </w:r>
    </w:p>
    <w:p>
      <w:pPr>
        <w:spacing w:after="0" w:line="151" w:lineRule="exact"/>
        <w:rPr>
          <w:rFonts w:ascii="Arial" w:cs="Arial" w:eastAsia="Arial" w:hAnsi="Arial"/>
          <w:sz w:val="15"/>
          <w:szCs w:val="15"/>
          <w:color w:val="auto"/>
        </w:rPr>
      </w:pPr>
    </w:p>
    <w:p>
      <w:pPr>
        <w:ind w:left="1340" w:right="2479" w:hanging="289"/>
        <w:spacing w:after="0" w:line="270" w:lineRule="auto"/>
        <w:tabs>
          <w:tab w:leader="none" w:pos="1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December 30, 2016, Declara, Inc. extended the maturity date of the note held for one year until June 30, 2017.</w:t>
      </w:r>
    </w:p>
    <w:p>
      <w:pPr>
        <w:spacing w:after="0" w:line="114" w:lineRule="exact"/>
        <w:rPr>
          <w:rFonts w:ascii="Arial" w:cs="Arial" w:eastAsia="Arial" w:hAnsi="Arial"/>
          <w:sz w:val="15"/>
          <w:szCs w:val="15"/>
          <w:color w:val="auto"/>
        </w:rPr>
      </w:pPr>
    </w:p>
    <w:p>
      <w:pPr>
        <w:ind w:left="1340" w:right="2719" w:hanging="289"/>
        <w:spacing w:after="0" w:line="270" w:lineRule="auto"/>
        <w:tabs>
          <w:tab w:leader="none" w:pos="1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December 21, 2016, Handle Financial, Inc. (f/k/a PayNearMe, Inc.) converted its Series E Preferred shares into Common Class A shares on a 1:1 basis.</w:t>
      </w:r>
    </w:p>
    <w:p>
      <w:pPr>
        <w:spacing w:after="0" w:line="114" w:lineRule="exact"/>
        <w:rPr>
          <w:rFonts w:ascii="Arial" w:cs="Arial" w:eastAsia="Arial" w:hAnsi="Arial"/>
          <w:sz w:val="15"/>
          <w:szCs w:val="15"/>
          <w:color w:val="auto"/>
        </w:rPr>
      </w:pPr>
    </w:p>
    <w:p>
      <w:pPr>
        <w:ind w:left="1340" w:right="2479" w:hanging="289"/>
        <w:spacing w:after="0" w:line="307" w:lineRule="auto"/>
        <w:tabs>
          <w:tab w:leader="none" w:pos="1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December 15, 2016, NestGSV, Inc. (d/b/a GSV Labs, Inc.) converted its Series A, B, C, and D Preferred shares into Series A-1, A-2, A-3, and A-4 preferred shares, respectively, on a 1:1 basis.</w:t>
      </w:r>
    </w:p>
    <w:p>
      <w:pPr>
        <w:spacing w:after="0" w:line="101" w:lineRule="exact"/>
        <w:rPr>
          <w:rFonts w:ascii="Arial" w:cs="Arial" w:eastAsia="Arial" w:hAnsi="Arial"/>
          <w:sz w:val="14"/>
          <w:szCs w:val="14"/>
          <w:color w:val="auto"/>
        </w:rPr>
      </w:pPr>
    </w:p>
    <w:p>
      <w:pPr>
        <w:ind w:left="1340" w:right="2559" w:hanging="289"/>
        <w:spacing w:after="0" w:line="270" w:lineRule="auto"/>
        <w:tabs>
          <w:tab w:leader="none" w:pos="1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December 31, 2016, Circle Media (f/k/a S3 Digital Corp. (d/b/a S3i)) extended the maturity date of the note held for one year until November 17, 2017.</w:t>
      </w:r>
    </w:p>
    <w:p>
      <w:pPr>
        <w:spacing w:after="0" w:line="114" w:lineRule="exact"/>
        <w:rPr>
          <w:rFonts w:ascii="Arial" w:cs="Arial" w:eastAsia="Arial" w:hAnsi="Arial"/>
          <w:sz w:val="15"/>
          <w:szCs w:val="15"/>
          <w:color w:val="auto"/>
        </w:rPr>
      </w:pPr>
    </w:p>
    <w:p>
      <w:pPr>
        <w:ind w:left="1340" w:right="2419" w:hanging="289"/>
        <w:spacing w:after="0" w:line="317" w:lineRule="auto"/>
        <w:tabs>
          <w:tab w:leader="none" w:pos="13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Interest will accrue daily on the unpaid principal balance of the note. Interest began compounding annually on November 26, 2016. Accrued interest is not payable until the earlier of (a) the closing of a subsequent equity offering by Beamreach Solar, Inc. (f/k/a Solexel, Inc.), or (b) the maturity of the note (May 10, 2017).</w:t>
      </w:r>
    </w:p>
    <w:p>
      <w:pPr>
        <w:spacing w:after="0" w:line="88" w:lineRule="exact"/>
        <w:rPr>
          <w:rFonts w:ascii="Arial" w:cs="Arial" w:eastAsia="Arial" w:hAnsi="Arial"/>
          <w:sz w:val="13"/>
          <w:szCs w:val="13"/>
          <w:color w:val="auto"/>
        </w:rPr>
      </w:pPr>
    </w:p>
    <w:p>
      <w:pPr>
        <w:ind w:left="1340" w:right="2439" w:hanging="289"/>
        <w:spacing w:after="0" w:line="255" w:lineRule="auto"/>
        <w:tabs>
          <w:tab w:leader="none" w:pos="1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October 26, 2016, the Snap Inc. board of directors approved a distribution of shares of Class A common stock as a dividend to the holders of all preferred stock and common stock outstanding on October 31, 2016. One share of Class A common stock was distributed for each share of preferred stock and common stock outstanding.</w:t>
      </w:r>
    </w:p>
    <w:p>
      <w:pPr>
        <w:spacing w:after="0" w:line="137" w:lineRule="exact"/>
        <w:rPr>
          <w:rFonts w:ascii="Arial" w:cs="Arial" w:eastAsia="Arial" w:hAnsi="Arial"/>
          <w:sz w:val="15"/>
          <w:szCs w:val="15"/>
          <w:color w:val="auto"/>
        </w:rPr>
      </w:pPr>
    </w:p>
    <w:p>
      <w:pPr>
        <w:ind w:left="1340" w:hanging="289"/>
        <w:spacing w:after="0"/>
        <w:tabs>
          <w:tab w:leader="none" w:pos="1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Denotes an investment considered Level 1 and valued using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3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84" w:lineRule="exact"/>
        <w:rPr>
          <w:sz w:val="20"/>
          <w:szCs w:val="20"/>
          <w:color w:val="auto"/>
        </w:rPr>
      </w:pPr>
    </w:p>
    <w:p>
      <w:pPr>
        <w:jc w:val="center"/>
        <w:ind w:right="133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2" w:name="page93"/>
    <w:bookmarkEnd w:id="9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1 — NATURE OF OPERATIONS</w:t>
      </w:r>
    </w:p>
    <w:p>
      <w:pPr>
        <w:spacing w:after="0" w:line="88" w:lineRule="exact"/>
        <w:rPr>
          <w:sz w:val="20"/>
          <w:szCs w:val="20"/>
          <w:color w:val="auto"/>
        </w:rPr>
      </w:pPr>
    </w:p>
    <w:p>
      <w:pPr>
        <w:ind w:left="1060" w:right="2479" w:firstLine="297"/>
        <w:spacing w:after="0" w:line="274" w:lineRule="auto"/>
        <w:rPr>
          <w:sz w:val="20"/>
          <w:szCs w:val="20"/>
          <w:color w:val="auto"/>
        </w:rPr>
      </w:pPr>
      <w:r>
        <w:rPr>
          <w:rFonts w:ascii="Arial" w:cs="Arial" w:eastAsia="Arial" w:hAnsi="Arial"/>
          <w:sz w:val="14"/>
          <w:szCs w:val="14"/>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8" w:lineRule="exact"/>
        <w:rPr>
          <w:sz w:val="20"/>
          <w:szCs w:val="20"/>
          <w:color w:val="auto"/>
        </w:rPr>
      </w:pPr>
    </w:p>
    <w:p>
      <w:pPr>
        <w:ind w:left="1060" w:right="2419" w:firstLine="297"/>
        <w:spacing w:after="0" w:line="286" w:lineRule="auto"/>
        <w:rPr>
          <w:sz w:val="20"/>
          <w:szCs w:val="20"/>
          <w:color w:val="auto"/>
        </w:rPr>
      </w:pPr>
      <w:r>
        <w:rPr>
          <w:rFonts w:ascii="Arial" w:cs="Arial" w:eastAsia="Arial" w:hAnsi="Arial"/>
          <w:sz w:val="14"/>
          <w:szCs w:val="14"/>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49" w:lineRule="exact"/>
        <w:rPr>
          <w:sz w:val="20"/>
          <w:szCs w:val="20"/>
          <w:color w:val="auto"/>
        </w:rPr>
      </w:pPr>
    </w:p>
    <w:p>
      <w:pPr>
        <w:ind w:left="1060" w:right="2479" w:firstLine="297"/>
        <w:spacing w:after="0" w:line="273" w:lineRule="auto"/>
        <w:rPr>
          <w:sz w:val="20"/>
          <w:szCs w:val="20"/>
          <w:color w:val="auto"/>
        </w:rPr>
      </w:pPr>
      <w:r>
        <w:rPr>
          <w:rFonts w:ascii="Arial" w:cs="Arial" w:eastAsia="Arial" w:hAnsi="Arial"/>
          <w:sz w:val="14"/>
          <w:szCs w:val="14"/>
          <w:color w:val="auto"/>
        </w:rPr>
        <w:t xml:space="preserve">The table below displays all the Company’s subsidiaries as of December 31, 2017,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 — Significant Accounting Policies — </w:t>
      </w:r>
      <w:r>
        <w:rPr>
          <w:rFonts w:ascii="Arial" w:cs="Arial" w:eastAsia="Arial" w:hAnsi="Arial"/>
          <w:sz w:val="14"/>
          <w:szCs w:val="14"/>
          <w:i w:val="1"/>
          <w:iCs w:val="1"/>
          <w:color w:val="auto"/>
        </w:rPr>
        <w:t>Basis of Consolidation</w:t>
      </w:r>
      <w:r>
        <w:rPr>
          <w:rFonts w:ascii="Arial" w:cs="Arial" w:eastAsia="Arial" w:hAnsi="Arial"/>
          <w:sz w:val="14"/>
          <w:szCs w:val="14"/>
          <w:color w:val="auto"/>
        </w:rPr>
        <w:t>” below for further detail.</w:t>
      </w:r>
    </w:p>
    <w:p>
      <w:pPr>
        <w:sectPr>
          <w:pgSz w:w="11900" w:h="16838" w:orient="portrait"/>
          <w:cols w:equalWidth="0" w:num="1">
            <w:col w:w="10239"/>
          </w:cols>
          <w:pgMar w:left="220" w:top="134" w:right="1440" w:bottom="1440" w:gutter="0" w:footer="0" w:header="0"/>
        </w:sect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0"/>
          <w:szCs w:val="10"/>
          <w:b w:val="1"/>
          <w:bCs w:val="1"/>
          <w:color w:val="auto"/>
        </w:rPr>
        <w:t>Subsidiary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Jurisdiction of</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22225</wp:posOffset>
            </wp:positionV>
            <wp:extent cx="698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22225</wp:posOffset>
            </wp:positionV>
            <wp:extent cx="698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Formation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Percentage</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8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4">
            <w:col w:w="4560" w:space="720"/>
            <w:col w:w="740" w:space="360"/>
            <w:col w:w="540" w:space="340"/>
            <w:col w:w="2979"/>
          </w:cols>
          <w:pgMar w:left="220" w:top="134" w:right="1440" w:bottom="1440" w:gutter="0" w:footer="0" w:header="0"/>
          <w:type w:val="continuous"/>
        </w:sectPr>
      </w:pPr>
    </w:p>
    <w:tbl>
      <w:tblPr>
        <w:tblLayout w:type="fixed"/>
        <w:tblInd w:w="1040" w:type="dxa"/>
        <w:tblCellMar>
          <w:top w:w="0" w:type="dxa"/>
          <w:left w:w="0" w:type="dxa"/>
          <w:bottom w:w="0" w:type="dxa"/>
          <w:right w:w="0" w:type="dxa"/>
        </w:tblCellMar>
      </w:tblP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GCL</w:t>
            </w: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97"/>
              </w:rPr>
              <w:t>Delaware</w:t>
            </w:r>
          </w:p>
        </w:tc>
        <w:tc>
          <w:tcPr>
            <w:tcW w:w="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April 13, 2012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04"/>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Subsidiaries below are referred to collectively, as the “GSVC Holdings”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GSVC AE Holdings, Inc. (“GAE”)</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Delaware</w:t>
            </w: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November 28, 2012</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12"/>
        </w:trPr>
        <w:tc>
          <w:tcPr>
            <w:tcW w:w="4240" w:type="dxa"/>
            <w:vAlign w:val="bottom"/>
            <w:gridSpan w:val="2"/>
          </w:tcPr>
          <w:p>
            <w:pPr>
              <w:ind w:left="20"/>
              <w:spacing w:after="0"/>
              <w:rPr>
                <w:sz w:val="20"/>
                <w:szCs w:val="20"/>
                <w:color w:val="auto"/>
              </w:rPr>
            </w:pPr>
            <w:r>
              <w:rPr>
                <w:rFonts w:ascii="Arial" w:cs="Arial" w:eastAsia="Arial" w:hAnsi="Arial"/>
                <w:sz w:val="15"/>
                <w:szCs w:val="15"/>
                <w:color w:val="auto"/>
              </w:rPr>
              <w:t>GSVC AV Holdings, Inc. (“GAV”)</w:t>
            </w:r>
          </w:p>
        </w:tc>
        <w:tc>
          <w:tcPr>
            <w:tcW w:w="780" w:type="dxa"/>
            <w:vAlign w:val="bottom"/>
            <w:gridSpan w:val="2"/>
          </w:tcPr>
          <w:p>
            <w:pPr>
              <w:ind w:left="120"/>
              <w:spacing w:after="0"/>
              <w:rPr>
                <w:sz w:val="20"/>
                <w:szCs w:val="20"/>
                <w:color w:val="auto"/>
              </w:rPr>
            </w:pPr>
            <w:r>
              <w:rPr>
                <w:rFonts w:ascii="Arial" w:cs="Arial" w:eastAsia="Arial" w:hAnsi="Arial"/>
                <w:sz w:val="15"/>
                <w:szCs w:val="15"/>
                <w:color w:val="auto"/>
              </w:rPr>
              <w:t>Delaware</w:t>
            </w:r>
          </w:p>
        </w:tc>
        <w:tc>
          <w:tcPr>
            <w:tcW w:w="1200" w:type="dxa"/>
            <w:vAlign w:val="bottom"/>
          </w:tcPr>
          <w:p>
            <w:pPr>
              <w:jc w:val="center"/>
              <w:spacing w:after="0"/>
              <w:rPr>
                <w:sz w:val="20"/>
                <w:szCs w:val="20"/>
                <w:color w:val="auto"/>
              </w:rPr>
            </w:pPr>
            <w:r>
              <w:rPr>
                <w:rFonts w:ascii="Arial" w:cs="Arial" w:eastAsia="Arial" w:hAnsi="Arial"/>
                <w:sz w:val="15"/>
                <w:szCs w:val="15"/>
                <w:color w:val="auto"/>
                <w:w w:val="91"/>
              </w:rPr>
              <w:t>November 28, 2012</w:t>
            </w:r>
          </w:p>
        </w:tc>
        <w:tc>
          <w:tcPr>
            <w:tcW w:w="6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2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GSVC NG Holdings, Inc. (“GNG”)</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Delaware</w:t>
            </w: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November 28, 2012</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5"/>
                <w:szCs w:val="15"/>
                <w:color w:val="auto"/>
              </w:rPr>
              <w:t>GSVC SW Holdings, Inc. (“GSW”)</w:t>
            </w:r>
          </w:p>
        </w:tc>
        <w:tc>
          <w:tcPr>
            <w:tcW w:w="780" w:type="dxa"/>
            <w:vAlign w:val="bottom"/>
            <w:gridSpan w:val="2"/>
          </w:tcPr>
          <w:p>
            <w:pPr>
              <w:ind w:left="120"/>
              <w:spacing w:after="0"/>
              <w:rPr>
                <w:sz w:val="20"/>
                <w:szCs w:val="20"/>
                <w:color w:val="auto"/>
              </w:rPr>
            </w:pPr>
            <w:r>
              <w:rPr>
                <w:rFonts w:ascii="Arial" w:cs="Arial" w:eastAsia="Arial" w:hAnsi="Arial"/>
                <w:sz w:val="15"/>
                <w:szCs w:val="15"/>
                <w:color w:val="auto"/>
              </w:rPr>
              <w:t>Delaware</w:t>
            </w:r>
          </w:p>
        </w:tc>
        <w:tc>
          <w:tcPr>
            <w:tcW w:w="1200" w:type="dxa"/>
            <w:vAlign w:val="bottom"/>
          </w:tcPr>
          <w:p>
            <w:pPr>
              <w:jc w:val="center"/>
              <w:spacing w:after="0"/>
              <w:rPr>
                <w:sz w:val="20"/>
                <w:szCs w:val="20"/>
                <w:color w:val="auto"/>
              </w:rPr>
            </w:pPr>
            <w:r>
              <w:rPr>
                <w:rFonts w:ascii="Arial" w:cs="Arial" w:eastAsia="Arial" w:hAnsi="Arial"/>
                <w:sz w:val="15"/>
                <w:szCs w:val="15"/>
                <w:color w:val="auto"/>
                <w:w w:val="91"/>
              </w:rPr>
              <w:t>November 28, 2012</w:t>
            </w:r>
          </w:p>
        </w:tc>
        <w:tc>
          <w:tcPr>
            <w:tcW w:w="6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2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GSVC WS Holdings, Inc. (“GWS”)</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Delaware</w:t>
            </w: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November 28, 2012</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5"/>
                <w:szCs w:val="15"/>
                <w:color w:val="auto"/>
              </w:rPr>
              <w:t>GSVC SVDS Holdings, Inc. (“SVDS”)</w:t>
            </w:r>
          </w:p>
        </w:tc>
        <w:tc>
          <w:tcPr>
            <w:tcW w:w="780" w:type="dxa"/>
            <w:vAlign w:val="bottom"/>
            <w:gridSpan w:val="2"/>
          </w:tcPr>
          <w:p>
            <w:pPr>
              <w:ind w:left="120"/>
              <w:spacing w:after="0"/>
              <w:rPr>
                <w:sz w:val="20"/>
                <w:szCs w:val="20"/>
                <w:color w:val="auto"/>
              </w:rPr>
            </w:pPr>
            <w:r>
              <w:rPr>
                <w:rFonts w:ascii="Arial" w:cs="Arial" w:eastAsia="Arial" w:hAnsi="Arial"/>
                <w:sz w:val="15"/>
                <w:szCs w:val="15"/>
                <w:color w:val="auto"/>
              </w:rPr>
              <w:t>Delaware</w:t>
            </w:r>
          </w:p>
        </w:tc>
        <w:tc>
          <w:tcPr>
            <w:tcW w:w="1200" w:type="dxa"/>
            <w:vAlign w:val="bottom"/>
          </w:tcPr>
          <w:p>
            <w:pPr>
              <w:jc w:val="center"/>
              <w:spacing w:after="0"/>
              <w:rPr>
                <w:sz w:val="20"/>
                <w:szCs w:val="20"/>
                <w:color w:val="auto"/>
              </w:rPr>
            </w:pPr>
            <w:r>
              <w:rPr>
                <w:rFonts w:ascii="Arial" w:cs="Arial" w:eastAsia="Arial" w:hAnsi="Arial"/>
                <w:sz w:val="15"/>
                <w:szCs w:val="15"/>
                <w:color w:val="auto"/>
                <w:w w:val="91"/>
              </w:rPr>
              <w:t>August 13, 2013</w:t>
            </w:r>
          </w:p>
        </w:tc>
        <w:tc>
          <w:tcPr>
            <w:tcW w:w="600" w:type="dxa"/>
            <w:vAlign w:val="bottom"/>
          </w:tcPr>
          <w:p>
            <w:pPr>
              <w:jc w:val="right"/>
              <w:spacing w:after="0"/>
              <w:rPr>
                <w:sz w:val="20"/>
                <w:szCs w:val="20"/>
                <w:color w:val="auto"/>
              </w:rPr>
            </w:pPr>
            <w:r>
              <w:rPr>
                <w:rFonts w:ascii="Arial" w:cs="Arial" w:eastAsia="Arial" w:hAnsi="Arial"/>
                <w:sz w:val="15"/>
                <w:szCs w:val="15"/>
                <w:color w:val="auto"/>
              </w:rPr>
              <w:t>100%</w:t>
            </w:r>
          </w:p>
        </w:tc>
      </w:tr>
    </w:tbl>
    <w:p>
      <w:pPr>
        <w:spacing w:after="0" w:line="247" w:lineRule="exact"/>
        <w:rPr>
          <w:sz w:val="20"/>
          <w:szCs w:val="20"/>
          <w:color w:val="auto"/>
        </w:rPr>
      </w:pPr>
    </w:p>
    <w:p>
      <w:pPr>
        <w:ind w:left="1060" w:right="2559" w:firstLine="297"/>
        <w:spacing w:after="0" w:line="251" w:lineRule="auto"/>
        <w:rPr>
          <w:sz w:val="20"/>
          <w:szCs w:val="20"/>
          <w:color w:val="auto"/>
        </w:rPr>
      </w:pPr>
      <w:r>
        <w:rPr>
          <w:rFonts w:ascii="Arial" w:cs="Arial" w:eastAsia="Arial" w:hAnsi="Arial"/>
          <w:sz w:val="15"/>
          <w:szCs w:val="15"/>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2 — SIGNIFICANT ACCOUNTING POLICIES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Basis of Presentation</w:t>
      </w:r>
    </w:p>
    <w:p>
      <w:pPr>
        <w:spacing w:after="0" w:line="88" w:lineRule="exact"/>
        <w:rPr>
          <w:sz w:val="20"/>
          <w:szCs w:val="20"/>
          <w:color w:val="auto"/>
        </w:rPr>
      </w:pPr>
    </w:p>
    <w:p>
      <w:pPr>
        <w:ind w:left="1060" w:right="2599" w:firstLine="297"/>
        <w:spacing w:after="0" w:line="276" w:lineRule="auto"/>
        <w:rPr>
          <w:sz w:val="20"/>
          <w:szCs w:val="20"/>
          <w:color w:val="auto"/>
        </w:rPr>
      </w:pPr>
      <w:r>
        <w:rPr>
          <w:rFonts w:ascii="Arial" w:cs="Arial" w:eastAsia="Arial" w:hAnsi="Arial"/>
          <w:sz w:val="14"/>
          <w:szCs w:val="14"/>
          <w:color w:val="auto"/>
        </w:rPr>
        <w:t>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w:t>
      </w:r>
    </w:p>
    <w:p>
      <w:pPr>
        <w:spacing w:after="0" w:line="19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type w:val="continuous"/>
        </w:sectPr>
      </w:pPr>
    </w:p>
    <w:bookmarkStart w:id="93" w:name="page94"/>
    <w:bookmarkEnd w:id="93"/>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39"/>
        <w:spacing w:after="0" w:line="317" w:lineRule="auto"/>
        <w:rPr>
          <w:sz w:val="20"/>
          <w:szCs w:val="20"/>
          <w:color w:val="auto"/>
        </w:rPr>
      </w:pPr>
      <w:r>
        <w:rPr>
          <w:rFonts w:ascii="Arial" w:cs="Arial" w:eastAsia="Arial" w:hAnsi="Arial"/>
          <w:sz w:val="13"/>
          <w:szCs w:val="13"/>
          <w:color w:val="auto"/>
        </w:rPr>
        <w:t>Accounting Standards Codification (“ASC”) Topic 946, Financial Services — Investment Companies. In the opinion of management, all adjustments, all of which were of a normal recurring nature, considered necessary for the fair presentation of consolidated financial statements for the interim period have been included.</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Basis of Consolidation</w:t>
      </w:r>
    </w:p>
    <w:p>
      <w:pPr>
        <w:spacing w:after="0" w:line="88" w:lineRule="exact"/>
        <w:rPr>
          <w:sz w:val="20"/>
          <w:szCs w:val="20"/>
          <w:color w:val="auto"/>
        </w:rPr>
      </w:pPr>
    </w:p>
    <w:p>
      <w:pPr>
        <w:ind w:left="1060" w:right="2419" w:firstLine="297"/>
        <w:spacing w:after="0" w:line="273" w:lineRule="auto"/>
        <w:rPr>
          <w:sz w:val="20"/>
          <w:szCs w:val="20"/>
          <w:color w:val="auto"/>
        </w:rPr>
      </w:pPr>
      <w:r>
        <w:rPr>
          <w:rFonts w:ascii="Arial" w:cs="Arial" w:eastAsia="Arial" w:hAnsi="Arial"/>
          <w:sz w:val="14"/>
          <w:szCs w:val="14"/>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wholly-owned subsidiaries. All intercompany balances and transactions have been eliminated in consolidation.</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Use of Estimates</w:t>
      </w:r>
    </w:p>
    <w:p>
      <w:pPr>
        <w:spacing w:after="0" w:line="88" w:lineRule="exact"/>
        <w:rPr>
          <w:sz w:val="20"/>
          <w:szCs w:val="20"/>
          <w:color w:val="auto"/>
        </w:rPr>
      </w:pPr>
    </w:p>
    <w:p>
      <w:pPr>
        <w:ind w:left="1060" w:right="2439" w:firstLine="297"/>
        <w:spacing w:after="0" w:line="299" w:lineRule="auto"/>
        <w:rPr>
          <w:sz w:val="20"/>
          <w:szCs w:val="20"/>
          <w:color w:val="auto"/>
        </w:rPr>
      </w:pPr>
      <w:r>
        <w:rPr>
          <w:rFonts w:ascii="Arial" w:cs="Arial" w:eastAsia="Arial" w:hAnsi="Arial"/>
          <w:sz w:val="13"/>
          <w:szCs w:val="13"/>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Uncertainties and Risk Factors</w:t>
      </w:r>
    </w:p>
    <w:p>
      <w:pPr>
        <w:spacing w:after="0" w:line="88" w:lineRule="exact"/>
        <w:rPr>
          <w:sz w:val="20"/>
          <w:szCs w:val="20"/>
          <w:color w:val="auto"/>
        </w:rPr>
      </w:pPr>
    </w:p>
    <w:p>
      <w:pPr>
        <w:ind w:left="1060" w:right="2399" w:firstLine="297"/>
        <w:spacing w:after="0" w:line="307" w:lineRule="auto"/>
        <w:rPr>
          <w:sz w:val="20"/>
          <w:szCs w:val="20"/>
          <w:color w:val="auto"/>
        </w:rPr>
      </w:pPr>
      <w:r>
        <w:rPr>
          <w:rFonts w:ascii="Arial" w:cs="Arial" w:eastAsia="Arial" w:hAnsi="Arial"/>
          <w:sz w:val="13"/>
          <w:szCs w:val="13"/>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 — Investments at Fair Value.” for an overview of the Company’s industry and geographic concentrations.</w:t>
      </w:r>
    </w:p>
    <w:p>
      <w:pPr>
        <w:spacing w:after="0" w:line="11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Investments at Fair Value</w:t>
      </w:r>
    </w:p>
    <w:p>
      <w:pPr>
        <w:spacing w:after="0" w:line="88" w:lineRule="exact"/>
        <w:rPr>
          <w:sz w:val="20"/>
          <w:szCs w:val="20"/>
          <w:color w:val="auto"/>
        </w:rPr>
      </w:pPr>
    </w:p>
    <w:p>
      <w:pPr>
        <w:ind w:left="1060" w:right="2839" w:firstLine="297"/>
        <w:spacing w:after="0" w:line="259" w:lineRule="auto"/>
        <w:rPr>
          <w:sz w:val="20"/>
          <w:szCs w:val="20"/>
          <w:color w:val="auto"/>
        </w:rPr>
      </w:pPr>
      <w:r>
        <w:rPr>
          <w:rFonts w:ascii="Arial" w:cs="Arial" w:eastAsia="Arial" w:hAnsi="Arial"/>
          <w:sz w:val="15"/>
          <w:szCs w:val="15"/>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67" w:lineRule="exact"/>
        <w:rPr>
          <w:sz w:val="20"/>
          <w:szCs w:val="20"/>
          <w:color w:val="auto"/>
        </w:rPr>
      </w:pPr>
    </w:p>
    <w:p>
      <w:pPr>
        <w:ind w:left="1060" w:right="2579" w:firstLine="297"/>
        <w:spacing w:after="0" w:line="299" w:lineRule="auto"/>
        <w:rPr>
          <w:sz w:val="20"/>
          <w:szCs w:val="20"/>
          <w:color w:val="auto"/>
        </w:rPr>
      </w:pPr>
      <w:r>
        <w:rPr>
          <w:rFonts w:ascii="Arial" w:cs="Arial" w:eastAsia="Arial" w:hAnsi="Arial"/>
          <w:sz w:val="13"/>
          <w:szCs w:val="13"/>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39" w:lineRule="exact"/>
        <w:rPr>
          <w:sz w:val="20"/>
          <w:szCs w:val="20"/>
          <w:color w:val="auto"/>
        </w:rPr>
      </w:pPr>
    </w:p>
    <w:p>
      <w:pPr>
        <w:ind w:left="1060" w:right="2459" w:firstLine="297"/>
        <w:spacing w:after="0" w:line="276" w:lineRule="auto"/>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 Valuations based on unadjusted quoted prices for identical assets or liabilities in an active market</w:t>
      </w:r>
      <w:r>
        <w:rPr>
          <w:rFonts w:ascii="Arial" w:cs="Arial" w:eastAsia="Arial" w:hAnsi="Arial"/>
          <w:sz w:val="15"/>
          <w:szCs w:val="15"/>
          <w:b w:val="1"/>
          <w:bCs w:val="1"/>
          <w:color w:val="auto"/>
        </w:rPr>
        <w:t xml:space="preserve"> </w:t>
      </w:r>
      <w:r>
        <w:rPr>
          <w:rFonts w:ascii="Arial" w:cs="Arial" w:eastAsia="Arial" w:hAnsi="Arial"/>
          <w:sz w:val="15"/>
          <w:szCs w:val="15"/>
          <w:color w:val="auto"/>
        </w:rPr>
        <w:t>that the Company has the ability to access at the measurement date.</w:t>
      </w:r>
    </w:p>
    <w:p>
      <w:pPr>
        <w:spacing w:after="0" w:line="50" w:lineRule="exact"/>
        <w:rPr>
          <w:sz w:val="20"/>
          <w:szCs w:val="20"/>
          <w:color w:val="auto"/>
        </w:rPr>
      </w:pPr>
    </w:p>
    <w:p>
      <w:pPr>
        <w:ind w:left="1060" w:right="2439" w:firstLine="297"/>
        <w:spacing w:after="0" w:line="257" w:lineRule="auto"/>
        <w:rPr>
          <w:sz w:val="20"/>
          <w:szCs w:val="20"/>
          <w:color w:val="auto"/>
        </w:rPr>
      </w:pPr>
      <w:r>
        <w:rPr>
          <w:rFonts w:ascii="Arial" w:cs="Arial" w:eastAsia="Arial" w:hAnsi="Arial"/>
          <w:sz w:val="15"/>
          <w:szCs w:val="15"/>
          <w:b w:val="1"/>
          <w:bCs w:val="1"/>
          <w:color w:val="auto"/>
        </w:rPr>
        <w:t xml:space="preserve">Level 2 </w:t>
      </w:r>
      <w:r>
        <w:rPr>
          <w:rFonts w:ascii="Arial" w:cs="Arial" w:eastAsia="Arial" w:hAnsi="Arial"/>
          <w:sz w:val="15"/>
          <w:szCs w:val="15"/>
          <w:color w:val="auto"/>
        </w:rPr>
        <w:t>— Valuations based on observable inputs other than Level 1 prices, such as quoted prices for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assets or liabilities; quoted prices in markets that are not active; or other inputs that are observable or can be corroborated by observable market data at the measurement date for substantially the full term of the assets or liabilities.</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4" w:name="page95"/>
    <w:bookmarkEnd w:id="9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39"/>
        <w:spacing w:after="0"/>
        <w:rPr>
          <w:sz w:val="20"/>
          <w:szCs w:val="20"/>
          <w:color w:val="auto"/>
        </w:rPr>
      </w:pPr>
      <w:r>
        <w:rPr>
          <w:rFonts w:ascii="Arial" w:cs="Arial" w:eastAsia="Arial" w:hAnsi="Arial"/>
          <w:sz w:val="15"/>
          <w:szCs w:val="15"/>
          <w:b w:val="1"/>
          <w:bCs w:val="1"/>
          <w:color w:val="auto"/>
        </w:rPr>
        <w:t>December 31, 2017</w:t>
      </w:r>
    </w:p>
    <w:p>
      <w:pPr>
        <w:spacing w:after="0" w:line="157" w:lineRule="exact"/>
        <w:rPr>
          <w:sz w:val="20"/>
          <w:szCs w:val="20"/>
          <w:color w:val="auto"/>
        </w:rPr>
      </w:pPr>
    </w:p>
    <w:p>
      <w:pPr>
        <w:ind w:left="1060" w:right="2479" w:firstLine="297"/>
        <w:spacing w:after="0" w:line="255" w:lineRule="auto"/>
        <w:rPr>
          <w:sz w:val="20"/>
          <w:szCs w:val="20"/>
          <w:color w:val="auto"/>
        </w:rPr>
      </w:pPr>
      <w:r>
        <w:rPr>
          <w:rFonts w:ascii="Arial" w:cs="Arial" w:eastAsia="Arial" w:hAnsi="Arial"/>
          <w:sz w:val="15"/>
          <w:szCs w:val="15"/>
          <w:b w:val="1"/>
          <w:bCs w:val="1"/>
          <w:color w:val="auto"/>
        </w:rPr>
        <w:t xml:space="preserve">Level 3 </w:t>
      </w:r>
      <w:r>
        <w:rPr>
          <w:rFonts w:ascii="Arial" w:cs="Arial" w:eastAsia="Arial" w:hAnsi="Arial"/>
          <w:sz w:val="15"/>
          <w:szCs w:val="15"/>
          <w:color w:val="auto"/>
        </w:rPr>
        <w:t>— Valuations based on unobservable inputs that reflect management’s best estimate of what market</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would use in pricing the asset 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70" w:lineRule="exact"/>
        <w:rPr>
          <w:sz w:val="20"/>
          <w:szCs w:val="20"/>
          <w:color w:val="auto"/>
        </w:rPr>
      </w:pPr>
    </w:p>
    <w:p>
      <w:pPr>
        <w:ind w:left="1060" w:right="2419" w:firstLine="297"/>
        <w:spacing w:after="0" w:line="299" w:lineRule="auto"/>
        <w:rPr>
          <w:sz w:val="20"/>
          <w:szCs w:val="20"/>
          <w:color w:val="auto"/>
        </w:rPr>
      </w:pPr>
      <w:r>
        <w:rPr>
          <w:rFonts w:ascii="Arial" w:cs="Arial" w:eastAsia="Arial" w:hAnsi="Arial"/>
          <w:sz w:val="13"/>
          <w:szCs w:val="13"/>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 — Investments at Fair Value” may include changes in fair value that are attributable to both observable inputs (Levels 1 and 2) and unobservable inputs (Level 3).</w:t>
      </w:r>
    </w:p>
    <w:p>
      <w:pPr>
        <w:spacing w:after="0" w:line="43" w:lineRule="exact"/>
        <w:rPr>
          <w:sz w:val="20"/>
          <w:szCs w:val="20"/>
          <w:color w:val="auto"/>
        </w:rPr>
      </w:pPr>
    </w:p>
    <w:p>
      <w:pPr>
        <w:ind w:left="1060" w:right="2419" w:firstLine="297"/>
        <w:spacing w:after="0" w:line="252" w:lineRule="auto"/>
        <w:rPr>
          <w:sz w:val="20"/>
          <w:szCs w:val="20"/>
          <w:color w:val="auto"/>
        </w:rPr>
      </w:pPr>
      <w:r>
        <w:rPr>
          <w:rFonts w:ascii="Arial" w:cs="Arial" w:eastAsia="Arial" w:hAnsi="Arial"/>
          <w:sz w:val="15"/>
          <w:szCs w:val="15"/>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74" w:lineRule="exact"/>
        <w:rPr>
          <w:sz w:val="20"/>
          <w:szCs w:val="20"/>
          <w:color w:val="auto"/>
        </w:rPr>
      </w:pPr>
    </w:p>
    <w:p>
      <w:pPr>
        <w:ind w:left="1060" w:right="2459" w:firstLine="297"/>
        <w:spacing w:after="0" w:line="272" w:lineRule="auto"/>
        <w:rPr>
          <w:sz w:val="20"/>
          <w:szCs w:val="20"/>
          <w:color w:val="auto"/>
        </w:rPr>
      </w:pPr>
      <w:r>
        <w:rPr>
          <w:rFonts w:ascii="Arial" w:cs="Arial" w:eastAsia="Arial" w:hAnsi="Arial"/>
          <w:sz w:val="14"/>
          <w:szCs w:val="14"/>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8" w:lineRule="exact"/>
        <w:rPr>
          <w:sz w:val="20"/>
          <w:szCs w:val="20"/>
          <w:color w:val="auto"/>
        </w:rPr>
      </w:pPr>
    </w:p>
    <w:p>
      <w:pPr>
        <w:ind w:left="1060" w:right="2439" w:firstLine="297"/>
        <w:spacing w:after="0" w:line="279" w:lineRule="auto"/>
        <w:rPr>
          <w:sz w:val="20"/>
          <w:szCs w:val="20"/>
          <w:color w:val="auto"/>
        </w:rPr>
      </w:pPr>
      <w:r>
        <w:rPr>
          <w:rFonts w:ascii="Arial" w:cs="Arial" w:eastAsia="Arial" w:hAnsi="Arial"/>
          <w:sz w:val="14"/>
          <w:szCs w:val="14"/>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55" w:lineRule="exact"/>
        <w:rPr>
          <w:sz w:val="20"/>
          <w:szCs w:val="20"/>
          <w:color w:val="auto"/>
        </w:rPr>
      </w:pPr>
    </w:p>
    <w:p>
      <w:pPr>
        <w:ind w:left="1640" w:right="2819" w:hanging="292"/>
        <w:spacing w:after="0" w:line="259" w:lineRule="auto"/>
        <w:tabs>
          <w:tab w:leader="none" w:pos="1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quarterly valuation process begins with each portfolio company or investment being initially valued by the investment professionals of GSV Asset Management responsible for the portfolio investment;</w:t>
      </w:r>
    </w:p>
    <w:p>
      <w:pPr>
        <w:spacing w:after="0" w:line="66" w:lineRule="exact"/>
        <w:rPr>
          <w:rFonts w:ascii="Arial" w:cs="Arial" w:eastAsia="Arial" w:hAnsi="Arial"/>
          <w:sz w:val="15"/>
          <w:szCs w:val="15"/>
          <w:color w:val="auto"/>
        </w:rPr>
      </w:pPr>
    </w:p>
    <w:p>
      <w:pPr>
        <w:ind w:left="1640" w:right="2599" w:hanging="292"/>
        <w:spacing w:after="0" w:line="270" w:lineRule="auto"/>
        <w:tabs>
          <w:tab w:leader="none" w:pos="1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Preliminary valuation conclusions are then documented and discussed with GSV Asset Management senior management;</w:t>
      </w:r>
    </w:p>
    <w:p>
      <w:pPr>
        <w:spacing w:after="0" w:line="58" w:lineRule="exact"/>
        <w:rPr>
          <w:rFonts w:ascii="Arial" w:cs="Arial" w:eastAsia="Arial" w:hAnsi="Arial"/>
          <w:sz w:val="15"/>
          <w:szCs w:val="15"/>
          <w:color w:val="auto"/>
        </w:rPr>
      </w:pPr>
    </w:p>
    <w:p>
      <w:pPr>
        <w:ind w:left="1640" w:right="2459" w:hanging="292"/>
        <w:spacing w:after="0" w:line="317" w:lineRule="auto"/>
        <w:tabs>
          <w:tab w:leader="none" w:pos="1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32" w:lineRule="exact"/>
        <w:rPr>
          <w:rFonts w:ascii="Arial" w:cs="Arial" w:eastAsia="Arial" w:hAnsi="Arial"/>
          <w:sz w:val="13"/>
          <w:szCs w:val="13"/>
          <w:color w:val="auto"/>
        </w:rPr>
      </w:pPr>
    </w:p>
    <w:p>
      <w:pPr>
        <w:ind w:left="1640" w:right="2419" w:hanging="292"/>
        <w:spacing w:after="0" w:line="259" w:lineRule="auto"/>
        <w:tabs>
          <w:tab w:leader="none" w:pos="1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66" w:lineRule="exact"/>
        <w:rPr>
          <w:rFonts w:ascii="Arial" w:cs="Arial" w:eastAsia="Arial" w:hAnsi="Arial"/>
          <w:sz w:val="15"/>
          <w:szCs w:val="15"/>
          <w:color w:val="auto"/>
        </w:rPr>
      </w:pPr>
    </w:p>
    <w:p>
      <w:pPr>
        <w:ind w:left="1640" w:right="2919" w:hanging="292"/>
        <w:spacing w:after="0" w:line="349" w:lineRule="auto"/>
        <w:tabs>
          <w:tab w:leader="none" w:pos="1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Company’s board of directors then discusses the valuations recommended by the Valuation Committee and determines in good faith the fair value of each investment in the portfolio.</w:t>
      </w:r>
    </w:p>
    <w:p>
      <w:pPr>
        <w:spacing w:after="0" w:line="12" w:lineRule="exact"/>
        <w:rPr>
          <w:sz w:val="20"/>
          <w:szCs w:val="20"/>
          <w:color w:val="auto"/>
        </w:rPr>
      </w:pPr>
    </w:p>
    <w:p>
      <w:pPr>
        <w:ind w:left="1060" w:right="2719" w:firstLine="297"/>
        <w:spacing w:after="0" w:line="349" w:lineRule="auto"/>
        <w:rPr>
          <w:sz w:val="20"/>
          <w:szCs w:val="20"/>
          <w:color w:val="auto"/>
        </w:rPr>
      </w:pPr>
      <w:r>
        <w:rPr>
          <w:rFonts w:ascii="Arial" w:cs="Arial" w:eastAsia="Arial" w:hAnsi="Arial"/>
          <w:sz w:val="13"/>
          <w:szCs w:val="13"/>
          <w:color w:val="auto"/>
        </w:rPr>
        <w:t>In making a good faith determination of the fair value of investments, the Company considers valuation methodologies consistent with industry practice. Valuation methods utilized include, but are not</w:t>
      </w:r>
    </w:p>
    <w:p>
      <w:pPr>
        <w:spacing w:after="0" w:line="14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5" w:name="page96"/>
    <w:bookmarkEnd w:id="9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3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39"/>
        <w:spacing w:after="0" w:line="274" w:lineRule="auto"/>
        <w:rPr>
          <w:sz w:val="20"/>
          <w:szCs w:val="20"/>
          <w:color w:val="auto"/>
        </w:rPr>
      </w:pPr>
      <w:r>
        <w:rPr>
          <w:rFonts w:ascii="Arial" w:cs="Arial" w:eastAsia="Arial" w:hAnsi="Arial"/>
          <w:sz w:val="14"/>
          <w:szCs w:val="14"/>
          <w:color w:val="auto"/>
        </w:rPr>
        <w:t>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58" w:lineRule="exact"/>
        <w:rPr>
          <w:sz w:val="20"/>
          <w:szCs w:val="20"/>
          <w:color w:val="auto"/>
        </w:rPr>
      </w:pPr>
    </w:p>
    <w:p>
      <w:pPr>
        <w:ind w:left="1060" w:right="2559" w:firstLine="297"/>
        <w:spacing w:after="0" w:line="252" w:lineRule="auto"/>
        <w:rPr>
          <w:sz w:val="20"/>
          <w:szCs w:val="20"/>
          <w:color w:val="auto"/>
        </w:rPr>
      </w:pPr>
      <w:r>
        <w:rPr>
          <w:rFonts w:ascii="Arial" w:cs="Arial" w:eastAsia="Arial" w:hAnsi="Arial"/>
          <w:sz w:val="15"/>
          <w:szCs w:val="15"/>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74" w:lineRule="exact"/>
        <w:rPr>
          <w:sz w:val="20"/>
          <w:szCs w:val="20"/>
          <w:color w:val="auto"/>
        </w:rPr>
      </w:pPr>
    </w:p>
    <w:p>
      <w:pPr>
        <w:ind w:left="1060" w:right="2399" w:firstLine="297"/>
        <w:spacing w:after="0" w:line="254" w:lineRule="auto"/>
        <w:rPr>
          <w:sz w:val="20"/>
          <w:szCs w:val="20"/>
          <w:color w:val="auto"/>
        </w:rPr>
      </w:pPr>
      <w:r>
        <w:rPr>
          <w:rFonts w:ascii="Arial" w:cs="Arial" w:eastAsia="Arial" w:hAnsi="Arial"/>
          <w:sz w:val="15"/>
          <w:szCs w:val="15"/>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69" w:lineRule="exact"/>
        <w:rPr>
          <w:sz w:val="20"/>
          <w:szCs w:val="20"/>
          <w:color w:val="auto"/>
        </w:rPr>
      </w:pPr>
    </w:p>
    <w:p>
      <w:pPr>
        <w:jc w:val="both"/>
        <w:ind w:left="1060" w:right="2999" w:firstLine="297"/>
        <w:spacing w:after="0" w:line="317" w:lineRule="auto"/>
        <w:rPr>
          <w:sz w:val="20"/>
          <w:szCs w:val="20"/>
          <w:color w:val="auto"/>
        </w:rPr>
      </w:pPr>
      <w:r>
        <w:rPr>
          <w:rFonts w:ascii="Arial" w:cs="Arial" w:eastAsia="Arial" w:hAnsi="Arial"/>
          <w:sz w:val="13"/>
          <w:szCs w:val="13"/>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Equity Investments</w:t>
      </w:r>
    </w:p>
    <w:p>
      <w:pPr>
        <w:spacing w:after="0" w:line="84" w:lineRule="exact"/>
        <w:rPr>
          <w:sz w:val="20"/>
          <w:szCs w:val="20"/>
          <w:color w:val="auto"/>
        </w:rPr>
      </w:pPr>
    </w:p>
    <w:p>
      <w:pPr>
        <w:ind w:left="1060" w:right="2459" w:firstLine="297"/>
        <w:spacing w:after="0" w:line="271" w:lineRule="auto"/>
        <w:rPr>
          <w:sz w:val="20"/>
          <w:szCs w:val="20"/>
          <w:color w:val="auto"/>
        </w:rPr>
      </w:pPr>
      <w:r>
        <w:rPr>
          <w:rFonts w:ascii="Arial" w:cs="Arial" w:eastAsia="Arial" w:hAnsi="Arial"/>
          <w:sz w:val="14"/>
          <w:szCs w:val="14"/>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60" w:lineRule="exact"/>
        <w:rPr>
          <w:sz w:val="20"/>
          <w:szCs w:val="20"/>
          <w:color w:val="auto"/>
        </w:rPr>
      </w:pPr>
    </w:p>
    <w:p>
      <w:pPr>
        <w:ind w:left="1060" w:right="2439" w:firstLine="297"/>
        <w:spacing w:after="0" w:line="270" w:lineRule="auto"/>
        <w:rPr>
          <w:sz w:val="20"/>
          <w:szCs w:val="20"/>
          <w:color w:val="auto"/>
        </w:rPr>
      </w:pPr>
      <w:r>
        <w:rPr>
          <w:rFonts w:ascii="Arial" w:cs="Arial" w:eastAsia="Arial" w:hAnsi="Arial"/>
          <w:sz w:val="14"/>
          <w:szCs w:val="14"/>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64"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6" w:name="page97"/>
    <w:bookmarkEnd w:id="9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659"/>
        <w:spacing w:after="0" w:line="307" w:lineRule="auto"/>
        <w:rPr>
          <w:sz w:val="20"/>
          <w:szCs w:val="20"/>
          <w:color w:val="auto"/>
        </w:rPr>
      </w:pPr>
      <w:r>
        <w:rPr>
          <w:rFonts w:ascii="Arial" w:cs="Arial" w:eastAsia="Arial" w:hAnsi="Arial"/>
          <w:sz w:val="13"/>
          <w:szCs w:val="13"/>
          <w:color w:val="auto"/>
        </w:rPr>
        <w:t>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Debt Investments</w:t>
      </w:r>
    </w:p>
    <w:p>
      <w:pPr>
        <w:spacing w:after="0" w:line="84" w:lineRule="exact"/>
        <w:rPr>
          <w:sz w:val="20"/>
          <w:szCs w:val="20"/>
          <w:color w:val="auto"/>
        </w:rPr>
      </w:pPr>
    </w:p>
    <w:p>
      <w:pPr>
        <w:ind w:left="1060" w:right="2639" w:firstLine="297"/>
        <w:spacing w:after="0" w:line="276" w:lineRule="auto"/>
        <w:rPr>
          <w:sz w:val="20"/>
          <w:szCs w:val="20"/>
          <w:color w:val="auto"/>
        </w:rPr>
      </w:pPr>
      <w:r>
        <w:rPr>
          <w:rFonts w:ascii="Arial" w:cs="Arial" w:eastAsia="Arial" w:hAnsi="Arial"/>
          <w:sz w:val="14"/>
          <w:szCs w:val="14"/>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Warrants</w:t>
      </w:r>
    </w:p>
    <w:p>
      <w:pPr>
        <w:spacing w:after="0" w:line="84" w:lineRule="exact"/>
        <w:rPr>
          <w:sz w:val="20"/>
          <w:szCs w:val="20"/>
          <w:color w:val="auto"/>
        </w:rPr>
      </w:pPr>
    </w:p>
    <w:p>
      <w:pPr>
        <w:ind w:left="1060" w:right="2459" w:firstLine="297"/>
        <w:spacing w:after="0" w:line="276" w:lineRule="auto"/>
        <w:rPr>
          <w:sz w:val="20"/>
          <w:szCs w:val="20"/>
          <w:color w:val="auto"/>
        </w:rPr>
      </w:pPr>
      <w:r>
        <w:rPr>
          <w:rFonts w:ascii="Arial" w:cs="Arial" w:eastAsia="Arial" w:hAnsi="Arial"/>
          <w:sz w:val="14"/>
          <w:szCs w:val="14"/>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Portfolio Company Investment Classification</w:t>
      </w:r>
    </w:p>
    <w:p>
      <w:pPr>
        <w:spacing w:after="0" w:line="84" w:lineRule="exact"/>
        <w:rPr>
          <w:sz w:val="20"/>
          <w:szCs w:val="20"/>
          <w:color w:val="auto"/>
        </w:rPr>
      </w:pPr>
    </w:p>
    <w:p>
      <w:pPr>
        <w:ind w:left="1060" w:right="2399" w:firstLine="297"/>
        <w:spacing w:after="0" w:line="271" w:lineRule="auto"/>
        <w:rPr>
          <w:sz w:val="20"/>
          <w:szCs w:val="20"/>
          <w:color w:val="auto"/>
        </w:rPr>
      </w:pPr>
      <w:r>
        <w:rPr>
          <w:rFonts w:ascii="Arial" w:cs="Arial" w:eastAsia="Arial" w:hAnsi="Arial"/>
          <w:sz w:val="14"/>
          <w:szCs w:val="14"/>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2017 and December 31, 2016, respectively, for details regarding the nature and composition of the Company’s investment portfolio.</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Levelling Policy</w:t>
      </w:r>
    </w:p>
    <w:p>
      <w:pPr>
        <w:spacing w:after="0" w:line="84"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Securities Transactions</w:t>
      </w:r>
    </w:p>
    <w:p>
      <w:pPr>
        <w:spacing w:after="0" w:line="88" w:lineRule="exact"/>
        <w:rPr>
          <w:sz w:val="20"/>
          <w:szCs w:val="20"/>
          <w:color w:val="auto"/>
        </w:rPr>
      </w:pPr>
    </w:p>
    <w:p>
      <w:pPr>
        <w:ind w:left="1060" w:right="2479" w:firstLine="297"/>
        <w:spacing w:after="0" w:line="307" w:lineRule="auto"/>
        <w:rPr>
          <w:sz w:val="20"/>
          <w:szCs w:val="20"/>
          <w:color w:val="auto"/>
        </w:rPr>
      </w:pPr>
      <w:r>
        <w:rPr>
          <w:rFonts w:ascii="Arial" w:cs="Arial" w:eastAsia="Arial" w:hAnsi="Arial"/>
          <w:sz w:val="14"/>
          <w:szCs w:val="14"/>
          <w:color w:val="auto"/>
        </w:rPr>
        <w:t>Securities transactions are accounted for on the date the transaction for the purchase or sale of the securities is entered into by the Company (</w:t>
      </w:r>
      <w:r>
        <w:rPr>
          <w:rFonts w:ascii="Arial" w:cs="Arial" w:eastAsia="Arial" w:hAnsi="Arial"/>
          <w:sz w:val="14"/>
          <w:szCs w:val="14"/>
          <w:i w:val="1"/>
          <w:iCs w:val="1"/>
          <w:color w:val="auto"/>
        </w:rPr>
        <w:t>i.e.</w:t>
      </w:r>
      <w:r>
        <w:rPr>
          <w:rFonts w:ascii="Arial" w:cs="Arial" w:eastAsia="Arial" w:hAnsi="Arial"/>
          <w:sz w:val="14"/>
          <w:szCs w:val="14"/>
          <w:color w:val="auto"/>
        </w:rPr>
        <w:t>, trade date). Securities transactions outside conventional</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7" w:name="page98"/>
    <w:bookmarkEnd w:id="9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39"/>
        <w:spacing w:after="0" w:line="259" w:lineRule="auto"/>
        <w:rPr>
          <w:sz w:val="20"/>
          <w:szCs w:val="20"/>
          <w:color w:val="auto"/>
        </w:rPr>
      </w:pPr>
      <w:r>
        <w:rPr>
          <w:rFonts w:ascii="Arial" w:cs="Arial" w:eastAsia="Arial" w:hAnsi="Arial"/>
          <w:sz w:val="15"/>
          <w:szCs w:val="15"/>
          <w:color w:val="auto"/>
        </w:rPr>
        <w:t>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Valuation of Other Financial Instruments</w:t>
      </w:r>
    </w:p>
    <w:p>
      <w:pPr>
        <w:spacing w:after="0" w:line="88" w:lineRule="exact"/>
        <w:rPr>
          <w:sz w:val="20"/>
          <w:szCs w:val="20"/>
          <w:color w:val="auto"/>
        </w:rPr>
      </w:pPr>
    </w:p>
    <w:p>
      <w:pPr>
        <w:ind w:left="1060" w:right="2679" w:firstLine="297"/>
        <w:spacing w:after="0" w:line="349" w:lineRule="auto"/>
        <w:rPr>
          <w:sz w:val="20"/>
          <w:szCs w:val="20"/>
          <w:color w:val="auto"/>
        </w:rPr>
      </w:pPr>
      <w:r>
        <w:rPr>
          <w:rFonts w:ascii="Arial" w:cs="Arial" w:eastAsia="Arial" w:hAnsi="Arial"/>
          <w:sz w:val="13"/>
          <w:szCs w:val="13"/>
          <w:color w:val="auto"/>
        </w:rPr>
        <w:t>The carrying amounts of the Company’s other, non-investment financial instruments, consisting of cash, receivables, accounts payable, and accrued expenses, approximate fair value due to their short-term nature.</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Cash</w:t>
      </w:r>
    </w:p>
    <w:p>
      <w:pPr>
        <w:spacing w:after="0" w:line="84" w:lineRule="exact"/>
        <w:rPr>
          <w:sz w:val="20"/>
          <w:szCs w:val="20"/>
          <w:color w:val="auto"/>
        </w:rPr>
      </w:pPr>
    </w:p>
    <w:p>
      <w:pPr>
        <w:ind w:left="1060" w:right="2479" w:firstLine="297"/>
        <w:spacing w:after="0" w:line="254" w:lineRule="auto"/>
        <w:rPr>
          <w:sz w:val="20"/>
          <w:szCs w:val="20"/>
          <w:color w:val="auto"/>
        </w:rPr>
      </w:pPr>
      <w:r>
        <w:rPr>
          <w:rFonts w:ascii="Arial" w:cs="Arial" w:eastAsia="Arial" w:hAnsi="Arial"/>
          <w:sz w:val="15"/>
          <w:szCs w:val="15"/>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Escrow Proceeds Receivable</w:t>
      </w:r>
    </w:p>
    <w:p>
      <w:pPr>
        <w:spacing w:after="0" w:line="84" w:lineRule="exact"/>
        <w:rPr>
          <w:sz w:val="20"/>
          <w:szCs w:val="20"/>
          <w:color w:val="auto"/>
        </w:rPr>
      </w:pPr>
    </w:p>
    <w:p>
      <w:pPr>
        <w:jc w:val="both"/>
        <w:ind w:left="1060" w:right="2719" w:firstLine="297"/>
        <w:spacing w:after="0" w:line="291" w:lineRule="auto"/>
        <w:rPr>
          <w:sz w:val="20"/>
          <w:szCs w:val="20"/>
          <w:color w:val="auto"/>
        </w:rPr>
      </w:pPr>
      <w:r>
        <w:rPr>
          <w:rFonts w:ascii="Arial" w:cs="Arial" w:eastAsia="Arial" w:hAnsi="Arial"/>
          <w:sz w:val="13"/>
          <w:szCs w:val="13"/>
          <w:color w:val="auto"/>
        </w:rPr>
        <w:t>During the year ended December 31, 2017 the Company completed the sale of its investments in JAMF Holdings, Inc. and Strategic Data Command, LLC. A portion of the proceeds from the sale of these portfolio investments are held in escrow as a recourse for indemnity claims that may arise under the sale agreement.</w:t>
      </w:r>
    </w:p>
    <w:p>
      <w:pPr>
        <w:spacing w:after="0" w:line="2" w:lineRule="exact"/>
        <w:rPr>
          <w:sz w:val="20"/>
          <w:szCs w:val="20"/>
          <w:color w:val="auto"/>
        </w:rPr>
      </w:pPr>
    </w:p>
    <w:p>
      <w:pPr>
        <w:ind w:left="1060" w:right="2619"/>
        <w:spacing w:after="0" w:line="274" w:lineRule="auto"/>
        <w:rPr>
          <w:sz w:val="20"/>
          <w:szCs w:val="20"/>
          <w:color w:val="auto"/>
        </w:rPr>
      </w:pPr>
      <w:r>
        <w:rPr>
          <w:rFonts w:ascii="Arial" w:cs="Arial" w:eastAsia="Arial" w:hAnsi="Arial"/>
          <w:sz w:val="14"/>
          <w:szCs w:val="14"/>
          <w:color w:val="auto"/>
        </w:rPr>
        <w:t>Amounts held in escrow are held at estimated realizable value and included in net realized gains (losses) on investments in the Consolidated Statements of Operations. Such transactions are reflected on the Consolidated Statement of Assets and Liabilities as escrow proceeds receivable. At December 31, 2017 and 2016, the Company had $603,456 and $0, respectively, in escrow proceeds receivable.</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Deferred Financing Costs</w:t>
      </w:r>
    </w:p>
    <w:p>
      <w:pPr>
        <w:spacing w:after="0" w:line="84"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December 31, 2017, and December 31, 2016, the Company had deferred financing costs of $413,023 and $311,268, respectively, on the Consolidated Statements of Assets and Liabilities.</w:t>
      </w:r>
    </w:p>
    <w:p>
      <w:pPr>
        <w:spacing w:after="0" w:line="75" w:lineRule="exact"/>
        <w:rPr>
          <w:sz w:val="20"/>
          <w:szCs w:val="20"/>
          <w:color w:val="auto"/>
        </w:rPr>
      </w:pPr>
    </w:p>
    <w:tbl>
      <w:tblPr>
        <w:tblLayout w:type="fixed"/>
        <w:tblInd w:w="164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820" w:type="dxa"/>
            <w:vAlign w:val="bottom"/>
            <w:gridSpan w:val="5"/>
          </w:tcPr>
          <w:p>
            <w:pPr>
              <w:ind w:left="1080"/>
              <w:spacing w:after="0"/>
              <w:rPr>
                <w:sz w:val="20"/>
                <w:szCs w:val="20"/>
                <w:color w:val="auto"/>
              </w:rPr>
            </w:pPr>
            <w:r>
              <w:rPr>
                <w:rFonts w:ascii="Arial" w:cs="Arial" w:eastAsia="Arial" w:hAnsi="Arial"/>
                <w:sz w:val="12"/>
                <w:szCs w:val="12"/>
                <w:b w:val="1"/>
                <w:bCs w:val="1"/>
                <w:color w:val="auto"/>
                <w:w w:val="92"/>
              </w:rPr>
              <w:t>December 31,</w:t>
            </w:r>
          </w:p>
        </w:tc>
        <w:tc>
          <w:tcPr>
            <w:tcW w:w="900" w:type="dxa"/>
            <w:vAlign w:val="bottom"/>
            <w:gridSpan w:val="5"/>
          </w:tcPr>
          <w:p>
            <w:pPr>
              <w:ind w:left="180"/>
              <w:spacing w:after="0"/>
              <w:rPr>
                <w:sz w:val="20"/>
                <w:szCs w:val="20"/>
                <w:color w:val="auto"/>
              </w:rPr>
            </w:pPr>
            <w:r>
              <w:rPr>
                <w:rFonts w:ascii="Arial" w:cs="Arial" w:eastAsia="Arial" w:hAnsi="Arial"/>
                <w:sz w:val="12"/>
                <w:szCs w:val="12"/>
                <w:b w:val="1"/>
                <w:bCs w:val="1"/>
                <w:color w:val="auto"/>
                <w:w w:val="89"/>
              </w:rPr>
              <w:t>December 31,</w:t>
            </w:r>
          </w:p>
        </w:tc>
      </w:tr>
      <w:tr>
        <w:trPr>
          <w:trHeight w:val="152"/>
        </w:trPr>
        <w:tc>
          <w:tcPr>
            <w:tcW w:w="2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9"/>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9"/>
              <w:spacing w:after="0"/>
              <w:rPr>
                <w:sz w:val="20"/>
                <w:szCs w:val="20"/>
                <w:color w:val="auto"/>
              </w:rPr>
            </w:pPr>
            <w:r>
              <w:rPr>
                <w:rFonts w:ascii="Arial" w:cs="Arial" w:eastAsia="Arial" w:hAnsi="Arial"/>
                <w:sz w:val="12"/>
                <w:szCs w:val="12"/>
                <w:b w:val="1"/>
                <w:bCs w:val="1"/>
                <w:color w:val="auto"/>
              </w:rPr>
              <w:t>2016</w:t>
            </w:r>
          </w:p>
        </w:tc>
        <w:tc>
          <w:tcPr>
            <w:tcW w:w="80" w:type="dxa"/>
            <w:vAlign w:val="bottom"/>
          </w:tcPr>
          <w:p>
            <w:pPr>
              <w:spacing w:after="0"/>
              <w:rPr>
                <w:sz w:val="13"/>
                <w:szCs w:val="13"/>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Arial" w:cs="Arial" w:eastAsia="Arial" w:hAnsi="Arial"/>
                <w:sz w:val="15"/>
                <w:szCs w:val="15"/>
                <w:color w:val="auto"/>
              </w:rPr>
              <w:t>Unamortized origination costs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17"/>
        </w:trPr>
        <w:tc>
          <w:tcPr>
            <w:tcW w:w="28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Deferred offering costs</w:t>
            </w: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413,023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311,268</w:t>
            </w:r>
          </w:p>
        </w:tc>
        <w:tc>
          <w:tcPr>
            <w:tcW w:w="80" w:type="dxa"/>
            <w:vAlign w:val="bottom"/>
            <w:tcBorders>
              <w:bottom w:val="single" w:sz="8" w:color="CCEEFF"/>
            </w:tcBorders>
          </w:tcPr>
          <w:p>
            <w:pPr>
              <w:spacing w:after="0"/>
              <w:rPr>
                <w:sz w:val="18"/>
                <w:szCs w:val="18"/>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Financing Costs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413,023</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311,268</w:t>
            </w:r>
          </w:p>
        </w:tc>
        <w:tc>
          <w:tcPr>
            <w:tcW w:w="80" w:type="dxa"/>
            <w:vAlign w:val="bottom"/>
            <w:shd w:val="clear" w:color="auto" w:fill="CCEEFF"/>
          </w:tcPr>
          <w:p>
            <w:pPr>
              <w:spacing w:after="0"/>
              <w:rPr>
                <w:sz w:val="18"/>
                <w:szCs w:val="18"/>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-162560</wp:posOffset>
            </wp:positionV>
            <wp:extent cx="4953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530" cy="6985"/>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-162560</wp:posOffset>
            </wp:positionV>
            <wp:extent cx="313182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31820" cy="6985"/>
                    </a:xfrm>
                    <a:prstGeom prst="rect">
                      <a:avLst/>
                    </a:prstGeom>
                    <a:noFill/>
                  </pic:spPr>
                </pic:pic>
              </a:graphicData>
            </a:graphic>
          </wp:anchor>
        </w:drawing>
        <w:drawing>
          <wp:anchor simplePos="0" relativeHeight="251657728" behindDoc="1" locked="0" layoutInCell="0" allowOverlap="1">
            <wp:simplePos x="0" y="0"/>
            <wp:positionH relativeFrom="column">
              <wp:posOffset>1047750</wp:posOffset>
            </wp:positionH>
            <wp:positionV relativeFrom="paragraph">
              <wp:posOffset>-445770</wp:posOffset>
            </wp:positionV>
            <wp:extent cx="308927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89275" cy="6985"/>
                    </a:xfrm>
                    <a:prstGeom prst="rect">
                      <a:avLst/>
                    </a:prstGeom>
                    <a:noFill/>
                  </pic:spPr>
                </pic:pic>
              </a:graphicData>
            </a:graphic>
          </wp:anchor>
        </w:drawing>
      </w:r>
    </w:p>
    <w:p>
      <w:pPr>
        <w:spacing w:after="0" w:line="24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Revenue Recognition</w:t>
      </w:r>
    </w:p>
    <w:p>
      <w:pPr>
        <w:spacing w:after="0" w:line="88" w:lineRule="exact"/>
        <w:rPr>
          <w:sz w:val="20"/>
          <w:szCs w:val="20"/>
          <w:color w:val="auto"/>
        </w:rPr>
      </w:pPr>
    </w:p>
    <w:p>
      <w:pPr>
        <w:jc w:val="both"/>
        <w:ind w:left="1060" w:right="2459" w:firstLine="297"/>
        <w:spacing w:after="0" w:line="286" w:lineRule="auto"/>
        <w:rPr>
          <w:sz w:val="20"/>
          <w:szCs w:val="20"/>
          <w:color w:val="auto"/>
        </w:rPr>
      </w:pPr>
      <w:r>
        <w:rPr>
          <w:rFonts w:ascii="Arial" w:cs="Arial" w:eastAsia="Arial" w:hAnsi="Arial"/>
          <w:sz w:val="14"/>
          <w:szCs w:val="14"/>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8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8" w:name="page99"/>
    <w:bookmarkEnd w:id="9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Transaction Costs and Escrow Deposits</w:t>
      </w:r>
    </w:p>
    <w:p>
      <w:pPr>
        <w:spacing w:after="0" w:line="88" w:lineRule="exact"/>
        <w:rPr>
          <w:sz w:val="20"/>
          <w:szCs w:val="20"/>
          <w:color w:val="auto"/>
        </w:rPr>
      </w:pPr>
    </w:p>
    <w:p>
      <w:pPr>
        <w:ind w:left="1060" w:right="2419" w:firstLine="297"/>
        <w:spacing w:after="0" w:line="295" w:lineRule="auto"/>
        <w:rPr>
          <w:sz w:val="20"/>
          <w:szCs w:val="20"/>
          <w:color w:val="auto"/>
        </w:rPr>
      </w:pPr>
      <w:r>
        <w:rPr>
          <w:rFonts w:ascii="Arial" w:cs="Arial" w:eastAsia="Arial" w:hAnsi="Arial"/>
          <w:sz w:val="13"/>
          <w:szCs w:val="13"/>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At December 31, 2017 and December 31, 2016, the Company had no escrow deposits.</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Unrealized Appreciation or Depreciation of Investments</w:t>
      </w:r>
    </w:p>
    <w:p>
      <w:pPr>
        <w:spacing w:after="0" w:line="88" w:lineRule="exact"/>
        <w:rPr>
          <w:sz w:val="20"/>
          <w:szCs w:val="20"/>
          <w:color w:val="auto"/>
        </w:rPr>
      </w:pPr>
    </w:p>
    <w:p>
      <w:pPr>
        <w:ind w:left="1060" w:right="2999" w:firstLine="297"/>
        <w:spacing w:after="0" w:line="270" w:lineRule="auto"/>
        <w:rPr>
          <w:sz w:val="20"/>
          <w:szCs w:val="20"/>
          <w:color w:val="auto"/>
        </w:rPr>
      </w:pPr>
      <w:r>
        <w:rPr>
          <w:rFonts w:ascii="Arial" w:cs="Arial" w:eastAsia="Arial" w:hAnsi="Arial"/>
          <w:sz w:val="15"/>
          <w:szCs w:val="15"/>
          <w:color w:val="auto"/>
        </w:rPr>
        <w:t>Unrealized appreciation or depreciation is calculated as the difference between the fair value of the investment and the cost basis of such investment.</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U.S. Federal and State Income Taxes</w:t>
      </w:r>
    </w:p>
    <w:p>
      <w:pPr>
        <w:spacing w:after="0" w:line="88" w:lineRule="exact"/>
        <w:rPr>
          <w:sz w:val="20"/>
          <w:szCs w:val="20"/>
          <w:color w:val="auto"/>
        </w:rPr>
      </w:pPr>
    </w:p>
    <w:p>
      <w:pPr>
        <w:ind w:left="1060" w:right="2419" w:firstLine="297"/>
        <w:spacing w:after="0" w:line="292" w:lineRule="auto"/>
        <w:rPr>
          <w:sz w:val="20"/>
          <w:szCs w:val="20"/>
          <w:color w:val="auto"/>
        </w:rPr>
      </w:pPr>
      <w:r>
        <w:rPr>
          <w:rFonts w:ascii="Arial" w:cs="Arial" w:eastAsia="Arial" w:hAnsi="Arial"/>
          <w:sz w:val="13"/>
          <w:szCs w:val="13"/>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4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If the Company does not distribute (or is not deemed to have distributed) each calendar year a sum of</w:t>
      </w:r>
    </w:p>
    <w:p>
      <w:pPr>
        <w:spacing w:after="0" w:line="28" w:lineRule="exact"/>
        <w:rPr>
          <w:sz w:val="20"/>
          <w:szCs w:val="20"/>
          <w:color w:val="auto"/>
        </w:rPr>
      </w:pPr>
    </w:p>
    <w:p>
      <w:pPr>
        <w:ind w:left="1060" w:right="2419" w:hanging="9"/>
        <w:spacing w:after="0" w:line="249" w:lineRule="auto"/>
        <w:tabs>
          <w:tab w:leader="none" w:pos="1271" w:val="left"/>
        </w:tabs>
        <w:numPr>
          <w:ilvl w:val="0"/>
          <w:numId w:val="60"/>
        </w:numPr>
        <w:rPr>
          <w:rFonts w:ascii="Arial" w:cs="Arial" w:eastAsia="Arial" w:hAnsi="Arial"/>
          <w:sz w:val="15"/>
          <w:szCs w:val="15"/>
          <w:color w:val="auto"/>
        </w:rPr>
      </w:pPr>
      <w:r>
        <w:rPr>
          <w:rFonts w:ascii="Arial" w:cs="Arial" w:eastAsia="Arial" w:hAnsi="Arial"/>
          <w:sz w:val="15"/>
          <w:szCs w:val="15"/>
          <w:color w:val="auto"/>
        </w:rPr>
        <w:t>98% of its net ordinary income for each calendar year, (2) 98.2% of its capital gain net income for the one-year period ending October 31 in that calendar year and (3) any income recognized, but not distributed, in preceding years (the “Minimum Distribution Amount”), it generally will be required to pay an excise tax equal to 4% of the amount by which the Minimum Distribution Amount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76" w:lineRule="exact"/>
        <w:rPr>
          <w:sz w:val="20"/>
          <w:szCs w:val="20"/>
          <w:color w:val="auto"/>
        </w:rPr>
      </w:pPr>
    </w:p>
    <w:p>
      <w:pPr>
        <w:ind w:left="1060" w:right="2419" w:firstLine="297"/>
        <w:spacing w:after="0" w:line="271" w:lineRule="auto"/>
        <w:rPr>
          <w:sz w:val="20"/>
          <w:szCs w:val="20"/>
          <w:color w:val="auto"/>
        </w:rPr>
      </w:pPr>
      <w:r>
        <w:rPr>
          <w:rFonts w:ascii="Arial" w:cs="Arial" w:eastAsia="Arial" w:hAnsi="Arial"/>
          <w:sz w:val="14"/>
          <w:szCs w:val="14"/>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99" w:name="page100"/>
    <w:bookmarkEnd w:id="9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3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399" w:firstLine="297"/>
        <w:spacing w:after="0" w:line="289" w:lineRule="auto"/>
        <w:rPr>
          <w:sz w:val="20"/>
          <w:szCs w:val="20"/>
          <w:color w:val="auto"/>
        </w:rPr>
      </w:pPr>
      <w:r>
        <w:rPr>
          <w:rFonts w:ascii="Arial" w:cs="Arial" w:eastAsia="Arial" w:hAnsi="Arial"/>
          <w:sz w:val="13"/>
          <w:szCs w:val="13"/>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 — Income Taxes” for further details.</w:t>
      </w:r>
    </w:p>
    <w:p>
      <w:pPr>
        <w:spacing w:after="0" w:line="31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Per Share Information</w:t>
      </w:r>
    </w:p>
    <w:p>
      <w:pPr>
        <w:spacing w:after="0" w:line="77" w:lineRule="exact"/>
        <w:rPr>
          <w:sz w:val="20"/>
          <w:szCs w:val="20"/>
          <w:color w:val="auto"/>
        </w:rPr>
      </w:pPr>
    </w:p>
    <w:p>
      <w:pPr>
        <w:ind w:left="1060" w:right="2439" w:firstLine="297"/>
        <w:spacing w:after="0" w:line="271" w:lineRule="auto"/>
        <w:rPr>
          <w:sz w:val="20"/>
          <w:szCs w:val="20"/>
          <w:color w:val="auto"/>
        </w:rPr>
      </w:pPr>
      <w:r>
        <w:rPr>
          <w:rFonts w:ascii="Arial" w:cs="Arial" w:eastAsia="Arial" w:hAnsi="Arial"/>
          <w:sz w:val="14"/>
          <w:szCs w:val="14"/>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4"/>
          <w:szCs w:val="14"/>
          <w:i w:val="1"/>
          <w:iCs w:val="1"/>
          <w:color w:val="auto"/>
        </w:rPr>
        <w:t>FASB ASC 260, Earnings Per Share</w:t>
      </w:r>
      <w:r>
        <w:rPr>
          <w:rFonts w:ascii="Arial" w:cs="Arial" w:eastAsia="Arial" w:hAnsi="Arial"/>
          <w:sz w:val="14"/>
          <w:szCs w:val="14"/>
          <w:color w:val="auto"/>
        </w:rPr>
        <w:t xml:space="preserve"> (“ASC 260”) to determine the number of potentially dilutive shares outstanding. Refer to “Note 6 — Net Increase/(Decrease) in Net Assets Resulting from Operations per Common Share — Basic and Diluted” for further detail.</w:t>
      </w: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Recently Adopted Accounting Standards</w:t>
      </w:r>
    </w:p>
    <w:p>
      <w:pPr>
        <w:spacing w:after="0" w:line="88" w:lineRule="exact"/>
        <w:rPr>
          <w:sz w:val="20"/>
          <w:szCs w:val="20"/>
          <w:color w:val="auto"/>
        </w:rPr>
      </w:pPr>
    </w:p>
    <w:p>
      <w:pPr>
        <w:ind w:left="1060" w:right="2539" w:firstLine="297"/>
        <w:spacing w:after="0" w:line="299" w:lineRule="auto"/>
        <w:rPr>
          <w:sz w:val="20"/>
          <w:szCs w:val="20"/>
          <w:color w:val="auto"/>
        </w:rPr>
      </w:pPr>
      <w:r>
        <w:rPr>
          <w:rFonts w:ascii="Arial" w:cs="Arial" w:eastAsia="Arial" w:hAnsi="Arial"/>
          <w:sz w:val="13"/>
          <w:szCs w:val="13"/>
          <w:color w:val="auto"/>
        </w:rPr>
        <w:t>In October, 2016, the SEC amended Regulation S-X to, among other things, standardize the reporting of certain derivative investments in the financial statements of business development companies. The amendments to Regulation S-X also update the required disclosure for other investments and investments in and advances to affiliates and amend the rules regarding the general form and content of a BDC’s financial statements. The amendments to Regulation S-X are effective for reporting periods ending after August 1, 2017. The adoption of the amendments to Regulation S-X did not have a material impact on the financial statements of the Company.</w:t>
      </w:r>
    </w:p>
    <w:p>
      <w:pPr>
        <w:spacing w:after="0" w:line="43" w:lineRule="exact"/>
        <w:rPr>
          <w:sz w:val="20"/>
          <w:szCs w:val="20"/>
          <w:color w:val="auto"/>
        </w:rPr>
      </w:pPr>
    </w:p>
    <w:p>
      <w:pPr>
        <w:ind w:left="1060" w:right="2439" w:firstLine="297"/>
        <w:spacing w:after="0" w:line="272" w:lineRule="auto"/>
        <w:rPr>
          <w:sz w:val="20"/>
          <w:szCs w:val="20"/>
          <w:color w:val="auto"/>
        </w:rPr>
      </w:pPr>
      <w:r>
        <w:rPr>
          <w:rFonts w:ascii="Arial" w:cs="Arial" w:eastAsia="Arial" w:hAnsi="Arial"/>
          <w:sz w:val="14"/>
          <w:szCs w:val="14"/>
          <w:color w:val="auto"/>
        </w:rPr>
        <w:t>In December 2016, the FASB released an accounting standards update (“ASU”) that makes technical changes to various sections of the ASC, including Topic 820, Fair Value Measurement. The changes to Topic 820 are intended to clarify the difference between a valuation approach and a valuation technique. The changes to ASC 820-10-50-2 require a reporting entity to disclose, for Level 2 and Level 3 fair value measurements, a change in either or both a valuation approach and a valuation technique and the reason(s) for the change. The changes to Topic 820 are effective for fiscal years, and interim periods within those fiscal years, beginning after December 15, 2016. The adoption of the technical updates to ASC 820 had no material impact on the financial statements of the Company.</w:t>
      </w:r>
    </w:p>
    <w:p>
      <w:pPr>
        <w:spacing w:after="0" w:line="192"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0" w:name="page101"/>
    <w:bookmarkEnd w:id="10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Recently Issued Accounting Standards</w:t>
      </w:r>
    </w:p>
    <w:p>
      <w:pPr>
        <w:spacing w:after="0" w:line="88" w:lineRule="exact"/>
        <w:rPr>
          <w:sz w:val="20"/>
          <w:szCs w:val="20"/>
          <w:color w:val="auto"/>
        </w:rPr>
      </w:pPr>
    </w:p>
    <w:p>
      <w:pPr>
        <w:ind w:left="1060" w:right="2439" w:firstLine="297"/>
        <w:spacing w:after="0" w:line="270" w:lineRule="auto"/>
        <w:rPr>
          <w:sz w:val="20"/>
          <w:szCs w:val="20"/>
          <w:color w:val="auto"/>
        </w:rPr>
      </w:pPr>
      <w:r>
        <w:rPr>
          <w:rFonts w:ascii="Arial" w:cs="Arial" w:eastAsia="Arial" w:hAnsi="Arial"/>
          <w:sz w:val="14"/>
          <w:szCs w:val="14"/>
          <w:color w:val="auto"/>
        </w:rPr>
        <w:t xml:space="preserve">In July 2017, the FASB issued ASU 2017-13 which addressed the application of ASU 2014-9, </w:t>
      </w:r>
      <w:r>
        <w:rPr>
          <w:rFonts w:ascii="Arial" w:cs="Arial" w:eastAsia="Arial" w:hAnsi="Arial"/>
          <w:sz w:val="14"/>
          <w:szCs w:val="14"/>
          <w:i w:val="1"/>
          <w:iCs w:val="1"/>
          <w:color w:val="auto"/>
        </w:rPr>
        <w:t>Revenue from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Contracts with Customers (Topic 606) </w:t>
      </w:r>
      <w:r>
        <w:rPr>
          <w:rFonts w:ascii="Arial" w:cs="Arial" w:eastAsia="Arial" w:hAnsi="Arial"/>
          <w:sz w:val="14"/>
          <w:szCs w:val="14"/>
          <w:color w:val="auto"/>
        </w:rPr>
        <w:t>as it relates to adoption period for entities not otherwise required to adopt</w:t>
      </w:r>
      <w:r>
        <w:rPr>
          <w:rFonts w:ascii="Arial" w:cs="Arial" w:eastAsia="Arial" w:hAnsi="Arial"/>
          <w:sz w:val="14"/>
          <w:szCs w:val="14"/>
          <w:i w:val="1"/>
          <w:iCs w:val="1"/>
          <w:color w:val="auto"/>
        </w:rPr>
        <w:t xml:space="preserve"> </w:t>
      </w:r>
      <w:r>
        <w:rPr>
          <w:rFonts w:ascii="Arial" w:cs="Arial" w:eastAsia="Arial" w:hAnsi="Arial"/>
          <w:sz w:val="14"/>
          <w:szCs w:val="14"/>
          <w:color w:val="auto"/>
        </w:rPr>
        <w:t>the new revenue recognition standard, but whose financial statements or financial information are included in another entity’s filing with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has elected to adopt the ASU on January 1, 2018, and does not expect that it will have a material impact on the Company’s consolidated financial statements.</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3 — RELATED-PARTY ARRANGEMENTS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Advisory Agreement</w:t>
      </w:r>
    </w:p>
    <w:p>
      <w:pPr>
        <w:spacing w:after="0" w:line="88" w:lineRule="exact"/>
        <w:rPr>
          <w:sz w:val="20"/>
          <w:szCs w:val="20"/>
          <w:color w:val="auto"/>
        </w:rPr>
      </w:pPr>
    </w:p>
    <w:p>
      <w:pPr>
        <w:ind w:left="1060" w:right="2899" w:firstLine="297"/>
        <w:spacing w:after="0" w:line="294" w:lineRule="auto"/>
        <w:rPr>
          <w:sz w:val="20"/>
          <w:szCs w:val="20"/>
          <w:color w:val="auto"/>
        </w:rPr>
      </w:pPr>
      <w:r>
        <w:rPr>
          <w:rFonts w:ascii="Arial" w:cs="Arial" w:eastAsia="Arial" w:hAnsi="Arial"/>
          <w:sz w:val="13"/>
          <w:szCs w:val="13"/>
          <w:color w:val="auto"/>
        </w:rPr>
        <w:t>The Company has entered into an investment advisory agreement with GSV Asset Management (the “Investment Advisory Agreement”). Under the terms of the agreement, GSV Asset Management is paid</w:t>
      </w:r>
    </w:p>
    <w:p>
      <w:pPr>
        <w:spacing w:after="0" w:line="1" w:lineRule="exact"/>
        <w:rPr>
          <w:sz w:val="20"/>
          <w:szCs w:val="20"/>
          <w:color w:val="auto"/>
        </w:rPr>
      </w:pPr>
    </w:p>
    <w:p>
      <w:pPr>
        <w:ind w:left="1060" w:right="2439"/>
        <w:spacing w:after="0" w:line="269" w:lineRule="auto"/>
        <w:rPr>
          <w:sz w:val="20"/>
          <w:szCs w:val="20"/>
          <w:color w:val="auto"/>
        </w:rPr>
      </w:pPr>
      <w:r>
        <w:rPr>
          <w:rFonts w:ascii="Arial" w:cs="Arial" w:eastAsia="Arial" w:hAnsi="Arial"/>
          <w:sz w:val="14"/>
          <w:szCs w:val="14"/>
          <w:color w:val="auto"/>
        </w:rPr>
        <w:t>a quarterly management fee and an annual incentive fee. GSV Asset Management is controlled by Michael Moe, the Executive Chairman of the Company’s board of directors. Mr. Moe, through his ownership interest in GSV Asset Management, is entitled to a portion of any profits earned by GSV Asset Management in performing its services under the Investment Advisory Agreement. Mr. Moe and William Tanona, the Company’s President, Chief Financial Officer, Treasurer and Corporate Secretary, as principals of GSV Asset Management, collectively manage the business and internal affairs of GSV Asset Management. Mark Klein, the Company’s Chief Executive Officer and a member of the Company’s board of directors, or entities with which he is affiliated, receives consulting fees from GSV Asset Management equal to a percentage of each of the base management fee and the incentive fee paid by the Company to GSV Asset Management pursuant to a consulting agreement with GSV Asset Management.</w:t>
      </w:r>
    </w:p>
    <w:p>
      <w:pPr>
        <w:spacing w:after="0" w:line="60" w:lineRule="exact"/>
        <w:rPr>
          <w:sz w:val="20"/>
          <w:szCs w:val="20"/>
          <w:color w:val="auto"/>
        </w:rPr>
      </w:pPr>
    </w:p>
    <w:p>
      <w:pPr>
        <w:ind w:left="1060" w:right="2399" w:firstLine="297"/>
        <w:spacing w:after="0" w:line="271" w:lineRule="auto"/>
        <w:rPr>
          <w:sz w:val="20"/>
          <w:szCs w:val="20"/>
          <w:color w:val="auto"/>
        </w:rPr>
      </w:pPr>
      <w:r>
        <w:rPr>
          <w:rFonts w:ascii="Arial" w:cs="Arial" w:eastAsia="Arial" w:hAnsi="Arial"/>
          <w:sz w:val="14"/>
          <w:szCs w:val="14"/>
          <w:color w:val="auto"/>
        </w:rPr>
        <w:t>Under the Investment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13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Management Fees</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Under the terms of the Investment Advisory Agreement, GSV Asset Management is paid a base</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management fee of 2.0% of gross assets, which is the Company’s total assets reflected on its Consolidated</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Statements of Assets and Liabilities (with no deduction for liabilities) reduced by any non-portfolio investments.</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Effective January 1, 2017 through December 31, 2017, pursuant to a voluntary waiver by GSV Asset</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Management, the Company paid GSV Asset Management a base management fee of 1.75%, a 0.25% reduction</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from the 2.0% base management fee payable under the Investment Advisory Agreement. This waiver of a portion</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of the base management fee is not subject to recourse against or reimbursement by the Company. GSV Asset</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Management earned $5,666,176, $6,896,347 and $8,044,801 in management fees for the years ended</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December 31, 2017, 2016 and 2015, respectively. GSV Asset Management waived $708,272 in management fees</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for the year ended December 31, 2017. GSV Asset Management did not waive management fees for the years</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ended December 31, 2016, and 2015, respectively.</w:t>
      </w:r>
    </w:p>
    <w:p>
      <w:pPr>
        <w:spacing w:after="0" w:line="219"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1" w:name="page102"/>
    <w:bookmarkEnd w:id="10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jc w:val="both"/>
        <w:ind w:left="1060" w:right="2439" w:firstLine="297"/>
        <w:spacing w:after="0" w:line="317" w:lineRule="auto"/>
        <w:rPr>
          <w:sz w:val="20"/>
          <w:szCs w:val="20"/>
          <w:color w:val="auto"/>
        </w:rPr>
      </w:pPr>
      <w:r>
        <w:rPr>
          <w:rFonts w:ascii="Arial" w:cs="Arial" w:eastAsia="Arial" w:hAnsi="Arial"/>
          <w:sz w:val="13"/>
          <w:szCs w:val="13"/>
          <w:color w:val="auto"/>
        </w:rPr>
        <w:t xml:space="preserve">Effective February 1, 2018, the management fee paid by the Company to GSV Asset Management under the Investment Advisory Agreement is modified pursuant to the terms of the fee waiver agreement dated February 2, 2018 (the “Waiver Agreement”). See “Note 11 — Subsequent Events — </w:t>
      </w:r>
      <w:r>
        <w:rPr>
          <w:rFonts w:ascii="Arial" w:cs="Arial" w:eastAsia="Arial" w:hAnsi="Arial"/>
          <w:sz w:val="13"/>
          <w:szCs w:val="13"/>
          <w:i w:val="1"/>
          <w:iCs w:val="1"/>
          <w:color w:val="auto"/>
        </w:rPr>
        <w:t>Waiver Agreement</w:t>
      </w:r>
      <w:r>
        <w:rPr>
          <w:rFonts w:ascii="Arial" w:cs="Arial" w:eastAsia="Arial" w:hAnsi="Arial"/>
          <w:sz w:val="13"/>
          <w:szCs w:val="13"/>
          <w:color w:val="auto"/>
        </w:rPr>
        <w:t>” for further detail.</w:t>
      </w:r>
    </w:p>
    <w:p>
      <w:pPr>
        <w:spacing w:after="0" w:line="11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Incentive Fees</w:t>
      </w:r>
    </w:p>
    <w:p>
      <w:pPr>
        <w:spacing w:after="0" w:line="84" w:lineRule="exact"/>
        <w:rPr>
          <w:sz w:val="20"/>
          <w:szCs w:val="20"/>
          <w:color w:val="auto"/>
        </w:rPr>
      </w:pPr>
    </w:p>
    <w:p>
      <w:pPr>
        <w:ind w:left="1060" w:right="2419" w:firstLine="297"/>
        <w:spacing w:after="0" w:line="299" w:lineRule="auto"/>
        <w:rPr>
          <w:sz w:val="20"/>
          <w:szCs w:val="20"/>
          <w:color w:val="auto"/>
        </w:rPr>
      </w:pPr>
      <w:r>
        <w:rPr>
          <w:rFonts w:ascii="Arial" w:cs="Arial" w:eastAsia="Arial" w:hAnsi="Arial"/>
          <w:sz w:val="13"/>
          <w:szCs w:val="13"/>
          <w:color w:val="auto"/>
        </w:rPr>
        <w:t>Under the terms of the Investment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43" w:lineRule="exact"/>
        <w:rPr>
          <w:sz w:val="20"/>
          <w:szCs w:val="20"/>
          <w:color w:val="auto"/>
        </w:rPr>
      </w:pPr>
    </w:p>
    <w:p>
      <w:pPr>
        <w:ind w:left="1060" w:right="2539" w:firstLine="297"/>
        <w:spacing w:after="0" w:line="276" w:lineRule="auto"/>
        <w:rPr>
          <w:sz w:val="20"/>
          <w:szCs w:val="20"/>
          <w:color w:val="auto"/>
        </w:rPr>
      </w:pPr>
      <w:r>
        <w:rPr>
          <w:rFonts w:ascii="Arial" w:cs="Arial" w:eastAsia="Arial" w:hAnsi="Arial"/>
          <w:sz w:val="14"/>
          <w:szCs w:val="14"/>
          <w:color w:val="auto"/>
        </w:rPr>
        <w:t>The Company is required to accrue incentive fees for all periods as if the Company had fully liquidated its entire investment portfolio at the fair value stated on the Consolidated Statements of Assets and Liabilities as of December 31, 2017 and 2016. This accrual considers both the hypothetical liquidation of the Company’s portfolio described previously, as well as the Company’s actual cumulative realized gains and losses since inception, as well any previously paid incentive fees.</w:t>
      </w:r>
    </w:p>
    <w:p>
      <w:pPr>
        <w:spacing w:after="0" w:line="56" w:lineRule="exact"/>
        <w:rPr>
          <w:sz w:val="20"/>
          <w:szCs w:val="20"/>
          <w:color w:val="auto"/>
        </w:rPr>
      </w:pPr>
    </w:p>
    <w:p>
      <w:pPr>
        <w:jc w:val="both"/>
        <w:ind w:left="1060" w:right="2659" w:firstLine="297"/>
        <w:spacing w:after="0" w:line="286" w:lineRule="auto"/>
        <w:rPr>
          <w:sz w:val="20"/>
          <w:szCs w:val="20"/>
          <w:color w:val="auto"/>
        </w:rPr>
      </w:pPr>
      <w:r>
        <w:rPr>
          <w:rFonts w:ascii="Arial" w:cs="Arial" w:eastAsia="Arial" w:hAnsi="Arial"/>
          <w:sz w:val="14"/>
          <w:szCs w:val="14"/>
          <w:color w:val="auto"/>
        </w:rPr>
        <w:t>For the year ended December 31, 2017, the Company accrued incentive fees of $7,151,641. For the year ended December 31, 2016, the Company reversed accrued incentive fees of $15,188,121. For the year ended December 31, 2015, the Company accrued incentive fees of $8,170,326.</w:t>
      </w:r>
    </w:p>
    <w:p>
      <w:pPr>
        <w:spacing w:after="0" w:line="49" w:lineRule="exact"/>
        <w:rPr>
          <w:sz w:val="20"/>
          <w:szCs w:val="20"/>
          <w:color w:val="auto"/>
        </w:rPr>
      </w:pPr>
    </w:p>
    <w:p>
      <w:pPr>
        <w:jc w:val="both"/>
        <w:ind w:left="1060" w:right="2659" w:firstLine="297"/>
        <w:spacing w:after="0" w:line="259" w:lineRule="auto"/>
        <w:rPr>
          <w:sz w:val="20"/>
          <w:szCs w:val="20"/>
          <w:color w:val="auto"/>
        </w:rPr>
      </w:pPr>
      <w:r>
        <w:rPr>
          <w:rFonts w:ascii="Arial" w:cs="Arial" w:eastAsia="Arial" w:hAnsi="Arial"/>
          <w:sz w:val="15"/>
          <w:szCs w:val="15"/>
          <w:color w:val="auto"/>
        </w:rPr>
        <w:t xml:space="preserve">Effective February 1, 2018, the incentive fee paid by the Company to GSV Asset Management under the Investment Advisory Agreement is modified pursuant to the terms of the Waiver Agreement. See “Note 11 — Subsequent Events — </w:t>
      </w:r>
      <w:r>
        <w:rPr>
          <w:rFonts w:ascii="Arial" w:cs="Arial" w:eastAsia="Arial" w:hAnsi="Arial"/>
          <w:sz w:val="15"/>
          <w:szCs w:val="15"/>
          <w:i w:val="1"/>
          <w:iCs w:val="1"/>
          <w:color w:val="auto"/>
        </w:rPr>
        <w:t>Waiver Agreement</w:t>
      </w:r>
      <w:r>
        <w:rPr>
          <w:rFonts w:ascii="Arial" w:cs="Arial" w:eastAsia="Arial" w:hAnsi="Arial"/>
          <w:sz w:val="15"/>
          <w:szCs w:val="15"/>
          <w:color w:val="auto"/>
        </w:rPr>
        <w:t>” for further detail.</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Due to GSV Asset Management</w:t>
      </w:r>
    </w:p>
    <w:p>
      <w:pPr>
        <w:spacing w:after="0" w:line="84" w:lineRule="exact"/>
        <w:rPr>
          <w:sz w:val="20"/>
          <w:szCs w:val="20"/>
          <w:color w:val="auto"/>
        </w:rPr>
      </w:pPr>
    </w:p>
    <w:p>
      <w:pPr>
        <w:ind w:left="1060" w:right="2519" w:firstLine="297"/>
        <w:spacing w:after="0" w:line="259" w:lineRule="auto"/>
        <w:rPr>
          <w:sz w:val="20"/>
          <w:szCs w:val="20"/>
          <w:color w:val="auto"/>
        </w:rPr>
      </w:pPr>
      <w:r>
        <w:rPr>
          <w:rFonts w:ascii="Arial" w:cs="Arial" w:eastAsia="Arial" w:hAnsi="Arial"/>
          <w:sz w:val="15"/>
          <w:szCs w:val="15"/>
          <w:color w:val="auto"/>
        </w:rPr>
        <w:t>As of December 31, 2017, there were no receivables owed to the Company by GSV Asset Management. In addition, as of December 31, 2017, the Company owed GSV Asset Management $231,697 primarily for the reimbursement of overhead allocation expenses and travel expenses.</w:t>
      </w:r>
    </w:p>
    <w:p>
      <w:pPr>
        <w:spacing w:after="0" w:line="67" w:lineRule="exact"/>
        <w:rPr>
          <w:sz w:val="20"/>
          <w:szCs w:val="20"/>
          <w:color w:val="auto"/>
        </w:rPr>
      </w:pPr>
    </w:p>
    <w:p>
      <w:pPr>
        <w:ind w:left="1060" w:right="2519" w:firstLine="297"/>
        <w:spacing w:after="0" w:line="259" w:lineRule="auto"/>
        <w:rPr>
          <w:sz w:val="20"/>
          <w:szCs w:val="20"/>
          <w:color w:val="auto"/>
        </w:rPr>
      </w:pPr>
      <w:r>
        <w:rPr>
          <w:rFonts w:ascii="Arial" w:cs="Arial" w:eastAsia="Arial" w:hAnsi="Arial"/>
          <w:sz w:val="15"/>
          <w:szCs w:val="15"/>
          <w:color w:val="auto"/>
        </w:rPr>
        <w:t>As of December 31, 2016, there were no receivables owed to the Company by GSV Asset Management. In addition, as of December 31, 2016, the Company owed GSV Asset Management $422,025 primarily for the reimbursement of overhead allocation expenses.</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Administration Agreement</w:t>
      </w:r>
    </w:p>
    <w:p>
      <w:pPr>
        <w:spacing w:after="0" w:line="88" w:lineRule="exact"/>
        <w:rPr>
          <w:sz w:val="20"/>
          <w:szCs w:val="20"/>
          <w:color w:val="auto"/>
        </w:rPr>
      </w:pPr>
    </w:p>
    <w:p>
      <w:pPr>
        <w:ind w:left="1060" w:right="2419" w:firstLine="297"/>
        <w:spacing w:after="0" w:line="292" w:lineRule="auto"/>
        <w:rPr>
          <w:sz w:val="20"/>
          <w:szCs w:val="20"/>
          <w:color w:val="auto"/>
        </w:rPr>
      </w:pPr>
      <w:r>
        <w:rPr>
          <w:rFonts w:ascii="Arial" w:cs="Arial" w:eastAsia="Arial" w:hAnsi="Arial"/>
          <w:sz w:val="13"/>
          <w:szCs w:val="13"/>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GSV Asset Management controls GSV Capital Service Company. The Company reimburses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$1,874,839, $2,545,316, and $2,681,079 in such costs incurred under the Administration Agreement for the years ended December 31, 2017, 2016 and 2015, respectively.</w:t>
      </w:r>
    </w:p>
    <w:p>
      <w:pPr>
        <w:spacing w:after="0" w:line="183"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2" w:name="page103"/>
    <w:bookmarkEnd w:id="10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License Agreement</w:t>
      </w:r>
    </w:p>
    <w:p>
      <w:pPr>
        <w:spacing w:after="0" w:line="88" w:lineRule="exact"/>
        <w:rPr>
          <w:sz w:val="20"/>
          <w:szCs w:val="20"/>
          <w:color w:val="auto"/>
        </w:rPr>
      </w:pPr>
    </w:p>
    <w:p>
      <w:pPr>
        <w:ind w:left="1060" w:right="2459" w:firstLine="297"/>
        <w:spacing w:after="0" w:line="254" w:lineRule="auto"/>
        <w:rPr>
          <w:sz w:val="20"/>
          <w:szCs w:val="20"/>
          <w:color w:val="auto"/>
        </w:rPr>
      </w:pPr>
      <w:r>
        <w:rPr>
          <w:rFonts w:ascii="Arial" w:cs="Arial" w:eastAsia="Arial" w:hAnsi="Arial"/>
          <w:sz w:val="15"/>
          <w:szCs w:val="15"/>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Investment Advisory Agreement with GSV Asset Management is in effect. Other than with respect to this limited license, the Company has no legal right to the “GSV” name.</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Other Arrangements</w:t>
      </w:r>
    </w:p>
    <w:p>
      <w:pPr>
        <w:spacing w:after="0" w:line="88" w:lineRule="exact"/>
        <w:rPr>
          <w:sz w:val="20"/>
          <w:szCs w:val="20"/>
          <w:color w:val="auto"/>
        </w:rPr>
      </w:pPr>
    </w:p>
    <w:p>
      <w:pPr>
        <w:ind w:left="1060" w:right="2439" w:firstLine="297"/>
        <w:spacing w:after="0" w:line="292" w:lineRule="auto"/>
        <w:rPr>
          <w:sz w:val="20"/>
          <w:szCs w:val="20"/>
          <w:color w:val="auto"/>
        </w:rPr>
      </w:pPr>
      <w:r>
        <w:rPr>
          <w:rFonts w:ascii="Arial" w:cs="Arial" w:eastAsia="Arial" w:hAnsi="Arial"/>
          <w:sz w:val="13"/>
          <w:szCs w:val="13"/>
          <w:color w:val="auto"/>
        </w:rPr>
        <w:t>Mark Moe, who is the brother of Michael Moe, the Executive Chairman of the Company’s board of directors, serves as Vice President of Business Development, Global Expansion for NestGSV, Inc. (d/b/a GSV Labs, Inc.), one of the Company’s portfolio companies. Diane Flynn, who is the spouse of the Company’s former President, Mark Flynn, served as Chief Marketing Officer of NestGSV, Inc. until her resignation in January 2017. Ron Johnson, the Chief Executive Officer of Enjoy Technology, Inc., one of the Company’s portfolio companies, is the brother-in-law of the Company’s former President, Mark Flynn. As of December 31, 2017, the fair values of the Company’s investments in NestGSV, Inc. and Enjoy Technology, Inc. were $9,683,581 and $5,120,208, respectively. Another one of the Company’s portfolio companies, SPBRX, INC. (f/k/a GSV Sustainability Partners, Inc.), was previously allowed to utilize office space paid for by GSV Asset Management. SPBRX, INC. was not required to pay GSV Asset Management or the Company any consideration for rent. The Company did not consider this to be an arms-length transaction. In August 2016, SPBRX, INC. (f/k/a GSV Sustainability Partners, Inc.) moved out of the office space paid for by GSV Asset Management.</w:t>
      </w:r>
    </w:p>
    <w:p>
      <w:pPr>
        <w:spacing w:after="0" w:line="49" w:lineRule="exact"/>
        <w:rPr>
          <w:sz w:val="20"/>
          <w:szCs w:val="20"/>
          <w:color w:val="auto"/>
        </w:rPr>
      </w:pPr>
    </w:p>
    <w:p>
      <w:pPr>
        <w:ind w:left="1060" w:right="2419" w:firstLine="297"/>
        <w:spacing w:after="0" w:line="291" w:lineRule="auto"/>
        <w:rPr>
          <w:sz w:val="20"/>
          <w:szCs w:val="20"/>
          <w:color w:val="auto"/>
        </w:rPr>
      </w:pPr>
      <w:r>
        <w:rPr>
          <w:rFonts w:ascii="Arial" w:cs="Arial" w:eastAsia="Arial" w:hAnsi="Arial"/>
          <w:sz w:val="13"/>
          <w:szCs w:val="13"/>
          <w:color w:val="auto"/>
        </w:rPr>
        <w:t>In addition, the Company’s executive officers and directors, and the principals of the Company’s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March 16, 2018, GSV Asset Management also manages Coursera@GSV Fund, LP and Coursera@GSV-EDBI Fund, LP, special purpose vehicles each comprised of an underlying investment in the capital stock of Coursera, Inc. (the “Coursera Funds”), and GSV@SP, LLC, a special purpose vehicle comprised of an underlying investment in the capital stock of Spotify Technology S.A. (the “GSV@SP Fund”). GSV Asset Management also serves as sub-adviser for certain investment series of GSV Ventures I LLC, GSV Ventures II LLC, GSV Ventures V LLC, GSV Ventures VI LLC and a pooled investment fund, GSV Ventures III LLC, each a venture capital fund (collectively, the “GSV Ventures Funds”). GSV Asset Management will likely manage one or more private funds, or series within such private funds, in the future. The Company has no ownership interests in the Coursera Funds, the GSV@SP Fund or the GSV Ventures Funds sub-advised by GSV Asset Management.</w:t>
      </w:r>
    </w:p>
    <w:p>
      <w:pPr>
        <w:spacing w:after="0" w:line="51" w:lineRule="exact"/>
        <w:rPr>
          <w:sz w:val="20"/>
          <w:szCs w:val="20"/>
          <w:color w:val="auto"/>
        </w:rPr>
      </w:pPr>
    </w:p>
    <w:p>
      <w:pPr>
        <w:ind w:left="1060" w:right="2439" w:firstLine="297"/>
        <w:spacing w:after="0" w:line="269" w:lineRule="auto"/>
        <w:rPr>
          <w:sz w:val="20"/>
          <w:szCs w:val="20"/>
          <w:color w:val="auto"/>
        </w:rPr>
      </w:pPr>
      <w:r>
        <w:rPr>
          <w:rFonts w:ascii="Arial" w:cs="Arial" w:eastAsia="Arial" w:hAnsi="Arial"/>
          <w:sz w:val="14"/>
          <w:szCs w:val="14"/>
          <w:color w:val="auto"/>
        </w:rPr>
        <w:t>The 1940 Act prohibits the Company from making certain negotiated co-investments with affiliates unless it receives an order from the SEC permitting it to do so. To the extent that the Company competes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Investment Advisers Act of 1940, and (3) certain restrictions under the 1940 Act regarding co-investments with affiliates. In situations where a particular investment or disposition opportunity is appropriate for both the Company and another entity managed by GSV Asset Management, even where co-investments are permissible under the 1940 Act, GSV Asset Management will first offer any such opportunity in its entirety to the Company. In the event that the size of such investment or disposition opportunity exceeds the Company’s capacity, other funds managed by GSV Asset Management may be offered the opportunity, but only to the extent that the Company and its board of directors have confirmed</w:t>
      </w:r>
    </w:p>
    <w:p>
      <w:pPr>
        <w:spacing w:after="0" w:line="20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3" w:name="page104"/>
    <w:bookmarkEnd w:id="103"/>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jc w:val="both"/>
        <w:ind w:left="1060" w:right="2419"/>
        <w:spacing w:after="0" w:line="255" w:lineRule="auto"/>
        <w:rPr>
          <w:sz w:val="20"/>
          <w:szCs w:val="20"/>
          <w:color w:val="auto"/>
        </w:rPr>
      </w:pPr>
      <w:r>
        <w:rPr>
          <w:rFonts w:ascii="Arial" w:cs="Arial" w:eastAsia="Arial" w:hAnsi="Arial"/>
          <w:sz w:val="15"/>
          <w:szCs w:val="15"/>
          <w:color w:val="auto"/>
        </w:rPr>
        <w:t>that any such investment or disposition by an affiliated entity is permissible under the 1940 Act and otherwise in the Company’s best interests. The Company’s Chief Compliance Officer and board of directors will monitor on a quarterly basis any such allocation of investment or disposition opportunities between the Company and any such other funds.</w:t>
      </w:r>
    </w:p>
    <w:p>
      <w:pPr>
        <w:spacing w:after="0" w:line="70" w:lineRule="exact"/>
        <w:rPr>
          <w:sz w:val="20"/>
          <w:szCs w:val="20"/>
          <w:color w:val="auto"/>
        </w:rPr>
      </w:pPr>
    </w:p>
    <w:p>
      <w:pPr>
        <w:ind w:left="1060" w:right="2419" w:firstLine="297"/>
        <w:spacing w:after="0" w:line="294" w:lineRule="auto"/>
        <w:rPr>
          <w:sz w:val="20"/>
          <w:szCs w:val="20"/>
          <w:color w:val="auto"/>
        </w:rPr>
      </w:pPr>
      <w:r>
        <w:rPr>
          <w:rFonts w:ascii="Arial" w:cs="Arial" w:eastAsia="Arial" w:hAnsi="Arial"/>
          <w:sz w:val="13"/>
          <w:szCs w:val="13"/>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During the year ended December 31, 2016, the Company received other income of $212,795 from the proceeds of Michael Moe’s sale of common shares of 2U, Inc. (f/k/a 2tor, Inc.), one of the Company’s former portfolio companies, that Mr. Moe received while serving on 2U’s board of directors. These sales proceeds were remitted directly to the Company.</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Management Transition</w:t>
      </w:r>
    </w:p>
    <w:p>
      <w:pPr>
        <w:spacing w:after="0" w:line="88" w:lineRule="exact"/>
        <w:rPr>
          <w:sz w:val="20"/>
          <w:szCs w:val="20"/>
          <w:color w:val="auto"/>
        </w:rPr>
      </w:pPr>
    </w:p>
    <w:p>
      <w:pPr>
        <w:ind w:left="1060" w:right="2479" w:firstLine="297"/>
        <w:spacing w:after="0" w:line="254" w:lineRule="auto"/>
        <w:rPr>
          <w:sz w:val="20"/>
          <w:szCs w:val="20"/>
          <w:color w:val="auto"/>
        </w:rPr>
      </w:pPr>
      <w:r>
        <w:rPr>
          <w:rFonts w:ascii="Arial" w:cs="Arial" w:eastAsia="Arial" w:hAnsi="Arial"/>
          <w:sz w:val="15"/>
          <w:szCs w:val="15"/>
          <w:color w:val="auto"/>
        </w:rPr>
        <w:t>On August 8, 2017, the Company announced Michael Moe’s resignation as the Company’s Chief Executive Officer, effective August 11, 2017, and that the Company’s board of directors had appointed Mark Klein, a member of the Company’s board of directors and a consultant to GSV Asset Management, to serve as the Company’s Chief Executive Officer, effective August 11, 2017. Mr. Moe continues to serve the Company as Executive Chairman of the Company’s board of directors.</w:t>
      </w:r>
    </w:p>
    <w:p>
      <w:pPr>
        <w:spacing w:after="0" w:line="69" w:lineRule="exact"/>
        <w:rPr>
          <w:sz w:val="20"/>
          <w:szCs w:val="20"/>
          <w:color w:val="auto"/>
        </w:rPr>
      </w:pPr>
    </w:p>
    <w:p>
      <w:pPr>
        <w:jc w:val="both"/>
        <w:ind w:left="1060" w:right="2479" w:firstLine="297"/>
        <w:spacing w:after="0" w:line="291" w:lineRule="auto"/>
        <w:rPr>
          <w:sz w:val="20"/>
          <w:szCs w:val="20"/>
          <w:color w:val="auto"/>
        </w:rPr>
      </w:pPr>
      <w:r>
        <w:rPr>
          <w:rFonts w:ascii="Arial" w:cs="Arial" w:eastAsia="Arial" w:hAnsi="Arial"/>
          <w:sz w:val="13"/>
          <w:szCs w:val="13"/>
          <w:color w:val="auto"/>
        </w:rPr>
        <w:t>On October 17, 2017, Mark Flynn resigned from his positions as the Company’s President and as a member of its board of directors, effective October 17, 2017. In connection with Mr. Flynn’s resignation, the Company’s board of directors reduced the number of directors that constitute the full board to six (6) directors from seven</w:t>
      </w:r>
    </w:p>
    <w:p>
      <w:pPr>
        <w:spacing w:after="0" w:line="2" w:lineRule="exact"/>
        <w:rPr>
          <w:sz w:val="20"/>
          <w:szCs w:val="20"/>
          <w:color w:val="auto"/>
        </w:rPr>
      </w:pPr>
    </w:p>
    <w:p>
      <w:pPr>
        <w:ind w:left="1060" w:right="2879" w:hanging="9"/>
        <w:spacing w:after="0" w:line="256" w:lineRule="auto"/>
        <w:tabs>
          <w:tab w:leader="none" w:pos="1271" w:val="left"/>
        </w:tabs>
        <w:numPr>
          <w:ilvl w:val="0"/>
          <w:numId w:val="61"/>
        </w:numPr>
        <w:rPr>
          <w:rFonts w:ascii="Arial" w:cs="Arial" w:eastAsia="Arial" w:hAnsi="Arial"/>
          <w:sz w:val="15"/>
          <w:szCs w:val="15"/>
          <w:color w:val="auto"/>
        </w:rPr>
      </w:pPr>
      <w:r>
        <w:rPr>
          <w:rFonts w:ascii="Arial" w:cs="Arial" w:eastAsia="Arial" w:hAnsi="Arial"/>
          <w:sz w:val="15"/>
          <w:szCs w:val="15"/>
          <w:color w:val="auto"/>
        </w:rPr>
        <w:t>directors. Mr. Flynn continues to provide services to GSV Asset Management pursuant to a consulting agreement with GSV Asset Management.</w:t>
      </w:r>
    </w:p>
    <w:p>
      <w:pPr>
        <w:spacing w:after="0" w:line="68" w:lineRule="exact"/>
        <w:rPr>
          <w:sz w:val="20"/>
          <w:szCs w:val="20"/>
          <w:color w:val="auto"/>
        </w:rPr>
      </w:pPr>
    </w:p>
    <w:p>
      <w:pPr>
        <w:ind w:left="1060" w:right="2439" w:firstLine="297"/>
        <w:spacing w:after="0" w:line="255" w:lineRule="auto"/>
        <w:rPr>
          <w:sz w:val="20"/>
          <w:szCs w:val="20"/>
          <w:color w:val="auto"/>
        </w:rPr>
      </w:pPr>
      <w:r>
        <w:rPr>
          <w:rFonts w:ascii="Arial" w:cs="Arial" w:eastAsia="Arial" w:hAnsi="Arial"/>
          <w:sz w:val="15"/>
          <w:szCs w:val="15"/>
          <w:color w:val="auto"/>
        </w:rPr>
        <w:t>In addition, on October 17, 2017, the Company’s board of directors appointed William Tanona to serve as the Company’s President, effective October 17, 2017, in order to fill the vacancy created by Mr. Flynn’s resignation as President. Mr. Tanona previously served, and continues to serve, as the Company’s Chief Financial Officer, Treasurer and Corporate Secretary.</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4 — INVESTMENTS AT FAIR VALUE</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Portfolio Composition</w:t>
      </w:r>
    </w:p>
    <w:p>
      <w:pPr>
        <w:spacing w:after="0" w:line="88" w:lineRule="exact"/>
        <w:rPr>
          <w:sz w:val="20"/>
          <w:szCs w:val="20"/>
          <w:color w:val="auto"/>
        </w:rPr>
      </w:pPr>
    </w:p>
    <w:p>
      <w:pPr>
        <w:ind w:left="1060" w:right="2519" w:firstLine="297"/>
        <w:spacing w:after="0" w:line="274" w:lineRule="auto"/>
        <w:rPr>
          <w:sz w:val="20"/>
          <w:szCs w:val="20"/>
          <w:color w:val="auto"/>
        </w:rPr>
      </w:pPr>
      <w:r>
        <w:rPr>
          <w:rFonts w:ascii="Arial" w:cs="Arial" w:eastAsia="Arial" w:hAnsi="Arial"/>
          <w:sz w:val="14"/>
          <w:szCs w:val="14"/>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December 31, 2017, the Company had 63 positions in 31 portfolio companies. At December 31, 2016, the Company had 91 positions in 45 portfolio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4" w:name="page105"/>
    <w:bookmarkEnd w:id="10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99" w:firstLine="297"/>
        <w:spacing w:after="0" w:line="270" w:lineRule="auto"/>
        <w:rPr>
          <w:sz w:val="20"/>
          <w:szCs w:val="20"/>
          <w:color w:val="auto"/>
        </w:rPr>
      </w:pPr>
      <w:r>
        <w:rPr>
          <w:rFonts w:ascii="Arial" w:cs="Arial" w:eastAsia="Arial" w:hAnsi="Arial"/>
          <w:sz w:val="15"/>
          <w:szCs w:val="15"/>
          <w:color w:val="auto"/>
        </w:rPr>
        <w:t>The following tables summarize the composition of the Company’s investment portfolio by security type at cost and fair value as of December 31, 2017 and December 31, 2016:</w:t>
      </w:r>
    </w:p>
    <w:p>
      <w:pPr>
        <w:spacing w:after="0" w:line="63"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gridSpan w:val="4"/>
          </w:tcPr>
          <w:p>
            <w:pPr>
              <w:jc w:val="right"/>
              <w:spacing w:after="0"/>
              <w:rPr>
                <w:sz w:val="20"/>
                <w:szCs w:val="20"/>
                <w:color w:val="auto"/>
              </w:rPr>
            </w:pPr>
            <w:r>
              <w:rPr>
                <w:rFonts w:ascii="Arial" w:cs="Arial" w:eastAsia="Arial" w:hAnsi="Arial"/>
                <w:sz w:val="12"/>
                <w:szCs w:val="12"/>
                <w:b w:val="1"/>
                <w:bCs w:val="1"/>
                <w:color w:val="auto"/>
              </w:rPr>
              <w:t>December 31, 2017</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Arial" w:cs="Arial" w:eastAsia="Arial" w:hAnsi="Arial"/>
                <w:sz w:val="12"/>
                <w:szCs w:val="12"/>
                <w:b w:val="1"/>
                <w:bCs w:val="1"/>
                <w:color w:val="auto"/>
              </w:rPr>
              <w:t>December 31, 2016</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
        </w:trPr>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r>
      <w:tr>
        <w:trPr>
          <w:trHeight w:val="141"/>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5"/>
              </w:rPr>
              <w:t>Percentage of</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85"/>
              </w:rPr>
              <w:t>Percentage of</w:t>
            </w:r>
          </w:p>
        </w:tc>
      </w:tr>
      <w:tr>
        <w:trPr>
          <w:trHeight w:val="152"/>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3"/>
                <w:szCs w:val="13"/>
                <w:color w:val="auto"/>
              </w:rPr>
            </w:pPr>
          </w:p>
        </w:tc>
        <w:tc>
          <w:tcPr>
            <w:tcW w:w="780" w:type="dxa"/>
            <w:vAlign w:val="bottom"/>
          </w:tcPr>
          <w:p>
            <w:pPr>
              <w:jc w:val="right"/>
              <w:ind w:right="127"/>
              <w:spacing w:after="0"/>
              <w:rPr>
                <w:sz w:val="20"/>
                <w:szCs w:val="20"/>
                <w:color w:val="auto"/>
              </w:rPr>
            </w:pPr>
            <w:r>
              <w:rPr>
                <w:rFonts w:ascii="Arial" w:cs="Arial" w:eastAsia="Arial" w:hAnsi="Arial"/>
                <w:sz w:val="12"/>
                <w:szCs w:val="12"/>
                <w:b w:val="1"/>
                <w:bCs w:val="1"/>
                <w:color w:val="auto"/>
                <w:w w:val="97"/>
              </w:rPr>
              <w:t>Fair Value</w:t>
            </w:r>
          </w:p>
        </w:tc>
        <w:tc>
          <w:tcPr>
            <w:tcW w:w="7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6"/>
              </w:rPr>
              <w:t>Net Assets</w:t>
            </w:r>
          </w:p>
        </w:tc>
        <w:tc>
          <w:tcPr>
            <w:tcW w:w="100" w:type="dxa"/>
            <w:vAlign w:val="bottom"/>
          </w:tcPr>
          <w:p>
            <w:pPr>
              <w:spacing w:after="0"/>
              <w:rPr>
                <w:sz w:val="13"/>
                <w:szCs w:val="13"/>
                <w:color w:val="auto"/>
              </w:rPr>
            </w:pPr>
          </w:p>
        </w:tc>
        <w:tc>
          <w:tcPr>
            <w:tcW w:w="820" w:type="dxa"/>
            <w:vAlign w:val="bottom"/>
          </w:tcPr>
          <w:p>
            <w:pPr>
              <w:jc w:val="right"/>
              <w:ind w:right="308"/>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3"/>
                <w:szCs w:val="13"/>
                <w:color w:val="auto"/>
              </w:rPr>
            </w:pPr>
          </w:p>
        </w:tc>
        <w:tc>
          <w:tcPr>
            <w:tcW w:w="800" w:type="dxa"/>
            <w:vAlign w:val="bottom"/>
          </w:tcPr>
          <w:p>
            <w:pPr>
              <w:jc w:val="right"/>
              <w:ind w:right="127"/>
              <w:spacing w:after="0"/>
              <w:rPr>
                <w:sz w:val="20"/>
                <w:szCs w:val="20"/>
                <w:color w:val="auto"/>
              </w:rPr>
            </w:pPr>
            <w:r>
              <w:rPr>
                <w:rFonts w:ascii="Arial" w:cs="Arial" w:eastAsia="Arial" w:hAnsi="Arial"/>
                <w:sz w:val="12"/>
                <w:szCs w:val="12"/>
                <w:b w:val="1"/>
                <w:bCs w:val="1"/>
                <w:color w:val="auto"/>
              </w:rPr>
              <w:t>Fair Value</w:t>
            </w:r>
          </w:p>
        </w:tc>
        <w:tc>
          <w:tcPr>
            <w:tcW w:w="7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w w:val="99"/>
              </w:rPr>
              <w:t>Net Assets</w:t>
            </w: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77"/>
        </w:trPr>
        <w:tc>
          <w:tcPr>
            <w:tcW w:w="17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4"/>
        </w:trPr>
        <w:tc>
          <w:tcPr>
            <w:tcW w:w="174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rPr>
              <w:t>Companies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740" w:type="dxa"/>
            <w:vAlign w:val="bottom"/>
            <w:gridSpan w:val="3"/>
          </w:tcPr>
          <w:p>
            <w:pPr>
              <w:ind w:left="160"/>
              <w:spacing w:after="0"/>
              <w:rPr>
                <w:sz w:val="20"/>
                <w:szCs w:val="20"/>
                <w:color w:val="auto"/>
              </w:rPr>
            </w:pPr>
            <w:r>
              <w:rPr>
                <w:rFonts w:ascii="Arial" w:cs="Arial" w:eastAsia="Arial" w:hAnsi="Arial"/>
                <w:sz w:val="15"/>
                <w:szCs w:val="15"/>
                <w:color w:val="auto"/>
              </w:rPr>
              <w:t>Common Stock</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53,413,686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5"/>
              </w:rPr>
              <w:t>86,824,096</w:t>
            </w: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42.4%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w w:val="95"/>
              </w:rPr>
              <w:t>81,274,687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5"/>
              </w:rPr>
              <w:t>83,074,410</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43.2%</w:t>
            </w:r>
          </w:p>
        </w:tc>
      </w:tr>
      <w:tr>
        <w:trPr>
          <w:trHeight w:val="212"/>
        </w:trPr>
        <w:tc>
          <w:tcPr>
            <w:tcW w:w="17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Preferred Stock</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134,145,680</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120,253,822</w:t>
            </w: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58.7</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86"/>
              </w:rPr>
              <w:t>174,462,577</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162,238,879</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84.4</w:t>
            </w:r>
          </w:p>
        </w:tc>
        <w:tc>
          <w:tcPr>
            <w:tcW w:w="180" w:type="dxa"/>
            <w:vAlign w:val="bottom"/>
            <w:shd w:val="clear" w:color="auto" w:fill="CCEEFF"/>
          </w:tcPr>
          <w:p>
            <w:pPr>
              <w:spacing w:after="0"/>
              <w:rPr>
                <w:sz w:val="18"/>
                <w:szCs w:val="18"/>
                <w:color w:val="auto"/>
              </w:rPr>
            </w:pPr>
          </w:p>
        </w:tc>
      </w:tr>
      <w:tr>
        <w:trPr>
          <w:trHeight w:val="212"/>
        </w:trPr>
        <w:tc>
          <w:tcPr>
            <w:tcW w:w="1740" w:type="dxa"/>
            <w:vAlign w:val="bottom"/>
            <w:gridSpan w:val="3"/>
          </w:tcPr>
          <w:p>
            <w:pPr>
              <w:ind w:left="160"/>
              <w:spacing w:after="0"/>
              <w:rPr>
                <w:sz w:val="20"/>
                <w:szCs w:val="20"/>
                <w:color w:val="auto"/>
              </w:rPr>
            </w:pPr>
            <w:r>
              <w:rPr>
                <w:rFonts w:ascii="Arial" w:cs="Arial" w:eastAsia="Arial" w:hAnsi="Arial"/>
                <w:sz w:val="15"/>
                <w:szCs w:val="15"/>
                <w:color w:val="auto"/>
              </w:rPr>
              <w:t>Debt Investments</w:t>
            </w:r>
          </w:p>
        </w:tc>
        <w:tc>
          <w:tcPr>
            <w:tcW w:w="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8,809,356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4,916,578</w:t>
            </w:r>
          </w:p>
        </w:tc>
        <w:tc>
          <w:tcPr>
            <w:tcW w:w="780" w:type="dxa"/>
            <w:vAlign w:val="bottom"/>
            <w:gridSpan w:val="3"/>
          </w:tcPr>
          <w:p>
            <w:pPr>
              <w:jc w:val="right"/>
              <w:ind w:right="260"/>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8,849,434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7,821,948</w:t>
            </w: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rPr>
              <w:t>4.1</w:t>
            </w:r>
          </w:p>
        </w:tc>
        <w:tc>
          <w:tcPr>
            <w:tcW w:w="180" w:type="dxa"/>
            <w:vAlign w:val="bottom"/>
          </w:tcPr>
          <w:p>
            <w:pPr>
              <w:spacing w:after="0"/>
              <w:rPr>
                <w:sz w:val="18"/>
                <w:szCs w:val="18"/>
                <w:color w:val="auto"/>
              </w:rPr>
            </w:pPr>
          </w:p>
        </w:tc>
      </w:tr>
      <w:tr>
        <w:trPr>
          <w:trHeight w:val="218"/>
        </w:trPr>
        <w:tc>
          <w:tcPr>
            <w:tcW w:w="1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Warrants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197,162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433,997</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158,713</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150,904</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w:t>
            </w:r>
          </w:p>
        </w:tc>
        <w:tc>
          <w:tcPr>
            <w:tcW w:w="180" w:type="dxa"/>
            <w:vAlign w:val="bottom"/>
            <w:shd w:val="clear" w:color="auto" w:fill="CCEEFF"/>
          </w:tcPr>
          <w:p>
            <w:pPr>
              <w:spacing w:after="0"/>
              <w:rPr>
                <w:sz w:val="18"/>
                <w:szCs w:val="18"/>
                <w:color w:val="auto"/>
              </w:rPr>
            </w:pPr>
          </w:p>
        </w:tc>
      </w:tr>
      <w:tr>
        <w:trPr>
          <w:trHeight w:val="183"/>
        </w:trPr>
        <w:tc>
          <w:tcPr>
            <w:tcW w:w="166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rPr>
              <w:t>Private Portfolio</w:t>
            </w:r>
          </w:p>
        </w:tc>
        <w:tc>
          <w:tcPr>
            <w:tcW w:w="80" w:type="dxa"/>
            <w:vAlign w:val="bottom"/>
            <w:gridSpan w:val="2"/>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193"/>
        </w:trPr>
        <w:tc>
          <w:tcPr>
            <w:tcW w:w="1740" w:type="dxa"/>
            <w:vAlign w:val="bottom"/>
            <w:gridSpan w:val="3"/>
          </w:tcPr>
          <w:p>
            <w:pPr>
              <w:ind w:left="160"/>
              <w:spacing w:after="0"/>
              <w:rPr>
                <w:sz w:val="20"/>
                <w:szCs w:val="20"/>
                <w:color w:val="auto"/>
              </w:rPr>
            </w:pPr>
            <w:r>
              <w:rPr>
                <w:rFonts w:ascii="Arial" w:cs="Arial" w:eastAsia="Arial" w:hAnsi="Arial"/>
                <w:sz w:val="15"/>
                <w:szCs w:val="15"/>
                <w:b w:val="1"/>
                <w:bCs w:val="1"/>
                <w:color w:val="auto"/>
              </w:rPr>
              <w:t>Companies</w:t>
            </w:r>
          </w:p>
        </w:tc>
        <w:tc>
          <w:tcPr>
            <w:tcW w:w="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196,565,884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6"/>
              </w:rPr>
              <w:t>212,428,493</w:t>
            </w: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103.7%</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color w:val="auto"/>
                <w:w w:val="86"/>
              </w:rPr>
              <w:t>264,745,411</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86"/>
              </w:rPr>
              <w:t>253,286,141</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131.8%</w:t>
            </w:r>
          </w:p>
        </w:tc>
      </w:tr>
      <w:tr>
        <w:trPr>
          <w:trHeight w:val="23"/>
        </w:trPr>
        <w:tc>
          <w:tcPr>
            <w:tcW w:w="1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67"/>
        </w:trPr>
        <w:tc>
          <w:tcPr>
            <w:tcW w:w="17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5"/>
              </w:rPr>
              <w:t>Publicly Traded Portfolio</w:t>
            </w:r>
          </w:p>
        </w:tc>
        <w:tc>
          <w:tcPr>
            <w:tcW w:w="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04"/>
        </w:trPr>
        <w:tc>
          <w:tcPr>
            <w:tcW w:w="174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rPr>
              <w:t>Companies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7"/>
        </w:trPr>
        <w:tc>
          <w:tcPr>
            <w:tcW w:w="1740" w:type="dxa"/>
            <w:vAlign w:val="bottom"/>
            <w:gridSpan w:val="3"/>
          </w:tcPr>
          <w:p>
            <w:pPr>
              <w:ind w:left="160"/>
              <w:spacing w:after="0"/>
              <w:rPr>
                <w:sz w:val="20"/>
                <w:szCs w:val="20"/>
                <w:color w:val="auto"/>
              </w:rPr>
            </w:pPr>
            <w:r>
              <w:rPr>
                <w:rFonts w:ascii="Arial" w:cs="Arial" w:eastAsia="Arial" w:hAnsi="Arial"/>
                <w:sz w:val="15"/>
                <w:szCs w:val="15"/>
                <w:color w:val="auto"/>
              </w:rPr>
              <w:t>Common Stock</w:t>
            </w:r>
          </w:p>
        </w:tc>
        <w:tc>
          <w:tcPr>
            <w:tcW w:w="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6,008,468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8,160,000</w:t>
            </w:r>
          </w:p>
        </w:tc>
        <w:tc>
          <w:tcPr>
            <w:tcW w:w="780" w:type="dxa"/>
            <w:vAlign w:val="bottom"/>
            <w:gridSpan w:val="3"/>
          </w:tcPr>
          <w:p>
            <w:pPr>
              <w:jc w:val="right"/>
              <w:ind w:right="260"/>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color w:val="auto"/>
                <w:w w:val="95"/>
              </w:rPr>
              <w:t>14,022,863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8,729,005</w:t>
            </w: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rPr>
              <w:t>4.6</w:t>
            </w:r>
          </w:p>
        </w:tc>
        <w:tc>
          <w:tcPr>
            <w:tcW w:w="180" w:type="dxa"/>
            <w:vAlign w:val="bottom"/>
          </w:tcPr>
          <w:p>
            <w:pPr>
              <w:spacing w:after="0"/>
              <w:rPr>
                <w:sz w:val="18"/>
                <w:szCs w:val="18"/>
                <w:color w:val="auto"/>
              </w:rPr>
            </w:pPr>
          </w:p>
        </w:tc>
      </w:tr>
      <w:tr>
        <w:trPr>
          <w:trHeight w:val="183"/>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Portfolio</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15"/>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Investments</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202,574,352</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220,588,493</w:t>
            </w:r>
          </w:p>
        </w:tc>
        <w:tc>
          <w:tcPr>
            <w:tcW w:w="780" w:type="dxa"/>
            <w:vAlign w:val="bottom"/>
            <w:tcBorders>
              <w:bottom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107.7%</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86"/>
              </w:rPr>
              <w:t>278,768,274</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262,015,146</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136.4%</w:t>
            </w:r>
          </w:p>
        </w:tc>
      </w:tr>
      <w:tr>
        <w:trPr>
          <w:trHeight w:val="267"/>
        </w:trPr>
        <w:tc>
          <w:tcPr>
            <w:tcW w:w="166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rPr>
              <w:t>Non-Portfolio</w:t>
            </w:r>
          </w:p>
        </w:tc>
        <w:tc>
          <w:tcPr>
            <w:tcW w:w="80" w:type="dxa"/>
            <w:vAlign w:val="bottom"/>
            <w:gridSpan w:val="2"/>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r>
      <w:tr>
        <w:trPr>
          <w:trHeight w:val="198"/>
        </w:trPr>
        <w:tc>
          <w:tcPr>
            <w:tcW w:w="1740" w:type="dxa"/>
            <w:vAlign w:val="bottom"/>
            <w:gridSpan w:val="3"/>
          </w:tcPr>
          <w:p>
            <w:pPr>
              <w:ind w:left="160"/>
              <w:spacing w:after="0"/>
              <w:rPr>
                <w:sz w:val="20"/>
                <w:szCs w:val="20"/>
                <w:color w:val="auto"/>
              </w:rPr>
            </w:pPr>
            <w:r>
              <w:rPr>
                <w:rFonts w:ascii="Arial" w:cs="Arial" w:eastAsia="Arial" w:hAnsi="Arial"/>
                <w:sz w:val="15"/>
                <w:szCs w:val="15"/>
                <w:b w:val="1"/>
                <w:bCs w:val="1"/>
                <w:color w:val="auto"/>
              </w:rPr>
              <w:t>Investments</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1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 Treasury bill</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99,985,833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99,994,000</w:t>
            </w:r>
          </w:p>
        </w:tc>
        <w:tc>
          <w:tcPr>
            <w:tcW w:w="1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29,998,750</w:t>
            </w: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29,998,490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15.6</w:t>
            </w:r>
          </w:p>
        </w:tc>
        <w:tc>
          <w:tcPr>
            <w:tcW w:w="180" w:type="dxa"/>
            <w:vAlign w:val="bottom"/>
            <w:shd w:val="clear" w:color="auto" w:fill="CCEEFF"/>
          </w:tcPr>
          <w:p>
            <w:pPr>
              <w:spacing w:after="0"/>
              <w:rPr>
                <w:sz w:val="19"/>
                <w:szCs w:val="19"/>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209"/>
        </w:trPr>
        <w:tc>
          <w:tcPr>
            <w:tcW w:w="1660" w:type="dxa"/>
            <w:vAlign w:val="bottom"/>
          </w:tcPr>
          <w:p>
            <w:pPr>
              <w:ind w:left="20"/>
              <w:spacing w:after="0"/>
              <w:rPr>
                <w:sz w:val="20"/>
                <w:szCs w:val="20"/>
                <w:color w:val="auto"/>
              </w:rPr>
            </w:pPr>
            <w:r>
              <w:rPr>
                <w:rFonts w:ascii="Arial" w:cs="Arial" w:eastAsia="Arial" w:hAnsi="Arial"/>
                <w:sz w:val="15"/>
                <w:szCs w:val="15"/>
                <w:b w:val="1"/>
                <w:bCs w:val="1"/>
                <w:color w:val="auto"/>
              </w:rPr>
              <w:t>Total Investments</w:t>
            </w:r>
          </w:p>
        </w:tc>
        <w:tc>
          <w:tcPr>
            <w:tcW w:w="80" w:type="dxa"/>
            <w:vAlign w:val="bottom"/>
            <w:gridSpan w:val="2"/>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88"/>
              </w:rPr>
              <w:t>302,560,185</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86"/>
              </w:rPr>
              <w:t>320,582,493</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86"/>
              </w:rPr>
              <w:t>156.5%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w w:val="86"/>
              </w:rPr>
              <w:t>308,767,024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86"/>
              </w:rPr>
              <w:t>292,013,636</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152.0%</w:t>
            </w:r>
          </w:p>
        </w:tc>
      </w:tr>
      <w:tr>
        <w:trPr>
          <w:trHeight w:val="20"/>
        </w:trPr>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-162560</wp:posOffset>
            </wp:positionV>
            <wp:extent cx="3556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-162560</wp:posOffset>
            </wp:positionV>
            <wp:extent cx="3556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-615950</wp:posOffset>
            </wp:positionV>
            <wp:extent cx="3556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-615950</wp:posOffset>
            </wp:positionV>
            <wp:extent cx="3556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-878205</wp:posOffset>
            </wp:positionV>
            <wp:extent cx="12763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-878205</wp:posOffset>
            </wp:positionV>
            <wp:extent cx="15621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-878205</wp:posOffset>
            </wp:positionV>
            <wp:extent cx="4953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530" cy="698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-878205</wp:posOffset>
            </wp:positionV>
            <wp:extent cx="17018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-878205</wp:posOffset>
            </wp:positionV>
            <wp:extent cx="14160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160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-878205</wp:posOffset>
            </wp:positionV>
            <wp:extent cx="3556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-878205</wp:posOffset>
            </wp:positionV>
            <wp:extent cx="109156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91565"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-1331595</wp:posOffset>
            </wp:positionV>
            <wp:extent cx="12763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-1331595</wp:posOffset>
            </wp:positionV>
            <wp:extent cx="15621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-1331595</wp:posOffset>
            </wp:positionV>
            <wp:extent cx="4953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530" cy="698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-1331595</wp:posOffset>
            </wp:positionV>
            <wp:extent cx="17018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-1331595</wp:posOffset>
            </wp:positionV>
            <wp:extent cx="14160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160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-1331595</wp:posOffset>
            </wp:positionV>
            <wp:extent cx="3556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-1331595</wp:posOffset>
            </wp:positionV>
            <wp:extent cx="109156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9156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-1593850</wp:posOffset>
            </wp:positionV>
            <wp:extent cx="3556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-1593850</wp:posOffset>
            </wp:positionV>
            <wp:extent cx="3556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-2394585</wp:posOffset>
            </wp:positionV>
            <wp:extent cx="4254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-2394585</wp:posOffset>
            </wp:positionV>
            <wp:extent cx="4254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-2394585</wp:posOffset>
            </wp:positionV>
            <wp:extent cx="3556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-2394585</wp:posOffset>
            </wp:positionV>
            <wp:extent cx="2857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-2394585</wp:posOffset>
            </wp:positionV>
            <wp:extent cx="2857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-2394585</wp:posOffset>
            </wp:positionV>
            <wp:extent cx="108394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83945" cy="6985"/>
                    </a:xfrm>
                    <a:prstGeom prst="rect">
                      <a:avLst/>
                    </a:prstGeom>
                    <a:noFill/>
                  </pic:spPr>
                </pic:pic>
              </a:graphicData>
            </a:graphic>
          </wp:anchor>
        </w:drawing>
      </w:r>
    </w:p>
    <w:p>
      <w:pPr>
        <w:spacing w:after="0" w:line="204" w:lineRule="exact"/>
        <w:rPr>
          <w:sz w:val="20"/>
          <w:szCs w:val="20"/>
          <w:color w:val="auto"/>
        </w:rPr>
      </w:pPr>
    </w:p>
    <w:p>
      <w:pPr>
        <w:ind w:left="1060" w:right="2679" w:firstLine="297"/>
        <w:spacing w:after="0" w:line="270" w:lineRule="auto"/>
        <w:rPr>
          <w:sz w:val="20"/>
          <w:szCs w:val="20"/>
          <w:color w:val="auto"/>
        </w:rPr>
      </w:pPr>
      <w:r>
        <w:rPr>
          <w:rFonts w:ascii="Arial" w:cs="Arial" w:eastAsia="Arial" w:hAnsi="Arial"/>
          <w:sz w:val="15"/>
          <w:szCs w:val="15"/>
          <w:color w:val="auto"/>
        </w:rPr>
        <w:t>The industrial and geographic compositions of the Company’s portfolio at fair value as of December 31, 2017 and December 31, 2016 were as follows:</w:t>
      </w:r>
    </w:p>
    <w:p>
      <w:pPr>
        <w:spacing w:after="0" w:line="63"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9"/>
          </w:tcPr>
          <w:p>
            <w:pPr>
              <w:ind w:left="500"/>
              <w:spacing w:after="0"/>
              <w:rPr>
                <w:sz w:val="20"/>
                <w:szCs w:val="20"/>
                <w:color w:val="auto"/>
              </w:rPr>
            </w:pPr>
            <w:r>
              <w:rPr>
                <w:rFonts w:ascii="Arial" w:cs="Arial" w:eastAsia="Arial" w:hAnsi="Arial"/>
                <w:sz w:val="12"/>
                <w:szCs w:val="12"/>
                <w:b w:val="1"/>
                <w:bCs w:val="1"/>
                <w:color w:val="auto"/>
              </w:rPr>
              <w:t>As of December 31, 2017</w:t>
            </w:r>
          </w:p>
        </w:tc>
        <w:tc>
          <w:tcPr>
            <w:tcW w:w="80" w:type="dxa"/>
            <w:vAlign w:val="bottom"/>
          </w:tcPr>
          <w:p>
            <w:pPr>
              <w:spacing w:after="0"/>
              <w:rPr>
                <w:sz w:val="13"/>
                <w:szCs w:val="13"/>
                <w:color w:val="auto"/>
              </w:rPr>
            </w:pPr>
          </w:p>
        </w:tc>
        <w:tc>
          <w:tcPr>
            <w:tcW w:w="2380" w:type="dxa"/>
            <w:vAlign w:val="bottom"/>
            <w:gridSpan w:val="9"/>
          </w:tcPr>
          <w:p>
            <w:pPr>
              <w:jc w:val="right"/>
              <w:ind w:right="620"/>
              <w:spacing w:after="0"/>
              <w:rPr>
                <w:sz w:val="20"/>
                <w:szCs w:val="20"/>
                <w:color w:val="auto"/>
              </w:rPr>
            </w:pPr>
            <w:r>
              <w:rPr>
                <w:rFonts w:ascii="Arial" w:cs="Arial" w:eastAsia="Arial" w:hAnsi="Arial"/>
                <w:sz w:val="12"/>
                <w:szCs w:val="12"/>
                <w:b w:val="1"/>
                <w:bCs w:val="1"/>
                <w:color w:val="auto"/>
              </w:rPr>
              <w:t>As of December 31, 2016</w:t>
            </w:r>
          </w:p>
        </w:tc>
      </w:tr>
      <w:tr>
        <w:trPr>
          <w:trHeight w:val="22"/>
        </w:trPr>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r>
      <w:tr>
        <w:trPr>
          <w:trHeight w:val="141"/>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5"/>
              </w:rPr>
              <w:t>Percentage of</w:t>
            </w:r>
          </w:p>
        </w:tc>
        <w:tc>
          <w:tcPr>
            <w:tcW w:w="8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8"/>
              </w:rPr>
              <w:t>Percentage of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Percentage of</w:t>
            </w:r>
          </w:p>
        </w:tc>
        <w:tc>
          <w:tcPr>
            <w:tcW w:w="7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85"/>
              </w:rPr>
              <w:t>Percentage of</w:t>
            </w:r>
          </w:p>
        </w:tc>
      </w:tr>
      <w:tr>
        <w:trPr>
          <w:trHeight w:val="152"/>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29"/>
              <w:spacing w:after="0"/>
              <w:rPr>
                <w:sz w:val="20"/>
                <w:szCs w:val="20"/>
                <w:color w:val="auto"/>
              </w:rPr>
            </w:pPr>
            <w:r>
              <w:rPr>
                <w:rFonts w:ascii="Arial" w:cs="Arial" w:eastAsia="Arial" w:hAnsi="Arial"/>
                <w:sz w:val="12"/>
                <w:szCs w:val="12"/>
                <w:b w:val="1"/>
                <w:bCs w:val="1"/>
                <w:color w:val="auto"/>
              </w:rPr>
              <w:t>Fair Value</w:t>
            </w:r>
          </w:p>
        </w:tc>
        <w:tc>
          <w:tcPr>
            <w:tcW w:w="8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9"/>
              </w:rPr>
              <w:t>Portfolio</w:t>
            </w:r>
          </w:p>
        </w:tc>
        <w:tc>
          <w:tcPr>
            <w:tcW w:w="8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6"/>
              </w:rPr>
              <w:t>Net Assets</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Fair Value</w:t>
            </w:r>
          </w:p>
        </w:tc>
        <w:tc>
          <w:tcPr>
            <w:tcW w:w="8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9"/>
              </w:rPr>
              <w:t>Portfolio</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9"/>
              </w:rPr>
              <w:t>Net Assets</w:t>
            </w:r>
          </w:p>
        </w:tc>
      </w:tr>
      <w:tr>
        <w:trPr>
          <w:trHeight w:val="22"/>
        </w:trPr>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3"/>
        </w:trPr>
        <w:tc>
          <w:tcPr>
            <w:tcW w:w="18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Industry</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2"/>
        </w:trPr>
        <w:tc>
          <w:tcPr>
            <w:tcW w:w="1840" w:type="dxa"/>
            <w:vAlign w:val="bottom"/>
          </w:tcPr>
          <w:p>
            <w:pPr>
              <w:ind w:left="20"/>
              <w:spacing w:after="0"/>
              <w:rPr>
                <w:sz w:val="20"/>
                <w:szCs w:val="20"/>
                <w:color w:val="auto"/>
              </w:rPr>
            </w:pPr>
            <w:r>
              <w:rPr>
                <w:rFonts w:ascii="Arial" w:cs="Arial" w:eastAsia="Arial" w:hAnsi="Arial"/>
                <w:sz w:val="15"/>
                <w:szCs w:val="15"/>
                <w:color w:val="auto"/>
              </w:rPr>
              <w:t>Education Technology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5"/>
              </w:rPr>
              <w:t>90,658,640</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41.1%</w:t>
            </w:r>
          </w:p>
        </w:tc>
        <w:tc>
          <w:tcPr>
            <w:tcW w:w="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color w:val="auto"/>
              </w:rPr>
              <w:t>44.3%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96,498,376</w:t>
            </w: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36.8%</w:t>
            </w: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50.2%</w:t>
            </w:r>
          </w:p>
        </w:tc>
      </w:tr>
      <w:tr>
        <w:trPr>
          <w:trHeight w:val="212"/>
        </w:trPr>
        <w:tc>
          <w:tcPr>
            <w:tcW w:w="18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Big Data/Cloud</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57,678,330</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26.1</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28.2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89,852,351</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34.3</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46.8</w:t>
            </w:r>
          </w:p>
        </w:tc>
      </w:tr>
      <w:tr>
        <w:trPr>
          <w:trHeight w:val="212"/>
        </w:trPr>
        <w:tc>
          <w:tcPr>
            <w:tcW w:w="1840" w:type="dxa"/>
            <w:vAlign w:val="bottom"/>
          </w:tcPr>
          <w:p>
            <w:pPr>
              <w:ind w:left="20"/>
              <w:spacing w:after="0"/>
              <w:rPr>
                <w:sz w:val="20"/>
                <w:szCs w:val="20"/>
                <w:color w:val="auto"/>
              </w:rPr>
            </w:pPr>
            <w:r>
              <w:rPr>
                <w:rFonts w:ascii="Arial" w:cs="Arial" w:eastAsia="Arial" w:hAnsi="Arial"/>
                <w:sz w:val="15"/>
                <w:szCs w:val="15"/>
                <w:color w:val="auto"/>
              </w:rPr>
              <w:t>Social/Mobile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5"/>
              </w:rPr>
              <w:t>38,528,143</w:t>
            </w: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17.5</w:t>
            </w:r>
          </w:p>
        </w:tc>
        <w:tc>
          <w:tcPr>
            <w:tcW w:w="6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45,836,028</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23.9</w:t>
            </w:r>
          </w:p>
        </w:tc>
      </w:tr>
      <w:tr>
        <w:trPr>
          <w:trHeight w:val="212"/>
        </w:trPr>
        <w:tc>
          <w:tcPr>
            <w:tcW w:w="18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Marketplaces</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32,653,518</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14.8</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15.9</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25,518,613</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9.7</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13.3</w:t>
            </w:r>
          </w:p>
        </w:tc>
      </w:tr>
      <w:tr>
        <w:trPr>
          <w:trHeight w:val="217"/>
        </w:trPr>
        <w:tc>
          <w:tcPr>
            <w:tcW w:w="1840" w:type="dxa"/>
            <w:vAlign w:val="bottom"/>
          </w:tcPr>
          <w:p>
            <w:pPr>
              <w:ind w:left="20"/>
              <w:spacing w:after="0"/>
              <w:rPr>
                <w:sz w:val="20"/>
                <w:szCs w:val="20"/>
                <w:color w:val="auto"/>
              </w:rPr>
            </w:pPr>
            <w:r>
              <w:rPr>
                <w:rFonts w:ascii="Arial" w:cs="Arial" w:eastAsia="Arial" w:hAnsi="Arial"/>
                <w:sz w:val="15"/>
                <w:szCs w:val="15"/>
                <w:color w:val="auto"/>
              </w:rPr>
              <w:t>Sustainability</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1,069,862</w:t>
            </w: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0.5</w:t>
            </w:r>
          </w:p>
        </w:tc>
        <w:tc>
          <w:tcPr>
            <w:tcW w:w="6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4,309,778</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2.2</w:t>
            </w:r>
          </w:p>
        </w:tc>
      </w:tr>
      <w:tr>
        <w:trPr>
          <w:trHeight w:val="20"/>
        </w:trPr>
        <w:tc>
          <w:tcPr>
            <w:tcW w:w="18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9"/>
        </w:trPr>
        <w:tc>
          <w:tcPr>
            <w:tcW w:w="18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6"/>
              </w:rPr>
              <w:t>220,588,493</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100.</w:t>
            </w:r>
            <w:r>
              <w:rPr>
                <w:rFonts w:ascii="Arial" w:cs="Arial" w:eastAsia="Arial" w:hAnsi="Arial"/>
                <w:sz w:val="15"/>
                <w:szCs w:val="15"/>
                <w:b w:val="1"/>
                <w:bCs w:val="1"/>
                <w:u w:val="single" w:color="auto"/>
                <w:color w:val="auto"/>
              </w:rPr>
              <w:t>0</w:t>
            </w:r>
            <w:r>
              <w:rPr>
                <w:rFonts w:ascii="Arial" w:cs="Arial" w:eastAsia="Arial" w:hAnsi="Arial"/>
                <w:sz w:val="15"/>
                <w:szCs w:val="15"/>
                <w:b w:val="1"/>
                <w:bCs w:val="1"/>
                <w:color w:val="auto"/>
              </w:rPr>
              <w:t>%</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107.</w:t>
            </w:r>
            <w:r>
              <w:rPr>
                <w:rFonts w:ascii="Arial" w:cs="Arial" w:eastAsia="Arial" w:hAnsi="Arial"/>
                <w:sz w:val="15"/>
                <w:szCs w:val="15"/>
                <w:b w:val="1"/>
                <w:bCs w:val="1"/>
                <w:u w:val="single" w:color="auto"/>
                <w:color w:val="auto"/>
              </w:rPr>
              <w:t>7</w:t>
            </w:r>
            <w:r>
              <w:rPr>
                <w:rFonts w:ascii="Arial" w:cs="Arial" w:eastAsia="Arial" w:hAnsi="Arial"/>
                <w:sz w:val="15"/>
                <w:szCs w:val="15"/>
                <w:b w:val="1"/>
                <w:bCs w:val="1"/>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86"/>
              </w:rPr>
              <w:t>262,015,146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100.</w:t>
            </w:r>
            <w:r>
              <w:rPr>
                <w:rFonts w:ascii="Arial" w:cs="Arial" w:eastAsia="Arial" w:hAnsi="Arial"/>
                <w:sz w:val="15"/>
                <w:szCs w:val="15"/>
                <w:b w:val="1"/>
                <w:bCs w:val="1"/>
                <w:u w:val="single" w:color="auto"/>
                <w:color w:val="auto"/>
              </w:rPr>
              <w:t>0</w:t>
            </w:r>
            <w:r>
              <w:rPr>
                <w:rFonts w:ascii="Arial" w:cs="Arial" w:eastAsia="Arial" w:hAnsi="Arial"/>
                <w:sz w:val="15"/>
                <w:szCs w:val="15"/>
                <w:b w:val="1"/>
                <w:bCs w:val="1"/>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136.</w:t>
            </w:r>
            <w:r>
              <w:rPr>
                <w:rFonts w:ascii="Arial" w:cs="Arial" w:eastAsia="Arial" w:hAnsi="Arial"/>
                <w:sz w:val="15"/>
                <w:szCs w:val="15"/>
                <w:b w:val="1"/>
                <w:bCs w:val="1"/>
                <w:u w:val="single" w:color="auto"/>
                <w:color w:val="auto"/>
              </w:rPr>
              <w:t>4</w:t>
            </w:r>
            <w:r>
              <w:rPr>
                <w:rFonts w:ascii="Arial" w:cs="Arial" w:eastAsia="Arial" w:hAnsi="Arial"/>
                <w:sz w:val="15"/>
                <w:szCs w:val="15"/>
                <w:b w:val="1"/>
                <w:bCs w:val="1"/>
                <w:color w:val="auto"/>
              </w:rPr>
              <w:t>%</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-162560</wp:posOffset>
            </wp:positionV>
            <wp:extent cx="12763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635" cy="6985"/>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-162560</wp:posOffset>
            </wp:positionV>
            <wp:extent cx="29781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7815" cy="698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-162560</wp:posOffset>
            </wp:positionV>
            <wp:extent cx="17018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-162560</wp:posOffset>
            </wp:positionV>
            <wp:extent cx="18415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84150" cy="698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-162560</wp:posOffset>
            </wp:positionV>
            <wp:extent cx="28321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3210" cy="698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-162560</wp:posOffset>
            </wp:positionV>
            <wp:extent cx="15621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-162560</wp:posOffset>
            </wp:positionV>
            <wp:extent cx="116205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62050"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-984250</wp:posOffset>
            </wp:positionV>
            <wp:extent cx="5651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-984250</wp:posOffset>
            </wp:positionV>
            <wp:extent cx="5651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-984250</wp:posOffset>
            </wp:positionV>
            <wp:extent cx="4953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9530" cy="698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-984250</wp:posOffset>
            </wp:positionV>
            <wp:extent cx="4254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-984250</wp:posOffset>
            </wp:positionV>
            <wp:extent cx="4254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-984250</wp:posOffset>
            </wp:positionV>
            <wp:extent cx="115506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1550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5" w:name="page106"/>
    <w:bookmarkEnd w:id="10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3"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1820" w:type="dxa"/>
            <w:vAlign w:val="bottom"/>
          </w:tcPr>
          <w:p>
            <w:pPr>
              <w:spacing w:after="0"/>
              <w:rPr>
                <w:sz w:val="13"/>
                <w:szCs w:val="13"/>
                <w:color w:val="auto"/>
              </w:rPr>
            </w:pPr>
          </w:p>
        </w:tc>
        <w:tc>
          <w:tcPr>
            <w:tcW w:w="2520" w:type="dxa"/>
            <w:vAlign w:val="bottom"/>
            <w:gridSpan w:val="9"/>
          </w:tcPr>
          <w:p>
            <w:pPr>
              <w:ind w:left="580"/>
              <w:spacing w:after="0"/>
              <w:rPr>
                <w:sz w:val="20"/>
                <w:szCs w:val="20"/>
                <w:color w:val="auto"/>
              </w:rPr>
            </w:pPr>
            <w:r>
              <w:rPr>
                <w:rFonts w:ascii="Arial" w:cs="Arial" w:eastAsia="Arial" w:hAnsi="Arial"/>
                <w:sz w:val="12"/>
                <w:szCs w:val="12"/>
                <w:b w:val="1"/>
                <w:bCs w:val="1"/>
                <w:color w:val="auto"/>
              </w:rPr>
              <w:t>As of December 31, 2017</w:t>
            </w:r>
          </w:p>
        </w:tc>
        <w:tc>
          <w:tcPr>
            <w:tcW w:w="2460" w:type="dxa"/>
            <w:vAlign w:val="bottom"/>
            <w:gridSpan w:val="10"/>
          </w:tcPr>
          <w:p>
            <w:pPr>
              <w:jc w:val="right"/>
              <w:ind w:right="620"/>
              <w:spacing w:after="0"/>
              <w:rPr>
                <w:sz w:val="20"/>
                <w:szCs w:val="20"/>
                <w:color w:val="auto"/>
              </w:rPr>
            </w:pPr>
            <w:r>
              <w:rPr>
                <w:rFonts w:ascii="Arial" w:cs="Arial" w:eastAsia="Arial" w:hAnsi="Arial"/>
                <w:sz w:val="12"/>
                <w:szCs w:val="12"/>
                <w:b w:val="1"/>
                <w:bCs w:val="1"/>
                <w:color w:val="auto"/>
              </w:rPr>
              <w:t>As of December 31, 2016</w:t>
            </w:r>
          </w:p>
        </w:tc>
      </w:tr>
      <w:tr>
        <w:trPr>
          <w:trHeight w:val="22"/>
        </w:trPr>
        <w:tc>
          <w:tcPr>
            <w:tcW w:w="1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r>
      <w:tr>
        <w:trPr>
          <w:trHeight w:val="141"/>
        </w:trPr>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5"/>
              </w:rPr>
              <w:t>Percentage of</w:t>
            </w:r>
          </w:p>
        </w:tc>
        <w:tc>
          <w:tcPr>
            <w:tcW w:w="82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5"/>
              </w:rPr>
              <w:t>Percentage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Percentage of</w:t>
            </w:r>
          </w:p>
        </w:tc>
        <w:tc>
          <w:tcPr>
            <w:tcW w:w="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85"/>
              </w:rPr>
              <w:t>Percentage of</w:t>
            </w:r>
          </w:p>
        </w:tc>
      </w:tr>
      <w:tr>
        <w:trPr>
          <w:trHeight w:val="152"/>
        </w:trPr>
        <w:tc>
          <w:tcPr>
            <w:tcW w:w="1820" w:type="dxa"/>
            <w:vAlign w:val="bottom"/>
          </w:tcPr>
          <w:p>
            <w:pPr>
              <w:spacing w:after="0"/>
              <w:rPr>
                <w:sz w:val="13"/>
                <w:szCs w:val="13"/>
                <w:color w:val="auto"/>
              </w:rPr>
            </w:pPr>
          </w:p>
        </w:tc>
        <w:tc>
          <w:tcPr>
            <w:tcW w:w="880" w:type="dxa"/>
            <w:vAlign w:val="bottom"/>
          </w:tcPr>
          <w:p>
            <w:pPr>
              <w:jc w:val="right"/>
              <w:ind w:right="130"/>
              <w:spacing w:after="0"/>
              <w:rPr>
                <w:sz w:val="20"/>
                <w:szCs w:val="20"/>
                <w:color w:val="auto"/>
              </w:rPr>
            </w:pPr>
            <w:r>
              <w:rPr>
                <w:rFonts w:ascii="Arial" w:cs="Arial" w:eastAsia="Arial" w:hAnsi="Arial"/>
                <w:sz w:val="12"/>
                <w:szCs w:val="12"/>
                <w:b w:val="1"/>
                <w:bCs w:val="1"/>
                <w:color w:val="auto"/>
              </w:rPr>
              <w:t>Fair Value</w:t>
            </w:r>
          </w:p>
        </w:tc>
        <w:tc>
          <w:tcPr>
            <w:tcW w:w="8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3"/>
              </w:rPr>
              <w:t>Portfolio</w:t>
            </w:r>
          </w:p>
        </w:tc>
        <w:tc>
          <w:tcPr>
            <w:tcW w:w="8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3"/>
              </w:rPr>
              <w:t>Net Assets</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Fair Value</w:t>
            </w:r>
          </w:p>
        </w:tc>
        <w:tc>
          <w:tcPr>
            <w:tcW w:w="8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9"/>
              </w:rPr>
              <w:t>Portfolio</w:t>
            </w:r>
          </w:p>
        </w:tc>
        <w:tc>
          <w:tcPr>
            <w:tcW w:w="7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w w:val="99"/>
              </w:rPr>
              <w:t>Net Assets</w:t>
            </w:r>
          </w:p>
        </w:tc>
      </w:tr>
      <w:tr>
        <w:trPr>
          <w:trHeight w:val="22"/>
        </w:trPr>
        <w:tc>
          <w:tcPr>
            <w:tcW w:w="1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3"/>
        </w:trPr>
        <w:tc>
          <w:tcPr>
            <w:tcW w:w="18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Geographic Region</w:t>
            </w: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1820" w:type="dxa"/>
            <w:vAlign w:val="bottom"/>
          </w:tcPr>
          <w:p>
            <w:pPr>
              <w:ind w:left="20"/>
              <w:spacing w:after="0"/>
              <w:rPr>
                <w:sz w:val="20"/>
                <w:szCs w:val="20"/>
                <w:color w:val="auto"/>
              </w:rPr>
            </w:pPr>
            <w:r>
              <w:rPr>
                <w:rFonts w:ascii="Arial" w:cs="Arial" w:eastAsia="Arial" w:hAnsi="Arial"/>
                <w:sz w:val="15"/>
                <w:szCs w:val="15"/>
                <w:color w:val="auto"/>
              </w:rPr>
              <w:t>West</w:t>
            </w:r>
          </w:p>
        </w:tc>
        <w:tc>
          <w:tcPr>
            <w:tcW w:w="880" w:type="dxa"/>
            <w:vAlign w:val="bottom"/>
          </w:tcPr>
          <w:p>
            <w:pPr>
              <w:jc w:val="right"/>
              <w:spacing w:after="0"/>
              <w:rPr>
                <w:sz w:val="20"/>
                <w:szCs w:val="20"/>
                <w:color w:val="auto"/>
              </w:rPr>
            </w:pPr>
            <w:r>
              <w:rPr>
                <w:rFonts w:ascii="Arial" w:cs="Arial" w:eastAsia="Arial" w:hAnsi="Arial"/>
                <w:sz w:val="15"/>
                <w:szCs w:val="15"/>
                <w:color w:val="auto"/>
                <w:w w:val="87"/>
              </w:rPr>
              <w:t>$165,871,083</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75.2%</w:t>
            </w: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81.0%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$187,300,467</w:t>
            </w:r>
          </w:p>
        </w:tc>
        <w:tc>
          <w:tcPr>
            <w:tcW w:w="720" w:type="dxa"/>
            <w:vAlign w:val="bottom"/>
            <w:gridSpan w:val="3"/>
          </w:tcPr>
          <w:p>
            <w:pPr>
              <w:jc w:val="right"/>
              <w:ind w:right="80"/>
              <w:spacing w:after="0"/>
              <w:rPr>
                <w:sz w:val="20"/>
                <w:szCs w:val="20"/>
                <w:color w:val="auto"/>
              </w:rPr>
            </w:pPr>
            <w:r>
              <w:rPr>
                <w:rFonts w:ascii="Arial" w:cs="Arial" w:eastAsia="Arial" w:hAnsi="Arial"/>
                <w:sz w:val="15"/>
                <w:szCs w:val="15"/>
                <w:color w:val="auto"/>
              </w:rPr>
              <w:t>71.5%</w:t>
            </w:r>
          </w:p>
        </w:tc>
        <w:tc>
          <w:tcPr>
            <w:tcW w:w="8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97.5%</w:t>
            </w:r>
          </w:p>
        </w:tc>
      </w:tr>
      <w:tr>
        <w:trPr>
          <w:trHeight w:val="212"/>
        </w:trPr>
        <w:tc>
          <w:tcPr>
            <w:tcW w:w="18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Mid-west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593,702</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0.3</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14,362,498</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7.4</w:t>
            </w:r>
          </w:p>
        </w:tc>
        <w:tc>
          <w:tcPr>
            <w:tcW w:w="180" w:type="dxa"/>
            <w:vAlign w:val="bottom"/>
            <w:shd w:val="clear" w:color="auto" w:fill="CCEEFF"/>
          </w:tcPr>
          <w:p>
            <w:pPr>
              <w:spacing w:after="0"/>
              <w:rPr>
                <w:sz w:val="18"/>
                <w:szCs w:val="18"/>
                <w:color w:val="auto"/>
              </w:rPr>
            </w:pPr>
          </w:p>
        </w:tc>
      </w:tr>
      <w:tr>
        <w:trPr>
          <w:trHeight w:val="212"/>
        </w:trPr>
        <w:tc>
          <w:tcPr>
            <w:tcW w:w="1820" w:type="dxa"/>
            <w:vAlign w:val="bottom"/>
          </w:tcPr>
          <w:p>
            <w:pPr>
              <w:ind w:left="20"/>
              <w:spacing w:after="0"/>
              <w:rPr>
                <w:sz w:val="20"/>
                <w:szCs w:val="20"/>
                <w:color w:val="auto"/>
              </w:rPr>
            </w:pPr>
            <w:r>
              <w:rPr>
                <w:rFonts w:ascii="Arial" w:cs="Arial" w:eastAsia="Arial" w:hAnsi="Arial"/>
                <w:sz w:val="15"/>
                <w:szCs w:val="15"/>
                <w:color w:val="auto"/>
              </w:rPr>
              <w:t>Northeast</w:t>
            </w:r>
          </w:p>
        </w:tc>
        <w:tc>
          <w:tcPr>
            <w:tcW w:w="880" w:type="dxa"/>
            <w:vAlign w:val="bottom"/>
          </w:tcPr>
          <w:p>
            <w:pPr>
              <w:jc w:val="right"/>
              <w:spacing w:after="0"/>
              <w:rPr>
                <w:sz w:val="20"/>
                <w:szCs w:val="20"/>
                <w:color w:val="auto"/>
              </w:rPr>
            </w:pPr>
            <w:r>
              <w:rPr>
                <w:rFonts w:ascii="Arial" w:cs="Arial" w:eastAsia="Arial" w:hAnsi="Arial"/>
                <w:sz w:val="15"/>
                <w:szCs w:val="15"/>
                <w:color w:val="auto"/>
              </w:rPr>
              <w:t>23,394,640</w:t>
            </w: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41,420,490</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rPr>
              <w:t>21.6</w:t>
            </w:r>
          </w:p>
        </w:tc>
        <w:tc>
          <w:tcPr>
            <w:tcW w:w="180" w:type="dxa"/>
            <w:vAlign w:val="bottom"/>
          </w:tcPr>
          <w:p>
            <w:pPr>
              <w:spacing w:after="0"/>
              <w:rPr>
                <w:sz w:val="18"/>
                <w:szCs w:val="18"/>
                <w:color w:val="auto"/>
              </w:rPr>
            </w:pPr>
          </w:p>
        </w:tc>
      </w:tr>
      <w:tr>
        <w:trPr>
          <w:trHeight w:val="218"/>
        </w:trPr>
        <w:tc>
          <w:tcPr>
            <w:tcW w:w="18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30,729,068</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13.9</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15.0</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18,931,691</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9.9</w:t>
            </w:r>
          </w:p>
        </w:tc>
        <w:tc>
          <w:tcPr>
            <w:tcW w:w="180" w:type="dxa"/>
            <w:vAlign w:val="bottom"/>
            <w:shd w:val="clear" w:color="auto" w:fill="CCEEFF"/>
          </w:tcPr>
          <w:p>
            <w:pPr>
              <w:spacing w:after="0"/>
              <w:rPr>
                <w:sz w:val="18"/>
                <w:szCs w:val="18"/>
                <w:color w:val="auto"/>
              </w:rPr>
            </w:pPr>
          </w:p>
        </w:tc>
      </w:tr>
      <w:tr>
        <w:trPr>
          <w:trHeight w:val="20"/>
        </w:trPr>
        <w:tc>
          <w:tcPr>
            <w:tcW w:w="18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209"/>
        </w:trPr>
        <w:tc>
          <w:tcPr>
            <w:tcW w:w="182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220,588,493</w:t>
            </w:r>
          </w:p>
        </w:tc>
        <w:tc>
          <w:tcPr>
            <w:tcW w:w="7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100.0%</w:t>
            </w: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107.7%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262,015,146</w:t>
            </w:r>
          </w:p>
        </w:tc>
        <w:tc>
          <w:tcPr>
            <w:tcW w:w="7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100.0%</w:t>
            </w:r>
          </w:p>
        </w:tc>
        <w:tc>
          <w:tcPr>
            <w:tcW w:w="8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136.4%</w:t>
            </w:r>
          </w:p>
        </w:tc>
      </w:tr>
      <w:tr>
        <w:trPr>
          <w:trHeight w:val="20"/>
        </w:trPr>
        <w:tc>
          <w:tcPr>
            <w:tcW w:w="1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-849630</wp:posOffset>
            </wp:positionV>
            <wp:extent cx="5651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-849630</wp:posOffset>
            </wp:positionV>
            <wp:extent cx="5651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-849630</wp:posOffset>
            </wp:positionV>
            <wp:extent cx="5651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-849630</wp:posOffset>
            </wp:positionV>
            <wp:extent cx="4953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9530" cy="698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-849630</wp:posOffset>
            </wp:positionV>
            <wp:extent cx="4254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5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-849630</wp:posOffset>
            </wp:positionV>
            <wp:extent cx="114109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41095" cy="6985"/>
                    </a:xfrm>
                    <a:prstGeom prst="rect">
                      <a:avLst/>
                    </a:prstGeom>
                    <a:noFill/>
                  </pic:spPr>
                </pic:pic>
              </a:graphicData>
            </a:graphic>
          </wp:anchor>
        </w:drawing>
      </w:r>
    </w:p>
    <w:p>
      <w:pPr>
        <w:spacing w:after="0" w:line="193"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The table below details the composition of the Company’s industrial themes presented above:</w:t>
      </w:r>
    </w:p>
    <w:p>
      <w:pPr>
        <w:spacing w:after="0" w:line="122" w:lineRule="exact"/>
        <w:rPr>
          <w:sz w:val="20"/>
          <w:szCs w:val="20"/>
          <w:color w:val="auto"/>
        </w:rPr>
      </w:pPr>
    </w:p>
    <w:tbl>
      <w:tblPr>
        <w:tblLayout w:type="fixed"/>
        <w:tblInd w:w="1940" w:type="dxa"/>
        <w:tblCellMar>
          <w:top w:w="0" w:type="dxa"/>
          <w:left w:w="0" w:type="dxa"/>
          <w:bottom w:w="0" w:type="dxa"/>
          <w:right w:w="0" w:type="dxa"/>
        </w:tblCellMar>
      </w:tblPr>
      <w:tr>
        <w:trPr>
          <w:trHeight w:val="157"/>
        </w:trPr>
        <w:tc>
          <w:tcPr>
            <w:tcW w:w="2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Industry Theme</w:t>
            </w:r>
          </w:p>
        </w:tc>
        <w:tc>
          <w:tcPr>
            <w:tcW w:w="180" w:type="dxa"/>
            <w:vAlign w:val="bottom"/>
          </w:tcPr>
          <w:p>
            <w:pPr>
              <w:spacing w:after="0"/>
              <w:rPr>
                <w:sz w:val="13"/>
                <w:szCs w:val="13"/>
                <w:color w:val="auto"/>
              </w:rPr>
            </w:pPr>
          </w:p>
        </w:tc>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Industry</w:t>
            </w:r>
          </w:p>
        </w:tc>
      </w:tr>
      <w:tr>
        <w:trPr>
          <w:trHeight w:val="197"/>
        </w:trPr>
        <w:tc>
          <w:tcPr>
            <w:tcW w:w="2240" w:type="dxa"/>
            <w:vAlign w:val="bottom"/>
            <w:gridSpan w:val="2"/>
          </w:tcPr>
          <w:p>
            <w:pPr>
              <w:spacing w:after="0"/>
              <w:rPr>
                <w:sz w:val="20"/>
                <w:szCs w:val="20"/>
                <w:color w:val="auto"/>
              </w:rPr>
            </w:pPr>
            <w:r>
              <w:rPr>
                <w:rFonts w:ascii="Arial" w:cs="Arial" w:eastAsia="Arial" w:hAnsi="Arial"/>
                <w:sz w:val="15"/>
                <w:szCs w:val="15"/>
                <w:color w:val="auto"/>
              </w:rPr>
              <w:t>Education Technology</w:t>
            </w:r>
          </w:p>
        </w:tc>
        <w:tc>
          <w:tcPr>
            <w:tcW w:w="2760" w:type="dxa"/>
            <w:vAlign w:val="bottom"/>
          </w:tcPr>
          <w:p>
            <w:pPr>
              <w:spacing w:after="0"/>
              <w:rPr>
                <w:sz w:val="20"/>
                <w:szCs w:val="20"/>
                <w:color w:val="auto"/>
              </w:rPr>
            </w:pPr>
            <w:r>
              <w:rPr>
                <w:rFonts w:ascii="Arial" w:cs="Arial" w:eastAsia="Arial" w:hAnsi="Arial"/>
                <w:sz w:val="15"/>
                <w:szCs w:val="15"/>
                <w:color w:val="auto"/>
              </w:rPr>
              <w:t>Business Education</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Computer Software</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Corporate Education</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Education Media Platform</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Education Software</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Education Technology</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E-Transcript Exchange</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Globally-Focused Private School</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Interactive Learning</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Online Education</w:t>
            </w:r>
          </w:p>
        </w:tc>
      </w:tr>
      <w:tr>
        <w:trPr>
          <w:trHeight w:val="196"/>
        </w:trPr>
        <w:tc>
          <w:tcPr>
            <w:tcW w:w="2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Online Education Services</w:t>
            </w:r>
          </w:p>
        </w:tc>
      </w:tr>
      <w:tr>
        <w:trPr>
          <w:trHeight w:val="287"/>
        </w:trPr>
        <w:tc>
          <w:tcPr>
            <w:tcW w:w="2240" w:type="dxa"/>
            <w:vAlign w:val="bottom"/>
            <w:gridSpan w:val="2"/>
          </w:tcPr>
          <w:p>
            <w:pPr>
              <w:spacing w:after="0"/>
              <w:rPr>
                <w:sz w:val="20"/>
                <w:szCs w:val="20"/>
                <w:color w:val="auto"/>
              </w:rPr>
            </w:pPr>
            <w:r>
              <w:rPr>
                <w:rFonts w:ascii="Arial" w:cs="Arial" w:eastAsia="Arial" w:hAnsi="Arial"/>
                <w:sz w:val="15"/>
                <w:szCs w:val="15"/>
                <w:color w:val="auto"/>
              </w:rPr>
              <w:t>Big Data/Cloud</w:t>
            </w:r>
          </w:p>
        </w:tc>
        <w:tc>
          <w:tcPr>
            <w:tcW w:w="2760" w:type="dxa"/>
            <w:vAlign w:val="bottom"/>
          </w:tcPr>
          <w:p>
            <w:pPr>
              <w:spacing w:after="0"/>
              <w:rPr>
                <w:sz w:val="20"/>
                <w:szCs w:val="20"/>
                <w:color w:val="auto"/>
              </w:rPr>
            </w:pPr>
            <w:r>
              <w:rPr>
                <w:rFonts w:ascii="Arial" w:cs="Arial" w:eastAsia="Arial" w:hAnsi="Arial"/>
                <w:sz w:val="15"/>
                <w:szCs w:val="15"/>
                <w:color w:val="auto"/>
              </w:rPr>
              <w:t>Big Data Consulting</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Cloud Computing Services</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Consumer Health Technology</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Customer Relationship Manager</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Data Analysis</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Mobile Device Management</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Smart Device Company</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Social Cognitive Learning</w:t>
            </w:r>
          </w:p>
        </w:tc>
      </w:tr>
      <w:tr>
        <w:trPr>
          <w:trHeight w:val="196"/>
        </w:trPr>
        <w:tc>
          <w:tcPr>
            <w:tcW w:w="2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Social Media Analytics</w:t>
            </w:r>
          </w:p>
        </w:tc>
      </w:tr>
      <w:tr>
        <w:trPr>
          <w:trHeight w:val="287"/>
        </w:trPr>
        <w:tc>
          <w:tcPr>
            <w:tcW w:w="2240" w:type="dxa"/>
            <w:vAlign w:val="bottom"/>
            <w:gridSpan w:val="2"/>
          </w:tcPr>
          <w:p>
            <w:pPr>
              <w:spacing w:after="0"/>
              <w:rPr>
                <w:sz w:val="20"/>
                <w:szCs w:val="20"/>
                <w:color w:val="auto"/>
              </w:rPr>
            </w:pPr>
            <w:r>
              <w:rPr>
                <w:rFonts w:ascii="Arial" w:cs="Arial" w:eastAsia="Arial" w:hAnsi="Arial"/>
                <w:sz w:val="15"/>
                <w:szCs w:val="15"/>
                <w:color w:val="auto"/>
              </w:rPr>
              <w:t>Marketplaces</w:t>
            </w:r>
          </w:p>
        </w:tc>
        <w:tc>
          <w:tcPr>
            <w:tcW w:w="2760" w:type="dxa"/>
            <w:vAlign w:val="bottom"/>
          </w:tcPr>
          <w:p>
            <w:pPr>
              <w:spacing w:after="0"/>
              <w:rPr>
                <w:sz w:val="20"/>
                <w:szCs w:val="20"/>
                <w:color w:val="auto"/>
              </w:rPr>
            </w:pPr>
            <w:r>
              <w:rPr>
                <w:rFonts w:ascii="Arial" w:cs="Arial" w:eastAsia="Arial" w:hAnsi="Arial"/>
                <w:sz w:val="15"/>
                <w:szCs w:val="15"/>
                <w:color w:val="auto"/>
              </w:rPr>
              <w:t>Cash Payment Network</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Equity Crowdfunding</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Financial Services</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Global Innovation Platform</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Knowledge Networks</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On-Demand Commerce</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On-Demand Transportation Services</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Online Marketplace Finance</w:t>
            </w:r>
          </w:p>
        </w:tc>
      </w:tr>
      <w:tr>
        <w:trPr>
          <w:trHeight w:val="201"/>
        </w:trPr>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Peer-to-Peer Pet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6" w:name="page107"/>
    <w:bookmarkEnd w:id="10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21" w:lineRule="exact"/>
        <w:rPr>
          <w:sz w:val="20"/>
          <w:szCs w:val="20"/>
          <w:color w:val="auto"/>
        </w:rPr>
      </w:pPr>
    </w:p>
    <w:tbl>
      <w:tblPr>
        <w:tblLayout w:type="fixed"/>
        <w:tblInd w:w="1940" w:type="dxa"/>
        <w:tblCellMar>
          <w:top w:w="0" w:type="dxa"/>
          <w:left w:w="0" w:type="dxa"/>
          <w:bottom w:w="0" w:type="dxa"/>
          <w:right w:w="0" w:type="dxa"/>
        </w:tblCellMar>
      </w:tblPr>
      <w:tr>
        <w:trPr>
          <w:trHeight w:val="157"/>
        </w:trPr>
        <w:tc>
          <w:tcPr>
            <w:tcW w:w="2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Industry Theme</w:t>
            </w:r>
          </w:p>
        </w:tc>
        <w:tc>
          <w:tcPr>
            <w:tcW w:w="180" w:type="dxa"/>
            <w:vAlign w:val="bottom"/>
          </w:tcPr>
          <w:p>
            <w:pPr>
              <w:spacing w:after="0"/>
              <w:rPr>
                <w:sz w:val="13"/>
                <w:szCs w:val="13"/>
                <w:color w:val="auto"/>
              </w:rPr>
            </w:pPr>
          </w:p>
        </w:tc>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Industry</w:t>
            </w:r>
          </w:p>
        </w:tc>
      </w:tr>
      <w:tr>
        <w:trPr>
          <w:trHeight w:val="208"/>
        </w:trPr>
        <w:tc>
          <w:tcPr>
            <w:tcW w:w="2240" w:type="dxa"/>
            <w:vAlign w:val="bottom"/>
            <w:gridSpan w:val="2"/>
          </w:tcPr>
          <w:p>
            <w:pPr>
              <w:spacing w:after="0"/>
              <w:rPr>
                <w:sz w:val="20"/>
                <w:szCs w:val="20"/>
                <w:color w:val="auto"/>
              </w:rPr>
            </w:pPr>
            <w:r>
              <w:rPr>
                <w:rFonts w:ascii="Arial" w:cs="Arial" w:eastAsia="Arial" w:hAnsi="Arial"/>
                <w:sz w:val="15"/>
                <w:szCs w:val="15"/>
                <w:color w:val="auto"/>
              </w:rPr>
              <w:t>Social/Mobile</w:t>
            </w:r>
          </w:p>
        </w:tc>
        <w:tc>
          <w:tcPr>
            <w:tcW w:w="2760" w:type="dxa"/>
            <w:vAlign w:val="bottom"/>
          </w:tcPr>
          <w:p>
            <w:pPr>
              <w:spacing w:after="0"/>
              <w:rPr>
                <w:sz w:val="20"/>
                <w:szCs w:val="20"/>
                <w:color w:val="auto"/>
              </w:rPr>
            </w:pPr>
            <w:r>
              <w:rPr>
                <w:rFonts w:ascii="Arial" w:cs="Arial" w:eastAsia="Arial" w:hAnsi="Arial"/>
                <w:sz w:val="15"/>
                <w:szCs w:val="15"/>
                <w:color w:val="auto"/>
              </w:rPr>
              <w:t>Digital Media Platform</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Light Field Imaging Platform</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On-Demand Music Streaming</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Social Communication</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Social Data Platform</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Social Media</w:t>
            </w:r>
          </w:p>
        </w:tc>
      </w:tr>
      <w:tr>
        <w:trPr>
          <w:trHeight w:val="190"/>
        </w:trPr>
        <w:tc>
          <w:tcPr>
            <w:tcW w:w="2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Sports Analytics</w:t>
            </w:r>
          </w:p>
        </w:tc>
      </w:tr>
      <w:tr>
        <w:trPr>
          <w:trHeight w:val="292"/>
        </w:trPr>
        <w:tc>
          <w:tcPr>
            <w:tcW w:w="2240" w:type="dxa"/>
            <w:vAlign w:val="bottom"/>
            <w:gridSpan w:val="2"/>
          </w:tcPr>
          <w:p>
            <w:pPr>
              <w:spacing w:after="0"/>
              <w:rPr>
                <w:sz w:val="20"/>
                <w:szCs w:val="20"/>
                <w:color w:val="auto"/>
              </w:rPr>
            </w:pPr>
            <w:r>
              <w:rPr>
                <w:rFonts w:ascii="Arial" w:cs="Arial" w:eastAsia="Arial" w:hAnsi="Arial"/>
                <w:sz w:val="15"/>
                <w:szCs w:val="15"/>
                <w:color w:val="auto"/>
              </w:rPr>
              <w:t>Sustainability</w:t>
            </w:r>
          </w:p>
        </w:tc>
        <w:tc>
          <w:tcPr>
            <w:tcW w:w="2760" w:type="dxa"/>
            <w:vAlign w:val="bottom"/>
          </w:tcPr>
          <w:p>
            <w:pPr>
              <w:spacing w:after="0"/>
              <w:rPr>
                <w:sz w:val="20"/>
                <w:szCs w:val="20"/>
                <w:color w:val="auto"/>
              </w:rPr>
            </w:pPr>
            <w:r>
              <w:rPr>
                <w:rFonts w:ascii="Arial" w:cs="Arial" w:eastAsia="Arial" w:hAnsi="Arial"/>
                <w:sz w:val="15"/>
                <w:szCs w:val="15"/>
                <w:color w:val="auto"/>
              </w:rPr>
              <w:t>Clean Technology</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Solar Power</w:t>
            </w:r>
          </w:p>
        </w:tc>
      </w:tr>
    </w:tbl>
    <w:p>
      <w:pPr>
        <w:spacing w:after="0" w:line="29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Investment Valuation Inputs</w:t>
      </w:r>
    </w:p>
    <w:p>
      <w:pPr>
        <w:spacing w:after="0" w:line="88" w:lineRule="exact"/>
        <w:rPr>
          <w:sz w:val="20"/>
          <w:szCs w:val="20"/>
          <w:color w:val="auto"/>
        </w:rPr>
      </w:pPr>
    </w:p>
    <w:p>
      <w:pPr>
        <w:ind w:left="1060" w:right="2459" w:firstLine="297"/>
        <w:spacing w:after="0" w:line="259" w:lineRule="auto"/>
        <w:rPr>
          <w:sz w:val="20"/>
          <w:szCs w:val="20"/>
          <w:color w:val="auto"/>
        </w:rPr>
      </w:pPr>
      <w:r>
        <w:rPr>
          <w:rFonts w:ascii="Arial" w:cs="Arial" w:eastAsia="Arial" w:hAnsi="Arial"/>
          <w:sz w:val="15"/>
          <w:szCs w:val="15"/>
          <w:color w:val="auto"/>
        </w:rPr>
        <w:t>The fair values of the Company’s investments disaggregated into the three levels of the fair value hierarchy based upon the lowest level of significant input used in the valuation as of December 31, 2017 and December 31, 2016 are as follows:</w:t>
      </w:r>
    </w:p>
    <w:p>
      <w:pPr>
        <w:spacing w:after="0" w:line="82"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7"/>
          </w:tcPr>
          <w:p>
            <w:pPr>
              <w:jc w:val="right"/>
              <w:ind w:right="580"/>
              <w:spacing w:after="0"/>
              <w:rPr>
                <w:sz w:val="20"/>
                <w:szCs w:val="20"/>
                <w:color w:val="auto"/>
              </w:rPr>
            </w:pPr>
            <w:r>
              <w:rPr>
                <w:rFonts w:ascii="Arial" w:cs="Arial" w:eastAsia="Arial" w:hAnsi="Arial"/>
                <w:sz w:val="12"/>
                <w:szCs w:val="12"/>
                <w:b w:val="1"/>
                <w:bCs w:val="1"/>
                <w:color w:val="auto"/>
              </w:rPr>
              <w:t>As of December 31, 2017</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0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8"/>
              </w:rPr>
              <w:t>Quoted Prices in</w:t>
            </w:r>
          </w:p>
        </w:tc>
        <w:tc>
          <w:tcPr>
            <w:tcW w:w="108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0"/>
              </w:rPr>
              <w:t>Significant Other</w:t>
            </w:r>
          </w:p>
        </w:tc>
        <w:tc>
          <w:tcPr>
            <w:tcW w:w="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Significant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Active Markets for</w:t>
            </w:r>
          </w:p>
        </w:tc>
        <w:tc>
          <w:tcPr>
            <w:tcW w:w="1080" w:type="dxa"/>
            <w:vAlign w:val="bottom"/>
            <w:gridSpan w:val="4"/>
          </w:tcPr>
          <w:p>
            <w:pPr>
              <w:jc w:val="center"/>
              <w:ind w:right="220"/>
              <w:spacing w:after="0" w:line="134" w:lineRule="exact"/>
              <w:rPr>
                <w:sz w:val="20"/>
                <w:szCs w:val="20"/>
                <w:color w:val="auto"/>
              </w:rPr>
            </w:pPr>
            <w:r>
              <w:rPr>
                <w:rFonts w:ascii="Arial" w:cs="Arial" w:eastAsia="Arial" w:hAnsi="Arial"/>
                <w:sz w:val="12"/>
                <w:szCs w:val="12"/>
                <w:b w:val="1"/>
                <w:bCs w:val="1"/>
                <w:color w:val="auto"/>
                <w:w w:val="88"/>
              </w:rPr>
              <w:t>Observable</w:t>
            </w:r>
          </w:p>
        </w:tc>
        <w:tc>
          <w:tcPr>
            <w:tcW w:w="98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88"/>
              </w:rPr>
              <w:t>Unobservable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center"/>
              <w:ind w:right="180"/>
              <w:spacing w:after="0" w:line="134" w:lineRule="exact"/>
              <w:rPr>
                <w:sz w:val="20"/>
                <w:szCs w:val="20"/>
                <w:color w:val="auto"/>
              </w:rPr>
            </w:pPr>
            <w:r>
              <w:rPr>
                <w:rFonts w:ascii="Arial" w:cs="Arial" w:eastAsia="Arial" w:hAnsi="Arial"/>
                <w:sz w:val="12"/>
                <w:szCs w:val="12"/>
                <w:b w:val="1"/>
                <w:bCs w:val="1"/>
                <w:color w:val="auto"/>
                <w:w w:val="87"/>
              </w:rPr>
              <w:t>Identical Securities</w:t>
            </w:r>
          </w:p>
        </w:tc>
        <w:tc>
          <w:tcPr>
            <w:tcW w:w="108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88"/>
              </w:rPr>
              <w:t>Inputs</w:t>
            </w:r>
          </w:p>
        </w:tc>
        <w:tc>
          <w:tcPr>
            <w:tcW w:w="80" w:type="dxa"/>
            <w:vAlign w:val="bottom"/>
          </w:tcPr>
          <w:p>
            <w:pPr>
              <w:spacing w:after="0"/>
              <w:rPr>
                <w:sz w:val="11"/>
                <w:szCs w:val="11"/>
                <w:color w:val="auto"/>
              </w:rPr>
            </w:pPr>
          </w:p>
        </w:tc>
        <w:tc>
          <w:tcPr>
            <w:tcW w:w="900" w:type="dxa"/>
            <w:vAlign w:val="bottom"/>
            <w:gridSpan w:val="2"/>
          </w:tcPr>
          <w:p>
            <w:pPr>
              <w:jc w:val="center"/>
              <w:ind w:right="280"/>
              <w:spacing w:after="0" w:line="134" w:lineRule="exact"/>
              <w:rPr>
                <w:sz w:val="20"/>
                <w:szCs w:val="20"/>
                <w:color w:val="auto"/>
              </w:rPr>
            </w:pPr>
            <w:r>
              <w:rPr>
                <w:rFonts w:ascii="Arial" w:cs="Arial" w:eastAsia="Arial" w:hAnsi="Arial"/>
                <w:sz w:val="12"/>
                <w:szCs w:val="12"/>
                <w:b w:val="1"/>
                <w:bCs w:val="1"/>
                <w:color w:val="auto"/>
                <w:w w:val="94"/>
              </w:rPr>
              <w:t>Inputs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0"/>
              </w:rPr>
              <w:t>(Level 1)</w:t>
            </w:r>
          </w:p>
        </w:tc>
        <w:tc>
          <w:tcPr>
            <w:tcW w:w="10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4"/>
              </w:rPr>
              <w:t>(Level 2)</w:t>
            </w: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(Level 3)</w:t>
            </w:r>
          </w:p>
        </w:tc>
        <w:tc>
          <w:tcPr>
            <w:tcW w:w="80" w:type="dxa"/>
            <w:vAlign w:val="bottom"/>
          </w:tcPr>
          <w:p>
            <w:pPr>
              <w:spacing w:after="0"/>
              <w:rPr>
                <w:sz w:val="13"/>
                <w:szCs w:val="13"/>
                <w:color w:val="auto"/>
              </w:rPr>
            </w:pPr>
          </w:p>
        </w:tc>
        <w:tc>
          <w:tcPr>
            <w:tcW w:w="760" w:type="dxa"/>
            <w:vAlign w:val="bottom"/>
          </w:tcPr>
          <w:p>
            <w:pPr>
              <w:jc w:val="right"/>
              <w:ind w:right="22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Investments at Fair Value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Stock</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w w:val="9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86,824,096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86,824,096</w:t>
            </w:r>
          </w:p>
        </w:tc>
        <w:tc>
          <w:tcPr>
            <w:tcW w:w="0" w:type="dxa"/>
            <w:vAlign w:val="bottom"/>
          </w:tcPr>
          <w:p>
            <w:pPr>
              <w:spacing w:after="0"/>
              <w:rPr>
                <w:sz w:val="1"/>
                <w:szCs w:val="1"/>
                <w:color w:val="auto"/>
              </w:rPr>
            </w:pPr>
          </w:p>
        </w:tc>
      </w:tr>
      <w:tr>
        <w:trPr>
          <w:trHeight w:val="212"/>
        </w:trPr>
        <w:tc>
          <w:tcPr>
            <w:tcW w:w="2580" w:type="dxa"/>
            <w:vAlign w:val="bottom"/>
          </w:tcPr>
          <w:p>
            <w:pPr>
              <w:ind w:left="160"/>
              <w:spacing w:after="0"/>
              <w:rPr>
                <w:sz w:val="20"/>
                <w:szCs w:val="20"/>
                <w:color w:val="auto"/>
              </w:rPr>
            </w:pPr>
            <w:r>
              <w:rPr>
                <w:rFonts w:ascii="Arial" w:cs="Arial" w:eastAsia="Arial" w:hAnsi="Arial"/>
                <w:sz w:val="15"/>
                <w:szCs w:val="15"/>
                <w:color w:val="auto"/>
              </w:rPr>
              <w:t>Preferred 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120,253,822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120,253,822</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Debt Investments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4,916,578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4,916,578</w:t>
            </w:r>
          </w:p>
        </w:tc>
        <w:tc>
          <w:tcPr>
            <w:tcW w:w="0" w:type="dxa"/>
            <w:vAlign w:val="bottom"/>
          </w:tcPr>
          <w:p>
            <w:pPr>
              <w:spacing w:after="0"/>
              <w:rPr>
                <w:sz w:val="1"/>
                <w:szCs w:val="1"/>
                <w:color w:val="auto"/>
              </w:rPr>
            </w:pPr>
          </w:p>
        </w:tc>
      </w:tr>
      <w:tr>
        <w:trPr>
          <w:trHeight w:val="217"/>
        </w:trPr>
        <w:tc>
          <w:tcPr>
            <w:tcW w:w="2580" w:type="dxa"/>
            <w:vAlign w:val="bottom"/>
          </w:tcPr>
          <w:p>
            <w:pPr>
              <w:ind w:left="160"/>
              <w:spacing w:after="0"/>
              <w:rPr>
                <w:sz w:val="20"/>
                <w:szCs w:val="20"/>
                <w:color w:val="auto"/>
              </w:rPr>
            </w:pPr>
            <w:r>
              <w:rPr>
                <w:rFonts w:ascii="Arial" w:cs="Arial" w:eastAsia="Arial" w:hAnsi="Arial"/>
                <w:sz w:val="15"/>
                <w:szCs w:val="15"/>
                <w:color w:val="auto"/>
              </w:rPr>
              <w:t>Warrants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433,997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433,997</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212,428,493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212,428,493</w:t>
            </w:r>
          </w:p>
        </w:tc>
        <w:tc>
          <w:tcPr>
            <w:tcW w:w="0" w:type="dxa"/>
            <w:vAlign w:val="bottom"/>
          </w:tcPr>
          <w:p>
            <w:pPr>
              <w:spacing w:after="0"/>
              <w:rPr>
                <w:sz w:val="1"/>
                <w:szCs w:val="1"/>
                <w:color w:val="auto"/>
              </w:rPr>
            </w:pPr>
          </w:p>
        </w:tc>
      </w:tr>
      <w:tr>
        <w:trPr>
          <w:trHeight w:val="298"/>
        </w:trPr>
        <w:tc>
          <w:tcPr>
            <w:tcW w:w="258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w w:val="96"/>
              </w:rPr>
              <w:t>Publicly Traded Portfolio Companies</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Stock</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8,160,000</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Total Portfolio Investments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8,160,000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212,428,493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220,588,493</w:t>
            </w:r>
          </w:p>
        </w:tc>
        <w:tc>
          <w:tcPr>
            <w:tcW w:w="0" w:type="dxa"/>
            <w:vAlign w:val="bottom"/>
          </w:tcPr>
          <w:p>
            <w:pPr>
              <w:spacing w:after="0"/>
              <w:rPr>
                <w:sz w:val="1"/>
                <w:szCs w:val="1"/>
                <w:color w:val="auto"/>
              </w:rPr>
            </w:pPr>
          </w:p>
        </w:tc>
      </w:tr>
      <w:tr>
        <w:trPr>
          <w:trHeight w:val="298"/>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Non-Portfolio Investments</w:t>
            </w:r>
          </w:p>
        </w:tc>
        <w:tc>
          <w:tcPr>
            <w:tcW w:w="1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80" w:type="dxa"/>
            <w:vAlign w:val="bottom"/>
          </w:tcPr>
          <w:p>
            <w:pPr>
              <w:ind w:left="20"/>
              <w:spacing w:after="0"/>
              <w:rPr>
                <w:sz w:val="20"/>
                <w:szCs w:val="20"/>
                <w:color w:val="auto"/>
              </w:rPr>
            </w:pPr>
            <w:r>
              <w:rPr>
                <w:rFonts w:ascii="Arial" w:cs="Arial" w:eastAsia="Arial" w:hAnsi="Arial"/>
                <w:sz w:val="15"/>
                <w:szCs w:val="15"/>
                <w:color w:val="auto"/>
              </w:rPr>
              <w:t>U.S. Treasury bill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99,994,000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99,994,000</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Investments at Fair Value</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vMerge w:val="continue"/>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108,154,000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w w:val="9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212,428,493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320,582,493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-162560</wp:posOffset>
            </wp:positionV>
            <wp:extent cx="10604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-162560</wp:posOffset>
            </wp:positionV>
            <wp:extent cx="315341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153410"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-502285</wp:posOffset>
            </wp:positionV>
            <wp:extent cx="10604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-502285</wp:posOffset>
            </wp:positionV>
            <wp:extent cx="315341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153410"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-1140460</wp:posOffset>
            </wp:positionV>
            <wp:extent cx="10604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-1140460</wp:posOffset>
            </wp:positionV>
            <wp:extent cx="315341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153410"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-1962150</wp:posOffset>
            </wp:positionV>
            <wp:extent cx="9906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-1962150</wp:posOffset>
            </wp:positionV>
            <wp:extent cx="9906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-1962150</wp:posOffset>
            </wp:positionV>
            <wp:extent cx="246570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7" w:name="page108"/>
    <w:bookmarkEnd w:id="10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3"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7"/>
          </w:tcPr>
          <w:p>
            <w:pPr>
              <w:jc w:val="right"/>
              <w:ind w:right="580"/>
              <w:spacing w:after="0"/>
              <w:rPr>
                <w:sz w:val="20"/>
                <w:szCs w:val="20"/>
                <w:color w:val="auto"/>
              </w:rPr>
            </w:pPr>
            <w:r>
              <w:rPr>
                <w:rFonts w:ascii="Arial" w:cs="Arial" w:eastAsia="Arial" w:hAnsi="Arial"/>
                <w:sz w:val="12"/>
                <w:szCs w:val="12"/>
                <w:b w:val="1"/>
                <w:bCs w:val="1"/>
                <w:color w:val="auto"/>
              </w:rPr>
              <w:t>As of December 31, 2016</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5"/>
          </w:tcPr>
          <w:p>
            <w:pPr>
              <w:spacing w:after="0" w:line="20" w:lineRule="exact"/>
              <w:rPr>
                <w:sz w:val="1"/>
                <w:szCs w:val="1"/>
                <w:color w:val="auto"/>
              </w:rPr>
            </w:pPr>
          </w:p>
        </w:tc>
        <w:tc>
          <w:tcPr>
            <w:tcW w:w="10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8"/>
              </w:rPr>
              <w:t>Quoted Prices in</w:t>
            </w:r>
          </w:p>
        </w:tc>
        <w:tc>
          <w:tcPr>
            <w:tcW w:w="108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0"/>
              </w:rPr>
              <w:t>Significant Other</w:t>
            </w:r>
          </w:p>
        </w:tc>
        <w:tc>
          <w:tcPr>
            <w:tcW w:w="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Significant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Active Markets for</w:t>
            </w:r>
          </w:p>
        </w:tc>
        <w:tc>
          <w:tcPr>
            <w:tcW w:w="1080" w:type="dxa"/>
            <w:vAlign w:val="bottom"/>
            <w:gridSpan w:val="4"/>
          </w:tcPr>
          <w:p>
            <w:pPr>
              <w:jc w:val="center"/>
              <w:ind w:right="220"/>
              <w:spacing w:after="0" w:line="134" w:lineRule="exact"/>
              <w:rPr>
                <w:sz w:val="20"/>
                <w:szCs w:val="20"/>
                <w:color w:val="auto"/>
              </w:rPr>
            </w:pPr>
            <w:r>
              <w:rPr>
                <w:rFonts w:ascii="Arial" w:cs="Arial" w:eastAsia="Arial" w:hAnsi="Arial"/>
                <w:sz w:val="12"/>
                <w:szCs w:val="12"/>
                <w:b w:val="1"/>
                <w:bCs w:val="1"/>
                <w:color w:val="auto"/>
                <w:w w:val="88"/>
              </w:rPr>
              <w:t>Observable</w:t>
            </w:r>
          </w:p>
        </w:tc>
        <w:tc>
          <w:tcPr>
            <w:tcW w:w="98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88"/>
              </w:rPr>
              <w:t>Unobservable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center"/>
              <w:ind w:right="180"/>
              <w:spacing w:after="0" w:line="134" w:lineRule="exact"/>
              <w:rPr>
                <w:sz w:val="20"/>
                <w:szCs w:val="20"/>
                <w:color w:val="auto"/>
              </w:rPr>
            </w:pPr>
            <w:r>
              <w:rPr>
                <w:rFonts w:ascii="Arial" w:cs="Arial" w:eastAsia="Arial" w:hAnsi="Arial"/>
                <w:sz w:val="12"/>
                <w:szCs w:val="12"/>
                <w:b w:val="1"/>
                <w:bCs w:val="1"/>
                <w:color w:val="auto"/>
                <w:w w:val="87"/>
              </w:rPr>
              <w:t>Identical Securities</w:t>
            </w:r>
          </w:p>
        </w:tc>
        <w:tc>
          <w:tcPr>
            <w:tcW w:w="108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88"/>
              </w:rPr>
              <w:t>Inputs</w:t>
            </w:r>
          </w:p>
        </w:tc>
        <w:tc>
          <w:tcPr>
            <w:tcW w:w="80" w:type="dxa"/>
            <w:vAlign w:val="bottom"/>
          </w:tcPr>
          <w:p>
            <w:pPr>
              <w:spacing w:after="0"/>
              <w:rPr>
                <w:sz w:val="11"/>
                <w:szCs w:val="11"/>
                <w:color w:val="auto"/>
              </w:rPr>
            </w:pPr>
          </w:p>
        </w:tc>
        <w:tc>
          <w:tcPr>
            <w:tcW w:w="900" w:type="dxa"/>
            <w:vAlign w:val="bottom"/>
            <w:gridSpan w:val="2"/>
          </w:tcPr>
          <w:p>
            <w:pPr>
              <w:jc w:val="center"/>
              <w:ind w:right="280"/>
              <w:spacing w:after="0" w:line="134" w:lineRule="exact"/>
              <w:rPr>
                <w:sz w:val="20"/>
                <w:szCs w:val="20"/>
                <w:color w:val="auto"/>
              </w:rPr>
            </w:pPr>
            <w:r>
              <w:rPr>
                <w:rFonts w:ascii="Arial" w:cs="Arial" w:eastAsia="Arial" w:hAnsi="Arial"/>
                <w:sz w:val="12"/>
                <w:szCs w:val="12"/>
                <w:b w:val="1"/>
                <w:bCs w:val="1"/>
                <w:color w:val="auto"/>
                <w:w w:val="94"/>
              </w:rPr>
              <w:t>Inputs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0"/>
              </w:rPr>
              <w:t>(Level 1)</w:t>
            </w:r>
          </w:p>
        </w:tc>
        <w:tc>
          <w:tcPr>
            <w:tcW w:w="10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4"/>
              </w:rPr>
              <w:t>(Level 2)</w:t>
            </w: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(Level 3)</w:t>
            </w:r>
          </w:p>
        </w:tc>
        <w:tc>
          <w:tcPr>
            <w:tcW w:w="80" w:type="dxa"/>
            <w:vAlign w:val="bottom"/>
          </w:tcPr>
          <w:p>
            <w:pPr>
              <w:spacing w:after="0"/>
              <w:rPr>
                <w:sz w:val="13"/>
                <w:szCs w:val="13"/>
                <w:color w:val="auto"/>
              </w:rPr>
            </w:pPr>
          </w:p>
        </w:tc>
        <w:tc>
          <w:tcPr>
            <w:tcW w:w="760" w:type="dxa"/>
            <w:vAlign w:val="bottom"/>
          </w:tcPr>
          <w:p>
            <w:pPr>
              <w:jc w:val="right"/>
              <w:ind w:right="22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Investments at Fair Value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Stock</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w w:val="9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83,074,410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83,074,410</w:t>
            </w:r>
          </w:p>
        </w:tc>
        <w:tc>
          <w:tcPr>
            <w:tcW w:w="0" w:type="dxa"/>
            <w:vAlign w:val="bottom"/>
          </w:tcPr>
          <w:p>
            <w:pPr>
              <w:spacing w:after="0"/>
              <w:rPr>
                <w:sz w:val="1"/>
                <w:szCs w:val="1"/>
                <w:color w:val="auto"/>
              </w:rPr>
            </w:pPr>
          </w:p>
        </w:tc>
      </w:tr>
      <w:tr>
        <w:trPr>
          <w:trHeight w:val="212"/>
        </w:trPr>
        <w:tc>
          <w:tcPr>
            <w:tcW w:w="2580" w:type="dxa"/>
            <w:vAlign w:val="bottom"/>
          </w:tcPr>
          <w:p>
            <w:pPr>
              <w:ind w:left="160"/>
              <w:spacing w:after="0"/>
              <w:rPr>
                <w:sz w:val="20"/>
                <w:szCs w:val="20"/>
                <w:color w:val="auto"/>
              </w:rPr>
            </w:pPr>
            <w:r>
              <w:rPr>
                <w:rFonts w:ascii="Arial" w:cs="Arial" w:eastAsia="Arial" w:hAnsi="Arial"/>
                <w:sz w:val="15"/>
                <w:szCs w:val="15"/>
                <w:color w:val="auto"/>
              </w:rPr>
              <w:t>Preferred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162,238,879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162,238,879</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Debt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7,821,948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7,821,948</w:t>
            </w:r>
          </w:p>
        </w:tc>
        <w:tc>
          <w:tcPr>
            <w:tcW w:w="0" w:type="dxa"/>
            <w:vAlign w:val="bottom"/>
          </w:tcPr>
          <w:p>
            <w:pPr>
              <w:spacing w:after="0"/>
              <w:rPr>
                <w:sz w:val="1"/>
                <w:szCs w:val="1"/>
                <w:color w:val="auto"/>
              </w:rPr>
            </w:pPr>
          </w:p>
        </w:tc>
      </w:tr>
      <w:tr>
        <w:trPr>
          <w:trHeight w:val="217"/>
        </w:trPr>
        <w:tc>
          <w:tcPr>
            <w:tcW w:w="2580" w:type="dxa"/>
            <w:vAlign w:val="bottom"/>
          </w:tcPr>
          <w:p>
            <w:pPr>
              <w:ind w:left="160"/>
              <w:spacing w:after="0"/>
              <w:rPr>
                <w:sz w:val="20"/>
                <w:szCs w:val="20"/>
                <w:color w:val="auto"/>
              </w:rPr>
            </w:pPr>
            <w:r>
              <w:rPr>
                <w:rFonts w:ascii="Arial" w:cs="Arial" w:eastAsia="Arial" w:hAnsi="Arial"/>
                <w:sz w:val="15"/>
                <w:szCs w:val="15"/>
                <w:color w:val="auto"/>
              </w:rPr>
              <w:t>Warrants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150,904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150,904</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253,286,141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253,286,141</w:t>
            </w:r>
          </w:p>
        </w:tc>
        <w:tc>
          <w:tcPr>
            <w:tcW w:w="0" w:type="dxa"/>
            <w:vAlign w:val="bottom"/>
          </w:tcPr>
          <w:p>
            <w:pPr>
              <w:spacing w:after="0"/>
              <w:rPr>
                <w:sz w:val="1"/>
                <w:szCs w:val="1"/>
                <w:color w:val="auto"/>
              </w:rPr>
            </w:pPr>
          </w:p>
        </w:tc>
      </w:tr>
      <w:tr>
        <w:trPr>
          <w:trHeight w:val="298"/>
        </w:trPr>
        <w:tc>
          <w:tcPr>
            <w:tcW w:w="258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w w:val="96"/>
              </w:rPr>
              <w:t>Publicly Traded Portfolio Companies</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8"/>
              </w:rPr>
              <w:t>8,729,005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8,729,005</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Total Portfolio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98"/>
              </w:rPr>
              <w:t>8,729,005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253,286,141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262,015,146</w:t>
            </w:r>
          </w:p>
        </w:tc>
        <w:tc>
          <w:tcPr>
            <w:tcW w:w="0" w:type="dxa"/>
            <w:vAlign w:val="bottom"/>
          </w:tcPr>
          <w:p>
            <w:pPr>
              <w:spacing w:after="0"/>
              <w:rPr>
                <w:sz w:val="1"/>
                <w:szCs w:val="1"/>
                <w:color w:val="auto"/>
              </w:rPr>
            </w:pPr>
          </w:p>
        </w:tc>
      </w:tr>
      <w:tr>
        <w:trPr>
          <w:trHeight w:val="298"/>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Non-Portfolio Investments</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80" w:type="dxa"/>
            <w:vAlign w:val="bottom"/>
          </w:tcPr>
          <w:p>
            <w:pPr>
              <w:ind w:left="20"/>
              <w:spacing w:after="0"/>
              <w:rPr>
                <w:sz w:val="20"/>
                <w:szCs w:val="20"/>
                <w:color w:val="auto"/>
              </w:rPr>
            </w:pPr>
            <w:r>
              <w:rPr>
                <w:rFonts w:ascii="Arial" w:cs="Arial" w:eastAsia="Arial" w:hAnsi="Arial"/>
                <w:sz w:val="15"/>
                <w:szCs w:val="15"/>
                <w:color w:val="auto"/>
              </w:rPr>
              <w:t>U.S. Treasury bill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29,998,490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29,998,490</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rPr>
              <w:t>Total Investments at Fair Value</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vMerge w:val="continue"/>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7"/>
              </w:rPr>
              <w:t>38,727,495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5"/>
                <w:szCs w:val="15"/>
                <w:color w:val="auto"/>
                <w:w w:val="9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253,286,141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292,013,636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-162560</wp:posOffset>
            </wp:positionV>
            <wp:extent cx="10604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-162560</wp:posOffset>
            </wp:positionV>
            <wp:extent cx="315341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153410"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-502285</wp:posOffset>
            </wp:positionV>
            <wp:extent cx="10604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-502285</wp:posOffset>
            </wp:positionV>
            <wp:extent cx="315341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53410"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-1140460</wp:posOffset>
            </wp:positionV>
            <wp:extent cx="10604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604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-1140460</wp:posOffset>
            </wp:positionV>
            <wp:extent cx="315341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153410"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-1962150</wp:posOffset>
            </wp:positionV>
            <wp:extent cx="9906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-1962150</wp:posOffset>
            </wp:positionV>
            <wp:extent cx="9906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-1962150</wp:posOffset>
            </wp:positionV>
            <wp:extent cx="246570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65705" cy="6985"/>
                    </a:xfrm>
                    <a:prstGeom prst="rect">
                      <a:avLst/>
                    </a:prstGeom>
                    <a:noFill/>
                  </pic:spPr>
                </pic:pic>
              </a:graphicData>
            </a:graphic>
          </wp:anchor>
        </w:drawing>
      </w:r>
    </w:p>
    <w:p>
      <w:pPr>
        <w:spacing w:after="0" w:line="27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Significant Unobservable Inputs for Level 3 Assets and Liabilities</w:t>
      </w:r>
    </w:p>
    <w:p>
      <w:pPr>
        <w:spacing w:after="0" w:line="84"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 xml:space="preserve">In accordance with FASB ASC 820, the tables below provide quantitative information about the Company’s fair value measurements of its Level 3 assets as of December 31, 2017 and December 31, 2016.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2017 and December 31, 2016. Significant changes in the inputs in isolation would result in a significant change in the fair value measurement, depending on the input and the materiality of the investment. Refer to “Note 2 — Significant Accounting Policies — </w:t>
      </w:r>
      <w:r>
        <w:rPr>
          <w:rFonts w:ascii="Arial" w:cs="Arial" w:eastAsia="Arial" w:hAnsi="Arial"/>
          <w:sz w:val="14"/>
          <w:szCs w:val="14"/>
          <w:i w:val="1"/>
          <w:iCs w:val="1"/>
          <w:color w:val="auto"/>
        </w:rPr>
        <w:t>Investments at Fair</w:t>
      </w:r>
      <w:r>
        <w:rPr>
          <w:rFonts w:ascii="Arial" w:cs="Arial" w:eastAsia="Arial" w:hAnsi="Arial"/>
          <w:sz w:val="14"/>
          <w:szCs w:val="14"/>
          <w:color w:val="auto"/>
        </w:rPr>
        <w:t xml:space="preserve"> </w:t>
      </w:r>
      <w:r>
        <w:rPr>
          <w:rFonts w:ascii="Arial" w:cs="Arial" w:eastAsia="Arial" w:hAnsi="Arial"/>
          <w:sz w:val="14"/>
          <w:szCs w:val="14"/>
          <w:i w:val="1"/>
          <w:iCs w:val="1"/>
          <w:color w:val="auto"/>
        </w:rPr>
        <w:t>Value</w:t>
      </w:r>
      <w:r>
        <w:rPr>
          <w:rFonts w:ascii="Arial" w:cs="Arial" w:eastAsia="Arial" w:hAnsi="Arial"/>
          <w:sz w:val="14"/>
          <w:szCs w:val="14"/>
          <w:color w:val="auto"/>
        </w:rPr>
        <w:t>” for more detail.</w:t>
      </w:r>
    </w:p>
    <w:p>
      <w:pPr>
        <w:spacing w:after="0" w:line="135"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20320</wp:posOffset>
            </wp:positionV>
            <wp:extent cx="430847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08475" cy="698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60" w:type="dxa"/>
            <w:vAlign w:val="bottom"/>
            <w:tcBorders>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Valuation</w:t>
            </w:r>
          </w:p>
        </w:tc>
        <w:tc>
          <w:tcPr>
            <w:tcW w:w="1500" w:type="dxa"/>
            <w:vAlign w:val="bottom"/>
            <w:tcBorders>
              <w:top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Approach/</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Unobservable Inputs</w:t>
            </w:r>
            <w:r>
              <w:rPr>
                <w:rFonts w:ascii="Arial" w:cs="Arial" w:eastAsia="Arial" w:hAnsi="Arial"/>
                <w:sz w:val="17"/>
                <w:szCs w:val="17"/>
                <w:b w:val="1"/>
                <w:bCs w:val="1"/>
                <w:color w:val="auto"/>
                <w:w w:val="87"/>
                <w:vertAlign w:val="superscript"/>
              </w:rPr>
              <w:t>(2)</w:t>
            </w:r>
          </w:p>
        </w:tc>
        <w:tc>
          <w:tcPr>
            <w:tcW w:w="15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7"/>
              </w:rPr>
              <w:t>Range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tcBorders>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Asset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Fair Value</w:t>
            </w:r>
          </w:p>
        </w:tc>
        <w:tc>
          <w:tcPr>
            <w:tcW w:w="1060" w:type="dxa"/>
            <w:vAlign w:val="bottom"/>
            <w:tcBorders>
              <w:bottom w:val="single" w:sz="8" w:color="auto"/>
              <w:right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w w:val="83"/>
              </w:rPr>
              <w:t>Technique</w:t>
            </w:r>
            <w:r>
              <w:rPr>
                <w:rFonts w:ascii="Arial" w:cs="Arial" w:eastAsia="Arial" w:hAnsi="Arial"/>
                <w:sz w:val="17"/>
                <w:szCs w:val="17"/>
                <w:b w:val="1"/>
                <w:bCs w:val="1"/>
                <w:color w:val="auto"/>
                <w:w w:val="83"/>
                <w:vertAlign w:val="superscript"/>
              </w:rPr>
              <w:t>(1)</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(Weighted Average)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5"/>
                <w:szCs w:val="15"/>
                <w:color w:val="auto"/>
              </w:rPr>
              <w:t>Common stock in</w:t>
            </w:r>
          </w:p>
        </w:tc>
        <w:tc>
          <w:tcPr>
            <w:tcW w:w="1060" w:type="dxa"/>
            <w:vAlign w:val="bottom"/>
            <w:tcBorders>
              <w:right w:val="single" w:sz="8" w:color="auto"/>
            </w:tcBorders>
          </w:tcPr>
          <w:p>
            <w:pPr>
              <w:jc w:val="right"/>
              <w:ind w:right="93"/>
              <w:spacing w:after="0" w:line="159" w:lineRule="exact"/>
              <w:rPr>
                <w:sz w:val="20"/>
                <w:szCs w:val="20"/>
                <w:color w:val="auto"/>
              </w:rPr>
            </w:pPr>
            <w:r>
              <w:rPr>
                <w:rFonts w:ascii="Arial" w:cs="Arial" w:eastAsia="Arial" w:hAnsi="Arial"/>
                <w:sz w:val="15"/>
                <w:szCs w:val="15"/>
                <w:color w:val="auto"/>
              </w:rPr>
              <w:t>$86,824,096</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1"/>
              </w:rPr>
              <w:t>Market</w:t>
            </w: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Precedent transactions</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N/A</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06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private companies</w:t>
            </w:r>
          </w:p>
        </w:tc>
        <w:tc>
          <w:tcPr>
            <w:tcW w:w="10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approach</w:t>
            </w:r>
          </w:p>
        </w:tc>
        <w:tc>
          <w:tcPr>
            <w:tcW w:w="150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6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1500" w:type="dxa"/>
            <w:vAlign w:val="bottom"/>
            <w:tcBorders>
              <w:right w:val="single" w:sz="8" w:color="auto"/>
            </w:tcBorders>
            <w:vMerge w:val="restart"/>
          </w:tcPr>
          <w:p>
            <w:pPr>
              <w:jc w:val="center"/>
              <w:spacing w:after="0" w:line="170" w:lineRule="exact"/>
              <w:rPr>
                <w:sz w:val="20"/>
                <w:szCs w:val="20"/>
                <w:color w:val="auto"/>
              </w:rPr>
            </w:pPr>
            <w:r>
              <w:rPr>
                <w:rFonts w:ascii="Arial" w:cs="Arial" w:eastAsia="Arial" w:hAnsi="Arial"/>
                <w:sz w:val="15"/>
                <w:szCs w:val="15"/>
                <w:color w:val="auto"/>
                <w:w w:val="90"/>
              </w:rPr>
              <w:t>Revenue multiples</w:t>
            </w:r>
          </w:p>
        </w:tc>
        <w:tc>
          <w:tcPr>
            <w:tcW w:w="1520" w:type="dxa"/>
            <w:vAlign w:val="bottom"/>
            <w:tcBorders>
              <w:right w:val="single" w:sz="8" w:color="auto"/>
            </w:tcBorders>
            <w:vMerge w:val="restart"/>
          </w:tcPr>
          <w:p>
            <w:pPr>
              <w:jc w:val="center"/>
              <w:spacing w:after="0" w:line="170" w:lineRule="exact"/>
              <w:rPr>
                <w:sz w:val="20"/>
                <w:szCs w:val="20"/>
                <w:color w:val="auto"/>
              </w:rPr>
            </w:pPr>
            <w:r>
              <w:rPr>
                <w:rFonts w:ascii="Arial" w:cs="Arial" w:eastAsia="Arial" w:hAnsi="Arial"/>
                <w:sz w:val="15"/>
                <w:szCs w:val="15"/>
                <w:color w:val="auto"/>
                <w:w w:val="89"/>
              </w:rPr>
              <w:t>2.03x – 7.08x (5.70x)</w:t>
            </w: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06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500" w:type="dxa"/>
            <w:vAlign w:val="bottom"/>
            <w:tcBorders>
              <w:bottom w:val="single" w:sz="8" w:color="auto"/>
              <w:right w:val="single" w:sz="8" w:color="auto"/>
            </w:tcBorders>
            <w:vMerge w:val="continue"/>
          </w:tcPr>
          <w:p>
            <w:pPr>
              <w:spacing w:after="0"/>
              <w:rPr>
                <w:sz w:val="8"/>
                <w:szCs w:val="8"/>
                <w:color w:val="auto"/>
              </w:rPr>
            </w:pPr>
          </w:p>
        </w:tc>
        <w:tc>
          <w:tcPr>
            <w:tcW w:w="1520" w:type="dxa"/>
            <w:vAlign w:val="bottom"/>
            <w:tcBorders>
              <w:bottom w:val="single" w:sz="8" w:color="auto"/>
              <w:right w:val="single" w:sz="8" w:color="auto"/>
            </w:tcBorders>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0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5"/>
                <w:szCs w:val="15"/>
                <w:color w:val="auto"/>
                <w:w w:val="93"/>
              </w:rPr>
              <w:t>Liquidation Value</w:t>
            </w:r>
          </w:p>
        </w:tc>
        <w:tc>
          <w:tcPr>
            <w:tcW w:w="15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5"/>
                <w:szCs w:val="15"/>
                <w:color w:val="auto"/>
              </w:rPr>
              <w:t>N/A</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6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Discounted</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Discount rate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12.0% (12.0)%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1060" w:type="dxa"/>
            <w:vAlign w:val="bottom"/>
            <w:tcBorders>
              <w:right w:val="single" w:sz="8" w:color="auto"/>
            </w:tcBorders>
          </w:tcPr>
          <w:p>
            <w:pPr>
              <w:spacing w:after="0"/>
              <w:rPr>
                <w:sz w:val="3"/>
                <w:szCs w:val="3"/>
                <w:color w:val="auto"/>
              </w:rPr>
            </w:pPr>
          </w:p>
        </w:tc>
        <w:tc>
          <w:tcPr>
            <w:tcW w:w="164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vMerge w:val="restart"/>
          </w:tcPr>
          <w:p>
            <w:pPr>
              <w:jc w:val="center"/>
              <w:spacing w:after="0" w:line="222" w:lineRule="exact"/>
              <w:rPr>
                <w:sz w:val="20"/>
                <w:szCs w:val="20"/>
                <w:color w:val="auto"/>
              </w:rPr>
            </w:pPr>
            <w:r>
              <w:rPr>
                <w:rFonts w:ascii="Arial" w:cs="Arial" w:eastAsia="Arial" w:hAnsi="Arial"/>
                <w:sz w:val="15"/>
                <w:szCs w:val="15"/>
                <w:color w:val="auto"/>
                <w:w w:val="87"/>
              </w:rPr>
              <w:t>Cash Flow</w:t>
            </w:r>
            <w:r>
              <w:rPr>
                <w:rFonts w:ascii="Arial" w:cs="Arial" w:eastAsia="Arial" w:hAnsi="Arial"/>
                <w:sz w:val="22"/>
                <w:szCs w:val="22"/>
                <w:color w:val="auto"/>
                <w:w w:val="87"/>
                <w:vertAlign w:val="superscript"/>
              </w:rPr>
              <w:t>(2)</w:t>
            </w: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9"/>
              </w:rPr>
              <w:t>Long-term revenue</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9"/>
              </w:rPr>
              <w:t>0.0% (0.0)%</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Borders>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growth</w:t>
            </w:r>
          </w:p>
        </w:tc>
        <w:tc>
          <w:tcPr>
            <w:tcW w:w="1520" w:type="dxa"/>
            <w:vAlign w:val="bottom"/>
            <w:tcBorders>
              <w:bottom w:val="single" w:sz="8" w:color="auto"/>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191"/>
              <w:spacing w:after="0"/>
              <w:rPr>
                <w:sz w:val="20"/>
                <w:szCs w:val="20"/>
                <w:color w:val="auto"/>
              </w:rPr>
            </w:pPr>
            <w:r>
              <w:rPr>
                <w:rFonts w:ascii="Arial" w:cs="Arial" w:eastAsia="Arial" w:hAnsi="Arial"/>
                <w:sz w:val="15"/>
                <w:szCs w:val="15"/>
                <w:color w:val="auto"/>
              </w:rPr>
              <w:t>106</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0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5612765</wp:posOffset>
            </wp:positionH>
            <wp:positionV relativeFrom="paragraph">
              <wp:posOffset>-26035</wp:posOffset>
            </wp:positionV>
            <wp:extent cx="32385" cy="393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8" w:name="page109"/>
    <w:bookmarkEnd w:id="10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230" w:lineRule="exact"/>
        <w:rPr>
          <w:sz w:val="20"/>
          <w:szCs w:val="20"/>
          <w:color w:val="auto"/>
        </w:rPr>
      </w:pPr>
    </w:p>
    <w:tbl>
      <w:tblPr>
        <w:tblLayout w:type="fixed"/>
        <w:tblInd w:w="1050" w:type="dxa"/>
        <w:tblCellMar>
          <w:top w:w="0" w:type="dxa"/>
          <w:left w:w="0" w:type="dxa"/>
          <w:bottom w:w="0" w:type="dxa"/>
          <w:right w:w="0" w:type="dxa"/>
        </w:tblCellMar>
      </w:tblPr>
      <w:tr>
        <w:trPr>
          <w:trHeight w:val="128"/>
        </w:trPr>
        <w:tc>
          <w:tcPr>
            <w:tcW w:w="1620" w:type="dxa"/>
            <w:vAlign w:val="bottom"/>
            <w:tcBorders>
              <w:top w:val="single" w:sz="8" w:color="auto"/>
              <w:left w:val="single" w:sz="8" w:color="auto"/>
            </w:tcBorders>
          </w:tcPr>
          <w:p>
            <w:pPr>
              <w:spacing w:after="0"/>
              <w:rPr>
                <w:sz w:val="11"/>
                <w:szCs w:val="11"/>
                <w:color w:val="auto"/>
              </w:rPr>
            </w:pPr>
          </w:p>
        </w:tc>
        <w:tc>
          <w:tcPr>
            <w:tcW w:w="40" w:type="dxa"/>
            <w:vAlign w:val="bottom"/>
            <w:tcBorders>
              <w:top w:val="single" w:sz="8" w:color="auto"/>
              <w:right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2"/>
              </w:rPr>
              <w:t>Valuation</w:t>
            </w:r>
          </w:p>
        </w:tc>
        <w:tc>
          <w:tcPr>
            <w:tcW w:w="150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Approach/</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Unobservable Inputs</w:t>
            </w:r>
            <w:r>
              <w:rPr>
                <w:rFonts w:ascii="Arial" w:cs="Arial" w:eastAsia="Arial" w:hAnsi="Arial"/>
                <w:sz w:val="17"/>
                <w:szCs w:val="17"/>
                <w:b w:val="1"/>
                <w:bCs w:val="1"/>
                <w:color w:val="auto"/>
                <w:w w:val="87"/>
                <w:vertAlign w:val="superscript"/>
              </w:rPr>
              <w:t>(2)</w:t>
            </w:r>
          </w:p>
        </w:tc>
        <w:tc>
          <w:tcPr>
            <w:tcW w:w="15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2"/>
              </w:rPr>
              <w:t>Range</w:t>
            </w: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Asset</w:t>
            </w:r>
          </w:p>
        </w:tc>
        <w:tc>
          <w:tcPr>
            <w:tcW w:w="10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2"/>
                <w:szCs w:val="12"/>
                <w:b w:val="1"/>
                <w:bCs w:val="1"/>
                <w:color w:val="auto"/>
              </w:rPr>
              <w:t>Fair Value</w:t>
            </w:r>
          </w:p>
        </w:tc>
        <w:tc>
          <w:tcPr>
            <w:tcW w:w="1060" w:type="dxa"/>
            <w:vAlign w:val="bottom"/>
            <w:tcBorders>
              <w:bottom w:val="single" w:sz="8" w:color="auto"/>
              <w:right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w w:val="83"/>
              </w:rPr>
              <w:t>Technique</w:t>
            </w:r>
            <w:r>
              <w:rPr>
                <w:rFonts w:ascii="Arial" w:cs="Arial" w:eastAsia="Arial" w:hAnsi="Arial"/>
                <w:sz w:val="17"/>
                <w:szCs w:val="17"/>
                <w:b w:val="1"/>
                <w:bCs w:val="1"/>
                <w:color w:val="auto"/>
                <w:w w:val="83"/>
                <w:vertAlign w:val="superscript"/>
              </w:rPr>
              <w:t>(1)</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(Weighted Average)</w:t>
            </w:r>
          </w:p>
        </w:tc>
        <w:tc>
          <w:tcPr>
            <w:tcW w:w="0" w:type="dxa"/>
            <w:vAlign w:val="bottom"/>
          </w:tcPr>
          <w:p>
            <w:pPr>
              <w:spacing w:after="0"/>
              <w:rPr>
                <w:sz w:val="1"/>
                <w:szCs w:val="1"/>
                <w:color w:val="auto"/>
              </w:rPr>
            </w:pPr>
          </w:p>
        </w:tc>
      </w:tr>
      <w:tr>
        <w:trPr>
          <w:trHeight w:val="159"/>
        </w:trPr>
        <w:tc>
          <w:tcPr>
            <w:tcW w:w="1660" w:type="dxa"/>
            <w:vAlign w:val="bottom"/>
            <w:tcBorders>
              <w:left w:val="single" w:sz="8" w:color="auto"/>
              <w:right w:val="single" w:sz="8" w:color="auto"/>
            </w:tcBorders>
            <w:gridSpan w:val="2"/>
          </w:tcPr>
          <w:p>
            <w:pPr>
              <w:ind w:left="60"/>
              <w:spacing w:after="0" w:line="159" w:lineRule="exact"/>
              <w:rPr>
                <w:sz w:val="20"/>
                <w:szCs w:val="20"/>
                <w:color w:val="auto"/>
              </w:rPr>
            </w:pPr>
            <w:r>
              <w:rPr>
                <w:rFonts w:ascii="Arial" w:cs="Arial" w:eastAsia="Arial" w:hAnsi="Arial"/>
                <w:sz w:val="15"/>
                <w:szCs w:val="15"/>
                <w:color w:val="auto"/>
              </w:rPr>
              <w:t>Preferred stock in</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8"/>
              </w:rPr>
              <w:t>120,253,822</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1"/>
              </w:rPr>
              <w:t>Market</w:t>
            </w: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Precedent transactions</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00"/>
        </w:trPr>
        <w:tc>
          <w:tcPr>
            <w:tcW w:w="1660" w:type="dxa"/>
            <w:vAlign w:val="bottom"/>
            <w:tcBorders>
              <w:left w:val="single" w:sz="8" w:color="auto"/>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auto"/>
              </w:rPr>
              <w:t>private companies</w:t>
            </w:r>
          </w:p>
        </w:tc>
        <w:tc>
          <w:tcPr>
            <w:tcW w:w="10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approach</w:t>
            </w:r>
          </w:p>
        </w:tc>
        <w:tc>
          <w:tcPr>
            <w:tcW w:w="150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660" w:type="dxa"/>
            <w:vAlign w:val="bottom"/>
            <w:tcBorders>
              <w:left w:val="single" w:sz="8" w:color="auto"/>
              <w:right w:val="single" w:sz="8" w:color="auto"/>
            </w:tcBorders>
            <w:gridSpan w:val="2"/>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150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5"/>
                <w:szCs w:val="15"/>
                <w:color w:val="auto"/>
                <w:w w:val="90"/>
              </w:rPr>
              <w:t>Revenue multiples</w:t>
            </w:r>
          </w:p>
        </w:tc>
        <w:tc>
          <w:tcPr>
            <w:tcW w:w="152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5"/>
                <w:szCs w:val="15"/>
                <w:color w:val="auto"/>
                <w:w w:val="89"/>
              </w:rPr>
              <w:t>1.91x – 7.08x (3.80x)</w:t>
            </w:r>
          </w:p>
        </w:tc>
        <w:tc>
          <w:tcPr>
            <w:tcW w:w="0" w:type="dxa"/>
            <w:vAlign w:val="bottom"/>
          </w:tcPr>
          <w:p>
            <w:pPr>
              <w:spacing w:after="0"/>
              <w:rPr>
                <w:sz w:val="1"/>
                <w:szCs w:val="1"/>
                <w:color w:val="auto"/>
              </w:rPr>
            </w:pPr>
          </w:p>
        </w:tc>
      </w:tr>
      <w:tr>
        <w:trPr>
          <w:trHeight w:val="84"/>
        </w:trPr>
        <w:tc>
          <w:tcPr>
            <w:tcW w:w="1620" w:type="dxa"/>
            <w:vAlign w:val="bottom"/>
            <w:tcBorders>
              <w:lef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00" w:type="dxa"/>
            <w:vAlign w:val="bottom"/>
            <w:tcBorders>
              <w:bottom w:val="single" w:sz="8" w:color="auto"/>
              <w:right w:val="single" w:sz="8" w:color="auto"/>
            </w:tcBorders>
            <w:vMerge w:val="continue"/>
          </w:tcPr>
          <w:p>
            <w:pPr>
              <w:spacing w:after="0"/>
              <w:rPr>
                <w:sz w:val="6"/>
                <w:szCs w:val="6"/>
                <w:color w:val="auto"/>
              </w:rPr>
            </w:pPr>
          </w:p>
        </w:tc>
        <w:tc>
          <w:tcPr>
            <w:tcW w:w="15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20" w:type="dxa"/>
            <w:vAlign w:val="bottom"/>
            <w:tcBorders>
              <w:lef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95"/>
              </w:rPr>
              <w:t>EBIT multiples</w:t>
            </w:r>
          </w:p>
        </w:tc>
        <w:tc>
          <w:tcPr>
            <w:tcW w:w="152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5"/>
                <w:szCs w:val="15"/>
                <w:color w:val="auto"/>
                <w:w w:val="93"/>
              </w:rPr>
              <w:t>27.8x (27.8x)</w:t>
            </w:r>
          </w:p>
        </w:tc>
        <w:tc>
          <w:tcPr>
            <w:tcW w:w="0" w:type="dxa"/>
            <w:vAlign w:val="bottom"/>
          </w:tcPr>
          <w:p>
            <w:pPr>
              <w:spacing w:after="0"/>
              <w:rPr>
                <w:sz w:val="1"/>
                <w:szCs w:val="1"/>
                <w:color w:val="auto"/>
              </w:rPr>
            </w:pPr>
          </w:p>
        </w:tc>
      </w:tr>
      <w:tr>
        <w:trPr>
          <w:trHeight w:val="150"/>
        </w:trPr>
        <w:tc>
          <w:tcPr>
            <w:tcW w:w="1620" w:type="dxa"/>
            <w:vAlign w:val="bottom"/>
            <w:tcBorders>
              <w:lef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5"/>
                <w:szCs w:val="15"/>
                <w:color w:val="auto"/>
                <w:w w:val="90"/>
              </w:rPr>
              <w:t>Discounted</w:t>
            </w:r>
          </w:p>
        </w:tc>
        <w:tc>
          <w:tcPr>
            <w:tcW w:w="15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5"/>
                <w:szCs w:val="15"/>
                <w:color w:val="auto"/>
                <w:w w:val="90"/>
              </w:rPr>
              <w:t>Discount rate</w:t>
            </w:r>
          </w:p>
        </w:tc>
        <w:tc>
          <w:tcPr>
            <w:tcW w:w="15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5"/>
                <w:szCs w:val="15"/>
                <w:color w:val="auto"/>
                <w:w w:val="90"/>
              </w:rPr>
              <w:t>12.0% (12.0)%</w:t>
            </w:r>
          </w:p>
        </w:tc>
        <w:tc>
          <w:tcPr>
            <w:tcW w:w="0" w:type="dxa"/>
            <w:vAlign w:val="bottom"/>
          </w:tcPr>
          <w:p>
            <w:pPr>
              <w:spacing w:after="0"/>
              <w:rPr>
                <w:sz w:val="1"/>
                <w:szCs w:val="1"/>
                <w:color w:val="auto"/>
              </w:rPr>
            </w:pPr>
          </w:p>
        </w:tc>
      </w:tr>
      <w:tr>
        <w:trPr>
          <w:trHeight w:val="54"/>
        </w:trPr>
        <w:tc>
          <w:tcPr>
            <w:tcW w:w="1620" w:type="dxa"/>
            <w:vAlign w:val="bottom"/>
            <w:tcBorders>
              <w:lef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vMerge w:val="restart"/>
          </w:tcPr>
          <w:p>
            <w:pPr>
              <w:jc w:val="center"/>
              <w:spacing w:after="0" w:line="232" w:lineRule="exact"/>
              <w:rPr>
                <w:sz w:val="20"/>
                <w:szCs w:val="20"/>
                <w:color w:val="auto"/>
              </w:rPr>
            </w:pPr>
            <w:r>
              <w:rPr>
                <w:rFonts w:ascii="Arial" w:cs="Arial" w:eastAsia="Arial" w:hAnsi="Arial"/>
                <w:sz w:val="15"/>
                <w:szCs w:val="15"/>
                <w:color w:val="auto"/>
                <w:w w:val="87"/>
              </w:rPr>
              <w:t>Cash Flow</w:t>
            </w:r>
            <w:r>
              <w:rPr>
                <w:rFonts w:ascii="Arial" w:cs="Arial" w:eastAsia="Arial" w:hAnsi="Arial"/>
                <w:sz w:val="22"/>
                <w:szCs w:val="22"/>
                <w:color w:val="auto"/>
                <w:w w:val="87"/>
                <w:vertAlign w:val="superscript"/>
              </w:rPr>
              <w:t>(2)</w:t>
            </w: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9"/>
              </w:rPr>
              <w:t>Long-term revenue</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9"/>
              </w:rPr>
              <w:t>0.0% (0.0)%</w:t>
            </w: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growth</w:t>
            </w:r>
          </w:p>
        </w:tc>
        <w:tc>
          <w:tcPr>
            <w:tcW w:w="1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PWERM</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Liquidation Value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0"/>
              </w:rPr>
              <w:t>Revenue multiples</w:t>
            </w:r>
          </w:p>
        </w:tc>
        <w:tc>
          <w:tcPr>
            <w:tcW w:w="15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2.28x – 4.60x (3.23x)</w:t>
            </w:r>
          </w:p>
        </w:tc>
        <w:tc>
          <w:tcPr>
            <w:tcW w:w="0" w:type="dxa"/>
            <w:vAlign w:val="bottom"/>
          </w:tcPr>
          <w:p>
            <w:pPr>
              <w:spacing w:after="0"/>
              <w:rPr>
                <w:sz w:val="1"/>
                <w:szCs w:val="1"/>
                <w:color w:val="auto"/>
              </w:rPr>
            </w:pPr>
          </w:p>
        </w:tc>
      </w:tr>
      <w:tr>
        <w:trPr>
          <w:trHeight w:val="159"/>
        </w:trPr>
        <w:tc>
          <w:tcPr>
            <w:tcW w:w="1660" w:type="dxa"/>
            <w:vAlign w:val="bottom"/>
            <w:tcBorders>
              <w:left w:val="single" w:sz="8" w:color="auto"/>
              <w:right w:val="single" w:sz="8" w:color="auto"/>
            </w:tcBorders>
            <w:gridSpan w:val="2"/>
          </w:tcPr>
          <w:p>
            <w:pPr>
              <w:ind w:left="60"/>
              <w:spacing w:after="0" w:line="159" w:lineRule="exact"/>
              <w:rPr>
                <w:sz w:val="20"/>
                <w:szCs w:val="20"/>
                <w:color w:val="auto"/>
              </w:rPr>
            </w:pPr>
            <w:r>
              <w:rPr>
                <w:rFonts w:ascii="Arial" w:cs="Arial" w:eastAsia="Arial" w:hAnsi="Arial"/>
                <w:sz w:val="15"/>
                <w:szCs w:val="15"/>
                <w:color w:val="auto"/>
              </w:rPr>
              <w:t>Debt investments</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$4,916,578</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1"/>
              </w:rPr>
              <w:t>Market</w:t>
            </w: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3"/>
              </w:rPr>
              <w:t>Liquidation Value</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approach</w:t>
            </w:r>
          </w:p>
        </w:tc>
        <w:tc>
          <w:tcPr>
            <w:tcW w:w="15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PWERM</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Revenue multiples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3.04x – 4.60x (3.84x)</w:t>
            </w: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3"/>
              </w:rPr>
              <w:t>Liquidation Value</w:t>
            </w:r>
          </w:p>
        </w:tc>
        <w:tc>
          <w:tcPr>
            <w:tcW w:w="15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59"/>
        </w:trPr>
        <w:tc>
          <w:tcPr>
            <w:tcW w:w="1660" w:type="dxa"/>
            <w:vAlign w:val="bottom"/>
            <w:tcBorders>
              <w:left w:val="single" w:sz="8" w:color="auto"/>
              <w:right w:val="single" w:sz="8" w:color="auto"/>
            </w:tcBorders>
            <w:gridSpan w:val="2"/>
          </w:tcPr>
          <w:p>
            <w:pPr>
              <w:ind w:left="60"/>
              <w:spacing w:after="0" w:line="159" w:lineRule="exact"/>
              <w:rPr>
                <w:sz w:val="20"/>
                <w:szCs w:val="20"/>
                <w:color w:val="auto"/>
              </w:rPr>
            </w:pPr>
            <w:r>
              <w:rPr>
                <w:rFonts w:ascii="Arial" w:cs="Arial" w:eastAsia="Arial" w:hAnsi="Arial"/>
                <w:sz w:val="15"/>
                <w:szCs w:val="15"/>
                <w:color w:val="auto"/>
              </w:rPr>
              <w:t>Warrants</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9"/>
              </w:rPr>
              <w:t>$433,997</w:t>
            </w:r>
          </w:p>
        </w:tc>
        <w:tc>
          <w:tcPr>
            <w:tcW w:w="10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2"/>
              </w:rPr>
              <w:t>Option pricing</w:t>
            </w: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0"/>
              </w:rPr>
              <w:t>Term to expiration</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0.2 – 3.0 (2.2)</w:t>
            </w: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model</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(Years)</w:t>
            </w:r>
          </w:p>
        </w:tc>
        <w:tc>
          <w:tcPr>
            <w:tcW w:w="1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Volatility</w:t>
            </w:r>
          </w:p>
        </w:tc>
        <w:tc>
          <w:tcPr>
            <w:tcW w:w="1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8"/>
              </w:rPr>
              <w:t>18.8% – 51.6%</w:t>
            </w: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(36.5)%</w:t>
            </w:r>
          </w:p>
        </w:tc>
        <w:tc>
          <w:tcPr>
            <w:tcW w:w="0" w:type="dxa"/>
            <w:vAlign w:val="bottom"/>
          </w:tcPr>
          <w:p>
            <w:pPr>
              <w:spacing w:after="0"/>
              <w:rPr>
                <w:sz w:val="1"/>
                <w:szCs w:val="1"/>
                <w:color w:val="auto"/>
              </w:rPr>
            </w:pPr>
          </w:p>
        </w:tc>
      </w:tr>
      <w:tr>
        <w:trPr>
          <w:trHeight w:val="204"/>
        </w:trPr>
        <w:tc>
          <w:tcPr>
            <w:tcW w:w="16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340" w:right="2419" w:hanging="289"/>
        <w:spacing w:after="0" w:line="272" w:lineRule="auto"/>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As of December 31, 2016, the Company used a market approach to value certain common and preferred stock investments. As of December 31, 2017,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 — Significant Accounting Policies — </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113" w:lineRule="exact"/>
        <w:rPr>
          <w:rFonts w:ascii="Arial" w:cs="Arial" w:eastAsia="Arial" w:hAnsi="Arial"/>
          <w:sz w:val="14"/>
          <w:szCs w:val="14"/>
          <w:color w:val="auto"/>
        </w:rPr>
      </w:pPr>
    </w:p>
    <w:p>
      <w:pPr>
        <w:ind w:left="1340" w:right="2439" w:hanging="289"/>
        <w:spacing w:after="0" w:line="269" w:lineRule="auto"/>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 — Significant Accounting Policies — </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208"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5651500"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09" w:name="page110"/>
    <w:bookmarkEnd w:id="10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20320</wp:posOffset>
            </wp:positionV>
            <wp:extent cx="430847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08475" cy="6985"/>
                    </a:xfrm>
                    <a:prstGeom prst="rect">
                      <a:avLst/>
                    </a:prstGeom>
                    <a:noFill/>
                  </pic:spPr>
                </pic:pic>
              </a:graphicData>
            </a:graphic>
          </wp:anchor>
        </w:drawing>
      </w:r>
    </w:p>
    <w:p>
      <w:pPr>
        <w:spacing w:after="0" w:line="115" w:lineRule="exact"/>
        <w:rPr>
          <w:sz w:val="20"/>
          <w:szCs w:val="20"/>
          <w:color w:val="auto"/>
        </w:rPr>
      </w:pPr>
    </w:p>
    <w:tbl>
      <w:tblPr>
        <w:tblLayout w:type="fixed"/>
        <w:tblInd w:w="1050" w:type="dxa"/>
        <w:tblCellMar>
          <w:top w:w="0" w:type="dxa"/>
          <w:left w:w="0" w:type="dxa"/>
          <w:bottom w:w="0" w:type="dxa"/>
          <w:right w:w="0" w:type="dxa"/>
        </w:tblCellMar>
      </w:tblPr>
      <w:tr>
        <w:trPr>
          <w:trHeight w:val="194"/>
        </w:trPr>
        <w:tc>
          <w:tcPr>
            <w:tcW w:w="1660" w:type="dxa"/>
            <w:vAlign w:val="bottom"/>
            <w:tcBorders>
              <w:top w:val="single" w:sz="8" w:color="auto"/>
              <w:left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2"/>
                <w:szCs w:val="12"/>
                <w:b w:val="1"/>
                <w:bCs w:val="1"/>
                <w:color w:val="auto"/>
              </w:rPr>
              <w:t>Valuation</w:t>
            </w:r>
          </w:p>
        </w:tc>
        <w:tc>
          <w:tcPr>
            <w:tcW w:w="1500" w:type="dxa"/>
            <w:vAlign w:val="bottom"/>
            <w:tcBorders>
              <w:top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Range</w:t>
            </w:r>
          </w:p>
        </w:tc>
      </w:tr>
      <w:tr>
        <w:trPr>
          <w:trHeight w:val="151"/>
        </w:trPr>
        <w:tc>
          <w:tcPr>
            <w:tcW w:w="16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Asset</w:t>
            </w:r>
          </w:p>
        </w:tc>
        <w:tc>
          <w:tcPr>
            <w:tcW w:w="10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2"/>
                <w:szCs w:val="12"/>
                <w:b w:val="1"/>
                <w:bCs w:val="1"/>
                <w:color w:val="auto"/>
              </w:rPr>
              <w:t>Fair Value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Technique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Unobservable Inputs</w:t>
            </w:r>
          </w:p>
        </w:tc>
        <w:tc>
          <w:tcPr>
            <w:tcW w:w="1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(Weighted Average)</w:t>
            </w:r>
          </w:p>
        </w:tc>
      </w:tr>
      <w:tr>
        <w:trPr>
          <w:trHeight w:val="127"/>
        </w:trPr>
        <w:tc>
          <w:tcPr>
            <w:tcW w:w="1660" w:type="dxa"/>
            <w:vAlign w:val="bottom"/>
            <w:tcBorders>
              <w:left w:val="single" w:sz="8" w:color="auto"/>
              <w:right w:val="single" w:sz="8" w:color="auto"/>
            </w:tcBorders>
          </w:tcPr>
          <w:p>
            <w:pPr>
              <w:ind w:left="60"/>
              <w:spacing w:after="0" w:line="127" w:lineRule="exact"/>
              <w:rPr>
                <w:sz w:val="20"/>
                <w:szCs w:val="20"/>
                <w:color w:val="auto"/>
              </w:rPr>
            </w:pPr>
            <w:r>
              <w:rPr>
                <w:rFonts w:ascii="Arial" w:cs="Arial" w:eastAsia="Arial" w:hAnsi="Arial"/>
                <w:sz w:val="14"/>
                <w:szCs w:val="14"/>
                <w:color w:val="auto"/>
              </w:rPr>
              <w:t>Common stock in</w:t>
            </w:r>
          </w:p>
        </w:tc>
        <w:tc>
          <w:tcPr>
            <w:tcW w:w="106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5"/>
              </w:rPr>
              <w:t>$83,074,410</w:t>
            </w:r>
          </w:p>
        </w:tc>
        <w:tc>
          <w:tcPr>
            <w:tcW w:w="106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8"/>
              </w:rPr>
              <w:t>Market</w:t>
            </w:r>
          </w:p>
        </w:tc>
        <w:tc>
          <w:tcPr>
            <w:tcW w:w="150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0"/>
              </w:rPr>
              <w:t>Precedent</w:t>
            </w:r>
          </w:p>
        </w:tc>
        <w:tc>
          <w:tcPr>
            <w:tcW w:w="1520" w:type="dxa"/>
            <w:vAlign w:val="bottom"/>
            <w:tcBorders>
              <w:right w:val="single" w:sz="8" w:color="auto"/>
            </w:tcBorders>
            <w:gridSpan w:val="2"/>
          </w:tcPr>
          <w:p>
            <w:pPr>
              <w:jc w:val="center"/>
              <w:spacing w:after="0" w:line="127" w:lineRule="exact"/>
              <w:rPr>
                <w:sz w:val="20"/>
                <w:szCs w:val="20"/>
                <w:color w:val="auto"/>
              </w:rPr>
            </w:pPr>
            <w:r>
              <w:rPr>
                <w:rFonts w:ascii="Arial" w:cs="Arial" w:eastAsia="Arial" w:hAnsi="Arial"/>
                <w:sz w:val="14"/>
                <w:szCs w:val="14"/>
                <w:color w:val="auto"/>
              </w:rPr>
              <w:t>N/A</w:t>
            </w:r>
          </w:p>
        </w:tc>
      </w:tr>
      <w:tr>
        <w:trPr>
          <w:trHeight w:val="232"/>
        </w:trPr>
        <w:tc>
          <w:tcPr>
            <w:tcW w:w="1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private companies</w:t>
            </w:r>
          </w:p>
        </w:tc>
        <w:tc>
          <w:tcPr>
            <w:tcW w:w="10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approach</w:t>
            </w:r>
          </w:p>
        </w:tc>
        <w:tc>
          <w:tcPr>
            <w:tcW w:w="1500" w:type="dxa"/>
            <w:vAlign w:val="bottom"/>
            <w:tcBorders>
              <w:bottom w:val="single" w:sz="8" w:color="auto"/>
              <w:right w:val="single" w:sz="8" w:color="auto"/>
            </w:tcBorders>
          </w:tcPr>
          <w:p>
            <w:pPr>
              <w:jc w:val="center"/>
              <w:spacing w:after="0" w:line="232" w:lineRule="exact"/>
              <w:rPr>
                <w:sz w:val="20"/>
                <w:szCs w:val="20"/>
                <w:color w:val="auto"/>
              </w:rPr>
            </w:pPr>
            <w:r>
              <w:rPr>
                <w:rFonts w:ascii="Arial" w:cs="Arial" w:eastAsia="Arial" w:hAnsi="Arial"/>
                <w:sz w:val="15"/>
                <w:szCs w:val="15"/>
                <w:color w:val="auto"/>
                <w:w w:val="84"/>
              </w:rPr>
              <w:t>transactions</w:t>
            </w:r>
            <w:r>
              <w:rPr>
                <w:rFonts w:ascii="Arial" w:cs="Arial" w:eastAsia="Arial" w:hAnsi="Arial"/>
                <w:sz w:val="22"/>
                <w:szCs w:val="22"/>
                <w:color w:val="auto"/>
                <w:w w:val="84"/>
                <w:vertAlign w:val="superscript"/>
              </w:rPr>
              <w:t>(1)</w:t>
            </w:r>
          </w:p>
        </w:tc>
        <w:tc>
          <w:tcPr>
            <w:tcW w:w="7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159"/>
        </w:trPr>
        <w:tc>
          <w:tcPr>
            <w:tcW w:w="166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0"/>
              </w:rPr>
              <w:t>Revenue multiples</w:t>
            </w:r>
          </w:p>
        </w:tc>
        <w:tc>
          <w:tcPr>
            <w:tcW w:w="1520" w:type="dxa"/>
            <w:vAlign w:val="bottom"/>
            <w:tcBorders>
              <w:bottom w:val="single" w:sz="8" w:color="auto"/>
              <w:right w:val="single" w:sz="8" w:color="auto"/>
            </w:tcBorders>
            <w:gridSpan w:val="2"/>
          </w:tcPr>
          <w:p>
            <w:pPr>
              <w:jc w:val="center"/>
              <w:spacing w:after="0" w:line="159" w:lineRule="exact"/>
              <w:rPr>
                <w:sz w:val="20"/>
                <w:szCs w:val="20"/>
                <w:color w:val="auto"/>
              </w:rPr>
            </w:pPr>
            <w:r>
              <w:rPr>
                <w:rFonts w:ascii="Arial" w:cs="Arial" w:eastAsia="Arial" w:hAnsi="Arial"/>
                <w:sz w:val="15"/>
                <w:szCs w:val="15"/>
                <w:color w:val="auto"/>
                <w:w w:val="91"/>
              </w:rPr>
              <w:t>0.8x – 5.2x (3.3x)</w:t>
            </w:r>
          </w:p>
        </w:tc>
      </w:tr>
      <w:tr>
        <w:trPr>
          <w:trHeight w:val="159"/>
        </w:trPr>
        <w:tc>
          <w:tcPr>
            <w:tcW w:w="1660" w:type="dxa"/>
            <w:vAlign w:val="bottom"/>
            <w:tcBorders>
              <w:left w:val="single" w:sz="8" w:color="auto"/>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EBIT multiples</w:t>
            </w: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37.5x</w:t>
            </w:r>
          </w:p>
        </w:tc>
        <w:tc>
          <w:tcPr>
            <w:tcW w:w="820" w:type="dxa"/>
            <w:vAlign w:val="bottom"/>
            <w:tcBorders>
              <w:bottom w:val="single" w:sz="8" w:color="auto"/>
              <w:right w:val="single" w:sz="8" w:color="auto"/>
            </w:tcBorders>
          </w:tcPr>
          <w:p>
            <w:pPr>
              <w:ind w:left="20"/>
              <w:spacing w:after="0" w:line="159" w:lineRule="exact"/>
              <w:rPr>
                <w:sz w:val="20"/>
                <w:szCs w:val="20"/>
                <w:color w:val="auto"/>
              </w:rPr>
            </w:pPr>
            <w:r>
              <w:rPr>
                <w:rFonts w:ascii="Arial" w:cs="Arial" w:eastAsia="Arial" w:hAnsi="Arial"/>
                <w:sz w:val="15"/>
                <w:szCs w:val="15"/>
                <w:color w:val="auto"/>
              </w:rPr>
              <w:t>(37.5x)</w:t>
            </w:r>
          </w:p>
        </w:tc>
      </w:tr>
      <w:tr>
        <w:trPr>
          <w:trHeight w:val="205"/>
        </w:trPr>
        <w:tc>
          <w:tcPr>
            <w:tcW w:w="1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Preferred stock in</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$157,929,101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Market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Precedent</w:t>
            </w:r>
          </w:p>
        </w:tc>
        <w:tc>
          <w:tcPr>
            <w:tcW w:w="152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rPr>
              <w:t>N/A</w:t>
            </w:r>
          </w:p>
        </w:tc>
      </w:tr>
      <w:tr>
        <w:trPr>
          <w:trHeight w:val="232"/>
        </w:trPr>
        <w:tc>
          <w:tcPr>
            <w:tcW w:w="1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private companies</w:t>
            </w:r>
          </w:p>
        </w:tc>
        <w:tc>
          <w:tcPr>
            <w:tcW w:w="10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approach</w:t>
            </w:r>
          </w:p>
        </w:tc>
        <w:tc>
          <w:tcPr>
            <w:tcW w:w="1500" w:type="dxa"/>
            <w:vAlign w:val="bottom"/>
            <w:tcBorders>
              <w:bottom w:val="single" w:sz="8" w:color="auto"/>
              <w:right w:val="single" w:sz="8" w:color="auto"/>
            </w:tcBorders>
          </w:tcPr>
          <w:p>
            <w:pPr>
              <w:jc w:val="center"/>
              <w:spacing w:after="0" w:line="232" w:lineRule="exact"/>
              <w:rPr>
                <w:sz w:val="20"/>
                <w:szCs w:val="20"/>
                <w:color w:val="auto"/>
              </w:rPr>
            </w:pPr>
            <w:r>
              <w:rPr>
                <w:rFonts w:ascii="Arial" w:cs="Arial" w:eastAsia="Arial" w:hAnsi="Arial"/>
                <w:sz w:val="15"/>
                <w:szCs w:val="15"/>
                <w:color w:val="auto"/>
                <w:w w:val="84"/>
              </w:rPr>
              <w:t>transactions</w:t>
            </w:r>
            <w:r>
              <w:rPr>
                <w:rFonts w:ascii="Arial" w:cs="Arial" w:eastAsia="Arial" w:hAnsi="Arial"/>
                <w:sz w:val="22"/>
                <w:szCs w:val="22"/>
                <w:color w:val="auto"/>
                <w:w w:val="84"/>
                <w:vertAlign w:val="superscript"/>
              </w:rPr>
              <w:t>(1)</w:t>
            </w:r>
          </w:p>
        </w:tc>
        <w:tc>
          <w:tcPr>
            <w:tcW w:w="7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159"/>
        </w:trPr>
        <w:tc>
          <w:tcPr>
            <w:tcW w:w="166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0"/>
              </w:rPr>
              <w:t>Revenue multiples</w:t>
            </w:r>
          </w:p>
        </w:tc>
        <w:tc>
          <w:tcPr>
            <w:tcW w:w="1520" w:type="dxa"/>
            <w:vAlign w:val="bottom"/>
            <w:tcBorders>
              <w:bottom w:val="single" w:sz="8" w:color="auto"/>
              <w:right w:val="single" w:sz="8" w:color="auto"/>
            </w:tcBorders>
            <w:gridSpan w:val="2"/>
          </w:tcPr>
          <w:p>
            <w:pPr>
              <w:jc w:val="center"/>
              <w:spacing w:after="0" w:line="159" w:lineRule="exact"/>
              <w:rPr>
                <w:sz w:val="20"/>
                <w:szCs w:val="20"/>
                <w:color w:val="auto"/>
              </w:rPr>
            </w:pPr>
            <w:r>
              <w:rPr>
                <w:rFonts w:ascii="Arial" w:cs="Arial" w:eastAsia="Arial" w:hAnsi="Arial"/>
                <w:sz w:val="15"/>
                <w:szCs w:val="15"/>
                <w:color w:val="auto"/>
                <w:w w:val="91"/>
              </w:rPr>
              <w:t>0.8x – 5.3x (2.7x)</w:t>
            </w:r>
          </w:p>
        </w:tc>
      </w:tr>
      <w:tr>
        <w:trPr>
          <w:trHeight w:val="159"/>
        </w:trPr>
        <w:tc>
          <w:tcPr>
            <w:tcW w:w="166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EBIT multiples</w:t>
            </w: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37.5x</w:t>
            </w:r>
          </w:p>
        </w:tc>
        <w:tc>
          <w:tcPr>
            <w:tcW w:w="820" w:type="dxa"/>
            <w:vAlign w:val="bottom"/>
            <w:tcBorders>
              <w:bottom w:val="single" w:sz="8" w:color="auto"/>
              <w:right w:val="single" w:sz="8" w:color="auto"/>
            </w:tcBorders>
          </w:tcPr>
          <w:p>
            <w:pPr>
              <w:ind w:left="20"/>
              <w:spacing w:after="0" w:line="159" w:lineRule="exact"/>
              <w:rPr>
                <w:sz w:val="20"/>
                <w:szCs w:val="20"/>
                <w:color w:val="auto"/>
              </w:rPr>
            </w:pPr>
            <w:r>
              <w:rPr>
                <w:rFonts w:ascii="Arial" w:cs="Arial" w:eastAsia="Arial" w:hAnsi="Arial"/>
                <w:sz w:val="15"/>
                <w:szCs w:val="15"/>
                <w:color w:val="auto"/>
              </w:rPr>
              <w:t>(37.5x)</w:t>
            </w:r>
          </w:p>
        </w:tc>
      </w:tr>
      <w:tr>
        <w:trPr>
          <w:trHeight w:val="159"/>
        </w:trPr>
        <w:tc>
          <w:tcPr>
            <w:tcW w:w="166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0"/>
              </w:rPr>
              <w:t>Subscriber multiples</w:t>
            </w: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669.9x</w:t>
            </w:r>
          </w:p>
        </w:tc>
        <w:tc>
          <w:tcPr>
            <w:tcW w:w="820" w:type="dxa"/>
            <w:vAlign w:val="bottom"/>
            <w:tcBorders>
              <w:bottom w:val="single" w:sz="8" w:color="auto"/>
              <w:right w:val="single" w:sz="8" w:color="auto"/>
            </w:tcBorders>
          </w:tcPr>
          <w:p>
            <w:pPr>
              <w:ind w:left="20"/>
              <w:spacing w:after="0" w:line="159" w:lineRule="exact"/>
              <w:rPr>
                <w:sz w:val="20"/>
                <w:szCs w:val="20"/>
                <w:color w:val="auto"/>
              </w:rPr>
            </w:pPr>
            <w:r>
              <w:rPr>
                <w:rFonts w:ascii="Arial" w:cs="Arial" w:eastAsia="Arial" w:hAnsi="Arial"/>
                <w:sz w:val="15"/>
                <w:szCs w:val="15"/>
                <w:color w:val="auto"/>
              </w:rPr>
              <w:t>(669.6x)</w:t>
            </w:r>
          </w:p>
        </w:tc>
      </w:tr>
      <w:tr>
        <w:trPr>
          <w:trHeight w:val="159"/>
        </w:trPr>
        <w:tc>
          <w:tcPr>
            <w:tcW w:w="166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ind w:left="200"/>
              <w:spacing w:after="0" w:line="159" w:lineRule="exact"/>
              <w:rPr>
                <w:sz w:val="20"/>
                <w:szCs w:val="20"/>
                <w:color w:val="auto"/>
              </w:rPr>
            </w:pPr>
            <w:r>
              <w:rPr>
                <w:rFonts w:ascii="Arial" w:cs="Arial" w:eastAsia="Arial" w:hAnsi="Arial"/>
                <w:sz w:val="15"/>
                <w:szCs w:val="15"/>
                <w:color w:val="auto"/>
              </w:rPr>
              <w:t>Discount for lack</w:t>
            </w: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15.0%</w:t>
            </w:r>
          </w:p>
        </w:tc>
        <w:tc>
          <w:tcPr>
            <w:tcW w:w="82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5"/>
                <w:szCs w:val="15"/>
                <w:color w:val="auto"/>
              </w:rPr>
              <w:t>(15.0)%</w:t>
            </w:r>
          </w:p>
        </w:tc>
      </w:tr>
      <w:tr>
        <w:trPr>
          <w:trHeight w:val="189"/>
        </w:trPr>
        <w:tc>
          <w:tcPr>
            <w:tcW w:w="1660" w:type="dxa"/>
            <w:vAlign w:val="bottom"/>
            <w:tcBorders>
              <w:left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5"/>
                <w:szCs w:val="15"/>
                <w:color w:val="auto"/>
              </w:rPr>
              <w:t>of control</w:t>
            </w: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59"/>
        </w:trPr>
        <w:tc>
          <w:tcPr>
            <w:tcW w:w="1660" w:type="dxa"/>
            <w:vAlign w:val="bottom"/>
            <w:tcBorders>
              <w:left w:val="single" w:sz="8" w:color="auto"/>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$4,309,778</w:t>
            </w:r>
          </w:p>
        </w:tc>
        <w:tc>
          <w:tcPr>
            <w:tcW w:w="106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3"/>
              </w:rPr>
              <w:t>PWERM</w:t>
            </w:r>
          </w:p>
        </w:tc>
        <w:tc>
          <w:tcPr>
            <w:tcW w:w="15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0"/>
              </w:rPr>
              <w:t>Discount rate</w:t>
            </w: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12.0%</w:t>
            </w:r>
          </w:p>
        </w:tc>
        <w:tc>
          <w:tcPr>
            <w:tcW w:w="820" w:type="dxa"/>
            <w:vAlign w:val="bottom"/>
            <w:tcBorders>
              <w:bottom w:val="single" w:sz="8" w:color="auto"/>
              <w:right w:val="single" w:sz="8" w:color="auto"/>
            </w:tcBorders>
          </w:tcPr>
          <w:p>
            <w:pPr>
              <w:ind w:left="20"/>
              <w:spacing w:after="0" w:line="159" w:lineRule="exact"/>
              <w:rPr>
                <w:sz w:val="20"/>
                <w:szCs w:val="20"/>
                <w:color w:val="auto"/>
              </w:rPr>
            </w:pPr>
            <w:r>
              <w:rPr>
                <w:rFonts w:ascii="Arial" w:cs="Arial" w:eastAsia="Arial" w:hAnsi="Arial"/>
                <w:sz w:val="15"/>
                <w:szCs w:val="15"/>
                <w:color w:val="auto"/>
              </w:rPr>
              <w:t>(12.0)%</w:t>
            </w:r>
          </w:p>
        </w:tc>
      </w:tr>
      <w:tr>
        <w:trPr>
          <w:trHeight w:val="237"/>
        </w:trPr>
        <w:tc>
          <w:tcPr>
            <w:tcW w:w="1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Debt investments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$7,821,948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Market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Liquidation Value</w:t>
            </w:r>
          </w:p>
        </w:tc>
        <w:tc>
          <w:tcPr>
            <w:tcW w:w="152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rPr>
              <w:t>N/A</w:t>
            </w: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approach</w:t>
            </w:r>
          </w:p>
        </w:tc>
        <w:tc>
          <w:tcPr>
            <w:tcW w:w="15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238"/>
        </w:trPr>
        <w:tc>
          <w:tcPr>
            <w:tcW w:w="1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Warrants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$150,904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Option pricing</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Term to expiration</w:t>
            </w:r>
          </w:p>
        </w:tc>
        <w:tc>
          <w:tcPr>
            <w:tcW w:w="152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w w:val="87"/>
              </w:rPr>
              <w:t>1.2 – 3.0 (2.1)</w:t>
            </w:r>
          </w:p>
        </w:tc>
      </w:tr>
      <w:tr>
        <w:trPr>
          <w:trHeight w:val="189"/>
        </w:trPr>
        <w:tc>
          <w:tcPr>
            <w:tcW w:w="166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model</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(Years)</w:t>
            </w: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59"/>
        </w:trPr>
        <w:tc>
          <w:tcPr>
            <w:tcW w:w="166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Volatility</w:t>
            </w: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10.4%</w:t>
            </w:r>
          </w:p>
        </w:tc>
        <w:tc>
          <w:tcPr>
            <w:tcW w:w="82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5"/>
                <w:szCs w:val="15"/>
                <w:color w:val="auto"/>
              </w:rPr>
              <w:t>– 49.3%</w:t>
            </w: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5"/>
                <w:szCs w:val="15"/>
                <w:color w:val="auto"/>
                <w:w w:val="95"/>
              </w:rPr>
              <w:t>(43.2)%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184150</wp:posOffset>
            </wp:positionV>
            <wp:extent cx="102044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340" w:right="2759" w:hanging="289"/>
        <w:spacing w:after="0" w:line="270" w:lineRule="auto"/>
        <w:tabs>
          <w:tab w:leader="none" w:pos="13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Precedent transactions include recent rounds of financing, recent purchases made by the Company, and tender offers.</w:t>
      </w:r>
    </w:p>
    <w:p>
      <w:pPr>
        <w:spacing w:after="0" w:line="58" w:lineRule="exact"/>
        <w:rPr>
          <w:sz w:val="20"/>
          <w:szCs w:val="20"/>
          <w:color w:val="auto"/>
        </w:rPr>
      </w:pPr>
    </w:p>
    <w:p>
      <w:pPr>
        <w:ind w:left="1060" w:right="2519" w:firstLine="297"/>
        <w:spacing w:after="0" w:line="270" w:lineRule="auto"/>
        <w:rPr>
          <w:sz w:val="20"/>
          <w:szCs w:val="20"/>
          <w:color w:val="auto"/>
        </w:rPr>
      </w:pPr>
      <w:r>
        <w:rPr>
          <w:rFonts w:ascii="Arial" w:cs="Arial" w:eastAsia="Arial" w:hAnsi="Arial"/>
          <w:sz w:val="15"/>
          <w:szCs w:val="15"/>
          <w:color w:val="auto"/>
        </w:rPr>
        <w:t>The aggregate values of Level 3 assets and liabilities changed during the year ended December 31, 2017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2"/>
                <w:szCs w:val="12"/>
                <w:b w:val="1"/>
                <w:bCs w:val="1"/>
                <w:color w:val="auto"/>
              </w:rPr>
              <w:t>Year Ended December 31, 2017</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Pr>
          <w:p>
            <w:pPr>
              <w:spacing w:after="0"/>
              <w:rPr>
                <w:sz w:val="13"/>
                <w:szCs w:val="13"/>
                <w:color w:val="auto"/>
              </w:rPr>
            </w:pPr>
          </w:p>
        </w:tc>
      </w:tr>
      <w:tr>
        <w:trPr>
          <w:trHeight w:val="113"/>
        </w:trPr>
        <w:tc>
          <w:tcPr>
            <w:tcW w:w="10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gridSpan w:val="2"/>
          </w:tcPr>
          <w:p>
            <w:pPr>
              <w:jc w:val="center"/>
              <w:ind w:right="140"/>
              <w:spacing w:after="0" w:line="113" w:lineRule="exact"/>
              <w:rPr>
                <w:sz w:val="20"/>
                <w:szCs w:val="20"/>
                <w:color w:val="auto"/>
              </w:rPr>
            </w:pPr>
            <w:r>
              <w:rPr>
                <w:rFonts w:ascii="Arial" w:cs="Arial" w:eastAsia="Arial" w:hAnsi="Arial"/>
                <w:sz w:val="12"/>
                <w:szCs w:val="12"/>
                <w:b w:val="1"/>
                <w:bCs w:val="1"/>
                <w:color w:val="auto"/>
                <w:w w:val="88"/>
              </w:rPr>
              <w:t>Common</w:t>
            </w:r>
          </w:p>
        </w:tc>
        <w:tc>
          <w:tcPr>
            <w:tcW w:w="940" w:type="dxa"/>
            <w:vAlign w:val="bottom"/>
            <w:gridSpan w:val="2"/>
          </w:tcPr>
          <w:p>
            <w:pPr>
              <w:jc w:val="right"/>
              <w:ind w:right="280"/>
              <w:spacing w:after="0" w:line="113" w:lineRule="exact"/>
              <w:rPr>
                <w:sz w:val="20"/>
                <w:szCs w:val="20"/>
                <w:color w:val="auto"/>
              </w:rPr>
            </w:pPr>
            <w:r>
              <w:rPr>
                <w:rFonts w:ascii="Arial" w:cs="Arial" w:eastAsia="Arial" w:hAnsi="Arial"/>
                <w:sz w:val="12"/>
                <w:szCs w:val="12"/>
                <w:b w:val="1"/>
                <w:bCs w:val="1"/>
                <w:color w:val="auto"/>
              </w:rPr>
              <w:t>Preferred</w:t>
            </w:r>
          </w:p>
        </w:tc>
        <w:tc>
          <w:tcPr>
            <w:tcW w:w="820" w:type="dxa"/>
            <w:vAlign w:val="bottom"/>
            <w:gridSpan w:val="2"/>
          </w:tcPr>
          <w:p>
            <w:pPr>
              <w:jc w:val="center"/>
              <w:ind w:right="140"/>
              <w:spacing w:after="0" w:line="113" w:lineRule="exact"/>
              <w:rPr>
                <w:sz w:val="20"/>
                <w:szCs w:val="20"/>
                <w:color w:val="auto"/>
              </w:rPr>
            </w:pPr>
            <w:r>
              <w:rPr>
                <w:rFonts w:ascii="Arial" w:cs="Arial" w:eastAsia="Arial" w:hAnsi="Arial"/>
                <w:sz w:val="12"/>
                <w:szCs w:val="12"/>
                <w:b w:val="1"/>
                <w:bCs w:val="1"/>
                <w:color w:val="auto"/>
                <w:w w:val="89"/>
              </w:rPr>
              <w:t>Debt</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7"/>
        </w:trPr>
        <w:tc>
          <w:tcPr>
            <w:tcW w:w="1040" w:type="dxa"/>
            <w:vAlign w:val="bottom"/>
          </w:tcPr>
          <w:p>
            <w:pPr>
              <w:spacing w:after="0"/>
              <w:rPr>
                <w:sz w:val="13"/>
                <w:szCs w:val="13"/>
                <w:color w:val="auto"/>
              </w:rPr>
            </w:pPr>
          </w:p>
        </w:tc>
        <w:tc>
          <w:tcPr>
            <w:tcW w:w="26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Stock</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Investments</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Warrants</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Total</w:t>
            </w:r>
          </w:p>
        </w:tc>
        <w:tc>
          <w:tcPr>
            <w:tcW w:w="1080" w:type="dxa"/>
            <w:vAlign w:val="bottom"/>
          </w:tcPr>
          <w:p>
            <w:pPr>
              <w:spacing w:after="0"/>
              <w:rPr>
                <w:sz w:val="13"/>
                <w:szCs w:val="13"/>
                <w:color w:val="auto"/>
              </w:rPr>
            </w:pPr>
          </w:p>
        </w:tc>
      </w:tr>
      <w:tr>
        <w:trPr>
          <w:trHeight w:val="175"/>
        </w:trPr>
        <w:tc>
          <w:tcPr>
            <w:tcW w:w="1040" w:type="dxa"/>
            <w:vAlign w:val="bottom"/>
          </w:tcPr>
          <w:p>
            <w:pPr>
              <w:spacing w:after="0"/>
              <w:rPr>
                <w:sz w:val="15"/>
                <w:szCs w:val="15"/>
                <w:color w:val="auto"/>
              </w:rPr>
            </w:pPr>
          </w:p>
        </w:tc>
        <w:tc>
          <w:tcPr>
            <w:tcW w:w="2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tcBorders>
              <w:left w:val="single" w:sz="8" w:color="CCEEFF"/>
            </w:tcBorders>
          </w:tcPr>
          <w:p>
            <w:pPr>
              <w:spacing w:after="0"/>
              <w:rPr>
                <w:sz w:val="15"/>
                <w:szCs w:val="15"/>
                <w:color w:val="auto"/>
              </w:rPr>
            </w:pPr>
          </w:p>
        </w:tc>
      </w:tr>
      <w:tr>
        <w:trPr>
          <w:trHeight w:val="179"/>
        </w:trPr>
        <w:tc>
          <w:tcPr>
            <w:tcW w:w="10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5"/>
                <w:szCs w:val="15"/>
                <w:color w:val="auto"/>
              </w:rPr>
              <w:t>Fair Value as of December 31, 2016</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w w:val="89"/>
              </w:rPr>
              <w:t>$ 83,074,410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$162,238,879</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$ 7,821,948</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$150,904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86"/>
              </w:rPr>
              <w:t>253,286,141</w:t>
            </w:r>
          </w:p>
        </w:tc>
        <w:tc>
          <w:tcPr>
            <w:tcW w:w="1080" w:type="dxa"/>
            <w:vAlign w:val="bottom"/>
          </w:tcPr>
          <w:p>
            <w:pPr>
              <w:spacing w:after="0"/>
              <w:rPr>
                <w:sz w:val="15"/>
                <w:szCs w:val="15"/>
                <w:color w:val="auto"/>
              </w:rPr>
            </w:pPr>
          </w:p>
        </w:tc>
      </w:tr>
      <w:tr>
        <w:trPr>
          <w:trHeight w:val="179"/>
        </w:trPr>
        <w:tc>
          <w:tcPr>
            <w:tcW w:w="1040" w:type="dxa"/>
            <w:vAlign w:val="bottom"/>
          </w:tcPr>
          <w:p>
            <w:pPr>
              <w:spacing w:after="0"/>
              <w:rPr>
                <w:sz w:val="15"/>
                <w:szCs w:val="15"/>
                <w:color w:val="auto"/>
              </w:rPr>
            </w:pPr>
          </w:p>
        </w:tc>
        <w:tc>
          <w:tcPr>
            <w:tcW w:w="26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Transfers out of Level 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(2,184,565)</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(2,184,565)</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(4,369,130)</w:t>
            </w:r>
          </w:p>
        </w:tc>
        <w:tc>
          <w:tcPr>
            <w:tcW w:w="1080" w:type="dxa"/>
            <w:vAlign w:val="bottom"/>
            <w:tcBorders>
              <w:left w:val="single" w:sz="8" w:color="CCEEFF"/>
            </w:tcBorders>
          </w:tcPr>
          <w:p>
            <w:pPr>
              <w:spacing w:after="0"/>
              <w:rPr>
                <w:sz w:val="15"/>
                <w:szCs w:val="15"/>
                <w:color w:val="auto"/>
              </w:rPr>
            </w:pPr>
          </w:p>
        </w:tc>
      </w:tr>
      <w:tr>
        <w:trPr>
          <w:trHeight w:val="168"/>
        </w:trPr>
        <w:tc>
          <w:tcPr>
            <w:tcW w:w="1040" w:type="dxa"/>
            <w:vAlign w:val="bottom"/>
          </w:tcPr>
          <w:p>
            <w:pPr>
              <w:spacing w:after="0"/>
              <w:rPr>
                <w:sz w:val="14"/>
                <w:szCs w:val="14"/>
                <w:color w:val="auto"/>
              </w:rPr>
            </w:pPr>
          </w:p>
        </w:tc>
        <w:tc>
          <w:tcPr>
            <w:tcW w:w="2600" w:type="dxa"/>
            <w:vAlign w:val="bottom"/>
          </w:tcPr>
          <w:p>
            <w:pPr>
              <w:ind w:left="20"/>
              <w:spacing w:after="0" w:line="168" w:lineRule="exact"/>
              <w:rPr>
                <w:sz w:val="20"/>
                <w:szCs w:val="20"/>
                <w:color w:val="auto"/>
              </w:rPr>
            </w:pPr>
            <w:r>
              <w:rPr>
                <w:rFonts w:ascii="Arial" w:cs="Arial" w:eastAsia="Arial" w:hAnsi="Arial"/>
                <w:sz w:val="15"/>
                <w:szCs w:val="15"/>
                <w:color w:val="auto"/>
              </w:rPr>
              <w:t>Purchases, capitalized fees and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1040" w:type="dxa"/>
            <w:vAlign w:val="bottom"/>
          </w:tcPr>
          <w:p>
            <w:pPr>
              <w:spacing w:after="0"/>
              <w:rPr>
                <w:sz w:val="16"/>
                <w:szCs w:val="16"/>
                <w:color w:val="auto"/>
              </w:rPr>
            </w:pPr>
          </w:p>
        </w:tc>
        <w:tc>
          <w:tcPr>
            <w:tcW w:w="2600" w:type="dxa"/>
            <w:vAlign w:val="bottom"/>
          </w:tcPr>
          <w:p>
            <w:pPr>
              <w:ind w:left="160"/>
              <w:spacing w:after="0"/>
              <w:rPr>
                <w:sz w:val="20"/>
                <w:szCs w:val="20"/>
                <w:color w:val="auto"/>
              </w:rPr>
            </w:pPr>
            <w:r>
              <w:rPr>
                <w:rFonts w:ascii="Arial" w:cs="Arial" w:eastAsia="Arial" w:hAnsi="Arial"/>
                <w:sz w:val="15"/>
                <w:szCs w:val="15"/>
                <w:color w:val="auto"/>
              </w:rPr>
              <w:t>interest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60,649</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126,824</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226,449</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70,379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484,301</w:t>
            </w:r>
          </w:p>
        </w:tc>
        <w:tc>
          <w:tcPr>
            <w:tcW w:w="1080" w:type="dxa"/>
            <w:vAlign w:val="bottom"/>
          </w:tcPr>
          <w:p>
            <w:pPr>
              <w:spacing w:after="0"/>
              <w:rPr>
                <w:sz w:val="16"/>
                <w:szCs w:val="16"/>
                <w:color w:val="auto"/>
              </w:rPr>
            </w:pPr>
          </w:p>
        </w:tc>
      </w:tr>
      <w:tr>
        <w:trPr>
          <w:trHeight w:val="190"/>
        </w:trPr>
        <w:tc>
          <w:tcPr>
            <w:tcW w:w="1040" w:type="dxa"/>
            <w:vAlign w:val="bottom"/>
          </w:tcPr>
          <w:p>
            <w:pPr>
              <w:spacing w:after="0"/>
              <w:rPr>
                <w:sz w:val="16"/>
                <w:szCs w:val="16"/>
                <w:color w:val="auto"/>
              </w:rPr>
            </w:pPr>
          </w:p>
        </w:tc>
        <w:tc>
          <w:tcPr>
            <w:tcW w:w="2600" w:type="dxa"/>
            <w:vAlign w:val="bottom"/>
            <w:tcBorders>
              <w:right w:val="single" w:sz="8" w:color="CCEEFF"/>
            </w:tcBorders>
            <w:shd w:val="clear" w:color="auto" w:fill="CCEEFF"/>
          </w:tcPr>
          <w:p>
            <w:pPr>
              <w:ind w:left="20"/>
              <w:spacing w:after="0" w:line="190" w:lineRule="exact"/>
              <w:rPr>
                <w:sz w:val="20"/>
                <w:szCs w:val="20"/>
                <w:color w:val="auto"/>
              </w:rPr>
            </w:pPr>
            <w:r>
              <w:rPr>
                <w:rFonts w:ascii="Arial" w:cs="Arial" w:eastAsia="Arial" w:hAnsi="Arial"/>
                <w:sz w:val="15"/>
                <w:szCs w:val="15"/>
                <w:color w:val="auto"/>
              </w:rPr>
              <w:t>Sales of investments</w:t>
            </w:r>
            <w:r>
              <w:rPr>
                <w:rFonts w:ascii="Arial" w:cs="Arial" w:eastAsia="Arial" w:hAnsi="Arial"/>
                <w:sz w:val="22"/>
                <w:szCs w:val="22"/>
                <w:color w:val="auto"/>
                <w:vertAlign w:val="superscript"/>
              </w:rPr>
              <w:t>(2)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(17,986,251)</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(45,369,628)</w:t>
            </w: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(70,379)</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(63,426,258)</w:t>
            </w:r>
          </w:p>
        </w:tc>
        <w:tc>
          <w:tcPr>
            <w:tcW w:w="1080" w:type="dxa"/>
            <w:vAlign w:val="bottom"/>
            <w:tcBorders>
              <w:left w:val="single" w:sz="8" w:color="CCEEFF"/>
            </w:tcBorders>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5"/>
                <w:szCs w:val="15"/>
                <w:color w:val="auto"/>
              </w:rPr>
              <w:t>Realized gains/(losses)</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(10,440,384)</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9,433,159</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(335,688)</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(31,930)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9"/>
              </w:rPr>
              <w:t>(1,374,843)</w:t>
            </w:r>
          </w:p>
        </w:tc>
        <w:tc>
          <w:tcPr>
            <w:tcW w:w="1080" w:type="dxa"/>
            <w:vAlign w:val="bottom"/>
          </w:tcPr>
          <w:p>
            <w:pPr>
              <w:spacing w:after="0"/>
              <w:rPr>
                <w:sz w:val="15"/>
                <w:szCs w:val="15"/>
                <w:color w:val="auto"/>
              </w:rPr>
            </w:pPr>
          </w:p>
        </w:tc>
      </w:tr>
      <w:tr>
        <w:trPr>
          <w:trHeight w:val="136"/>
        </w:trPr>
        <w:tc>
          <w:tcPr>
            <w:tcW w:w="1040" w:type="dxa"/>
            <w:vAlign w:val="bottom"/>
          </w:tcPr>
          <w:p>
            <w:pPr>
              <w:spacing w:after="0"/>
              <w:rPr>
                <w:sz w:val="11"/>
                <w:szCs w:val="11"/>
                <w:color w:val="auto"/>
              </w:rPr>
            </w:pPr>
          </w:p>
        </w:tc>
        <w:tc>
          <w:tcPr>
            <w:tcW w:w="2600" w:type="dxa"/>
            <w:vAlign w:val="bottom"/>
            <w:tcBorders>
              <w:right w:val="single" w:sz="8" w:color="CCEEFF"/>
            </w:tcBorders>
            <w:shd w:val="clear" w:color="auto" w:fill="CCEEFF"/>
          </w:tcPr>
          <w:p>
            <w:pPr>
              <w:ind w:left="20"/>
              <w:spacing w:after="0" w:line="136" w:lineRule="exact"/>
              <w:rPr>
                <w:sz w:val="20"/>
                <w:szCs w:val="20"/>
                <w:color w:val="auto"/>
              </w:rPr>
            </w:pPr>
            <w:r>
              <w:rPr>
                <w:rFonts w:ascii="Arial" w:cs="Arial" w:eastAsia="Arial" w:hAnsi="Arial"/>
                <w:sz w:val="15"/>
                <w:szCs w:val="15"/>
                <w:color w:val="auto"/>
              </w:rPr>
              <w:t>Exercises, conversions and</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80" w:type="dxa"/>
            <w:vAlign w:val="bottom"/>
            <w:tcBorders>
              <w:left w:val="single" w:sz="8" w:color="CCEEFF"/>
            </w:tcBorders>
          </w:tcPr>
          <w:p>
            <w:pPr>
              <w:spacing w:after="0"/>
              <w:rPr>
                <w:sz w:val="11"/>
                <w:szCs w:val="11"/>
                <w:color w:val="auto"/>
              </w:rPr>
            </w:pPr>
          </w:p>
        </w:tc>
      </w:tr>
      <w:tr>
        <w:trPr>
          <w:trHeight w:val="232"/>
        </w:trPr>
        <w:tc>
          <w:tcPr>
            <w:tcW w:w="1040" w:type="dxa"/>
            <w:vAlign w:val="bottom"/>
          </w:tcPr>
          <w:p>
            <w:pPr>
              <w:spacing w:after="0"/>
              <w:rPr>
                <w:sz w:val="20"/>
                <w:szCs w:val="20"/>
                <w:color w:val="auto"/>
              </w:rPr>
            </w:pPr>
          </w:p>
        </w:tc>
        <w:tc>
          <w:tcPr>
            <w:tcW w:w="2600" w:type="dxa"/>
            <w:vAlign w:val="bottom"/>
            <w:tcBorders>
              <w:right w:val="single" w:sz="8" w:color="CCEEFF"/>
            </w:tcBorders>
            <w:shd w:val="clear" w:color="auto" w:fill="CCEEFF"/>
          </w:tcPr>
          <w:p>
            <w:pPr>
              <w:ind w:left="160"/>
              <w:spacing w:after="0" w:line="232" w:lineRule="exact"/>
              <w:rPr>
                <w:sz w:val="20"/>
                <w:szCs w:val="20"/>
                <w:color w:val="auto"/>
              </w:rPr>
            </w:pPr>
            <w:r>
              <w:rPr>
                <w:rFonts w:ascii="Arial" w:cs="Arial" w:eastAsia="Arial" w:hAnsi="Arial"/>
                <w:sz w:val="15"/>
                <w:szCs w:val="15"/>
                <w:color w:val="auto"/>
              </w:rPr>
              <w:t>assignments</w:t>
            </w:r>
            <w:r>
              <w:rPr>
                <w:rFonts w:ascii="Arial" w:cs="Arial" w:eastAsia="Arial" w:hAnsi="Arial"/>
                <w:sz w:val="22"/>
                <w:szCs w:val="22"/>
                <w:color w:val="auto"/>
                <w:vertAlign w:val="superscript"/>
              </w:rPr>
              <w:t>(1)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2,506,119</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(2,506,119)</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left w:val="single" w:sz="8" w:color="CCEEFF"/>
            </w:tcBorders>
          </w:tcPr>
          <w:p>
            <w:pPr>
              <w:spacing w:after="0"/>
              <w:rPr>
                <w:sz w:val="20"/>
                <w:szCs w:val="20"/>
                <w:color w:val="auto"/>
              </w:rPr>
            </w:pPr>
          </w:p>
        </w:tc>
      </w:tr>
      <w:tr>
        <w:trPr>
          <w:trHeight w:val="168"/>
        </w:trPr>
        <w:tc>
          <w:tcPr>
            <w:tcW w:w="1040" w:type="dxa"/>
            <w:vAlign w:val="bottom"/>
          </w:tcPr>
          <w:p>
            <w:pPr>
              <w:spacing w:after="0"/>
              <w:rPr>
                <w:sz w:val="14"/>
                <w:szCs w:val="14"/>
                <w:color w:val="auto"/>
              </w:rPr>
            </w:pPr>
          </w:p>
        </w:tc>
        <w:tc>
          <w:tcPr>
            <w:tcW w:w="2600" w:type="dxa"/>
            <w:vAlign w:val="bottom"/>
          </w:tcPr>
          <w:p>
            <w:pPr>
              <w:ind w:left="20"/>
              <w:spacing w:after="0" w:line="168" w:lineRule="exact"/>
              <w:rPr>
                <w:sz w:val="20"/>
                <w:szCs w:val="20"/>
                <w:color w:val="auto"/>
              </w:rPr>
            </w:pPr>
            <w:r>
              <w:rPr>
                <w:rFonts w:ascii="Arial" w:cs="Arial" w:eastAsia="Arial" w:hAnsi="Arial"/>
                <w:sz w:val="15"/>
                <w:szCs w:val="15"/>
                <w:color w:val="auto"/>
              </w:rPr>
              <w:t>Amortization of fixed income security</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1040" w:type="dxa"/>
            <w:vAlign w:val="bottom"/>
          </w:tcPr>
          <w:p>
            <w:pPr>
              <w:spacing w:after="0"/>
              <w:rPr>
                <w:sz w:val="16"/>
                <w:szCs w:val="16"/>
                <w:color w:val="auto"/>
              </w:rPr>
            </w:pPr>
          </w:p>
        </w:tc>
        <w:tc>
          <w:tcPr>
            <w:tcW w:w="2600" w:type="dxa"/>
            <w:vAlign w:val="bottom"/>
          </w:tcPr>
          <w:p>
            <w:pPr>
              <w:ind w:left="160"/>
              <w:spacing w:after="0"/>
              <w:rPr>
                <w:sz w:val="20"/>
                <w:szCs w:val="20"/>
                <w:color w:val="auto"/>
              </w:rPr>
            </w:pPr>
            <w:r>
              <w:rPr>
                <w:rFonts w:ascii="Arial" w:cs="Arial" w:eastAsia="Arial" w:hAnsi="Arial"/>
                <w:sz w:val="15"/>
                <w:szCs w:val="15"/>
                <w:color w:val="auto"/>
              </w:rPr>
              <w:t>premiums and discounts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139,544</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139,544</w:t>
            </w:r>
          </w:p>
        </w:tc>
        <w:tc>
          <w:tcPr>
            <w:tcW w:w="108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2600" w:type="dxa"/>
            <w:vAlign w:val="bottom"/>
            <w:tcBorders>
              <w:right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w w:val="99"/>
              </w:rPr>
              <w:t>Net change in unrealized appreciation/</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tcBorders>
              <w:left w:val="single" w:sz="8" w:color="CCEEFF"/>
            </w:tcBorders>
          </w:tcPr>
          <w:p>
            <w:pPr>
              <w:spacing w:after="0"/>
              <w:rPr>
                <w:sz w:val="14"/>
                <w:szCs w:val="14"/>
                <w:color w:val="auto"/>
              </w:rPr>
            </w:pPr>
          </w:p>
        </w:tc>
      </w:tr>
      <w:tr>
        <w:trPr>
          <w:trHeight w:val="189"/>
        </w:trPr>
        <w:tc>
          <w:tcPr>
            <w:tcW w:w="1040" w:type="dxa"/>
            <w:vAlign w:val="bottom"/>
          </w:tcPr>
          <w:p>
            <w:pPr>
              <w:spacing w:after="0"/>
              <w:rPr>
                <w:sz w:val="16"/>
                <w:szCs w:val="16"/>
                <w:color w:val="auto"/>
              </w:rPr>
            </w:pPr>
          </w:p>
        </w:tc>
        <w:tc>
          <w:tcPr>
            <w:tcW w:w="2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included in earnings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31,794,118</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(1,484,728)</w:t>
            </w: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(2,865,296)</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244,644</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27,688,736</w:t>
            </w:r>
          </w:p>
        </w:tc>
        <w:tc>
          <w:tcPr>
            <w:tcW w:w="1080" w:type="dxa"/>
            <w:vAlign w:val="bottom"/>
            <w:tcBorders>
              <w:left w:val="single" w:sz="8" w:color="CCEEFF"/>
            </w:tcBorders>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26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2"/>
        </w:trPr>
        <w:tc>
          <w:tcPr>
            <w:tcW w:w="1040" w:type="dxa"/>
            <w:vAlign w:val="bottom"/>
          </w:tcPr>
          <w:p>
            <w:pPr>
              <w:spacing w:after="0"/>
              <w:rPr>
                <w:sz w:val="20"/>
                <w:szCs w:val="20"/>
                <w:color w:val="auto"/>
              </w:rPr>
            </w:pPr>
          </w:p>
        </w:tc>
        <w:tc>
          <w:tcPr>
            <w:tcW w:w="2600" w:type="dxa"/>
            <w:vAlign w:val="bottom"/>
          </w:tcPr>
          <w:p>
            <w:pPr>
              <w:ind w:left="20"/>
              <w:spacing w:after="0"/>
              <w:rPr>
                <w:sz w:val="20"/>
                <w:szCs w:val="20"/>
                <w:color w:val="auto"/>
              </w:rPr>
            </w:pPr>
            <w:r>
              <w:rPr>
                <w:rFonts w:ascii="Arial" w:cs="Arial" w:eastAsia="Arial" w:hAnsi="Arial"/>
                <w:sz w:val="15"/>
                <w:szCs w:val="15"/>
                <w:color w:val="auto"/>
              </w:rPr>
              <w:t>Fair Value as of December 31, 2017</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w w:val="89"/>
              </w:rPr>
              <w:t>$ 86,824,096</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120,253,822</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$ 4,916,578</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433,997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86"/>
              </w:rPr>
              <w:t>212,428,493</w:t>
            </w:r>
          </w:p>
        </w:tc>
        <w:tc>
          <w:tcPr>
            <w:tcW w:w="10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2600" w:type="dxa"/>
            <w:vAlign w:val="bottom"/>
            <w:tcBorders>
              <w:top w:val="single" w:sz="8" w:color="CCEEFF"/>
              <w:right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color w:val="auto"/>
                <w:w w:val="99"/>
              </w:rPr>
              <w:t>Net change in unrealized appreciation/</w:t>
            </w: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80" w:type="dxa"/>
            <w:vAlign w:val="bottom"/>
            <w:tcBorders>
              <w:left w:val="single" w:sz="8" w:color="CCEEFF"/>
            </w:tcBorders>
          </w:tcPr>
          <w:p>
            <w:pPr>
              <w:spacing w:after="0"/>
              <w:rPr>
                <w:sz w:val="11"/>
                <w:szCs w:val="11"/>
                <w:color w:val="auto"/>
              </w:rPr>
            </w:pPr>
          </w:p>
        </w:tc>
      </w:tr>
      <w:tr>
        <w:trPr>
          <w:trHeight w:val="179"/>
        </w:trPr>
        <w:tc>
          <w:tcPr>
            <w:tcW w:w="1040" w:type="dxa"/>
            <w:vAlign w:val="bottom"/>
          </w:tcPr>
          <w:p>
            <w:pPr>
              <w:spacing w:after="0"/>
              <w:rPr>
                <w:sz w:val="15"/>
                <w:szCs w:val="15"/>
                <w:color w:val="auto"/>
              </w:rPr>
            </w:pPr>
          </w:p>
        </w:tc>
        <w:tc>
          <w:tcPr>
            <w:tcW w:w="2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w w:val="97"/>
              </w:rPr>
              <w:t>(depreciation) of Level 3 investments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80" w:type="dxa"/>
            <w:vAlign w:val="bottom"/>
            <w:tcBorders>
              <w:left w:val="single" w:sz="8" w:color="CCEEFF"/>
            </w:tcBorders>
          </w:tcPr>
          <w:p>
            <w:pPr>
              <w:spacing w:after="0"/>
              <w:rPr>
                <w:sz w:val="15"/>
                <w:szCs w:val="15"/>
                <w:color w:val="auto"/>
              </w:rPr>
            </w:pPr>
          </w:p>
        </w:tc>
      </w:tr>
      <w:tr>
        <w:trPr>
          <w:trHeight w:val="216"/>
        </w:trPr>
        <w:tc>
          <w:tcPr>
            <w:tcW w:w="1040" w:type="dxa"/>
            <w:vAlign w:val="bottom"/>
          </w:tcPr>
          <w:p>
            <w:pPr>
              <w:spacing w:after="0"/>
              <w:rPr>
                <w:sz w:val="18"/>
                <w:szCs w:val="18"/>
                <w:color w:val="auto"/>
              </w:rPr>
            </w:pPr>
          </w:p>
        </w:tc>
        <w:tc>
          <w:tcPr>
            <w:tcW w:w="26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still held as of December 31, 2017</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9"/>
              </w:rPr>
              <w:t>$ 10,742,585</w:t>
            </w:r>
          </w:p>
        </w:tc>
        <w:tc>
          <w:tcPr>
            <w:tcW w:w="94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 (12,221,603)</w:t>
            </w:r>
          </w:p>
        </w:tc>
        <w:tc>
          <w:tcPr>
            <w:tcW w:w="82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$(3,170,869)</w:t>
            </w:r>
          </w:p>
        </w:tc>
        <w:tc>
          <w:tcPr>
            <w:tcW w:w="68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$212,714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(4,437,173)</w:t>
            </w:r>
          </w:p>
        </w:tc>
        <w:tc>
          <w:tcPr>
            <w:tcW w:w="1080" w:type="dxa"/>
            <w:vAlign w:val="bottom"/>
            <w:tcBorders>
              <w:left w:val="single" w:sz="8" w:color="CCEEFF"/>
            </w:tcBorders>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30"/>
        </w:trPr>
        <w:tc>
          <w:tcPr>
            <w:tcW w:w="1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20" w:type="dxa"/>
            <w:vAlign w:val="bottom"/>
            <w:gridSpan w:val="3"/>
          </w:tcPr>
          <w:p>
            <w:pPr>
              <w:jc w:val="right"/>
              <w:ind w:right="729"/>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5"/>
        </w:trPr>
        <w:tc>
          <w:tcPr>
            <w:tcW w:w="10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-1026795</wp:posOffset>
            </wp:positionV>
            <wp:extent cx="3556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-2522220</wp:posOffset>
            </wp:positionV>
            <wp:extent cx="3556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-2522220</wp:posOffset>
            </wp:positionV>
            <wp:extent cx="5651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-2522220</wp:posOffset>
            </wp:positionV>
            <wp:extent cx="5651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-2522220</wp:posOffset>
            </wp:positionV>
            <wp:extent cx="5651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-2522220</wp:posOffset>
            </wp:positionV>
            <wp:extent cx="220408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204085" cy="698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-26035</wp:posOffset>
            </wp:positionV>
            <wp:extent cx="32385"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10" w:name="page111"/>
    <w:bookmarkEnd w:id="11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187325</wp:posOffset>
            </wp:positionV>
            <wp:extent cx="102044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340" w:right="2999" w:hanging="289"/>
        <w:spacing w:after="0" w:line="270" w:lineRule="auto"/>
        <w:tabs>
          <w:tab w:leader="none" w:pos="13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During the year ended December 31, 2017, the Company’s portfolio investments had the following corporate actions which are reflected above:</w:t>
      </w:r>
    </w:p>
    <w:p>
      <w:pPr>
        <w:spacing w:after="0" w:line="63"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1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Conversion from</w:t>
            </w: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w w:val="86"/>
              </w:rPr>
              <w:t>Conversion to</w:t>
            </w: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1"/>
        </w:trPr>
        <w:tc>
          <w:tcPr>
            <w:tcW w:w="2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 Place for Rover Inc. (f/k/a</w:t>
            </w: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189"/>
        </w:trPr>
        <w:tc>
          <w:tcPr>
            <w:tcW w:w="23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DogVacay, Inc.)</w:t>
            </w:r>
          </w:p>
        </w:tc>
        <w:tc>
          <w:tcPr>
            <w:tcW w:w="19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7"/>
              </w:rPr>
              <w:t>Preferred shares, Series B-1</w:t>
            </w:r>
          </w:p>
        </w:tc>
        <w:tc>
          <w:tcPr>
            <w:tcW w:w="1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Common shares</w:t>
            </w:r>
          </w:p>
        </w:tc>
      </w:tr>
      <w:tr>
        <w:trPr>
          <w:trHeight w:val="34"/>
        </w:trPr>
        <w:tc>
          <w:tcPr>
            <w:tcW w:w="2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-268605</wp:posOffset>
            </wp:positionV>
            <wp:extent cx="11366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-268605</wp:posOffset>
            </wp:positionV>
            <wp:extent cx="11366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70" w:lineRule="exact"/>
        <w:rPr>
          <w:sz w:val="20"/>
          <w:szCs w:val="20"/>
          <w:color w:val="auto"/>
        </w:rPr>
      </w:pPr>
    </w:p>
    <w:p>
      <w:pPr>
        <w:ind w:left="1340" w:right="2759" w:hanging="289"/>
        <w:spacing w:after="0" w:line="270" w:lineRule="auto"/>
        <w:tabs>
          <w:tab w:leader="none" w:pos="13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Sales of investments includes escrow proceeds receivable of $603,456 from the sale of the Company’s investments in JAMF Holdings Inc. and Strategic Data Command, LLC.</w:t>
      </w:r>
    </w:p>
    <w:p>
      <w:pPr>
        <w:spacing w:after="0" w:line="58" w:lineRule="exact"/>
        <w:rPr>
          <w:sz w:val="20"/>
          <w:szCs w:val="20"/>
          <w:color w:val="auto"/>
        </w:rPr>
      </w:pPr>
    </w:p>
    <w:p>
      <w:pPr>
        <w:ind w:left="1060" w:right="2519" w:firstLine="297"/>
        <w:spacing w:after="0" w:line="270" w:lineRule="auto"/>
        <w:rPr>
          <w:sz w:val="20"/>
          <w:szCs w:val="20"/>
          <w:color w:val="auto"/>
        </w:rPr>
      </w:pPr>
      <w:r>
        <w:rPr>
          <w:rFonts w:ascii="Arial" w:cs="Arial" w:eastAsia="Arial" w:hAnsi="Arial"/>
          <w:sz w:val="15"/>
          <w:szCs w:val="15"/>
          <w:color w:val="auto"/>
        </w:rPr>
        <w:t>The aggregate values of Level 3 assets and liabilities changed during the year ended December 31, 2016 as follows:</w:t>
      </w:r>
    </w:p>
    <w:p>
      <w:pPr>
        <w:spacing w:after="0" w:line="63"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Year Ended December 31, 2016</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
        </w:trPr>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1"/>
        </w:trPr>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Common</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Preferred</w:t>
            </w:r>
          </w:p>
        </w:tc>
        <w:tc>
          <w:tcPr>
            <w:tcW w:w="8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Debt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2"/>
        </w:trPr>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Stock</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Stock</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Investments</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Warrants</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5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540" w:type="dxa"/>
            <w:vAlign w:val="bottom"/>
            <w:gridSpan w:val="2"/>
          </w:tcPr>
          <w:p>
            <w:pPr>
              <w:ind w:left="20"/>
              <w:spacing w:after="0"/>
              <w:rPr>
                <w:sz w:val="20"/>
                <w:szCs w:val="20"/>
                <w:color w:val="auto"/>
              </w:rPr>
            </w:pPr>
            <w:r>
              <w:rPr>
                <w:rFonts w:ascii="Arial" w:cs="Arial" w:eastAsia="Arial" w:hAnsi="Arial"/>
                <w:sz w:val="15"/>
                <w:szCs w:val="15"/>
                <w:color w:val="auto"/>
              </w:rPr>
              <w:t>Fair value as of December 31, 2015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102,319,140</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$216,291,092</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w w:val="90"/>
              </w:rPr>
              <w:t>$ 4,175,859</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$ 469,306</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$323,255,397</w:t>
            </w:r>
          </w:p>
        </w:tc>
      </w:tr>
      <w:tr>
        <w:trPr>
          <w:trHeight w:val="212"/>
        </w:trPr>
        <w:tc>
          <w:tcPr>
            <w:tcW w:w="25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Transfers into Level 3</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143,733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143,733</w:t>
            </w:r>
          </w:p>
        </w:tc>
      </w:tr>
      <w:tr>
        <w:trPr>
          <w:trHeight w:val="212"/>
        </w:trPr>
        <w:tc>
          <w:tcPr>
            <w:tcW w:w="2540" w:type="dxa"/>
            <w:vAlign w:val="bottom"/>
            <w:gridSpan w:val="2"/>
          </w:tcPr>
          <w:p>
            <w:pPr>
              <w:ind w:left="20"/>
              <w:spacing w:after="0"/>
              <w:rPr>
                <w:sz w:val="20"/>
                <w:szCs w:val="20"/>
                <w:color w:val="auto"/>
              </w:rPr>
            </w:pPr>
            <w:r>
              <w:rPr>
                <w:rFonts w:ascii="Arial" w:cs="Arial" w:eastAsia="Arial" w:hAnsi="Arial"/>
                <w:sz w:val="15"/>
                <w:szCs w:val="15"/>
                <w:color w:val="auto"/>
              </w:rPr>
              <w:t>Purchases of investments</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3,080</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9,016,702</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5,201,294</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103,655</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14,324,731</w:t>
            </w:r>
          </w:p>
        </w:tc>
      </w:tr>
      <w:tr>
        <w:trPr>
          <w:trHeight w:val="212"/>
        </w:trPr>
        <w:tc>
          <w:tcPr>
            <w:tcW w:w="25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Sales of investments</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(3,509,238)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(7,651,891)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(574,380)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(11,735,509)</w:t>
            </w:r>
          </w:p>
        </w:tc>
      </w:tr>
      <w:tr>
        <w:trPr>
          <w:trHeight w:val="212"/>
        </w:trPr>
        <w:tc>
          <w:tcPr>
            <w:tcW w:w="2540" w:type="dxa"/>
            <w:vAlign w:val="bottom"/>
            <w:gridSpan w:val="2"/>
          </w:tcPr>
          <w:p>
            <w:pPr>
              <w:ind w:left="20"/>
              <w:spacing w:after="0"/>
              <w:rPr>
                <w:sz w:val="20"/>
                <w:szCs w:val="20"/>
                <w:color w:val="auto"/>
              </w:rPr>
            </w:pPr>
            <w:r>
              <w:rPr>
                <w:rFonts w:ascii="Arial" w:cs="Arial" w:eastAsia="Arial" w:hAnsi="Arial"/>
                <w:sz w:val="15"/>
                <w:szCs w:val="15"/>
                <w:color w:val="auto"/>
              </w:rPr>
              <w:t>Realized gains/(losses)</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(7,127,146)</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4,430,221</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(246,714)</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(2,943,639)</w:t>
            </w:r>
          </w:p>
        </w:tc>
      </w:tr>
      <w:tr>
        <w:trPr>
          <w:trHeight w:val="170"/>
        </w:trPr>
        <w:tc>
          <w:tcPr>
            <w:tcW w:w="2540" w:type="dxa"/>
            <w:vAlign w:val="bottom"/>
            <w:tcBorders>
              <w:right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5"/>
                <w:szCs w:val="15"/>
                <w:color w:val="auto"/>
              </w:rPr>
              <w:t>Exercises, conversions and</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2"/>
        </w:trPr>
        <w:tc>
          <w:tcPr>
            <w:tcW w:w="2540" w:type="dxa"/>
            <w:vAlign w:val="bottom"/>
            <w:tcBorders>
              <w:right w:val="single" w:sz="8" w:color="CCEEFF"/>
            </w:tcBorders>
            <w:gridSpan w:val="2"/>
            <w:shd w:val="clear" w:color="auto" w:fill="CCEEFF"/>
          </w:tcPr>
          <w:p>
            <w:pPr>
              <w:ind w:left="160"/>
              <w:spacing w:after="0" w:line="232" w:lineRule="exact"/>
              <w:rPr>
                <w:sz w:val="20"/>
                <w:szCs w:val="20"/>
                <w:color w:val="auto"/>
              </w:rPr>
            </w:pPr>
            <w:r>
              <w:rPr>
                <w:rFonts w:ascii="Arial" w:cs="Arial" w:eastAsia="Arial" w:hAnsi="Arial"/>
                <w:sz w:val="15"/>
                <w:szCs w:val="15"/>
                <w:color w:val="auto"/>
              </w:rPr>
              <w:t xml:space="preserve">assignments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23,588,443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(23,588,443)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r>
        <w:trPr>
          <w:trHeight w:val="190"/>
        </w:trPr>
        <w:tc>
          <w:tcPr>
            <w:tcW w:w="2540" w:type="dxa"/>
            <w:vAlign w:val="bottom"/>
            <w:gridSpan w:val="2"/>
          </w:tcPr>
          <w:p>
            <w:pPr>
              <w:ind w:left="20"/>
              <w:spacing w:after="0"/>
              <w:rPr>
                <w:sz w:val="20"/>
                <w:szCs w:val="20"/>
                <w:color w:val="auto"/>
              </w:rPr>
            </w:pPr>
            <w:r>
              <w:rPr>
                <w:rFonts w:ascii="Arial" w:cs="Arial" w:eastAsia="Arial" w:hAnsi="Arial"/>
                <w:sz w:val="15"/>
                <w:szCs w:val="15"/>
                <w:color w:val="auto"/>
              </w:rPr>
              <w:t>Amortization of fixed income security</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540" w:type="dxa"/>
            <w:vAlign w:val="bottom"/>
            <w:gridSpan w:val="2"/>
          </w:tcPr>
          <w:p>
            <w:pPr>
              <w:ind w:left="160"/>
              <w:spacing w:after="0"/>
              <w:rPr>
                <w:sz w:val="20"/>
                <w:szCs w:val="20"/>
                <w:color w:val="auto"/>
              </w:rPr>
            </w:pPr>
            <w:r>
              <w:rPr>
                <w:rFonts w:ascii="Arial" w:cs="Arial" w:eastAsia="Arial" w:hAnsi="Arial"/>
                <w:sz w:val="15"/>
                <w:szCs w:val="15"/>
                <w:color w:val="auto"/>
              </w:rPr>
              <w:t>premiums and discounts</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44,714</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44,714</w:t>
            </w:r>
          </w:p>
        </w:tc>
      </w:tr>
      <w:tr>
        <w:trPr>
          <w:trHeight w:val="196"/>
        </w:trPr>
        <w:tc>
          <w:tcPr>
            <w:tcW w:w="25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98"/>
              </w:rPr>
              <w:t>Net change in unrealized depreciation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1"/>
        </w:trPr>
        <w:tc>
          <w:tcPr>
            <w:tcW w:w="254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included in earnings</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(32,343,602)</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(36,258,802)</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(1,025,539)</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(175,343)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(69,803,286)</w:t>
            </w:r>
          </w:p>
        </w:tc>
      </w:tr>
      <w:tr>
        <w:trPr>
          <w:trHeight w:val="20"/>
        </w:trPr>
        <w:tc>
          <w:tcPr>
            <w:tcW w:w="162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8"/>
        </w:trPr>
        <w:tc>
          <w:tcPr>
            <w:tcW w:w="2540" w:type="dxa"/>
            <w:vAlign w:val="bottom"/>
            <w:gridSpan w:val="2"/>
          </w:tcPr>
          <w:p>
            <w:pPr>
              <w:ind w:left="20"/>
              <w:spacing w:after="0"/>
              <w:rPr>
                <w:sz w:val="20"/>
                <w:szCs w:val="20"/>
                <w:color w:val="auto"/>
              </w:rPr>
            </w:pPr>
            <w:r>
              <w:rPr>
                <w:rFonts w:ascii="Arial" w:cs="Arial" w:eastAsia="Arial" w:hAnsi="Arial"/>
                <w:sz w:val="15"/>
                <w:szCs w:val="15"/>
                <w:color w:val="auto"/>
              </w:rPr>
              <w:t>Fair Value as of December 31, 2016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83,074,410</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$162,238,879</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w w:val="90"/>
              </w:rPr>
              <w:t>$ 7,821,948</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$ 150,904</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$253,286,141</w:t>
            </w:r>
          </w:p>
        </w:tc>
      </w:tr>
      <w:tr>
        <w:trPr>
          <w:trHeight w:val="136"/>
        </w:trPr>
        <w:tc>
          <w:tcPr>
            <w:tcW w:w="2540" w:type="dxa"/>
            <w:vAlign w:val="bottom"/>
            <w:tcBorders>
              <w:top w:val="single" w:sz="8" w:color="CCEEFF"/>
              <w:right w:val="single" w:sz="8" w:color="CCEEFF"/>
            </w:tcBorders>
            <w:gridSpan w:val="2"/>
            <w:shd w:val="clear" w:color="auto" w:fill="CCEEFF"/>
          </w:tcPr>
          <w:p>
            <w:pPr>
              <w:ind w:left="20"/>
              <w:spacing w:after="0" w:line="136" w:lineRule="exact"/>
              <w:rPr>
                <w:sz w:val="20"/>
                <w:szCs w:val="20"/>
                <w:color w:val="auto"/>
              </w:rPr>
            </w:pPr>
            <w:r>
              <w:rPr>
                <w:rFonts w:ascii="Arial" w:cs="Arial" w:eastAsia="Arial" w:hAnsi="Arial"/>
                <w:sz w:val="15"/>
                <w:szCs w:val="15"/>
                <w:color w:val="auto"/>
                <w:w w:val="98"/>
              </w:rPr>
              <w:t>Net change in unrealized depreciation</w:t>
            </w: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79"/>
        </w:trPr>
        <w:tc>
          <w:tcPr>
            <w:tcW w:w="25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5"/>
              </w:rPr>
              <w:t>of Level 3 investments still held as of</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254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December 31, 2016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(39,307,692)</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 (40,126,793)</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$(1,025,539)</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0"/>
              </w:rPr>
              <w:t>$(195,637)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88"/>
              </w:rPr>
              <w:t>$ (80,655,661)</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86"/>
        </w:trPr>
        <w:tc>
          <w:tcPr>
            <w:tcW w:w="162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-679450</wp:posOffset>
            </wp:positionV>
            <wp:extent cx="2857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-2252980</wp:posOffset>
            </wp:positionV>
            <wp:extent cx="2857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-2252980</wp:posOffset>
            </wp:positionV>
            <wp:extent cx="5651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-2252980</wp:posOffset>
            </wp:positionV>
            <wp:extent cx="5651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-2252980</wp:posOffset>
            </wp:positionV>
            <wp:extent cx="5651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-2252980</wp:posOffset>
            </wp:positionV>
            <wp:extent cx="218249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82495" cy="6985"/>
                    </a:xfrm>
                    <a:prstGeom prst="rect">
                      <a:avLst/>
                    </a:prstGeom>
                    <a:noFill/>
                  </pic:spPr>
                </pic:pic>
              </a:graphicData>
            </a:graphic>
          </wp:anchor>
        </w:drawing>
      </w:r>
    </w:p>
    <w:p>
      <w:pPr>
        <w:spacing w:after="0" w:line="103" w:lineRule="exact"/>
        <w:rPr>
          <w:sz w:val="20"/>
          <w:szCs w:val="20"/>
          <w:color w:val="auto"/>
        </w:rPr>
      </w:pPr>
    </w:p>
    <w:p>
      <w:pPr>
        <w:ind w:left="1340" w:right="2619" w:hanging="289"/>
        <w:spacing w:after="0" w:line="270" w:lineRule="auto"/>
        <w:tabs>
          <w:tab w:leader="none" w:pos="13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During year ended December 31, 2016, the Company’s portfolio investments had the following corporate actions which are reflected above:</w:t>
      </w:r>
    </w:p>
    <w:p>
      <w:pPr>
        <w:spacing w:after="0" w:line="107"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266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1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Transfer from</w:t>
            </w: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89"/>
              </w:rPr>
              <w:t>Transfer to</w:t>
            </w:r>
          </w:p>
        </w:tc>
      </w:tr>
      <w:tr>
        <w:trPr>
          <w:trHeight w:val="22"/>
        </w:trPr>
        <w:tc>
          <w:tcPr>
            <w:tcW w:w="2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7"/>
        </w:trPr>
        <w:tc>
          <w:tcPr>
            <w:tcW w:w="2660" w:type="dxa"/>
            <w:vAlign w:val="bottom"/>
            <w:gridSpan w:val="2"/>
          </w:tcPr>
          <w:p>
            <w:pPr>
              <w:spacing w:after="0"/>
              <w:rPr>
                <w:sz w:val="20"/>
                <w:szCs w:val="20"/>
                <w:color w:val="auto"/>
              </w:rPr>
            </w:pPr>
            <w:r>
              <w:rPr>
                <w:rFonts w:ascii="Arial" w:cs="Arial" w:eastAsia="Arial" w:hAnsi="Arial"/>
                <w:sz w:val="13"/>
                <w:szCs w:val="13"/>
                <w:color w:val="auto"/>
              </w:rPr>
              <w:t>4C Insights (f/k/a The Echo Systems Corp.)</w:t>
            </w: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Preferred shares, Series A</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Common Shares</w:t>
            </w:r>
          </w:p>
        </w:tc>
      </w:tr>
      <w:tr>
        <w:trPr>
          <w:trHeight w:val="212"/>
        </w:trPr>
        <w:tc>
          <w:tcPr>
            <w:tcW w:w="2660" w:type="dxa"/>
            <w:vAlign w:val="bottom"/>
            <w:gridSpan w:val="2"/>
          </w:tcPr>
          <w:p>
            <w:pPr>
              <w:spacing w:after="0"/>
              <w:rPr>
                <w:sz w:val="20"/>
                <w:szCs w:val="20"/>
                <w:color w:val="auto"/>
              </w:rPr>
            </w:pPr>
            <w:r>
              <w:rPr>
                <w:rFonts w:ascii="Arial" w:cs="Arial" w:eastAsia="Arial" w:hAnsi="Arial"/>
                <w:sz w:val="13"/>
                <w:szCs w:val="13"/>
                <w:color w:val="auto"/>
              </w:rPr>
              <w:t>Handle Financial, Inc. (f/k/a PayNearMe, Inc.)</w:t>
            </w: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Preferred shares, Series E</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Common Shares</w:t>
            </w:r>
          </w:p>
        </w:tc>
      </w:tr>
      <w:tr>
        <w:trPr>
          <w:trHeight w:val="212"/>
        </w:trPr>
        <w:tc>
          <w:tcPr>
            <w:tcW w:w="2660" w:type="dxa"/>
            <w:vAlign w:val="bottom"/>
            <w:gridSpan w:val="2"/>
          </w:tcPr>
          <w:p>
            <w:pPr>
              <w:spacing w:after="0"/>
              <w:rPr>
                <w:sz w:val="20"/>
                <w:szCs w:val="20"/>
                <w:color w:val="auto"/>
              </w:rPr>
            </w:pPr>
            <w:r>
              <w:rPr>
                <w:rFonts w:ascii="Arial" w:cs="Arial" w:eastAsia="Arial" w:hAnsi="Arial"/>
                <w:sz w:val="13"/>
                <w:szCs w:val="13"/>
                <w:color w:val="auto"/>
              </w:rPr>
              <w:t>Fullbridge, Inc.</w:t>
            </w: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Preferred shares, Series C</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Common Shares</w:t>
            </w:r>
          </w:p>
        </w:tc>
      </w:tr>
      <w:tr>
        <w:trPr>
          <w:trHeight w:val="212"/>
        </w:trPr>
        <w:tc>
          <w:tcPr>
            <w:tcW w:w="2660" w:type="dxa"/>
            <w:vAlign w:val="bottom"/>
            <w:gridSpan w:val="2"/>
          </w:tcPr>
          <w:p>
            <w:pPr>
              <w:spacing w:after="0"/>
              <w:rPr>
                <w:sz w:val="20"/>
                <w:szCs w:val="20"/>
                <w:color w:val="auto"/>
              </w:rPr>
            </w:pPr>
            <w:r>
              <w:rPr>
                <w:rFonts w:ascii="Arial" w:cs="Arial" w:eastAsia="Arial" w:hAnsi="Arial"/>
                <w:sz w:val="13"/>
                <w:szCs w:val="13"/>
                <w:color w:val="auto"/>
              </w:rPr>
              <w:t>Fullbridge, Inc.</w:t>
            </w: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Preferred shares, Series D</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Common Shares</w:t>
            </w:r>
          </w:p>
        </w:tc>
      </w:tr>
      <w:tr>
        <w:trPr>
          <w:trHeight w:val="186"/>
        </w:trPr>
        <w:tc>
          <w:tcPr>
            <w:tcW w:w="2660" w:type="dxa"/>
            <w:vAlign w:val="bottom"/>
            <w:gridSpan w:val="2"/>
          </w:tcPr>
          <w:p>
            <w:pPr>
              <w:spacing w:after="0"/>
              <w:rPr>
                <w:sz w:val="20"/>
                <w:szCs w:val="20"/>
                <w:color w:val="auto"/>
              </w:rPr>
            </w:pPr>
            <w:r>
              <w:rPr>
                <w:rFonts w:ascii="Arial" w:cs="Arial" w:eastAsia="Arial" w:hAnsi="Arial"/>
                <w:sz w:val="13"/>
                <w:szCs w:val="13"/>
                <w:color w:val="auto"/>
              </w:rPr>
              <w:t>Fullbridge, Inc.</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Convertible Promissory</w:t>
            </w:r>
          </w:p>
        </w:tc>
        <w:tc>
          <w:tcPr>
            <w:tcW w:w="1760" w:type="dxa"/>
            <w:vAlign w:val="bottom"/>
          </w:tcPr>
          <w:p>
            <w:pPr>
              <w:jc w:val="center"/>
              <w:spacing w:after="0"/>
              <w:rPr>
                <w:sz w:val="20"/>
                <w:szCs w:val="20"/>
                <w:color w:val="auto"/>
              </w:rPr>
            </w:pPr>
            <w:r>
              <w:rPr>
                <w:rFonts w:ascii="Arial" w:cs="Arial" w:eastAsia="Arial" w:hAnsi="Arial"/>
                <w:sz w:val="13"/>
                <w:szCs w:val="13"/>
                <w:color w:val="auto"/>
                <w:w w:val="94"/>
              </w:rPr>
              <w:t>Junior Note, 1.49%,</w:t>
            </w:r>
          </w:p>
        </w:tc>
      </w:tr>
      <w:tr>
        <w:trPr>
          <w:trHeight w:val="17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Note 10% Due 3/2/2016</w:t>
            </w:r>
          </w:p>
        </w:tc>
        <w:tc>
          <w:tcPr>
            <w:tcW w:w="1760" w:type="dxa"/>
            <w:vAlign w:val="bottom"/>
          </w:tcPr>
          <w:p>
            <w:pPr>
              <w:jc w:val="center"/>
              <w:spacing w:after="0"/>
              <w:rPr>
                <w:sz w:val="20"/>
                <w:szCs w:val="20"/>
                <w:color w:val="auto"/>
              </w:rPr>
            </w:pPr>
            <w:r>
              <w:rPr>
                <w:rFonts w:ascii="Arial" w:cs="Arial" w:eastAsia="Arial" w:hAnsi="Arial"/>
                <w:sz w:val="13"/>
                <w:szCs w:val="13"/>
                <w:color w:val="auto"/>
                <w:w w:val="93"/>
              </w:rPr>
              <w:t>November 9, 2021</w:t>
            </w:r>
          </w:p>
        </w:tc>
      </w:tr>
      <w:tr>
        <w:trPr>
          <w:trHeight w:val="186"/>
        </w:trPr>
        <w:tc>
          <w:tcPr>
            <w:tcW w:w="2660" w:type="dxa"/>
            <w:vAlign w:val="bottom"/>
            <w:gridSpan w:val="2"/>
          </w:tcPr>
          <w:p>
            <w:pPr>
              <w:spacing w:after="0"/>
              <w:rPr>
                <w:sz w:val="20"/>
                <w:szCs w:val="20"/>
                <w:color w:val="auto"/>
              </w:rPr>
            </w:pPr>
            <w:r>
              <w:rPr>
                <w:rFonts w:ascii="Arial" w:cs="Arial" w:eastAsia="Arial" w:hAnsi="Arial"/>
                <w:sz w:val="13"/>
                <w:szCs w:val="13"/>
                <w:color w:val="auto"/>
              </w:rPr>
              <w:t>Fullbridge, Inc.</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Convertible Promissory</w:t>
            </w:r>
          </w:p>
        </w:tc>
        <w:tc>
          <w:tcPr>
            <w:tcW w:w="1760" w:type="dxa"/>
            <w:vAlign w:val="bottom"/>
          </w:tcPr>
          <w:p>
            <w:pPr>
              <w:jc w:val="center"/>
              <w:spacing w:after="0"/>
              <w:rPr>
                <w:sz w:val="20"/>
                <w:szCs w:val="20"/>
                <w:color w:val="auto"/>
              </w:rPr>
            </w:pPr>
            <w:r>
              <w:rPr>
                <w:rFonts w:ascii="Arial" w:cs="Arial" w:eastAsia="Arial" w:hAnsi="Arial"/>
                <w:sz w:val="13"/>
                <w:szCs w:val="13"/>
                <w:color w:val="auto"/>
                <w:w w:val="94"/>
              </w:rPr>
              <w:t>Junior Note, 1.49%,</w:t>
            </w:r>
          </w:p>
        </w:tc>
      </w:tr>
      <w:tr>
        <w:trPr>
          <w:trHeight w:val="17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Note 10% Due 3/14/2017</w:t>
            </w:r>
          </w:p>
        </w:tc>
        <w:tc>
          <w:tcPr>
            <w:tcW w:w="1760" w:type="dxa"/>
            <w:vAlign w:val="bottom"/>
          </w:tcPr>
          <w:p>
            <w:pPr>
              <w:jc w:val="center"/>
              <w:spacing w:after="0"/>
              <w:rPr>
                <w:sz w:val="20"/>
                <w:szCs w:val="20"/>
                <w:color w:val="auto"/>
              </w:rPr>
            </w:pPr>
            <w:r>
              <w:rPr>
                <w:rFonts w:ascii="Arial" w:cs="Arial" w:eastAsia="Arial" w:hAnsi="Arial"/>
                <w:sz w:val="13"/>
                <w:szCs w:val="13"/>
                <w:color w:val="auto"/>
                <w:w w:val="93"/>
              </w:rPr>
              <w:t>November 9, 2021</w:t>
            </w:r>
          </w:p>
        </w:tc>
      </w:tr>
      <w:tr>
        <w:trPr>
          <w:trHeight w:val="223"/>
        </w:trPr>
        <w:tc>
          <w:tcPr>
            <w:tcW w:w="2660" w:type="dxa"/>
            <w:vAlign w:val="bottom"/>
            <w:gridSpan w:val="2"/>
          </w:tcPr>
          <w:p>
            <w:pPr>
              <w:spacing w:after="0"/>
              <w:rPr>
                <w:sz w:val="20"/>
                <w:szCs w:val="20"/>
                <w:color w:val="auto"/>
              </w:rPr>
            </w:pPr>
            <w:r>
              <w:rPr>
                <w:rFonts w:ascii="Arial" w:cs="Arial" w:eastAsia="Arial" w:hAnsi="Arial"/>
                <w:sz w:val="13"/>
                <w:szCs w:val="13"/>
                <w:color w:val="auto"/>
              </w:rPr>
              <w:t>Snap, Inc.</w:t>
            </w:r>
          </w:p>
        </w:tc>
        <w:tc>
          <w:tcPr>
            <w:tcW w:w="1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Preferred Shares, Series F</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Common Shares, Class A</w:t>
            </w:r>
          </w:p>
        </w:tc>
      </w:tr>
    </w:tbl>
    <w:p>
      <w:pPr>
        <w:spacing w:after="0" w:line="24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11" w:name="page112"/>
    <w:bookmarkEnd w:id="11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Schedule of Investments In, and Advances to, Affiliates</w:t>
      </w:r>
    </w:p>
    <w:p>
      <w:pPr>
        <w:spacing w:after="0" w:line="8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Transactions during the year ended December 31, 2017 involving the Company’s controlled investments and non-controlled/affiliate investments were as follows: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5"/>
          <w:szCs w:val="15"/>
          <w:b w:val="1"/>
          <w:bCs w:val="1"/>
          <w:i w:val="1"/>
          <w:iCs w:val="1"/>
          <w:color w:val="auto"/>
        </w:rPr>
        <w:t>Schedule of Investments In, and Advances to, Affiliates</w:t>
      </w:r>
    </w:p>
    <w:p>
      <w:pPr>
        <w:spacing w:after="0" w:line="107"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5"/>
          </w:tcPr>
          <w:p>
            <w:pPr>
              <w:ind w:left="160"/>
              <w:spacing w:after="0"/>
              <w:rPr>
                <w:sz w:val="20"/>
                <w:szCs w:val="20"/>
                <w:color w:val="auto"/>
              </w:rPr>
            </w:pPr>
            <w:r>
              <w:rPr>
                <w:rFonts w:ascii="Arial" w:cs="Arial" w:eastAsia="Arial" w:hAnsi="Arial"/>
                <w:sz w:val="12"/>
                <w:szCs w:val="12"/>
                <w:b w:val="1"/>
                <w:bCs w:val="1"/>
                <w:color w:val="auto"/>
              </w:rPr>
              <w:t>Purchases,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5"/>
          </w:tcPr>
          <w:p>
            <w:pPr>
              <w:jc w:val="center"/>
              <w:ind w:right="100"/>
              <w:spacing w:after="0" w:line="134" w:lineRule="exact"/>
              <w:rPr>
                <w:sz w:val="20"/>
                <w:szCs w:val="20"/>
                <w:color w:val="auto"/>
              </w:rPr>
            </w:pPr>
            <w:r>
              <w:rPr>
                <w:rFonts w:ascii="Arial" w:cs="Arial" w:eastAsia="Arial" w:hAnsi="Arial"/>
                <w:sz w:val="12"/>
                <w:szCs w:val="12"/>
                <w:b w:val="1"/>
                <w:bCs w:val="1"/>
                <w:color w:val="auto"/>
                <w:w w:val="89"/>
              </w:rPr>
              <w:t>Interest, Fees, or</w:t>
            </w:r>
          </w:p>
        </w:tc>
        <w:tc>
          <w:tcPr>
            <w:tcW w:w="700" w:type="dxa"/>
            <w:vAlign w:val="bottom"/>
            <w:gridSpan w:val="2"/>
          </w:tcPr>
          <w:p>
            <w:pPr>
              <w:jc w:val="right"/>
              <w:ind w:right="14"/>
              <w:spacing w:after="0" w:line="134" w:lineRule="exact"/>
              <w:rPr>
                <w:sz w:val="20"/>
                <w:szCs w:val="20"/>
                <w:color w:val="auto"/>
              </w:rPr>
            </w:pPr>
            <w:r>
              <w:rPr>
                <w:rFonts w:ascii="Arial" w:cs="Arial" w:eastAsia="Arial" w:hAnsi="Arial"/>
                <w:sz w:val="12"/>
                <w:szCs w:val="12"/>
                <w:b w:val="1"/>
                <w:bCs w:val="1"/>
                <w:color w:val="auto"/>
                <w:w w:val="84"/>
              </w:rPr>
              <w:t>Fair Value at</w:t>
            </w:r>
          </w:p>
        </w:tc>
        <w:tc>
          <w:tcPr>
            <w:tcW w:w="920" w:type="dxa"/>
            <w:vAlign w:val="bottom"/>
            <w:gridSpan w:val="5"/>
          </w:tcPr>
          <w:p>
            <w:pPr>
              <w:jc w:val="center"/>
              <w:ind w:right="60"/>
              <w:spacing w:after="0" w:line="134" w:lineRule="exact"/>
              <w:rPr>
                <w:sz w:val="20"/>
                <w:szCs w:val="20"/>
                <w:color w:val="auto"/>
              </w:rPr>
            </w:pPr>
            <w:r>
              <w:rPr>
                <w:rFonts w:ascii="Arial" w:cs="Arial" w:eastAsia="Arial" w:hAnsi="Arial"/>
                <w:sz w:val="12"/>
                <w:szCs w:val="12"/>
                <w:b w:val="1"/>
                <w:bCs w:val="1"/>
                <w:color w:val="auto"/>
                <w:w w:val="88"/>
              </w:rPr>
              <w:t>Capitalized Fees,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center"/>
              <w:ind w:right="14"/>
              <w:spacing w:after="0" w:line="134" w:lineRule="exact"/>
              <w:rPr>
                <w:sz w:val="20"/>
                <w:szCs w:val="20"/>
                <w:color w:val="auto"/>
              </w:rPr>
            </w:pPr>
            <w:r>
              <w:rPr>
                <w:rFonts w:ascii="Arial" w:cs="Arial" w:eastAsia="Arial" w:hAnsi="Arial"/>
                <w:sz w:val="12"/>
                <w:szCs w:val="12"/>
                <w:b w:val="1"/>
                <w:bCs w:val="1"/>
                <w:color w:val="auto"/>
                <w:w w:val="89"/>
              </w:rPr>
              <w:t>Fair Value at</w:t>
            </w:r>
          </w:p>
        </w:tc>
        <w:tc>
          <w:tcPr>
            <w:tcW w:w="60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99"/>
              </w:rPr>
              <w:t>Principal/</w:t>
            </w:r>
          </w:p>
        </w:tc>
        <w:tc>
          <w:tcPr>
            <w:tcW w:w="1800" w:type="dxa"/>
            <w:vAlign w:val="bottom"/>
            <w:gridSpan w:val="8"/>
          </w:tcPr>
          <w:p>
            <w:pPr>
              <w:jc w:val="right"/>
              <w:spacing w:after="0" w:line="134" w:lineRule="exact"/>
              <w:rPr>
                <w:sz w:val="20"/>
                <w:szCs w:val="20"/>
                <w:color w:val="auto"/>
              </w:rPr>
            </w:pPr>
            <w:r>
              <w:rPr>
                <w:rFonts w:ascii="Arial" w:cs="Arial" w:eastAsia="Arial" w:hAnsi="Arial"/>
                <w:sz w:val="12"/>
                <w:szCs w:val="12"/>
                <w:b w:val="1"/>
                <w:bCs w:val="1"/>
                <w:color w:val="auto"/>
                <w:w w:val="90"/>
              </w:rPr>
              <w:t>Dividends Credited December 31,</w:t>
            </w:r>
          </w:p>
        </w:tc>
        <w:tc>
          <w:tcPr>
            <w:tcW w:w="920" w:type="dxa"/>
            <w:vAlign w:val="bottom"/>
            <w:gridSpan w:val="5"/>
          </w:tcPr>
          <w:p>
            <w:pPr>
              <w:jc w:val="center"/>
              <w:ind w:right="60"/>
              <w:spacing w:after="0" w:line="134" w:lineRule="exact"/>
              <w:rPr>
                <w:sz w:val="20"/>
                <w:szCs w:val="20"/>
                <w:color w:val="auto"/>
              </w:rPr>
            </w:pPr>
            <w:r>
              <w:rPr>
                <w:rFonts w:ascii="Arial" w:cs="Arial" w:eastAsia="Arial" w:hAnsi="Arial"/>
                <w:sz w:val="12"/>
                <w:szCs w:val="12"/>
                <w:b w:val="1"/>
                <w:bCs w:val="1"/>
                <w:color w:val="auto"/>
                <w:w w:val="91"/>
              </w:rPr>
              <w:t>Interest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Realized</w:t>
            </w:r>
          </w:p>
        </w:tc>
        <w:tc>
          <w:tcPr>
            <w:tcW w:w="780" w:type="dxa"/>
            <w:vAlign w:val="bottom"/>
            <w:gridSpan w:val="2"/>
          </w:tcPr>
          <w:p>
            <w:pPr>
              <w:jc w:val="right"/>
              <w:ind w:right="133"/>
              <w:spacing w:after="0" w:line="134" w:lineRule="exact"/>
              <w:rPr>
                <w:sz w:val="20"/>
                <w:szCs w:val="20"/>
                <w:color w:val="auto"/>
              </w:rPr>
            </w:pPr>
            <w:r>
              <w:rPr>
                <w:rFonts w:ascii="Arial" w:cs="Arial" w:eastAsia="Arial" w:hAnsi="Arial"/>
                <w:sz w:val="12"/>
                <w:szCs w:val="12"/>
                <w:b w:val="1"/>
                <w:bCs w:val="1"/>
                <w:color w:val="auto"/>
                <w:w w:val="92"/>
              </w:rPr>
              <w:t>Unrealized</w:t>
            </w:r>
          </w:p>
        </w:tc>
        <w:tc>
          <w:tcPr>
            <w:tcW w:w="7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4"/>
              </w:rPr>
              <w:t>December 31,</w:t>
            </w:r>
          </w:p>
        </w:tc>
        <w:tc>
          <w:tcPr>
            <w:tcW w:w="60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8"/>
              </w:rPr>
              <w:t>of Net</w:t>
            </w:r>
          </w:p>
        </w:tc>
        <w:tc>
          <w:tcPr>
            <w:tcW w:w="0" w:type="dxa"/>
            <w:vAlign w:val="bottom"/>
          </w:tcPr>
          <w:p>
            <w:pPr>
              <w:spacing w:after="0"/>
              <w:rPr>
                <w:sz w:val="1"/>
                <w:szCs w:val="1"/>
                <w:color w:val="auto"/>
              </w:rPr>
            </w:pPr>
          </w:p>
        </w:tc>
      </w:tr>
      <w:tr>
        <w:trPr>
          <w:trHeight w:val="152"/>
        </w:trPr>
        <w:tc>
          <w:tcPr>
            <w:tcW w:w="3200" w:type="dxa"/>
            <w:vAlign w:val="bottom"/>
            <w:gridSpan w:val="3"/>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620" w:type="dxa"/>
            <w:vAlign w:val="bottom"/>
          </w:tcPr>
          <w:p>
            <w:pPr>
              <w:jc w:val="right"/>
              <w:ind w:right="15"/>
              <w:spacing w:after="0"/>
              <w:rPr>
                <w:sz w:val="20"/>
                <w:szCs w:val="20"/>
                <w:color w:val="auto"/>
              </w:rPr>
            </w:pPr>
            <w:r>
              <w:rPr>
                <w:rFonts w:ascii="Arial" w:cs="Arial" w:eastAsia="Arial" w:hAnsi="Arial"/>
                <w:sz w:val="12"/>
                <w:szCs w:val="12"/>
                <w:b w:val="1"/>
                <w:bCs w:val="1"/>
                <w:color w:val="auto"/>
              </w:rPr>
              <w:t>Quantity</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w w:val="92"/>
              </w:rPr>
              <w:t>in Income</w:t>
            </w:r>
          </w:p>
        </w:tc>
        <w:tc>
          <w:tcPr>
            <w:tcW w:w="80" w:type="dxa"/>
            <w:vAlign w:val="bottom"/>
          </w:tcPr>
          <w:p>
            <w:pPr>
              <w:spacing w:after="0"/>
              <w:rPr>
                <w:sz w:val="13"/>
                <w:szCs w:val="13"/>
                <w:color w:val="auto"/>
              </w:rPr>
            </w:pPr>
          </w:p>
        </w:tc>
        <w:tc>
          <w:tcPr>
            <w:tcW w:w="620" w:type="dxa"/>
            <w:vAlign w:val="bottom"/>
          </w:tcPr>
          <w:p>
            <w:pPr>
              <w:jc w:val="right"/>
              <w:ind w:right="194"/>
              <w:spacing w:after="0"/>
              <w:rPr>
                <w:sz w:val="20"/>
                <w:szCs w:val="20"/>
                <w:color w:val="auto"/>
              </w:rPr>
            </w:pPr>
            <w:r>
              <w:rPr>
                <w:rFonts w:ascii="Arial" w:cs="Arial" w:eastAsia="Arial" w:hAnsi="Arial"/>
                <w:sz w:val="12"/>
                <w:szCs w:val="12"/>
                <w:b w:val="1"/>
                <w:bCs w:val="1"/>
                <w:color w:val="auto"/>
              </w:rPr>
              <w:t>2016</w:t>
            </w:r>
          </w:p>
        </w:tc>
        <w:tc>
          <w:tcPr>
            <w:tcW w:w="920" w:type="dxa"/>
            <w:vAlign w:val="bottom"/>
            <w:gridSpan w:val="5"/>
          </w:tcPr>
          <w:p>
            <w:pPr>
              <w:jc w:val="center"/>
              <w:spacing w:after="0"/>
              <w:rPr>
                <w:sz w:val="20"/>
                <w:szCs w:val="20"/>
                <w:color w:val="auto"/>
              </w:rPr>
            </w:pPr>
            <w:r>
              <w:rPr>
                <w:rFonts w:ascii="Arial" w:cs="Arial" w:eastAsia="Arial" w:hAnsi="Arial"/>
                <w:sz w:val="12"/>
                <w:szCs w:val="12"/>
                <w:b w:val="1"/>
                <w:bCs w:val="1"/>
                <w:color w:val="auto"/>
                <w:w w:val="92"/>
              </w:rPr>
              <w:t>Amortization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Sales</w:t>
            </w:r>
          </w:p>
        </w:tc>
        <w:tc>
          <w:tcPr>
            <w:tcW w:w="1620" w:type="dxa"/>
            <w:vAlign w:val="bottom"/>
            <w:gridSpan w:val="6"/>
          </w:tcPr>
          <w:p>
            <w:pPr>
              <w:jc w:val="right"/>
              <w:ind w:right="13"/>
              <w:spacing w:after="0"/>
              <w:rPr>
                <w:sz w:val="20"/>
                <w:szCs w:val="20"/>
                <w:color w:val="auto"/>
              </w:rPr>
            </w:pPr>
            <w:r>
              <w:rPr>
                <w:rFonts w:ascii="Arial" w:cs="Arial" w:eastAsia="Arial" w:hAnsi="Arial"/>
                <w:sz w:val="12"/>
                <w:szCs w:val="12"/>
                <w:b w:val="1"/>
                <w:bCs w:val="1"/>
                <w:color w:val="auto"/>
                <w:w w:val="86"/>
              </w:rPr>
              <w:t>Gains/(Losses) Gains/(Losses)</w:t>
            </w:r>
          </w:p>
        </w:tc>
        <w:tc>
          <w:tcPr>
            <w:tcW w:w="80" w:type="dxa"/>
            <w:vAlign w:val="bottom"/>
          </w:tcPr>
          <w:p>
            <w:pPr>
              <w:spacing w:after="0"/>
              <w:rPr>
                <w:sz w:val="13"/>
                <w:szCs w:val="13"/>
                <w:color w:val="auto"/>
              </w:rPr>
            </w:pPr>
          </w:p>
        </w:tc>
        <w:tc>
          <w:tcPr>
            <w:tcW w:w="640" w:type="dxa"/>
            <w:vAlign w:val="bottom"/>
          </w:tcPr>
          <w:p>
            <w:pPr>
              <w:jc w:val="center"/>
              <w:ind w:right="94"/>
              <w:spacing w:after="0"/>
              <w:rPr>
                <w:sz w:val="20"/>
                <w:szCs w:val="20"/>
                <w:color w:val="auto"/>
              </w:rPr>
            </w:pPr>
            <w:r>
              <w:rPr>
                <w:rFonts w:ascii="Arial" w:cs="Arial" w:eastAsia="Arial" w:hAnsi="Arial"/>
                <w:sz w:val="12"/>
                <w:szCs w:val="12"/>
                <w:b w:val="1"/>
                <w:bCs w:val="1"/>
                <w:color w:val="auto"/>
                <w:w w:val="89"/>
              </w:rPr>
              <w:t>2017</w:t>
            </w:r>
          </w:p>
        </w:tc>
        <w:tc>
          <w:tcPr>
            <w:tcW w:w="6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1"/>
              </w:rPr>
              <w:t>Assets</w:t>
            </w:r>
          </w:p>
        </w:tc>
        <w:tc>
          <w:tcPr>
            <w:tcW w:w="0" w:type="dxa"/>
            <w:vAlign w:val="bottom"/>
          </w:tcPr>
          <w:p>
            <w:pPr>
              <w:spacing w:after="0"/>
              <w:rPr>
                <w:sz w:val="1"/>
                <w:szCs w:val="1"/>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200" w:type="dxa"/>
            <w:vAlign w:val="bottom"/>
            <w:gridSpan w:val="3"/>
            <w:shd w:val="clear" w:color="auto" w:fill="CCEEFF"/>
          </w:tcPr>
          <w:p>
            <w:pPr>
              <w:spacing w:after="0" w:line="170" w:lineRule="exact"/>
              <w:rPr>
                <w:sz w:val="20"/>
                <w:szCs w:val="20"/>
                <w:color w:val="auto"/>
              </w:rPr>
            </w:pPr>
            <w:r>
              <w:rPr>
                <w:rFonts w:ascii="Arial" w:cs="Arial" w:eastAsia="Arial" w:hAnsi="Arial"/>
                <w:sz w:val="13"/>
                <w:szCs w:val="13"/>
                <w:b w:val="1"/>
                <w:bCs w:val="1"/>
                <w:color w:val="auto"/>
              </w:rPr>
              <w:t>CONTROLLED INVESTMENTS*</w:t>
            </w:r>
            <w:r>
              <w:rPr>
                <w:rFonts w:ascii="Arial" w:cs="Arial" w:eastAsia="Arial" w:hAnsi="Arial"/>
                <w:sz w:val="19"/>
                <w:szCs w:val="19"/>
                <w:b w:val="1"/>
                <w:bCs w:val="1"/>
                <w:color w:val="auto"/>
                <w:vertAlign w:val="superscript"/>
              </w:rPr>
              <w:t>(2)</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Debt Investments</w:t>
            </w:r>
          </w:p>
        </w:tc>
        <w:tc>
          <w:tcPr>
            <w:tcW w:w="1240" w:type="dxa"/>
            <w:vAlign w:val="bottom"/>
            <w:tcBorders>
              <w:top w:val="single" w:sz="8" w:color="CCEEFF"/>
            </w:tcBorders>
            <w:gridSpan w:val="2"/>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gridSpan w:val="3"/>
            <w:shd w:val="clear" w:color="auto" w:fill="CCEEFF"/>
          </w:tcPr>
          <w:p>
            <w:pPr>
              <w:ind w:left="140"/>
              <w:spacing w:after="0"/>
              <w:rPr>
                <w:sz w:val="20"/>
                <w:szCs w:val="20"/>
                <w:color w:val="auto"/>
              </w:rPr>
            </w:pPr>
            <w:r>
              <w:rPr>
                <w:rFonts w:ascii="Arial" w:cs="Arial" w:eastAsia="Arial" w:hAnsi="Arial"/>
                <w:sz w:val="13"/>
                <w:szCs w:val="13"/>
                <w:i w:val="1"/>
                <w:iCs w:val="1"/>
                <w:color w:val="auto"/>
              </w:rPr>
              <w:t>Global Innovation Platform</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gridSpan w:val="3"/>
          </w:tcPr>
          <w:p>
            <w:pPr>
              <w:ind w:left="300"/>
              <w:spacing w:after="0"/>
              <w:rPr>
                <w:sz w:val="20"/>
                <w:szCs w:val="20"/>
                <w:color w:val="auto"/>
              </w:rPr>
            </w:pPr>
            <w:r>
              <w:rPr>
                <w:rFonts w:ascii="Arial" w:cs="Arial" w:eastAsia="Arial" w:hAnsi="Arial"/>
                <w:sz w:val="13"/>
                <w:szCs w:val="13"/>
                <w:color w:val="auto"/>
                <w:w w:val="97"/>
              </w:rPr>
              <w:t>NestGSV, Inc. (d/b/a GSV Labs, Inc.) – Convertible</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560,199</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88,604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ind w:right="14"/>
              <w:spacing w:after="0"/>
              <w:rPr>
                <w:sz w:val="20"/>
                <w:szCs w:val="20"/>
                <w:color w:val="auto"/>
              </w:rPr>
            </w:pPr>
            <w:r>
              <w:rPr>
                <w:rFonts w:ascii="Arial" w:cs="Arial" w:eastAsia="Arial" w:hAnsi="Arial"/>
                <w:sz w:val="13"/>
                <w:szCs w:val="13"/>
                <w:color w:val="auto"/>
              </w:rPr>
              <w:t>427,900</w:t>
            </w:r>
          </w:p>
        </w:tc>
        <w:tc>
          <w:tcPr>
            <w:tcW w:w="260" w:type="dxa"/>
            <w:vAlign w:val="bottom"/>
            <w:gridSpan w:val="2"/>
            <w:vMerge w:val="restart"/>
          </w:tcPr>
          <w:p>
            <w:pPr>
              <w:ind w:left="180"/>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106,490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4"/>
            <w:vMerge w:val="restart"/>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ind w:right="73"/>
              <w:spacing w:after="0"/>
              <w:rPr>
                <w:sz w:val="20"/>
                <w:szCs w:val="20"/>
                <w:color w:val="auto"/>
              </w:rPr>
            </w:pPr>
            <w:r>
              <w:rPr>
                <w:rFonts w:ascii="Arial" w:cs="Arial" w:eastAsia="Arial" w:hAnsi="Arial"/>
                <w:sz w:val="13"/>
                <w:szCs w:val="13"/>
                <w:color w:val="auto"/>
              </w:rPr>
              <w:t>25,809</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ind w:right="34"/>
              <w:spacing w:after="0"/>
              <w:rPr>
                <w:sz w:val="20"/>
                <w:szCs w:val="20"/>
                <w:color w:val="auto"/>
              </w:rPr>
            </w:pPr>
            <w:r>
              <w:rPr>
                <w:rFonts w:ascii="Arial" w:cs="Arial" w:eastAsia="Arial" w:hAnsi="Arial"/>
                <w:sz w:val="13"/>
                <w:szCs w:val="13"/>
                <w:color w:val="auto"/>
              </w:rPr>
              <w:t>560,199</w:t>
            </w: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54"/>
        </w:trPr>
        <w:tc>
          <w:tcPr>
            <w:tcW w:w="3200" w:type="dxa"/>
            <w:vAlign w:val="bottom"/>
            <w:gridSpan w:val="3"/>
          </w:tcPr>
          <w:p>
            <w:pPr>
              <w:ind w:left="440"/>
              <w:spacing w:after="0"/>
              <w:rPr>
                <w:sz w:val="20"/>
                <w:szCs w:val="20"/>
                <w:color w:val="auto"/>
              </w:rPr>
            </w:pPr>
            <w:r>
              <w:rPr>
                <w:rFonts w:ascii="Arial" w:cs="Arial" w:eastAsia="Arial" w:hAnsi="Arial"/>
                <w:sz w:val="13"/>
                <w:szCs w:val="13"/>
                <w:color w:val="auto"/>
              </w:rPr>
              <w:t>Promissory Note 8% Due 7/31/2018***</w:t>
            </w:r>
          </w:p>
        </w:tc>
        <w:tc>
          <w:tcPr>
            <w:tcW w:w="62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w w:val="98"/>
              </w:rPr>
              <w:t>NestGSV, Inc. (d/b/a GSV Labs, Inc.) – Unsecured</w:t>
            </w: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00" w:type="dxa"/>
            <w:vAlign w:val="bottom"/>
            <w:gridSpan w:val="3"/>
            <w:shd w:val="clear" w:color="auto" w:fill="CCEEFF"/>
          </w:tcPr>
          <w:p>
            <w:pPr>
              <w:ind w:left="440"/>
              <w:spacing w:after="0" w:line="167" w:lineRule="exact"/>
              <w:rPr>
                <w:sz w:val="20"/>
                <w:szCs w:val="20"/>
                <w:color w:val="auto"/>
              </w:rPr>
            </w:pPr>
            <w:r>
              <w:rPr>
                <w:rFonts w:ascii="Arial" w:cs="Arial" w:eastAsia="Arial" w:hAnsi="Arial"/>
                <w:sz w:val="13"/>
                <w:szCs w:val="13"/>
                <w:color w:val="auto"/>
              </w:rPr>
              <w:t>Promissory Note 12% Due 5/29/2017***</w:t>
            </w:r>
            <w:r>
              <w:rPr>
                <w:rFonts w:ascii="Arial" w:cs="Arial" w:eastAsia="Arial" w:hAnsi="Arial"/>
                <w:sz w:val="19"/>
                <w:szCs w:val="19"/>
                <w:color w:val="auto"/>
                <w:vertAlign w:val="superscript"/>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50,146</w:t>
            </w:r>
          </w:p>
        </w:tc>
        <w:tc>
          <w:tcPr>
            <w:tcW w:w="2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496,725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(526,000)</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5,080</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3200" w:type="dxa"/>
            <w:vAlign w:val="bottom"/>
            <w:gridSpan w:val="3"/>
          </w:tcPr>
          <w:p>
            <w:pPr>
              <w:ind w:left="300"/>
              <w:spacing w:after="0"/>
              <w:rPr>
                <w:sz w:val="20"/>
                <w:szCs w:val="20"/>
                <w:color w:val="auto"/>
              </w:rPr>
            </w:pPr>
            <w:r>
              <w:rPr>
                <w:rFonts w:ascii="Arial" w:cs="Arial" w:eastAsia="Arial" w:hAnsi="Arial"/>
                <w:sz w:val="13"/>
                <w:szCs w:val="13"/>
                <w:color w:val="auto"/>
                <w:w w:val="98"/>
              </w:rPr>
              <w:t>NestGSV, Inc. (d/b/a GSV Labs, Inc.) – Unsecured</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00" w:type="dxa"/>
            <w:vAlign w:val="bottom"/>
            <w:gridSpan w:val="3"/>
          </w:tcPr>
          <w:p>
            <w:pPr>
              <w:ind w:left="440"/>
              <w:spacing w:after="0" w:line="201" w:lineRule="exact"/>
              <w:rPr>
                <w:sz w:val="20"/>
                <w:szCs w:val="20"/>
                <w:color w:val="auto"/>
              </w:rPr>
            </w:pPr>
            <w:r>
              <w:rPr>
                <w:rFonts w:ascii="Arial" w:cs="Arial" w:eastAsia="Arial" w:hAnsi="Arial"/>
                <w:sz w:val="13"/>
                <w:szCs w:val="13"/>
                <w:color w:val="auto"/>
              </w:rPr>
              <w:t>Promissory Note 12% Due 1/15/2018***</w:t>
            </w:r>
            <w:r>
              <w:rPr>
                <w:rFonts w:ascii="Arial" w:cs="Arial" w:eastAsia="Arial" w:hAnsi="Arial"/>
                <w:sz w:val="20"/>
                <w:szCs w:val="20"/>
                <w:color w:val="auto"/>
                <w:vertAlign w:val="superscript"/>
              </w:rPr>
              <w:t>(4)</w:t>
            </w:r>
          </w:p>
        </w:tc>
        <w:tc>
          <w:tcPr>
            <w:tcW w:w="620" w:type="dxa"/>
            <w:vAlign w:val="bottom"/>
          </w:tcPr>
          <w:p>
            <w:pPr>
              <w:jc w:val="right"/>
              <w:spacing w:after="0"/>
              <w:rPr>
                <w:sz w:val="20"/>
                <w:szCs w:val="20"/>
                <w:color w:val="auto"/>
              </w:rPr>
            </w:pPr>
            <w:r>
              <w:rPr>
                <w:rFonts w:ascii="Arial" w:cs="Arial" w:eastAsia="Arial" w:hAnsi="Arial"/>
                <w:sz w:val="13"/>
                <w:szCs w:val="13"/>
                <w:color w:val="auto"/>
              </w:rPr>
              <w:t>592,129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111,089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592,809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(680)</w:t>
            </w:r>
          </w:p>
        </w:tc>
        <w:tc>
          <w:tcPr>
            <w:tcW w:w="80" w:type="dxa"/>
            <w:vAlign w:val="bottom"/>
          </w:tcPr>
          <w:p>
            <w:pPr>
              <w:spacing w:after="0"/>
              <w:rPr>
                <w:sz w:val="17"/>
                <w:szCs w:val="17"/>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592,129</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gridSpan w:val="3"/>
            <w:shd w:val="clear" w:color="auto" w:fill="CCEEFF"/>
          </w:tcPr>
          <w:p>
            <w:pPr>
              <w:ind w:left="140"/>
              <w:spacing w:after="0"/>
              <w:rPr>
                <w:sz w:val="20"/>
                <w:szCs w:val="20"/>
                <w:color w:val="auto"/>
              </w:rPr>
            </w:pPr>
            <w:r>
              <w:rPr>
                <w:rFonts w:ascii="Arial" w:cs="Arial" w:eastAsia="Arial" w:hAnsi="Arial"/>
                <w:sz w:val="13"/>
                <w:szCs w:val="13"/>
                <w:i w:val="1"/>
                <w:iCs w:val="1"/>
                <w:color w:val="auto"/>
              </w:rPr>
              <w:t>Total Global Innovation Platform</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249,839</w:t>
            </w:r>
          </w:p>
        </w:tc>
        <w:tc>
          <w:tcPr>
            <w:tcW w:w="2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924,625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723,494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(526,000)</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30,209</w:t>
            </w: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9"/>
              </w:rPr>
              <w:t>1,152,328</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201"/>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Total Debt Investments</w:t>
            </w:r>
          </w:p>
        </w:tc>
        <w:tc>
          <w:tcPr>
            <w:tcW w:w="62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249,839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924,625</w:t>
            </w:r>
          </w:p>
        </w:tc>
        <w:tc>
          <w:tcPr>
            <w:tcW w:w="260" w:type="dxa"/>
            <w:vAlign w:val="bottom"/>
            <w:gridSpan w:val="2"/>
          </w:tcPr>
          <w:p>
            <w:pPr>
              <w:ind w:left="18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723,494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w w:val="89"/>
              </w:rPr>
              <w:t>(526,000)</w:t>
            </w:r>
          </w:p>
        </w:tc>
        <w:tc>
          <w:tcPr>
            <w:tcW w:w="20" w:type="dxa"/>
            <w:vAlign w:val="bottom"/>
          </w:tcPr>
          <w:p>
            <w:pPr>
              <w:spacing w:after="0"/>
              <w:rPr>
                <w:sz w:val="17"/>
                <w:szCs w:val="17"/>
                <w:color w:val="auto"/>
              </w:rPr>
            </w:pPr>
          </w:p>
        </w:tc>
        <w:tc>
          <w:tcPr>
            <w:tcW w:w="840" w:type="dxa"/>
            <w:vAlign w:val="bottom"/>
            <w:gridSpan w:val="4"/>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30,209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w w:val="89"/>
              </w:rPr>
              <w:t>1,152,328</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290"/>
        </w:trPr>
        <w:tc>
          <w:tcPr>
            <w:tcW w:w="32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Preferred Stock</w:t>
            </w: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0" w:type="dxa"/>
            <w:vAlign w:val="bottom"/>
            <w:gridSpan w:val="3"/>
          </w:tcPr>
          <w:p>
            <w:pPr>
              <w:ind w:left="140"/>
              <w:spacing w:after="0"/>
              <w:rPr>
                <w:sz w:val="20"/>
                <w:szCs w:val="20"/>
                <w:color w:val="auto"/>
              </w:rPr>
            </w:pPr>
            <w:r>
              <w:rPr>
                <w:rFonts w:ascii="Arial" w:cs="Arial" w:eastAsia="Arial" w:hAnsi="Arial"/>
                <w:sz w:val="13"/>
                <w:szCs w:val="13"/>
                <w:i w:val="1"/>
                <w:iCs w:val="1"/>
                <w:color w:val="auto"/>
              </w:rPr>
              <w:t>Clean Technology</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SPBRX, INC. (f/k/a GSV Sustainability Partners,</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2"/>
              </w:rPr>
              <w:t>14,300,000</w:t>
            </w: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9"/>
              </w:rPr>
              <w:t>475,000</w:t>
            </w:r>
          </w:p>
        </w:tc>
        <w:tc>
          <w:tcPr>
            <w:tcW w:w="2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9"/>
              </w:rPr>
              <w:t>4,309,778</w:t>
            </w:r>
          </w:p>
        </w:tc>
        <w:tc>
          <w:tcPr>
            <w:tcW w:w="2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6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gridSpan w:val="4"/>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90"/>
              </w:rPr>
              <w:t>(3,239,916)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3"/>
                <w:szCs w:val="13"/>
                <w:color w:val="auto"/>
                <w:w w:val="89"/>
              </w:rPr>
              <w:t>1,069,862</w:t>
            </w:r>
          </w:p>
        </w:tc>
        <w:tc>
          <w:tcPr>
            <w:tcW w:w="6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0.52%</w:t>
            </w:r>
          </w:p>
        </w:tc>
        <w:tc>
          <w:tcPr>
            <w:tcW w:w="0" w:type="dxa"/>
            <w:vAlign w:val="bottom"/>
          </w:tcPr>
          <w:p>
            <w:pPr>
              <w:spacing w:after="0"/>
              <w:rPr>
                <w:sz w:val="1"/>
                <w:szCs w:val="1"/>
                <w:color w:val="auto"/>
              </w:rPr>
            </w:pPr>
          </w:p>
        </w:tc>
      </w:tr>
      <w:tr>
        <w:trPr>
          <w:trHeight w:val="154"/>
        </w:trPr>
        <w:tc>
          <w:tcPr>
            <w:tcW w:w="320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Inc.) – Preferred shares, Class A***</w:t>
            </w:r>
          </w:p>
        </w:tc>
        <w:tc>
          <w:tcPr>
            <w:tcW w:w="620" w:type="dxa"/>
            <w:vAlign w:val="bottom"/>
            <w:vMerge w:val="continue"/>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tcBorders>
              <w:right w:val="single" w:sz="8" w:color="CCEEFF"/>
            </w:tcBorders>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840" w:type="dxa"/>
            <w:vAlign w:val="bottom"/>
            <w:tcBorders>
              <w:right w:val="single" w:sz="8" w:color="CCEEFF"/>
            </w:tcBorders>
            <w:gridSpan w:val="4"/>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20" w:type="dxa"/>
            <w:vAlign w:val="bottom"/>
            <w:tcBorders>
              <w:right w:val="single" w:sz="8" w:color="CCEEFF"/>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00" w:type="dxa"/>
            <w:vAlign w:val="bottom"/>
            <w:gridSpan w:val="3"/>
          </w:tcPr>
          <w:p>
            <w:pPr>
              <w:ind w:left="140"/>
              <w:spacing w:after="0"/>
              <w:rPr>
                <w:sz w:val="20"/>
                <w:szCs w:val="20"/>
                <w:color w:val="auto"/>
              </w:rPr>
            </w:pPr>
            <w:r>
              <w:rPr>
                <w:rFonts w:ascii="Arial" w:cs="Arial" w:eastAsia="Arial" w:hAnsi="Arial"/>
                <w:sz w:val="13"/>
                <w:szCs w:val="13"/>
                <w:i w:val="1"/>
                <w:iCs w:val="1"/>
                <w:color w:val="auto"/>
              </w:rPr>
              <w:t>Global Innovation Platform</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3,720,424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9"/>
              </w:rPr>
              <w:t>2,715,910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580" w:type="dxa"/>
            <w:vAlign w:val="bottom"/>
            <w:tcBorders>
              <w:right w:val="single" w:sz="8" w:color="CCEEFF"/>
            </w:tcBorders>
            <w:gridSpan w:val="3"/>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73"/>
              <w:spacing w:after="0"/>
              <w:rPr>
                <w:sz w:val="20"/>
                <w:szCs w:val="20"/>
                <w:color w:val="auto"/>
              </w:rPr>
            </w:pPr>
            <w:r>
              <w:rPr>
                <w:rFonts w:ascii="Arial" w:cs="Arial" w:eastAsia="Arial" w:hAnsi="Arial"/>
                <w:sz w:val="13"/>
                <w:szCs w:val="13"/>
                <w:color w:val="auto"/>
                <w:w w:val="96"/>
              </w:rPr>
              <w:t>2,674,932</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3"/>
                <w:szCs w:val="13"/>
                <w:color w:val="auto"/>
                <w:w w:val="89"/>
              </w:rPr>
              <w:t>5,390,842</w:t>
            </w:r>
          </w:p>
        </w:tc>
        <w:tc>
          <w:tcPr>
            <w:tcW w:w="6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54"/>
        </w:trPr>
        <w:tc>
          <w:tcPr>
            <w:tcW w:w="320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stock Series A-4</w:t>
            </w:r>
          </w:p>
        </w:tc>
        <w:tc>
          <w:tcPr>
            <w:tcW w:w="6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3"/>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6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gridSpan w:val="3"/>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1,561,625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3"/>
                <w:szCs w:val="13"/>
                <w:color w:val="auto"/>
              </w:rPr>
              <w:t>952,591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20" w:type="dxa"/>
            <w:vAlign w:val="bottom"/>
            <w:vMerge w:val="restart"/>
          </w:tcPr>
          <w:p>
            <w:pPr>
              <w:jc w:val="right"/>
              <w:ind w:right="73"/>
              <w:spacing w:after="0"/>
              <w:rPr>
                <w:sz w:val="20"/>
                <w:szCs w:val="20"/>
                <w:color w:val="auto"/>
              </w:rPr>
            </w:pPr>
            <w:r>
              <w:rPr>
                <w:rFonts w:ascii="Arial" w:cs="Arial" w:eastAsia="Arial" w:hAnsi="Arial"/>
                <w:sz w:val="13"/>
                <w:szCs w:val="13"/>
                <w:color w:val="auto"/>
              </w:rPr>
              <w:t>933,053</w:t>
            </w:r>
          </w:p>
        </w:tc>
        <w:tc>
          <w:tcPr>
            <w:tcW w:w="80" w:type="dxa"/>
            <w:vAlign w:val="bottom"/>
          </w:tcPr>
          <w:p>
            <w:pPr>
              <w:spacing w:after="0"/>
              <w:rPr>
                <w:sz w:val="15"/>
                <w:szCs w:val="15"/>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3"/>
                <w:szCs w:val="13"/>
                <w:color w:val="auto"/>
                <w:w w:val="89"/>
              </w:rPr>
              <w:t>1,885,644</w:t>
            </w: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r>
        <w:trPr>
          <w:trHeight w:val="171"/>
        </w:trPr>
        <w:tc>
          <w:tcPr>
            <w:tcW w:w="3200" w:type="dxa"/>
            <w:vAlign w:val="bottom"/>
            <w:gridSpan w:val="3"/>
          </w:tcPr>
          <w:p>
            <w:pPr>
              <w:ind w:left="440"/>
              <w:spacing w:after="0"/>
              <w:rPr>
                <w:sz w:val="20"/>
                <w:szCs w:val="20"/>
                <w:color w:val="auto"/>
              </w:rPr>
            </w:pPr>
            <w:r>
              <w:rPr>
                <w:rFonts w:ascii="Arial" w:cs="Arial" w:eastAsia="Arial" w:hAnsi="Arial"/>
                <w:sz w:val="13"/>
                <w:szCs w:val="13"/>
                <w:color w:val="auto"/>
              </w:rPr>
              <w:t>stock Series A-3</w:t>
            </w: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6872605</wp:posOffset>
            </wp:positionH>
            <wp:positionV relativeFrom="paragraph">
              <wp:posOffset>-1350010</wp:posOffset>
            </wp:positionV>
            <wp:extent cx="11366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-1350010</wp:posOffset>
            </wp:positionV>
            <wp:extent cx="17018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0180" cy="698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-1350010</wp:posOffset>
            </wp:positionV>
            <wp:extent cx="9207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-1350010</wp:posOffset>
            </wp:positionV>
            <wp:extent cx="60960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9600" cy="698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-1350010</wp:posOffset>
            </wp:positionV>
            <wp:extent cx="20574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057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-1350010</wp:posOffset>
            </wp:positionV>
            <wp:extent cx="368490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684905" cy="6985"/>
                    </a:xfrm>
                    <a:prstGeom prst="rect">
                      <a:avLst/>
                    </a:prstGeom>
                    <a:noFill/>
                  </pic:spPr>
                </pic:pic>
              </a:graphicData>
            </a:graphic>
          </wp:anchor>
        </w:drawing>
        <w:drawing>
          <wp:anchor simplePos="0" relativeHeight="251657728" behindDoc="1" locked="0" layoutInCell="0" allowOverlap="1">
            <wp:simplePos x="0" y="0"/>
            <wp:positionH relativeFrom="column">
              <wp:posOffset>6581775</wp:posOffset>
            </wp:positionH>
            <wp:positionV relativeFrom="paragraph">
              <wp:posOffset>-2406015</wp:posOffset>
            </wp:positionV>
            <wp:extent cx="2857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-2406015</wp:posOffset>
            </wp:positionV>
            <wp:extent cx="2857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-2406015</wp:posOffset>
            </wp:positionV>
            <wp:extent cx="2857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-2406015</wp:posOffset>
            </wp:positionV>
            <wp:extent cx="1397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-2406015</wp:posOffset>
            </wp:positionV>
            <wp:extent cx="1397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-2406015</wp:posOffset>
            </wp:positionV>
            <wp:extent cx="1397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-2406015</wp:posOffset>
            </wp:positionV>
            <wp:extent cx="1397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-2406015</wp:posOffset>
            </wp:positionV>
            <wp:extent cx="1397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-2406015</wp:posOffset>
            </wp:positionV>
            <wp:extent cx="1397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12" w:name="page113"/>
    <w:bookmarkEnd w:id="11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4"/>
              </w:rPr>
              <w:t>Purchases,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jc w:val="right"/>
              <w:ind w:right="120"/>
              <w:spacing w:after="0" w:line="134" w:lineRule="exact"/>
              <w:rPr>
                <w:sz w:val="20"/>
                <w:szCs w:val="20"/>
                <w:color w:val="auto"/>
              </w:rPr>
            </w:pPr>
            <w:r>
              <w:rPr>
                <w:rFonts w:ascii="Arial" w:cs="Arial" w:eastAsia="Arial" w:hAnsi="Arial"/>
                <w:sz w:val="12"/>
                <w:szCs w:val="12"/>
                <w:b w:val="1"/>
                <w:bCs w:val="1"/>
                <w:color w:val="auto"/>
                <w:w w:val="93"/>
              </w:rPr>
              <w:t>Interest, Fees, or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90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Capitalized Fees,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Fair Value at</w:t>
            </w: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Principal/</w:t>
            </w:r>
          </w:p>
        </w:tc>
        <w:tc>
          <w:tcPr>
            <w:tcW w:w="1780" w:type="dxa"/>
            <w:vAlign w:val="bottom"/>
            <w:gridSpan w:val="6"/>
          </w:tcPr>
          <w:p>
            <w:pPr>
              <w:jc w:val="right"/>
              <w:spacing w:after="0" w:line="134" w:lineRule="exact"/>
              <w:rPr>
                <w:sz w:val="20"/>
                <w:szCs w:val="20"/>
                <w:color w:val="auto"/>
              </w:rPr>
            </w:pPr>
            <w:r>
              <w:rPr>
                <w:rFonts w:ascii="Arial" w:cs="Arial" w:eastAsia="Arial" w:hAnsi="Arial"/>
                <w:sz w:val="12"/>
                <w:szCs w:val="12"/>
                <w:b w:val="1"/>
                <w:bCs w:val="1"/>
                <w:color w:val="auto"/>
                <w:w w:val="89"/>
              </w:rPr>
              <w:t>Dividends Credited December 31,</w:t>
            </w:r>
          </w:p>
        </w:tc>
        <w:tc>
          <w:tcPr>
            <w:tcW w:w="90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1"/>
              </w:rPr>
              <w:t>Interest and</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Realized</w:t>
            </w:r>
          </w:p>
        </w:tc>
        <w:tc>
          <w:tcPr>
            <w:tcW w:w="140" w:type="dxa"/>
            <w:vAlign w:val="bottom"/>
          </w:tcPr>
          <w:p>
            <w:pPr>
              <w:spacing w:after="0"/>
              <w:rPr>
                <w:sz w:val="11"/>
                <w:szCs w:val="11"/>
                <w:color w:val="auto"/>
              </w:rPr>
            </w:pPr>
          </w:p>
        </w:tc>
        <w:tc>
          <w:tcPr>
            <w:tcW w:w="660" w:type="dxa"/>
            <w:vAlign w:val="bottom"/>
            <w:gridSpan w:val="2"/>
          </w:tcPr>
          <w:p>
            <w:pPr>
              <w:jc w:val="right"/>
              <w:ind w:right="140"/>
              <w:spacing w:after="0" w:line="134" w:lineRule="exact"/>
              <w:rPr>
                <w:sz w:val="20"/>
                <w:szCs w:val="20"/>
                <w:color w:val="auto"/>
              </w:rPr>
            </w:pPr>
            <w:r>
              <w:rPr>
                <w:rFonts w:ascii="Arial" w:cs="Arial" w:eastAsia="Arial" w:hAnsi="Arial"/>
                <w:sz w:val="12"/>
                <w:szCs w:val="12"/>
                <w:b w:val="1"/>
                <w:bCs w:val="1"/>
                <w:color w:val="auto"/>
                <w:w w:val="82"/>
              </w:rPr>
              <w:t>Unrealized</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89"/>
              </w:rPr>
              <w:t>December 31,</w:t>
            </w:r>
          </w:p>
        </w:tc>
        <w:tc>
          <w:tcPr>
            <w:tcW w:w="560" w:type="dxa"/>
            <w:vAlign w:val="bottom"/>
          </w:tcPr>
          <w:p>
            <w:pPr>
              <w:jc w:val="right"/>
              <w:ind w:right="75"/>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Quantity</w:t>
            </w:r>
          </w:p>
        </w:tc>
        <w:tc>
          <w:tcPr>
            <w:tcW w:w="22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 Income</w:t>
            </w:r>
          </w:p>
        </w:tc>
        <w:tc>
          <w:tcPr>
            <w:tcW w:w="8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Arial" w:cs="Arial" w:eastAsia="Arial" w:hAnsi="Arial"/>
                <w:sz w:val="12"/>
                <w:szCs w:val="12"/>
                <w:b w:val="1"/>
                <w:bCs w:val="1"/>
                <w:color w:val="auto"/>
              </w:rPr>
              <w:t>2016</w:t>
            </w:r>
          </w:p>
        </w:tc>
        <w:tc>
          <w:tcPr>
            <w:tcW w:w="9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2"/>
              </w:rPr>
              <w:t>Amortization</w:t>
            </w:r>
          </w:p>
        </w:tc>
        <w:tc>
          <w:tcPr>
            <w:tcW w:w="800" w:type="dxa"/>
            <w:vAlign w:val="bottom"/>
            <w:gridSpan w:val="4"/>
          </w:tcPr>
          <w:p>
            <w:pPr>
              <w:ind w:left="240"/>
              <w:spacing w:after="0"/>
              <w:rPr>
                <w:sz w:val="20"/>
                <w:szCs w:val="20"/>
                <w:color w:val="auto"/>
              </w:rPr>
            </w:pPr>
            <w:r>
              <w:rPr>
                <w:rFonts w:ascii="Arial" w:cs="Arial" w:eastAsia="Arial" w:hAnsi="Arial"/>
                <w:sz w:val="12"/>
                <w:szCs w:val="12"/>
                <w:b w:val="1"/>
                <w:bCs w:val="1"/>
                <w:color w:val="auto"/>
              </w:rPr>
              <w:t>Sales</w:t>
            </w:r>
          </w:p>
        </w:tc>
        <w:tc>
          <w:tcPr>
            <w:tcW w:w="1580" w:type="dxa"/>
            <w:vAlign w:val="bottom"/>
            <w:gridSpan w:val="7"/>
          </w:tcPr>
          <w:p>
            <w:pPr>
              <w:jc w:val="right"/>
              <w:ind w:right="60"/>
              <w:spacing w:after="0"/>
              <w:rPr>
                <w:sz w:val="20"/>
                <w:szCs w:val="20"/>
                <w:color w:val="auto"/>
              </w:rPr>
            </w:pPr>
            <w:r>
              <w:rPr>
                <w:rFonts w:ascii="Arial" w:cs="Arial" w:eastAsia="Arial" w:hAnsi="Arial"/>
                <w:sz w:val="12"/>
                <w:szCs w:val="12"/>
                <w:b w:val="1"/>
                <w:bCs w:val="1"/>
                <w:color w:val="auto"/>
                <w:w w:val="85"/>
              </w:rPr>
              <w:t>Gains/(Losses) Gains/(Losses)</w:t>
            </w:r>
          </w:p>
        </w:tc>
        <w:tc>
          <w:tcPr>
            <w:tcW w:w="8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Arial" w:cs="Arial" w:eastAsia="Arial" w:hAnsi="Arial"/>
                <w:sz w:val="12"/>
                <w:szCs w:val="12"/>
                <w:b w:val="1"/>
                <w:bCs w:val="1"/>
                <w:color w:val="auto"/>
              </w:rPr>
              <w:t>2017</w:t>
            </w:r>
          </w:p>
        </w:tc>
        <w:tc>
          <w:tcPr>
            <w:tcW w:w="560" w:type="dxa"/>
            <w:vAlign w:val="bottom"/>
          </w:tcPr>
          <w:p>
            <w:pPr>
              <w:jc w:val="right"/>
              <w:ind w:right="55"/>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
        </w:trPr>
        <w:tc>
          <w:tcPr>
            <w:tcW w:w="3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450,001</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166,500</w:t>
            </w:r>
          </w:p>
        </w:tc>
        <w:tc>
          <w:tcPr>
            <w:tcW w:w="320" w:type="dxa"/>
            <w:vAlign w:val="bottom"/>
            <w:shd w:val="clear" w:color="auto" w:fill="CCEEFF"/>
          </w:tcPr>
          <w:p>
            <w:pPr>
              <w:spacing w:after="0"/>
              <w:rPr>
                <w:sz w:val="14"/>
                <w:szCs w:val="14"/>
                <w:color w:val="auto"/>
              </w:rPr>
            </w:pPr>
          </w:p>
        </w:tc>
        <w:tc>
          <w:tcPr>
            <w:tcW w:w="58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159,522</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326,022</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stock Series A-2</w:t>
            </w:r>
          </w:p>
        </w:tc>
        <w:tc>
          <w:tcPr>
            <w:tcW w:w="6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1,000,000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270,000</w:t>
            </w:r>
          </w:p>
        </w:tc>
        <w:tc>
          <w:tcPr>
            <w:tcW w:w="320" w:type="dxa"/>
            <w:vAlign w:val="bottom"/>
          </w:tcPr>
          <w:p>
            <w:pPr>
              <w:spacing w:after="0"/>
              <w:rPr>
                <w:sz w:val="15"/>
                <w:szCs w:val="15"/>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273,370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543,370</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79"/>
        </w:trPr>
        <w:tc>
          <w:tcPr>
            <w:tcW w:w="3200" w:type="dxa"/>
            <w:vAlign w:val="bottom"/>
          </w:tcPr>
          <w:p>
            <w:pPr>
              <w:ind w:left="440"/>
              <w:spacing w:after="0"/>
              <w:rPr>
                <w:sz w:val="20"/>
                <w:szCs w:val="20"/>
                <w:color w:val="auto"/>
              </w:rPr>
            </w:pPr>
            <w:r>
              <w:rPr>
                <w:rFonts w:ascii="Arial" w:cs="Arial" w:eastAsia="Arial" w:hAnsi="Arial"/>
                <w:sz w:val="13"/>
                <w:szCs w:val="13"/>
                <w:color w:val="auto"/>
              </w:rPr>
              <w:t>stock Series A-1</w:t>
            </w: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Total Global Innovation Platform</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4,105,001</w:t>
            </w:r>
          </w:p>
        </w:tc>
        <w:tc>
          <w:tcPr>
            <w:tcW w:w="32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4,040,877</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8,145,878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290"/>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Interactive Learning</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300"/>
              <w:spacing w:after="0" w:line="212" w:lineRule="exact"/>
              <w:rPr>
                <w:sz w:val="20"/>
                <w:szCs w:val="20"/>
                <w:color w:val="auto"/>
              </w:rPr>
            </w:pPr>
            <w:r>
              <w:rPr>
                <w:rFonts w:ascii="Arial" w:cs="Arial" w:eastAsia="Arial" w:hAnsi="Arial"/>
                <w:sz w:val="13"/>
                <w:szCs w:val="13"/>
                <w:color w:val="auto"/>
              </w:rPr>
              <w:t>StormWind, LLC – Preferred shares, Series C</w:t>
            </w:r>
            <w:r>
              <w:rPr>
                <w:rFonts w:ascii="Arial" w:cs="Arial" w:eastAsia="Arial" w:hAnsi="Arial"/>
                <w:sz w:val="20"/>
                <w:szCs w:val="20"/>
                <w:color w:val="auto"/>
                <w:vertAlign w:val="superscript"/>
              </w:rPr>
              <w:t>(3)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2,779,134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4,650,838</w:t>
            </w: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2,573,066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7,223,904</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212"/>
        </w:trPr>
        <w:tc>
          <w:tcPr>
            <w:tcW w:w="3200" w:type="dxa"/>
            <w:vAlign w:val="bottom"/>
          </w:tcPr>
          <w:p>
            <w:pPr>
              <w:ind w:left="300"/>
              <w:spacing w:after="0" w:line="212" w:lineRule="exact"/>
              <w:rPr>
                <w:sz w:val="20"/>
                <w:szCs w:val="20"/>
                <w:color w:val="auto"/>
              </w:rPr>
            </w:pPr>
            <w:r>
              <w:rPr>
                <w:rFonts w:ascii="Arial" w:cs="Arial" w:eastAsia="Arial" w:hAnsi="Arial"/>
                <w:sz w:val="13"/>
                <w:szCs w:val="13"/>
                <w:color w:val="auto"/>
              </w:rPr>
              <w:t>StormWind, LLC – Preferred shares, Series B</w:t>
            </w:r>
            <w:r>
              <w:rPr>
                <w:rFonts w:ascii="Arial" w:cs="Arial" w:eastAsia="Arial" w:hAnsi="Arial"/>
                <w:sz w:val="20"/>
                <w:szCs w:val="20"/>
                <w:color w:val="auto"/>
                <w:vertAlign w:val="superscript"/>
              </w:rPr>
              <w:t>(3)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3,279,629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4,470,403</w:t>
            </w:r>
          </w:p>
        </w:tc>
        <w:tc>
          <w:tcPr>
            <w:tcW w:w="320" w:type="dxa"/>
            <w:vAlign w:val="bottom"/>
          </w:tcPr>
          <w:p>
            <w:pPr>
              <w:spacing w:after="0"/>
              <w:rPr>
                <w:sz w:val="18"/>
                <w:szCs w:val="18"/>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1,334,069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5,804,472</w:t>
            </w:r>
          </w:p>
        </w:tc>
        <w:tc>
          <w:tcPr>
            <w:tcW w:w="56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StormWind, LLC – Preferred shares, Series A</w:t>
            </w:r>
            <w:r>
              <w:rPr>
                <w:rFonts w:ascii="Arial" w:cs="Arial" w:eastAsia="Arial" w:hAnsi="Arial"/>
                <w:sz w:val="20"/>
                <w:szCs w:val="20"/>
                <w:color w:val="auto"/>
                <w:vertAlign w:val="superscript"/>
              </w:rPr>
              <w:t>(3)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366,666</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499,796</w:t>
            </w:r>
          </w:p>
        </w:tc>
        <w:tc>
          <w:tcPr>
            <w:tcW w:w="3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(74,454)</w:t>
            </w: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425,342</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Interactive Learning</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9,621,037</w:t>
            </w:r>
          </w:p>
        </w:tc>
        <w:tc>
          <w:tcPr>
            <w:tcW w:w="320" w:type="dxa"/>
            <w:vAlign w:val="bottom"/>
          </w:tcPr>
          <w:p>
            <w:pPr>
              <w:spacing w:after="0"/>
              <w:rPr>
                <w:sz w:val="15"/>
                <w:szCs w:val="15"/>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3,832,681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89"/>
              </w:rPr>
              <w:t>13,453,718</w:t>
            </w:r>
          </w:p>
        </w:tc>
        <w:tc>
          <w:tcPr>
            <w:tcW w:w="560" w:type="dxa"/>
            <w:vAlign w:val="bottom"/>
          </w:tcPr>
          <w:p>
            <w:pPr>
              <w:jc w:val="right"/>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Stock</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475,000</w:t>
            </w: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18,035,816</w:t>
            </w:r>
          </w:p>
        </w:tc>
        <w:tc>
          <w:tcPr>
            <w:tcW w:w="90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4,633,642</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22,669,458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w:t>
            </w:r>
          </w:p>
        </w:tc>
        <w:tc>
          <w:tcPr>
            <w:tcW w:w="0" w:type="dxa"/>
            <w:vAlign w:val="bottom"/>
          </w:tcPr>
          <w:p>
            <w:pPr>
              <w:spacing w:after="0"/>
              <w:rPr>
                <w:sz w:val="1"/>
                <w:szCs w:val="1"/>
                <w:color w:val="auto"/>
              </w:rPr>
            </w:pPr>
          </w:p>
        </w:tc>
      </w:tr>
      <w:tr>
        <w:trPr>
          <w:trHeight w:val="290"/>
        </w:trPr>
        <w:tc>
          <w:tcPr>
            <w:tcW w:w="3200" w:type="dxa"/>
            <w:vAlign w:val="bottom"/>
          </w:tcPr>
          <w:p>
            <w:pPr>
              <w:spacing w:after="0"/>
              <w:rPr>
                <w:sz w:val="20"/>
                <w:szCs w:val="20"/>
                <w:color w:val="auto"/>
              </w:rPr>
            </w:pPr>
            <w:r>
              <w:rPr>
                <w:rFonts w:ascii="Arial" w:cs="Arial" w:eastAsia="Arial" w:hAnsi="Arial"/>
                <w:sz w:val="13"/>
                <w:szCs w:val="13"/>
                <w:b w:val="1"/>
                <w:bCs w:val="1"/>
                <w:color w:val="auto"/>
              </w:rPr>
              <w:t>Warrants</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Global Innovation Platform</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00" w:type="dxa"/>
            <w:vAlign w:val="bottom"/>
          </w:tcPr>
          <w:p>
            <w:pPr>
              <w:ind w:left="440"/>
              <w:spacing w:after="0" w:line="134" w:lineRule="exact"/>
              <w:rPr>
                <w:sz w:val="20"/>
                <w:szCs w:val="20"/>
                <w:color w:val="auto"/>
              </w:rPr>
            </w:pPr>
            <w:r>
              <w:rPr>
                <w:rFonts w:ascii="Arial" w:cs="Arial" w:eastAsia="Arial" w:hAnsi="Arial"/>
                <w:sz w:val="13"/>
                <w:szCs w:val="13"/>
                <w:color w:val="auto"/>
                <w:w w:val="93"/>
              </w:rPr>
              <w:t>Warrant Series A-3 – Strike Price $1.33, Expiration</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187,500</w:t>
            </w:r>
          </w:p>
        </w:tc>
        <w:tc>
          <w:tcPr>
            <w:tcW w:w="40" w:type="dxa"/>
            <w:vAlign w:val="bottom"/>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5,625</w:t>
            </w:r>
          </w:p>
        </w:tc>
        <w:tc>
          <w:tcPr>
            <w:tcW w:w="900" w:type="dxa"/>
            <w:vAlign w:val="bottom"/>
            <w:gridSpan w:val="4"/>
            <w:vMerge w:val="restart"/>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4"/>
            <w:vMerge w:val="restart"/>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4"/>
            <w:vMerge w:val="restart"/>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(3,750)</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1,875</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54"/>
        </w:trPr>
        <w:tc>
          <w:tcPr>
            <w:tcW w:w="3200" w:type="dxa"/>
            <w:vAlign w:val="bottom"/>
          </w:tcPr>
          <w:p>
            <w:pPr>
              <w:ind w:left="440"/>
              <w:spacing w:after="0"/>
              <w:rPr>
                <w:sz w:val="20"/>
                <w:szCs w:val="20"/>
                <w:color w:val="auto"/>
              </w:rPr>
            </w:pPr>
            <w:r>
              <w:rPr>
                <w:rFonts w:ascii="Arial" w:cs="Arial" w:eastAsia="Arial" w:hAnsi="Arial"/>
                <w:sz w:val="13"/>
                <w:szCs w:val="13"/>
                <w:color w:val="auto"/>
              </w:rPr>
              <w:t>Date 4/4/2019</w:t>
            </w:r>
          </w:p>
        </w:tc>
        <w:tc>
          <w:tcPr>
            <w:tcW w:w="6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ind w:left="440"/>
              <w:spacing w:after="0" w:line="134" w:lineRule="exact"/>
              <w:rPr>
                <w:sz w:val="20"/>
                <w:szCs w:val="20"/>
                <w:color w:val="auto"/>
              </w:rPr>
            </w:pPr>
            <w:r>
              <w:rPr>
                <w:rFonts w:ascii="Arial" w:cs="Arial" w:eastAsia="Arial" w:hAnsi="Arial"/>
                <w:sz w:val="13"/>
                <w:szCs w:val="13"/>
                <w:color w:val="auto"/>
                <w:w w:val="93"/>
              </w:rPr>
              <w:t>Warrant Series A-4 – Strike Price $1.33, Expiration</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320" w:type="dxa"/>
            <w:vAlign w:val="bottom"/>
            <w:shd w:val="clear" w:color="auto" w:fill="CCEEFF"/>
          </w:tcPr>
          <w:p>
            <w:pPr>
              <w:spacing w:after="0"/>
              <w:rPr>
                <w:sz w:val="11"/>
                <w:szCs w:val="11"/>
                <w:color w:val="auto"/>
              </w:rPr>
            </w:pPr>
          </w:p>
        </w:tc>
        <w:tc>
          <w:tcPr>
            <w:tcW w:w="58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160,000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54"/>
        </w:trPr>
        <w:tc>
          <w:tcPr>
            <w:tcW w:w="32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Date 10/6/2019</w:t>
            </w:r>
          </w:p>
        </w:tc>
        <w:tc>
          <w:tcPr>
            <w:tcW w:w="6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00" w:type="dxa"/>
            <w:vAlign w:val="bottom"/>
          </w:tcPr>
          <w:p>
            <w:pPr>
              <w:ind w:left="440"/>
              <w:spacing w:after="0" w:line="134" w:lineRule="exact"/>
              <w:rPr>
                <w:sz w:val="20"/>
                <w:szCs w:val="20"/>
                <w:color w:val="auto"/>
              </w:rPr>
            </w:pPr>
            <w:r>
              <w:rPr>
                <w:rFonts w:ascii="Arial" w:cs="Arial" w:eastAsia="Arial" w:hAnsi="Arial"/>
                <w:sz w:val="13"/>
                <w:szCs w:val="13"/>
                <w:color w:val="auto"/>
                <w:w w:val="93"/>
              </w:rPr>
              <w:t>Warrant Series A-4 – Strike Price $1.33, Expiration</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250,000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22,500</w:t>
            </w:r>
          </w:p>
        </w:tc>
        <w:tc>
          <w:tcPr>
            <w:tcW w:w="320" w:type="dxa"/>
            <w:vAlign w:val="bottom"/>
          </w:tcPr>
          <w:p>
            <w:pPr>
              <w:spacing w:after="0"/>
              <w:rPr>
                <w:sz w:val="11"/>
                <w:szCs w:val="11"/>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102,500</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54"/>
        </w:trPr>
        <w:tc>
          <w:tcPr>
            <w:tcW w:w="3200" w:type="dxa"/>
            <w:vAlign w:val="bottom"/>
          </w:tcPr>
          <w:p>
            <w:pPr>
              <w:ind w:left="440"/>
              <w:spacing w:after="0"/>
              <w:rPr>
                <w:sz w:val="20"/>
                <w:szCs w:val="20"/>
                <w:color w:val="auto"/>
              </w:rPr>
            </w:pPr>
            <w:r>
              <w:rPr>
                <w:rFonts w:ascii="Arial" w:cs="Arial" w:eastAsia="Arial" w:hAnsi="Arial"/>
                <w:sz w:val="13"/>
                <w:szCs w:val="13"/>
                <w:color w:val="auto"/>
              </w:rPr>
              <w:t>Date 7/18/2021</w:t>
            </w:r>
          </w:p>
        </w:tc>
        <w:tc>
          <w:tcPr>
            <w:tcW w:w="6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shd w:val="clear" w:color="auto" w:fill="CCEEFF"/>
          </w:tcPr>
          <w:p>
            <w:pPr>
              <w:ind w:left="440"/>
              <w:spacing w:after="0" w:line="131" w:lineRule="exact"/>
              <w:rPr>
                <w:sz w:val="20"/>
                <w:szCs w:val="20"/>
                <w:color w:val="auto"/>
              </w:rPr>
            </w:pPr>
            <w:r>
              <w:rPr>
                <w:rFonts w:ascii="Arial" w:cs="Arial" w:eastAsia="Arial" w:hAnsi="Arial"/>
                <w:sz w:val="13"/>
                <w:szCs w:val="13"/>
                <w:color w:val="auto"/>
                <w:w w:val="97"/>
              </w:rPr>
              <w:t>Warrant Series B – Strike Price $2.31, Expiration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440"/>
              <w:spacing w:after="0" w:line="167" w:lineRule="exact"/>
              <w:rPr>
                <w:sz w:val="20"/>
                <w:szCs w:val="20"/>
                <w:color w:val="auto"/>
              </w:rPr>
            </w:pPr>
            <w:r>
              <w:rPr>
                <w:rFonts w:ascii="Arial" w:cs="Arial" w:eastAsia="Arial" w:hAnsi="Arial"/>
                <w:sz w:val="13"/>
                <w:szCs w:val="13"/>
                <w:color w:val="auto"/>
              </w:rPr>
              <w:t>Date 11/29/2021</w:t>
            </w:r>
            <w:r>
              <w:rPr>
                <w:rFonts w:ascii="Arial" w:cs="Arial" w:eastAsia="Arial" w:hAnsi="Arial"/>
                <w:sz w:val="19"/>
                <w:szCs w:val="19"/>
                <w:color w:val="auto"/>
                <w:vertAlign w:val="superscript"/>
              </w:rPr>
              <w:t>(11)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3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32,000</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41,000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-2500630</wp:posOffset>
            </wp:positionV>
            <wp:extent cx="39687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96875" cy="698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-2500630</wp:posOffset>
            </wp:positionV>
            <wp:extent cx="8509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-2500630</wp:posOffset>
            </wp:positionV>
            <wp:extent cx="522986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29860" cy="698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-2947035</wp:posOffset>
            </wp:positionV>
            <wp:extent cx="2857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-2947035</wp:posOffset>
            </wp:positionV>
            <wp:extent cx="2857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-2947035</wp:posOffset>
            </wp:positionV>
            <wp:extent cx="2857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-2947035</wp:posOffset>
            </wp:positionV>
            <wp:extent cx="2857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-2947035</wp:posOffset>
            </wp:positionV>
            <wp:extent cx="2857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-2947035</wp:posOffset>
            </wp:positionV>
            <wp:extent cx="2857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-2947035</wp:posOffset>
            </wp:positionV>
            <wp:extent cx="2857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-2947035</wp:posOffset>
            </wp:positionV>
            <wp:extent cx="2857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-2947035</wp:posOffset>
            </wp:positionV>
            <wp:extent cx="2857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13" w:name="page114"/>
    <w:bookmarkEnd w:id="113"/>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4"/>
          </w:tcPr>
          <w:p>
            <w:pPr>
              <w:ind w:left="160"/>
              <w:spacing w:after="0"/>
              <w:rPr>
                <w:sz w:val="20"/>
                <w:szCs w:val="20"/>
                <w:color w:val="auto"/>
              </w:rPr>
            </w:pPr>
            <w:r>
              <w:rPr>
                <w:rFonts w:ascii="Arial" w:cs="Arial" w:eastAsia="Arial" w:hAnsi="Arial"/>
                <w:sz w:val="12"/>
                <w:szCs w:val="12"/>
                <w:b w:val="1"/>
                <w:bCs w:val="1"/>
                <w:color w:val="auto"/>
              </w:rPr>
              <w:t>Purchases,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7"/>
              </w:rPr>
              <w:t>Interest, Fees, or</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92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0"/>
              </w:rPr>
              <w:t>Capitalized Fees,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Fair Value at</w:t>
            </w:r>
          </w:p>
        </w:tc>
        <w:tc>
          <w:tcPr>
            <w:tcW w:w="56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w w:val="92"/>
              </w:rPr>
              <w:t>Principal/</w:t>
            </w:r>
          </w:p>
        </w:tc>
        <w:tc>
          <w:tcPr>
            <w:tcW w:w="1780" w:type="dxa"/>
            <w:vAlign w:val="bottom"/>
            <w:gridSpan w:val="6"/>
          </w:tcPr>
          <w:p>
            <w:pPr>
              <w:jc w:val="right"/>
              <w:spacing w:after="0" w:line="134" w:lineRule="exact"/>
              <w:rPr>
                <w:sz w:val="20"/>
                <w:szCs w:val="20"/>
                <w:color w:val="auto"/>
              </w:rPr>
            </w:pPr>
            <w:r>
              <w:rPr>
                <w:rFonts w:ascii="Arial" w:cs="Arial" w:eastAsia="Arial" w:hAnsi="Arial"/>
                <w:sz w:val="12"/>
                <w:szCs w:val="12"/>
                <w:b w:val="1"/>
                <w:bCs w:val="1"/>
                <w:color w:val="auto"/>
                <w:w w:val="90"/>
              </w:rPr>
              <w:t>Dividends Credited December 31,</w:t>
            </w:r>
          </w:p>
        </w:tc>
        <w:tc>
          <w:tcPr>
            <w:tcW w:w="92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Interest and</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Realized</w:t>
            </w:r>
          </w:p>
        </w:tc>
        <w:tc>
          <w:tcPr>
            <w:tcW w:w="140" w:type="dxa"/>
            <w:vAlign w:val="bottom"/>
          </w:tcPr>
          <w:p>
            <w:pPr>
              <w:spacing w:after="0"/>
              <w:rPr>
                <w:sz w:val="11"/>
                <w:szCs w:val="11"/>
                <w:color w:val="auto"/>
              </w:rPr>
            </w:pPr>
          </w:p>
        </w:tc>
        <w:tc>
          <w:tcPr>
            <w:tcW w:w="660" w:type="dxa"/>
            <w:vAlign w:val="bottom"/>
            <w:gridSpan w:val="2"/>
          </w:tcPr>
          <w:p>
            <w:pPr>
              <w:jc w:val="right"/>
              <w:ind w:right="140"/>
              <w:spacing w:after="0" w:line="134" w:lineRule="exact"/>
              <w:rPr>
                <w:sz w:val="20"/>
                <w:szCs w:val="20"/>
                <w:color w:val="auto"/>
              </w:rPr>
            </w:pPr>
            <w:r>
              <w:rPr>
                <w:rFonts w:ascii="Arial" w:cs="Arial" w:eastAsia="Arial" w:hAnsi="Arial"/>
                <w:sz w:val="12"/>
                <w:szCs w:val="12"/>
                <w:b w:val="1"/>
                <w:bCs w:val="1"/>
                <w:color w:val="auto"/>
                <w:w w:val="82"/>
              </w:rPr>
              <w:t>Unrealized</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1"/>
                <w:szCs w:val="11"/>
                <w:color w:val="auto"/>
              </w:rPr>
            </w:pPr>
          </w:p>
        </w:tc>
        <w:tc>
          <w:tcPr>
            <w:tcW w:w="440" w:type="dxa"/>
            <w:vAlign w:val="bottom"/>
            <w:gridSpan w:val="2"/>
          </w:tcPr>
          <w:p>
            <w:pPr>
              <w:jc w:val="right"/>
              <w:ind w:right="140"/>
              <w:spacing w:after="0" w:line="134" w:lineRule="exact"/>
              <w:rPr>
                <w:sz w:val="20"/>
                <w:szCs w:val="20"/>
                <w:color w:val="auto"/>
              </w:rPr>
            </w:pPr>
            <w:r>
              <w:rPr>
                <w:rFonts w:ascii="Arial" w:cs="Arial" w:eastAsia="Arial" w:hAnsi="Arial"/>
                <w:sz w:val="12"/>
                <w:szCs w:val="12"/>
                <w:b w:val="1"/>
                <w:bCs w:val="1"/>
                <w:color w:val="auto"/>
                <w:w w:val="82"/>
              </w:rPr>
              <w:t>of Net</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40" w:type="dxa"/>
            <w:vAlign w:val="bottom"/>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4"/>
              </w:rPr>
              <w:t>Quantity</w:t>
            </w:r>
          </w:p>
        </w:tc>
        <w:tc>
          <w:tcPr>
            <w:tcW w:w="30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in Income</w:t>
            </w:r>
          </w:p>
        </w:tc>
        <w:tc>
          <w:tcPr>
            <w:tcW w:w="6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2"/>
                <w:szCs w:val="12"/>
                <w:b w:val="1"/>
                <w:bCs w:val="1"/>
                <w:color w:val="auto"/>
              </w:rPr>
              <w:t>2016</w:t>
            </w:r>
          </w:p>
        </w:tc>
        <w:tc>
          <w:tcPr>
            <w:tcW w:w="9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2"/>
              </w:rPr>
              <w:t>Amortization</w:t>
            </w:r>
          </w:p>
        </w:tc>
        <w:tc>
          <w:tcPr>
            <w:tcW w:w="160" w:type="dxa"/>
            <w:vAlign w:val="bottom"/>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Sales</w:t>
            </w:r>
          </w:p>
        </w:tc>
        <w:tc>
          <w:tcPr>
            <w:tcW w:w="1580" w:type="dxa"/>
            <w:vAlign w:val="bottom"/>
            <w:gridSpan w:val="7"/>
          </w:tcPr>
          <w:p>
            <w:pPr>
              <w:jc w:val="right"/>
              <w:ind w:right="60"/>
              <w:spacing w:after="0"/>
              <w:rPr>
                <w:sz w:val="20"/>
                <w:szCs w:val="20"/>
                <w:color w:val="auto"/>
              </w:rPr>
            </w:pPr>
            <w:r>
              <w:rPr>
                <w:rFonts w:ascii="Arial" w:cs="Arial" w:eastAsia="Arial" w:hAnsi="Arial"/>
                <w:sz w:val="12"/>
                <w:szCs w:val="12"/>
                <w:b w:val="1"/>
                <w:bCs w:val="1"/>
                <w:color w:val="auto"/>
                <w:w w:val="85"/>
              </w:rPr>
              <w:t>Gains/(Losses) Gains/(Losses)</w:t>
            </w:r>
          </w:p>
        </w:tc>
        <w:tc>
          <w:tcPr>
            <w:tcW w:w="8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76"/>
              </w:rPr>
              <w:t>Assets</w:t>
            </w:r>
          </w:p>
        </w:tc>
        <w:tc>
          <w:tcPr>
            <w:tcW w:w="0" w:type="dxa"/>
            <w:vAlign w:val="bottom"/>
          </w:tcPr>
          <w:p>
            <w:pPr>
              <w:spacing w:after="0"/>
              <w:rPr>
                <w:sz w:val="1"/>
                <w:szCs w:val="1"/>
                <w:color w:val="auto"/>
              </w:rPr>
            </w:pPr>
          </w:p>
        </w:tc>
      </w:tr>
      <w:tr>
        <w:trPr>
          <w:trHeight w:val="22"/>
        </w:trPr>
        <w:tc>
          <w:tcPr>
            <w:tcW w:w="3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NestGSV, Inc. (d/b/a GSV Labs, Inc.) – Preferred</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00" w:type="dxa"/>
            <w:vAlign w:val="bottom"/>
            <w:shd w:val="clear" w:color="auto" w:fill="CCEEFF"/>
          </w:tcPr>
          <w:p>
            <w:pPr>
              <w:ind w:left="440"/>
              <w:spacing w:after="0" w:line="131" w:lineRule="exact"/>
              <w:rPr>
                <w:sz w:val="20"/>
                <w:szCs w:val="20"/>
                <w:color w:val="auto"/>
              </w:rPr>
            </w:pPr>
            <w:r>
              <w:rPr>
                <w:rFonts w:ascii="Arial" w:cs="Arial" w:eastAsia="Arial" w:hAnsi="Arial"/>
                <w:sz w:val="13"/>
                <w:szCs w:val="13"/>
                <w:color w:val="auto"/>
                <w:w w:val="97"/>
              </w:rPr>
              <w:t>Warrant Series B – Strike Price $2.31, Expiration</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440"/>
              <w:spacing w:after="0" w:line="201" w:lineRule="exact"/>
              <w:rPr>
                <w:sz w:val="20"/>
                <w:szCs w:val="20"/>
                <w:color w:val="auto"/>
              </w:rPr>
            </w:pPr>
            <w:r>
              <w:rPr>
                <w:rFonts w:ascii="Arial" w:cs="Arial" w:eastAsia="Arial" w:hAnsi="Arial"/>
                <w:sz w:val="13"/>
                <w:szCs w:val="13"/>
                <w:color w:val="auto"/>
              </w:rPr>
              <w:t>Date 5/29/2022</w:t>
            </w:r>
            <w:r>
              <w:rPr>
                <w:rFonts w:ascii="Arial" w:cs="Arial" w:eastAsia="Arial" w:hAnsi="Arial"/>
                <w:sz w:val="20"/>
                <w:szCs w:val="20"/>
                <w:color w:val="auto"/>
                <w:vertAlign w:val="superscript"/>
              </w:rPr>
              <w:t>(4)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70,379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9,621</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80,000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Global Innovation Platform</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77,125</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70,379</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237,871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385,375</w:t>
            </w: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Warrants</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4"/>
                <w:szCs w:val="4"/>
                <w:color w:val="auto"/>
                <w:w w:val="87"/>
              </w:rPr>
              <w:t>$</w:t>
            </w:r>
          </w:p>
        </w:tc>
        <w:tc>
          <w:tcPr>
            <w:tcW w:w="7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77,125</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w w:val="8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70,379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237,871</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385,375</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290"/>
        </w:trPr>
        <w:tc>
          <w:tcPr>
            <w:tcW w:w="3200" w:type="dxa"/>
            <w:vAlign w:val="bottom"/>
          </w:tcPr>
          <w:p>
            <w:pPr>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Clean Technology</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300"/>
              <w:spacing w:after="0"/>
              <w:rPr>
                <w:sz w:val="20"/>
                <w:szCs w:val="20"/>
                <w:color w:val="auto"/>
              </w:rPr>
            </w:pPr>
            <w:r>
              <w:rPr>
                <w:rFonts w:ascii="Arial" w:cs="Arial" w:eastAsia="Arial" w:hAnsi="Arial"/>
                <w:sz w:val="13"/>
                <w:szCs w:val="13"/>
                <w:color w:val="auto"/>
              </w:rPr>
              <w:t>SPBRX, INC. (f/k/a GSV Sustainability Partners,</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tcPr>
          <w:p>
            <w:pPr>
              <w:spacing w:after="0"/>
              <w:rPr>
                <w:sz w:val="15"/>
                <w:szCs w:val="15"/>
                <w:color w:val="auto"/>
              </w:rPr>
            </w:pPr>
          </w:p>
        </w:tc>
        <w:tc>
          <w:tcPr>
            <w:tcW w:w="300" w:type="dxa"/>
            <w:vAlign w:val="bottom"/>
            <w:vMerge w:val="restart"/>
          </w:tcPr>
          <w:p>
            <w:pPr>
              <w:ind w:left="240"/>
              <w:spacing w:after="0"/>
              <w:rPr>
                <w:sz w:val="20"/>
                <w:szCs w:val="20"/>
                <w:color w:val="auto"/>
              </w:rPr>
            </w:pPr>
            <w:r>
              <w:rPr>
                <w:rFonts w:ascii="Arial" w:cs="Arial" w:eastAsia="Arial" w:hAnsi="Arial"/>
                <w:sz w:val="4"/>
                <w:szCs w:val="4"/>
                <w:color w:val="auto"/>
                <w:w w:val="87"/>
              </w:rPr>
              <w:t>$</w:t>
            </w: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ind w:left="180"/>
              <w:spacing w:after="0"/>
              <w:rPr>
                <w:sz w:val="20"/>
                <w:szCs w:val="20"/>
                <w:color w:val="auto"/>
              </w:rPr>
            </w:pPr>
            <w:r>
              <w:rPr>
                <w:rFonts w:ascii="Arial" w:cs="Arial" w:eastAsia="Arial" w:hAnsi="Arial"/>
                <w:sz w:val="4"/>
                <w:szCs w:val="4"/>
                <w:color w:val="auto"/>
                <w:w w:val="87"/>
              </w:rPr>
              <w:t>$</w:t>
            </w: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4"/>
            <w:vMerge w:val="restart"/>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200" w:type="dxa"/>
            <w:vAlign w:val="bottom"/>
          </w:tcPr>
          <w:p>
            <w:pPr>
              <w:ind w:left="440"/>
              <w:spacing w:after="0"/>
              <w:rPr>
                <w:sz w:val="20"/>
                <w:szCs w:val="20"/>
                <w:color w:val="auto"/>
              </w:rPr>
            </w:pPr>
            <w:r>
              <w:rPr>
                <w:rFonts w:ascii="Arial" w:cs="Arial" w:eastAsia="Arial" w:hAnsi="Arial"/>
                <w:sz w:val="13"/>
                <w:szCs w:val="13"/>
                <w:color w:val="auto"/>
              </w:rPr>
              <w:t>Inc.) – Common shares</w:t>
            </w: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Global Innovation Platform</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300"/>
              <w:spacing w:after="0"/>
              <w:rPr>
                <w:sz w:val="20"/>
                <w:szCs w:val="20"/>
                <w:color w:val="auto"/>
              </w:rPr>
            </w:pPr>
            <w:r>
              <w:rPr>
                <w:rFonts w:ascii="Arial" w:cs="Arial" w:eastAsia="Arial" w:hAnsi="Arial"/>
                <w:sz w:val="13"/>
                <w:szCs w:val="13"/>
                <w:color w:val="auto"/>
              </w:rPr>
              <w:t>NestGSV, Inc. (d/b/a GSV Labs, Inc.) – Common</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200,000</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200" w:type="dxa"/>
            <w:vAlign w:val="bottom"/>
          </w:tcPr>
          <w:p>
            <w:pPr>
              <w:ind w:left="440"/>
              <w:spacing w:after="0"/>
              <w:rPr>
                <w:sz w:val="20"/>
                <w:szCs w:val="20"/>
                <w:color w:val="auto"/>
              </w:rPr>
            </w:pPr>
            <w:r>
              <w:rPr>
                <w:rFonts w:ascii="Arial" w:cs="Arial" w:eastAsia="Arial" w:hAnsi="Arial"/>
                <w:sz w:val="13"/>
                <w:szCs w:val="13"/>
                <w:color w:val="auto"/>
              </w:rPr>
              <w:t>shares</w:t>
            </w: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Stock</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4"/>
                <w:szCs w:val="4"/>
                <w:color w:val="auto"/>
                <w:w w:val="87"/>
              </w:rPr>
              <w:t>$</w:t>
            </w:r>
          </w:p>
        </w:tc>
        <w:tc>
          <w:tcPr>
            <w:tcW w:w="7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w w:val="87"/>
              </w:rPr>
              <w:t>$</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200" w:type="dxa"/>
            <w:vAlign w:val="bottom"/>
          </w:tcPr>
          <w:p>
            <w:pPr>
              <w:spacing w:after="0"/>
              <w:rPr>
                <w:sz w:val="20"/>
                <w:szCs w:val="20"/>
                <w:color w:val="auto"/>
              </w:rPr>
            </w:pPr>
            <w:r>
              <w:rPr>
                <w:rFonts w:ascii="Arial" w:cs="Arial" w:eastAsia="Arial" w:hAnsi="Arial"/>
                <w:sz w:val="13"/>
                <w:szCs w:val="13"/>
                <w:b w:val="1"/>
                <w:bCs w:val="1"/>
                <w:color w:val="auto"/>
              </w:rPr>
              <w:t>TOTAL CONTROLLED INVESTMENTS*</w:t>
            </w:r>
            <w:r>
              <w:rPr>
                <w:rFonts w:ascii="Arial" w:cs="Arial" w:eastAsia="Arial" w:hAnsi="Arial"/>
                <w:sz w:val="20"/>
                <w:szCs w:val="20"/>
                <w:b w:val="1"/>
                <w:bCs w:val="1"/>
                <w:color w:val="auto"/>
                <w:vertAlign w:val="superscript"/>
              </w:rPr>
              <w:t>(2)</w:t>
            </w: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ind w:left="240"/>
              <w:spacing w:after="0"/>
              <w:rPr>
                <w:sz w:val="20"/>
                <w:szCs w:val="20"/>
                <w:color w:val="auto"/>
              </w:rPr>
            </w:pPr>
            <w:r>
              <w:rPr>
                <w:rFonts w:ascii="Arial" w:cs="Arial" w:eastAsia="Arial" w:hAnsi="Arial"/>
                <w:sz w:val="4"/>
                <w:szCs w:val="4"/>
                <w:b w:val="1"/>
                <w:bCs w:val="1"/>
                <w:color w:val="auto"/>
                <w:w w:val="87"/>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3"/>
              </w:rPr>
              <w:t>724,839</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9"/>
              </w:rPr>
              <w:t>19,037,566</w:t>
            </w:r>
          </w:p>
        </w:tc>
        <w:tc>
          <w:tcPr>
            <w:tcW w:w="240" w:type="dxa"/>
            <w:vAlign w:val="bottom"/>
          </w:tcPr>
          <w:p>
            <w:pPr>
              <w:ind w:left="180"/>
              <w:spacing w:after="0"/>
              <w:rPr>
                <w:sz w:val="20"/>
                <w:szCs w:val="20"/>
                <w:color w:val="auto"/>
              </w:rPr>
            </w:pPr>
            <w:r>
              <w:rPr>
                <w:rFonts w:ascii="Arial" w:cs="Arial" w:eastAsia="Arial" w:hAnsi="Arial"/>
                <w:sz w:val="4"/>
                <w:szCs w:val="4"/>
                <w:b w:val="1"/>
                <w:bCs w:val="1"/>
                <w:color w:val="auto"/>
                <w:w w:val="87"/>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9"/>
              </w:rPr>
              <w:t>793,873</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3"/>
              </w:rPr>
              <w:t>(526,000)</w:t>
            </w:r>
          </w:p>
        </w:tc>
        <w:tc>
          <w:tcPr>
            <w:tcW w:w="60" w:type="dxa"/>
            <w:vAlign w:val="bottom"/>
          </w:tcPr>
          <w:p>
            <w:pPr>
              <w:spacing w:after="0"/>
              <w:rPr>
                <w:sz w:val="23"/>
                <w:szCs w:val="23"/>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9"/>
              </w:rPr>
              <w:t>4,901,722</w:t>
            </w:r>
          </w:p>
        </w:tc>
        <w:tc>
          <w:tcPr>
            <w:tcW w:w="12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9"/>
              </w:rPr>
              <w:t>24,207,161</w:t>
            </w:r>
          </w:p>
        </w:tc>
        <w:tc>
          <w:tcPr>
            <w:tcW w:w="560" w:type="dxa"/>
            <w:vAlign w:val="bottom"/>
            <w:gridSpan w:val="3"/>
          </w:tcPr>
          <w:p>
            <w:pPr>
              <w:jc w:val="right"/>
              <w:spacing w:after="0"/>
              <w:rPr>
                <w:sz w:val="20"/>
                <w:szCs w:val="20"/>
                <w:color w:val="auto"/>
              </w:rPr>
            </w:pPr>
            <w:r>
              <w:rPr>
                <w:rFonts w:ascii="Arial" w:cs="Arial" w:eastAsia="Arial" w:hAnsi="Arial"/>
                <w:sz w:val="13"/>
                <w:szCs w:val="13"/>
                <w:b w:val="1"/>
                <w:bCs w:val="1"/>
                <w:color w:val="auto"/>
              </w:rPr>
              <w:t>11.82%</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u w:val="single" w:color="auto"/>
                <w:color w:val="auto"/>
              </w:rPr>
              <w:t>NON-CONTROLLED/AFFILIATE INVESTMENTS</w:t>
            </w:r>
            <w:r>
              <w:rPr>
                <w:rFonts w:ascii="Arial" w:cs="Arial" w:eastAsia="Arial" w:hAnsi="Arial"/>
                <w:sz w:val="13"/>
                <w:szCs w:val="13"/>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(1)</w:t>
            </w: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right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right w:val="single" w:sz="8" w:color="CCEEFF"/>
            </w:tcBorders>
            <w:shd w:val="clear" w:color="auto" w:fill="CCEEFF"/>
          </w:tcPr>
          <w:p>
            <w:pPr>
              <w:spacing w:after="0"/>
              <w:rPr>
                <w:sz w:val="11"/>
                <w:szCs w:val="11"/>
                <w:color w:val="auto"/>
              </w:rPr>
            </w:pPr>
          </w:p>
        </w:tc>
        <w:tc>
          <w:tcPr>
            <w:tcW w:w="240" w:type="dxa"/>
            <w:vAlign w:val="bottom"/>
            <w:tcBorders>
              <w:bottom w:val="single" w:sz="8" w:color="CCEEFF"/>
              <w:right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right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00" w:type="dxa"/>
            <w:vAlign w:val="bottom"/>
          </w:tcPr>
          <w:p>
            <w:pPr>
              <w:spacing w:after="0"/>
              <w:rPr>
                <w:sz w:val="20"/>
                <w:szCs w:val="20"/>
                <w:color w:val="auto"/>
              </w:rPr>
            </w:pPr>
            <w:r>
              <w:rPr>
                <w:rFonts w:ascii="Arial" w:cs="Arial" w:eastAsia="Arial" w:hAnsi="Arial"/>
                <w:sz w:val="13"/>
                <w:szCs w:val="13"/>
                <w:b w:val="1"/>
                <w:bCs w:val="1"/>
                <w:color w:val="auto"/>
              </w:rPr>
              <w:t>Debt Investments</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Corporate Education</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300"/>
              <w:spacing w:after="0"/>
              <w:rPr>
                <w:sz w:val="20"/>
                <w:szCs w:val="20"/>
                <w:color w:val="auto"/>
              </w:rPr>
            </w:pPr>
            <w:r>
              <w:rPr>
                <w:rFonts w:ascii="Arial" w:cs="Arial" w:eastAsia="Arial" w:hAnsi="Arial"/>
                <w:sz w:val="13"/>
                <w:szCs w:val="13"/>
                <w:color w:val="auto"/>
              </w:rPr>
              <w:t>CUX, Inc. (d/b/a CorpU) – Senior Subordinated</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ind w:left="440"/>
              <w:spacing w:after="0" w:line="131" w:lineRule="exact"/>
              <w:rPr>
                <w:sz w:val="20"/>
                <w:szCs w:val="20"/>
                <w:color w:val="auto"/>
              </w:rPr>
            </w:pPr>
            <w:r>
              <w:rPr>
                <w:rFonts w:ascii="Arial" w:cs="Arial" w:eastAsia="Arial" w:hAnsi="Arial"/>
                <w:sz w:val="13"/>
                <w:szCs w:val="13"/>
                <w:color w:val="auto"/>
              </w:rPr>
              <w:t>Convertible Promissory Note 8%</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440"/>
              <w:spacing w:after="0" w:line="167" w:lineRule="exact"/>
              <w:rPr>
                <w:sz w:val="20"/>
                <w:szCs w:val="20"/>
                <w:color w:val="auto"/>
              </w:rPr>
            </w:pPr>
            <w:r>
              <w:rPr>
                <w:rFonts w:ascii="Arial" w:cs="Arial" w:eastAsia="Arial" w:hAnsi="Arial"/>
                <w:sz w:val="13"/>
                <w:szCs w:val="13"/>
                <w:color w:val="auto"/>
              </w:rPr>
              <w:t>Due 11/26/2018***</w:t>
            </w:r>
            <w:r>
              <w:rPr>
                <w:rFonts w:ascii="Arial" w:cs="Arial" w:eastAsia="Arial" w:hAnsi="Arial"/>
                <w:sz w:val="19"/>
                <w:szCs w:val="19"/>
                <w:color w:val="auto"/>
                <w:vertAlign w:val="superscript"/>
              </w:rPr>
              <w:t>(6)</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1,259,712</w:t>
            </w:r>
          </w:p>
        </w:tc>
        <w:tc>
          <w:tcPr>
            <w:tcW w:w="40" w:type="dxa"/>
            <w:vAlign w:val="bottom"/>
          </w:tcPr>
          <w:p>
            <w:pPr>
              <w:spacing w:after="0"/>
              <w:rPr>
                <w:sz w:val="14"/>
                <w:szCs w:val="14"/>
                <w:color w:val="auto"/>
              </w:rPr>
            </w:pPr>
          </w:p>
        </w:tc>
        <w:tc>
          <w:tcPr>
            <w:tcW w:w="300" w:type="dxa"/>
            <w:vAlign w:val="bottom"/>
          </w:tcPr>
          <w:p>
            <w:pPr>
              <w:ind w:left="240"/>
              <w:spacing w:after="0"/>
              <w:rPr>
                <w:sz w:val="20"/>
                <w:szCs w:val="20"/>
                <w:color w:val="auto"/>
              </w:rPr>
            </w:pPr>
            <w:r>
              <w:rPr>
                <w:rFonts w:ascii="Arial" w:cs="Arial" w:eastAsia="Arial" w:hAnsi="Arial"/>
                <w:sz w:val="4"/>
                <w:szCs w:val="4"/>
                <w:color w:val="auto"/>
                <w:w w:val="87"/>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93,772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1,166,400</w:t>
            </w:r>
          </w:p>
        </w:tc>
        <w:tc>
          <w:tcPr>
            <w:tcW w:w="240" w:type="dxa"/>
            <w:vAlign w:val="bottom"/>
          </w:tcPr>
          <w:p>
            <w:pPr>
              <w:ind w:left="180"/>
              <w:spacing w:after="0"/>
              <w:rPr>
                <w:sz w:val="20"/>
                <w:szCs w:val="20"/>
                <w:color w:val="auto"/>
              </w:rPr>
            </w:pPr>
            <w:r>
              <w:rPr>
                <w:rFonts w:ascii="Arial" w:cs="Arial" w:eastAsia="Arial" w:hAnsi="Arial"/>
                <w:sz w:val="4"/>
                <w:szCs w:val="4"/>
                <w:color w:val="auto"/>
                <w:w w:val="87"/>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93,312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4"/>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1,259,712</w:t>
            </w: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Digital Media Platform</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200" w:type="dxa"/>
            <w:vAlign w:val="bottom"/>
          </w:tcPr>
          <w:p>
            <w:pPr>
              <w:ind w:left="300"/>
              <w:spacing w:after="0"/>
              <w:rPr>
                <w:sz w:val="20"/>
                <w:szCs w:val="20"/>
                <w:color w:val="auto"/>
              </w:rPr>
            </w:pPr>
            <w:r>
              <w:rPr>
                <w:rFonts w:ascii="Arial" w:cs="Arial" w:eastAsia="Arial" w:hAnsi="Arial"/>
                <w:sz w:val="13"/>
                <w:szCs w:val="13"/>
                <w:color w:val="auto"/>
                <w:w w:val="97"/>
              </w:rPr>
              <w:t>Ozy Media, Inc. – Convertible Promissory Note 5%,</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440"/>
              <w:spacing w:after="0"/>
              <w:rPr>
                <w:sz w:val="20"/>
                <w:szCs w:val="20"/>
                <w:color w:val="auto"/>
              </w:rPr>
            </w:pPr>
            <w:r>
              <w:rPr>
                <w:rFonts w:ascii="Arial" w:cs="Arial" w:eastAsia="Arial" w:hAnsi="Arial"/>
                <w:sz w:val="13"/>
                <w:szCs w:val="13"/>
                <w:color w:val="auto"/>
              </w:rPr>
              <w:t>Due 2/28/2018***</w:t>
            </w:r>
            <w:r>
              <w:rPr>
                <w:rFonts w:ascii="Arial" w:cs="Arial" w:eastAsia="Arial" w:hAnsi="Arial"/>
                <w:sz w:val="20"/>
                <w:szCs w:val="20"/>
                <w:color w:val="auto"/>
                <w:vertAlign w:val="superscript"/>
              </w:rPr>
              <w:t>(12)</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2,000,000</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(33,699)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tcPr>
          <w:p>
            <w:pPr>
              <w:spacing w:after="0"/>
              <w:rPr>
                <w:sz w:val="23"/>
                <w:szCs w:val="23"/>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(932,361)</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1,067,639</w:t>
            </w: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6595745</wp:posOffset>
            </wp:positionH>
            <wp:positionV relativeFrom="paragraph">
              <wp:posOffset>-2990850</wp:posOffset>
            </wp:positionV>
            <wp:extent cx="2857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-2990850</wp:posOffset>
            </wp:positionV>
            <wp:extent cx="2857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-2990850</wp:posOffset>
            </wp:positionV>
            <wp:extent cx="2857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-2990850</wp:posOffset>
            </wp:positionV>
            <wp:extent cx="2857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-2990850</wp:posOffset>
            </wp:positionV>
            <wp:extent cx="2857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-2990850</wp:posOffset>
            </wp:positionV>
            <wp:extent cx="2857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-2990850</wp:posOffset>
            </wp:positionV>
            <wp:extent cx="2857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-2990850</wp:posOffset>
            </wp:positionV>
            <wp:extent cx="2857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-2990850</wp:posOffset>
            </wp:positionV>
            <wp:extent cx="2857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14" w:name="page115"/>
    <w:bookmarkEnd w:id="11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4"/>
              </w:rPr>
              <w:t>Purchases,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87"/>
              </w:rPr>
              <w:t>Interest, Fees, or</w:t>
            </w:r>
          </w:p>
        </w:tc>
        <w:tc>
          <w:tcPr>
            <w:tcW w:w="74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9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Capitalized Fees,</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5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6"/>
              </w:rPr>
              <w:t>Percentage</w:t>
            </w:r>
          </w:p>
        </w:tc>
      </w:tr>
      <w:tr>
        <w:trPr>
          <w:trHeight w:val="134"/>
        </w:trPr>
        <w:tc>
          <w:tcPr>
            <w:tcW w:w="3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Principal/</w:t>
            </w:r>
          </w:p>
        </w:tc>
        <w:tc>
          <w:tcPr>
            <w:tcW w:w="178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w w:val="92"/>
              </w:rPr>
              <w:t>Dividends Credited December 31,</w:t>
            </w:r>
          </w:p>
        </w:tc>
        <w:tc>
          <w:tcPr>
            <w:tcW w:w="9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1"/>
              </w:rPr>
              <w:t>Interest and</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Realized</w:t>
            </w:r>
          </w:p>
        </w:tc>
        <w:tc>
          <w:tcPr>
            <w:tcW w:w="7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Unrealized</w:t>
            </w:r>
          </w:p>
        </w:tc>
        <w:tc>
          <w:tcPr>
            <w:tcW w:w="78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of Net</w:t>
            </w:r>
          </w:p>
        </w:tc>
      </w:tr>
      <w:tr>
        <w:trPr>
          <w:trHeight w:val="152"/>
        </w:trPr>
        <w:tc>
          <w:tcPr>
            <w:tcW w:w="3240" w:type="dxa"/>
            <w:vAlign w:val="bottom"/>
            <w:gridSpan w:val="2"/>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Quantity</w:t>
            </w:r>
          </w:p>
        </w:tc>
        <w:tc>
          <w:tcPr>
            <w:tcW w:w="10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700" w:type="dxa"/>
            <w:vAlign w:val="bottom"/>
          </w:tcPr>
          <w:p>
            <w:pPr>
              <w:jc w:val="right"/>
              <w:ind w:right="181"/>
              <w:spacing w:after="0"/>
              <w:rPr>
                <w:sz w:val="20"/>
                <w:szCs w:val="20"/>
                <w:color w:val="auto"/>
              </w:rPr>
            </w:pPr>
            <w:r>
              <w:rPr>
                <w:rFonts w:ascii="Arial" w:cs="Arial" w:eastAsia="Arial" w:hAnsi="Arial"/>
                <w:sz w:val="12"/>
                <w:szCs w:val="12"/>
                <w:b w:val="1"/>
                <w:bCs w:val="1"/>
                <w:color w:val="auto"/>
              </w:rPr>
              <w:t>2016</w:t>
            </w:r>
          </w:p>
        </w:tc>
        <w:tc>
          <w:tcPr>
            <w:tcW w:w="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Amortization</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Sales</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w w:val="86"/>
              </w:rPr>
              <w:t>Gains/(Losses) Gains/(Losses)</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2017</w:t>
            </w:r>
          </w:p>
        </w:tc>
        <w:tc>
          <w:tcPr>
            <w:tcW w:w="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1"/>
              </w:rPr>
              <w:t>Assets</w:t>
            </w:r>
          </w:p>
        </w:tc>
      </w:tr>
      <w:tr>
        <w:trPr>
          <w:trHeight w:val="22"/>
        </w:trPr>
        <w:tc>
          <w:tcPr>
            <w:tcW w:w="3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-6350</wp:posOffset>
            </wp:positionV>
            <wp:extent cx="6519545" cy="1276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519545" cy="127635"/>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p>
      <w:pPr>
        <w:spacing w:after="0" w:line="36"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Social Cognitive Learning</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300"/>
              <w:spacing w:after="0"/>
              <w:rPr>
                <w:sz w:val="20"/>
                <w:szCs w:val="20"/>
                <w:color w:val="auto"/>
              </w:rPr>
            </w:pPr>
            <w:r>
              <w:rPr>
                <w:rFonts w:ascii="Arial" w:cs="Arial" w:eastAsia="Arial" w:hAnsi="Arial"/>
                <w:sz w:val="13"/>
                <w:szCs w:val="13"/>
                <w:color w:val="auto"/>
                <w:w w:val="95"/>
              </w:rPr>
              <w:t>Declara, Inc. – Convertible Promissory Note 9% Due</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440"/>
              <w:spacing w:after="0" w:line="214" w:lineRule="exact"/>
              <w:rPr>
                <w:sz w:val="20"/>
                <w:szCs w:val="20"/>
                <w:color w:val="auto"/>
              </w:rPr>
            </w:pPr>
            <w:r>
              <w:rPr>
                <w:rFonts w:ascii="Arial" w:cs="Arial" w:eastAsia="Arial" w:hAnsi="Arial"/>
                <w:sz w:val="13"/>
                <w:szCs w:val="13"/>
                <w:color w:val="auto"/>
              </w:rPr>
              <w:t>12/31/2017</w:t>
            </w:r>
            <w:r>
              <w:rPr>
                <w:rFonts w:ascii="Arial" w:cs="Arial" w:eastAsia="Arial" w:hAnsi="Arial"/>
                <w:sz w:val="20"/>
                <w:szCs w:val="20"/>
                <w:color w:val="auto"/>
                <w:vertAlign w:val="superscript"/>
              </w:rPr>
              <w:t>(8)</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2,120,658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Sports Analytics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00" w:type="dxa"/>
            <w:vAlign w:val="bottom"/>
          </w:tcPr>
          <w:p>
            <w:pPr>
              <w:ind w:left="300"/>
              <w:spacing w:after="0"/>
              <w:rPr>
                <w:sz w:val="20"/>
                <w:szCs w:val="20"/>
                <w:color w:val="auto"/>
              </w:rPr>
            </w:pPr>
            <w:r>
              <w:rPr>
                <w:rFonts w:ascii="Arial" w:cs="Arial" w:eastAsia="Arial" w:hAnsi="Arial"/>
                <w:sz w:val="13"/>
                <w:szCs w:val="13"/>
                <w:color w:val="auto"/>
              </w:rPr>
              <w:t>Circle Media (f/k/a S3 Digital Corp. (d/b/a S3i)) –</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440"/>
              <w:spacing w:after="0" w:line="212" w:lineRule="exact"/>
              <w:rPr>
                <w:sz w:val="20"/>
                <w:szCs w:val="20"/>
                <w:color w:val="auto"/>
              </w:rPr>
            </w:pPr>
            <w:r>
              <w:rPr>
                <w:rFonts w:ascii="Arial" w:cs="Arial" w:eastAsia="Arial" w:hAnsi="Arial"/>
                <w:sz w:val="13"/>
                <w:szCs w:val="13"/>
                <w:color w:val="auto"/>
              </w:rPr>
              <w:t>Promissory Note, 12%, 11/17/2017***</w:t>
            </w:r>
            <w:r>
              <w:rPr>
                <w:rFonts w:ascii="Arial" w:cs="Arial" w:eastAsia="Arial" w:hAnsi="Arial"/>
                <w:sz w:val="20"/>
                <w:szCs w:val="20"/>
                <w:color w:val="auto"/>
                <w:vertAlign w:val="superscript"/>
              </w:rPr>
              <w:t>(13)</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20"/>
                <w:szCs w:val="20"/>
                <w:color w:val="auto"/>
              </w:rPr>
            </w:pPr>
            <w:r>
              <w:rPr>
                <w:rFonts w:ascii="Arial" w:cs="Arial" w:eastAsia="Arial" w:hAnsi="Arial"/>
                <w:sz w:val="13"/>
                <w:szCs w:val="13"/>
                <w:b w:val="1"/>
                <w:bCs w:val="1"/>
                <w:color w:val="auto"/>
              </w:rPr>
              <w:t>Total Debt Investments</w:t>
            </w:r>
          </w:p>
        </w:tc>
        <w:tc>
          <w:tcPr>
            <w:tcW w:w="8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59,460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00" w:type="dxa"/>
            <w:vAlign w:val="bottom"/>
          </w:tcPr>
          <w:p>
            <w:pPr>
              <w:spacing w:after="0"/>
              <w:rPr>
                <w:sz w:val="20"/>
                <w:szCs w:val="20"/>
                <w:color w:val="auto"/>
              </w:rPr>
            </w:pPr>
            <w:r>
              <w:rPr>
                <w:rFonts w:ascii="Arial" w:cs="Arial" w:eastAsia="Arial" w:hAnsi="Arial"/>
                <w:sz w:val="13"/>
                <w:szCs w:val="13"/>
                <w:b w:val="1"/>
                <w:bCs w:val="1"/>
                <w:color w:val="auto"/>
              </w:rPr>
              <w:t>Preferred Stock</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Corporate Education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300"/>
              <w:spacing w:after="0"/>
              <w:rPr>
                <w:sz w:val="20"/>
                <w:szCs w:val="20"/>
                <w:color w:val="auto"/>
              </w:rPr>
            </w:pPr>
            <w:r>
              <w:rPr>
                <w:rFonts w:ascii="Arial" w:cs="Arial" w:eastAsia="Arial" w:hAnsi="Arial"/>
                <w:sz w:val="13"/>
                <w:szCs w:val="13"/>
                <w:color w:val="auto"/>
              </w:rPr>
              <w:t>CUX, Inc. (d/b/a CorpU) – Convertible preferred</w:t>
            </w:r>
          </w:p>
        </w:tc>
        <w:tc>
          <w:tcPr>
            <w:tcW w:w="820" w:type="dxa"/>
            <w:vAlign w:val="bottom"/>
            <w:vMerge w:val="restart"/>
          </w:tcPr>
          <w:p>
            <w:pPr>
              <w:jc w:val="right"/>
              <w:ind w:right="93"/>
              <w:spacing w:after="0"/>
              <w:rPr>
                <w:sz w:val="20"/>
                <w:szCs w:val="20"/>
                <w:color w:val="auto"/>
              </w:rPr>
            </w:pPr>
            <w:r>
              <w:rPr>
                <w:rFonts w:ascii="Arial" w:cs="Arial" w:eastAsia="Arial" w:hAnsi="Arial"/>
                <w:sz w:val="13"/>
                <w:szCs w:val="13"/>
                <w:color w:val="auto"/>
              </w:rPr>
              <w:t>169,033</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3200" w:type="dxa"/>
            <w:vAlign w:val="bottom"/>
          </w:tcPr>
          <w:p>
            <w:pPr>
              <w:ind w:left="440"/>
              <w:spacing w:after="0"/>
              <w:rPr>
                <w:sz w:val="20"/>
                <w:szCs w:val="20"/>
                <w:color w:val="auto"/>
              </w:rPr>
            </w:pPr>
            <w:r>
              <w:rPr>
                <w:rFonts w:ascii="Arial" w:cs="Arial" w:eastAsia="Arial" w:hAnsi="Arial"/>
                <w:sz w:val="13"/>
                <w:szCs w:val="13"/>
                <w:color w:val="auto"/>
              </w:rPr>
              <w:t>shares, Series D</w:t>
            </w:r>
          </w:p>
        </w:tc>
        <w:tc>
          <w:tcPr>
            <w:tcW w:w="82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CUX, Inc. (d/b/a CorpU) -Convertible preferred</w:t>
            </w:r>
          </w:p>
        </w:tc>
        <w:tc>
          <w:tcPr>
            <w:tcW w:w="820" w:type="dxa"/>
            <w:vAlign w:val="bottom"/>
            <w:vMerge w:val="restart"/>
          </w:tcPr>
          <w:p>
            <w:pPr>
              <w:jc w:val="right"/>
              <w:ind w:right="93"/>
              <w:spacing w:after="0"/>
              <w:rPr>
                <w:sz w:val="20"/>
                <w:szCs w:val="20"/>
                <w:color w:val="auto"/>
              </w:rPr>
            </w:pPr>
            <w:r>
              <w:rPr>
                <w:rFonts w:ascii="Arial" w:cs="Arial" w:eastAsia="Arial" w:hAnsi="Arial"/>
                <w:sz w:val="13"/>
                <w:szCs w:val="13"/>
                <w:color w:val="auto"/>
              </w:rPr>
              <w:t>615,763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shares, Series C</w:t>
            </w:r>
          </w:p>
        </w:tc>
        <w:tc>
          <w:tcPr>
            <w:tcW w:w="8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Corporate Education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Globally-Focused Private School</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200" w:type="dxa"/>
            <w:vAlign w:val="bottom"/>
          </w:tcPr>
          <w:p>
            <w:pPr>
              <w:ind w:left="300"/>
              <w:spacing w:after="0"/>
              <w:rPr>
                <w:sz w:val="20"/>
                <w:szCs w:val="20"/>
                <w:color w:val="auto"/>
              </w:rPr>
            </w:pPr>
            <w:r>
              <w:rPr>
                <w:rFonts w:ascii="Arial" w:cs="Arial" w:eastAsia="Arial" w:hAnsi="Arial"/>
                <w:sz w:val="13"/>
                <w:szCs w:val="13"/>
                <w:color w:val="auto"/>
                <w:w w:val="94"/>
              </w:rPr>
              <w:t>Whittle Schools, LLC – Preferred shares, Series B</w:t>
            </w:r>
            <w:r>
              <w:rPr>
                <w:rFonts w:ascii="Arial" w:cs="Arial" w:eastAsia="Arial" w:hAnsi="Arial"/>
                <w:sz w:val="20"/>
                <w:szCs w:val="20"/>
                <w:color w:val="auto"/>
                <w:w w:val="94"/>
                <w:vertAlign w:val="superscript"/>
              </w:rPr>
              <w:t>(5)</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Online Education</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300"/>
              <w:spacing w:after="0"/>
              <w:rPr>
                <w:sz w:val="20"/>
                <w:szCs w:val="20"/>
                <w:color w:val="auto"/>
              </w:rPr>
            </w:pPr>
            <w:r>
              <w:rPr>
                <w:rFonts w:ascii="Arial" w:cs="Arial" w:eastAsia="Arial" w:hAnsi="Arial"/>
                <w:sz w:val="13"/>
                <w:szCs w:val="13"/>
                <w:color w:val="auto"/>
              </w:rPr>
              <w:t>Curious.com, Inc. – Preferred shares, Series B</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3,407,834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Sports Analytics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00" w:type="dxa"/>
            <w:vAlign w:val="bottom"/>
          </w:tcPr>
          <w:p>
            <w:pPr>
              <w:ind w:left="300"/>
              <w:spacing w:after="0"/>
              <w:rPr>
                <w:sz w:val="20"/>
                <w:szCs w:val="20"/>
                <w:color w:val="auto"/>
              </w:rPr>
            </w:pPr>
            <w:r>
              <w:rPr>
                <w:rFonts w:ascii="Arial" w:cs="Arial" w:eastAsia="Arial" w:hAnsi="Arial"/>
                <w:sz w:val="13"/>
                <w:szCs w:val="13"/>
                <w:color w:val="auto"/>
              </w:rPr>
              <w:t>Circle Media (f/k/a S3 Digital Corp.</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200" w:type="dxa"/>
            <w:vAlign w:val="bottom"/>
          </w:tcPr>
          <w:p>
            <w:pPr>
              <w:ind w:left="440"/>
              <w:spacing w:after="0" w:line="226" w:lineRule="exact"/>
              <w:rPr>
                <w:sz w:val="20"/>
                <w:szCs w:val="20"/>
                <w:color w:val="auto"/>
              </w:rPr>
            </w:pPr>
            <w:r>
              <w:rPr>
                <w:rFonts w:ascii="Arial" w:cs="Arial" w:eastAsia="Arial" w:hAnsi="Arial"/>
                <w:sz w:val="13"/>
                <w:szCs w:val="13"/>
                <w:color w:val="auto"/>
              </w:rPr>
              <w:t>(d/b/a S3i)) – Preferred shares, Series A</w:t>
            </w:r>
            <w:r>
              <w:rPr>
                <w:rFonts w:ascii="Arial" w:cs="Arial" w:eastAsia="Arial" w:hAnsi="Arial"/>
                <w:sz w:val="20"/>
                <w:szCs w:val="20"/>
                <w:color w:val="auto"/>
                <w:vertAlign w:val="superscript"/>
              </w:rPr>
              <w:t>(13)</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Social Cognitive Learning</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00" w:type="dxa"/>
            <w:vAlign w:val="bottom"/>
          </w:tcPr>
          <w:p>
            <w:pPr>
              <w:ind w:left="300"/>
              <w:spacing w:after="0"/>
              <w:rPr>
                <w:sz w:val="20"/>
                <w:szCs w:val="20"/>
                <w:color w:val="auto"/>
              </w:rPr>
            </w:pPr>
            <w:r>
              <w:rPr>
                <w:rFonts w:ascii="Arial" w:cs="Arial" w:eastAsia="Arial" w:hAnsi="Arial"/>
                <w:sz w:val="13"/>
                <w:szCs w:val="13"/>
                <w:color w:val="auto"/>
              </w:rPr>
              <w:t>Declara, Inc. – Preferred shares, Series A</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w w:val="98"/>
              </w:rPr>
              <w:t>10,716,390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-1278890</wp:posOffset>
            </wp:positionV>
            <wp:extent cx="23368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36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2,827,020</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1,240</w:t>
            </w:r>
          </w:p>
        </w:tc>
        <w:tc>
          <w:tcPr>
            <w:tcW w:w="3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(1,707,931)</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1,120,329</w:t>
            </w:r>
          </w:p>
        </w:tc>
        <w:tc>
          <w:tcPr>
            <w:tcW w:w="660" w:type="dxa"/>
            <w:vAlign w:val="bottom"/>
          </w:tcPr>
          <w:p>
            <w:pPr>
              <w:jc w:val="right"/>
              <w:spacing w:after="0"/>
              <w:rPr>
                <w:sz w:val="20"/>
                <w:szCs w:val="20"/>
                <w:color w:val="auto"/>
              </w:rPr>
            </w:pPr>
            <w:r>
              <w:rPr>
                <w:rFonts w:ascii="Arial" w:cs="Arial" w:eastAsia="Arial" w:hAnsi="Arial"/>
                <w:sz w:val="13"/>
                <w:szCs w:val="13"/>
                <w:color w:val="auto"/>
              </w:rPr>
              <w:t>0.55%</w:t>
            </w:r>
          </w:p>
        </w:tc>
      </w:tr>
      <w:tr>
        <w:trPr>
          <w:trHeight w:val="636"/>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26,544</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3,569</w:t>
            </w:r>
          </w:p>
        </w:tc>
        <w:tc>
          <w:tcPr>
            <w:tcW w:w="3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(30,408)</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6,019,964</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98,121</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(30,408)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(2,639,997)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3,447,680</w:t>
            </w:r>
          </w:p>
        </w:tc>
        <w:tc>
          <w:tcPr>
            <w:tcW w:w="660" w:type="dxa"/>
            <w:vAlign w:val="bottom"/>
          </w:tcPr>
          <w:p>
            <w:pPr>
              <w:jc w:val="right"/>
              <w:spacing w:after="0"/>
              <w:rPr>
                <w:sz w:val="20"/>
                <w:szCs w:val="20"/>
                <w:color w:val="auto"/>
              </w:rPr>
            </w:pPr>
            <w:r>
              <w:rPr>
                <w:rFonts w:ascii="Arial" w:cs="Arial" w:eastAsia="Arial" w:hAnsi="Arial"/>
                <w:sz w:val="13"/>
                <w:szCs w:val="13"/>
                <w:color w:val="auto"/>
              </w:rPr>
              <w:t>1.68%</w:t>
            </w:r>
          </w:p>
        </w:tc>
      </w:tr>
      <w:tr>
        <w:trPr>
          <w:trHeight w:val="82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775,861</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213,628</w:t>
            </w: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989,489</w:t>
            </w:r>
          </w:p>
        </w:tc>
        <w:tc>
          <w:tcPr>
            <w:tcW w:w="660" w:type="dxa"/>
            <w:vAlign w:val="bottom"/>
          </w:tcPr>
          <w:p>
            <w:pPr>
              <w:jc w:val="right"/>
              <w:spacing w:after="0"/>
              <w:rPr>
                <w:sz w:val="20"/>
                <w:szCs w:val="20"/>
                <w:color w:val="auto"/>
              </w:rPr>
            </w:pPr>
            <w:r>
              <w:rPr>
                <w:rFonts w:ascii="Arial" w:cs="Arial" w:eastAsia="Arial" w:hAnsi="Arial"/>
                <w:sz w:val="13"/>
                <w:szCs w:val="13"/>
                <w:color w:val="auto"/>
              </w:rPr>
              <w:t>0.48%</w:t>
            </w:r>
          </w:p>
        </w:tc>
      </w:tr>
      <w:tr>
        <w:trPr>
          <w:trHeight w:val="343"/>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1,913,484</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(1,433,300)</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480,184</w:t>
            </w:r>
          </w:p>
        </w:tc>
        <w:tc>
          <w:tcPr>
            <w:tcW w:w="660" w:type="dxa"/>
            <w:vAlign w:val="bottom"/>
          </w:tcPr>
          <w:p>
            <w:pPr>
              <w:jc w:val="right"/>
              <w:spacing w:after="0"/>
              <w:rPr>
                <w:sz w:val="20"/>
                <w:szCs w:val="20"/>
                <w:color w:val="auto"/>
              </w:rPr>
            </w:pPr>
            <w:r>
              <w:rPr>
                <w:rFonts w:ascii="Arial" w:cs="Arial" w:eastAsia="Arial" w:hAnsi="Arial"/>
                <w:sz w:val="13"/>
                <w:szCs w:val="13"/>
                <w:color w:val="auto"/>
              </w:rPr>
              <w:t>0.23%</w:t>
            </w:r>
          </w:p>
        </w:tc>
      </w:tr>
      <w:tr>
        <w:trPr>
          <w:trHeight w:val="20"/>
        </w:trPr>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r>
        <w:trPr>
          <w:trHeight w:val="206"/>
        </w:trPr>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2,689,345</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(1,219,672)</w:t>
            </w: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1,469,673</w:t>
            </w:r>
          </w:p>
        </w:tc>
        <w:tc>
          <w:tcPr>
            <w:tcW w:w="660" w:type="dxa"/>
            <w:vAlign w:val="bottom"/>
          </w:tcPr>
          <w:p>
            <w:pPr>
              <w:jc w:val="right"/>
              <w:spacing w:after="0"/>
              <w:rPr>
                <w:sz w:val="20"/>
                <w:szCs w:val="20"/>
                <w:color w:val="auto"/>
              </w:rPr>
            </w:pPr>
            <w:r>
              <w:rPr>
                <w:rFonts w:ascii="Arial" w:cs="Arial" w:eastAsia="Arial" w:hAnsi="Arial"/>
                <w:sz w:val="13"/>
                <w:szCs w:val="13"/>
                <w:color w:val="auto"/>
              </w:rPr>
              <w:t>0.71%</w:t>
            </w:r>
          </w:p>
        </w:tc>
      </w:tr>
      <w:tr>
        <w:trPr>
          <w:trHeight w:val="413"/>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3,000,000</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119,299</w:t>
            </w:r>
          </w:p>
        </w:tc>
        <w:tc>
          <w:tcPr>
            <w:tcW w:w="3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(3,000,000)</w:t>
            </w: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(119,299)</w:t>
            </w: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02"/>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9,984,954</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(4,470,877)</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5,514,077</w:t>
            </w:r>
          </w:p>
        </w:tc>
        <w:tc>
          <w:tcPr>
            <w:tcW w:w="660" w:type="dxa"/>
            <w:vAlign w:val="bottom"/>
          </w:tcPr>
          <w:p>
            <w:pPr>
              <w:jc w:val="right"/>
              <w:spacing w:after="0"/>
              <w:rPr>
                <w:sz w:val="20"/>
                <w:szCs w:val="20"/>
                <w:color w:val="auto"/>
              </w:rPr>
            </w:pPr>
            <w:r>
              <w:rPr>
                <w:rFonts w:ascii="Arial" w:cs="Arial" w:eastAsia="Arial" w:hAnsi="Arial"/>
                <w:sz w:val="13"/>
                <w:szCs w:val="13"/>
                <w:color w:val="auto"/>
              </w:rPr>
              <w:t>2.69%</w:t>
            </w:r>
          </w:p>
        </w:tc>
      </w:tr>
      <w:tr>
        <w:trPr>
          <w:trHeight w:val="558"/>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484,769</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(1,777,576)</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1,292,807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24"/>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4,786,654</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(4,403,976)</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382,678</w:t>
            </w:r>
          </w:p>
        </w:tc>
        <w:tc>
          <w:tcPr>
            <w:tcW w:w="660" w:type="dxa"/>
            <w:vAlign w:val="bottom"/>
          </w:tcPr>
          <w:p>
            <w:pPr>
              <w:jc w:val="right"/>
              <w:spacing w:after="0"/>
              <w:rPr>
                <w:sz w:val="20"/>
                <w:szCs w:val="20"/>
                <w:color w:val="auto"/>
              </w:rPr>
            </w:pPr>
            <w:r>
              <w:rPr>
                <w:rFonts w:ascii="Arial" w:cs="Arial" w:eastAsia="Arial" w:hAnsi="Arial"/>
                <w:sz w:val="13"/>
                <w:szCs w:val="13"/>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-2568575</wp:posOffset>
            </wp:positionV>
            <wp:extent cx="6519545" cy="1276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519545" cy="12763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-2164715</wp:posOffset>
            </wp:positionV>
            <wp:extent cx="6519545" cy="1276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519545" cy="12763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-1852930</wp:posOffset>
            </wp:positionV>
            <wp:extent cx="6519545" cy="1276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519545" cy="12763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-1512570</wp:posOffset>
            </wp:positionV>
            <wp:extent cx="6519545" cy="2336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519545" cy="23368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-1151255</wp:posOffset>
            </wp:positionV>
            <wp:extent cx="6519545" cy="1276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519545" cy="12763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-889000</wp:posOffset>
            </wp:positionV>
            <wp:extent cx="6519545" cy="1276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519545" cy="12763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-634365</wp:posOffset>
            </wp:positionV>
            <wp:extent cx="6519545" cy="1276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519545" cy="12763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-280035</wp:posOffset>
            </wp:positionV>
            <wp:extent cx="6519545" cy="134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519545"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20"/>
            <w:col w:w="5280"/>
          </w:cols>
          <w:pgMar w:left="220" w:top="13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334885"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type w:val="continuous"/>
        </w:sectPr>
      </w:pPr>
    </w:p>
    <w:bookmarkStart w:id="115" w:name="page116"/>
    <w:bookmarkEnd w:id="11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4"/>
              </w:rPr>
              <w:t>Purchases,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87"/>
              </w:rPr>
              <w:t>Interest, Fees, or</w:t>
            </w:r>
          </w:p>
        </w:tc>
        <w:tc>
          <w:tcPr>
            <w:tcW w:w="74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9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Capitalized Fees,</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5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6"/>
              </w:rPr>
              <w:t>Percentage</w:t>
            </w:r>
          </w:p>
        </w:tc>
      </w:tr>
      <w:tr>
        <w:trPr>
          <w:trHeight w:val="134"/>
        </w:trPr>
        <w:tc>
          <w:tcPr>
            <w:tcW w:w="3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Principal/</w:t>
            </w:r>
          </w:p>
        </w:tc>
        <w:tc>
          <w:tcPr>
            <w:tcW w:w="178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w w:val="92"/>
              </w:rPr>
              <w:t>Dividends Credited December 31,</w:t>
            </w:r>
          </w:p>
        </w:tc>
        <w:tc>
          <w:tcPr>
            <w:tcW w:w="9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1"/>
              </w:rPr>
              <w:t>Interest and</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Realized</w:t>
            </w:r>
          </w:p>
        </w:tc>
        <w:tc>
          <w:tcPr>
            <w:tcW w:w="7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Unrealized</w:t>
            </w:r>
          </w:p>
        </w:tc>
        <w:tc>
          <w:tcPr>
            <w:tcW w:w="78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of Net</w:t>
            </w:r>
          </w:p>
        </w:tc>
      </w:tr>
      <w:tr>
        <w:trPr>
          <w:trHeight w:val="152"/>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Quantity</w:t>
            </w:r>
          </w:p>
        </w:tc>
        <w:tc>
          <w:tcPr>
            <w:tcW w:w="10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700" w:type="dxa"/>
            <w:vAlign w:val="bottom"/>
          </w:tcPr>
          <w:p>
            <w:pPr>
              <w:jc w:val="right"/>
              <w:ind w:right="181"/>
              <w:spacing w:after="0"/>
              <w:rPr>
                <w:sz w:val="20"/>
                <w:szCs w:val="20"/>
                <w:color w:val="auto"/>
              </w:rPr>
            </w:pPr>
            <w:r>
              <w:rPr>
                <w:rFonts w:ascii="Arial" w:cs="Arial" w:eastAsia="Arial" w:hAnsi="Arial"/>
                <w:sz w:val="12"/>
                <w:szCs w:val="12"/>
                <w:b w:val="1"/>
                <w:bCs w:val="1"/>
                <w:color w:val="auto"/>
              </w:rPr>
              <w:t>2016</w:t>
            </w:r>
          </w:p>
        </w:tc>
        <w:tc>
          <w:tcPr>
            <w:tcW w:w="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Amortization</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Sales</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w w:val="86"/>
              </w:rPr>
              <w:t>Gains/(Losses) Gains/(Losses)</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2017</w:t>
            </w:r>
          </w:p>
        </w:tc>
        <w:tc>
          <w:tcPr>
            <w:tcW w:w="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1"/>
              </w:rPr>
              <w:t>Assets</w:t>
            </w:r>
          </w:p>
        </w:tc>
      </w:tr>
      <w:tr>
        <w:trPr>
          <w:trHeight w:val="22"/>
        </w:trPr>
        <w:tc>
          <w:tcPr>
            <w:tcW w:w="3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-6350</wp:posOffset>
            </wp:positionV>
            <wp:extent cx="6519545" cy="1276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519545" cy="127635"/>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p>
      <w:pPr>
        <w:spacing w:after="0" w:line="36"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Education Media Platform</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3"/>
        </w:trPr>
        <w:tc>
          <w:tcPr>
            <w:tcW w:w="3200" w:type="dxa"/>
            <w:vAlign w:val="bottom"/>
          </w:tcPr>
          <w:p>
            <w:pPr>
              <w:ind w:left="300"/>
              <w:spacing w:after="0"/>
              <w:rPr>
                <w:sz w:val="20"/>
                <w:szCs w:val="20"/>
                <w:color w:val="auto"/>
              </w:rPr>
            </w:pPr>
            <w:r>
              <w:rPr>
                <w:rFonts w:ascii="Arial" w:cs="Arial" w:eastAsia="Arial" w:hAnsi="Arial"/>
                <w:sz w:val="13"/>
                <w:szCs w:val="13"/>
                <w:color w:val="auto"/>
              </w:rPr>
              <w:t>EdSurge, Inc. – Preferred shares, Series A-1</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378,788</w:t>
            </w: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6"/>
        </w:trPr>
        <w:tc>
          <w:tcPr>
            <w:tcW w:w="3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EdSurge, Inc. – Preferred shares, Series A</w:t>
            </w:r>
          </w:p>
        </w:tc>
        <w:tc>
          <w:tcPr>
            <w:tcW w:w="860" w:type="dxa"/>
            <w:vAlign w:val="bottom"/>
            <w:tcBorders>
              <w:bottom w:val="single" w:sz="8" w:color="CCEEFF"/>
            </w:tcBorders>
          </w:tcPr>
          <w:p>
            <w:pPr>
              <w:jc w:val="right"/>
              <w:ind w:right="173"/>
              <w:spacing w:after="0"/>
              <w:rPr>
                <w:sz w:val="20"/>
                <w:szCs w:val="20"/>
                <w:color w:val="auto"/>
              </w:rPr>
            </w:pPr>
            <w:r>
              <w:rPr>
                <w:rFonts w:ascii="Arial" w:cs="Arial" w:eastAsia="Arial" w:hAnsi="Arial"/>
                <w:sz w:val="13"/>
                <w:szCs w:val="13"/>
                <w:color w:val="auto"/>
              </w:rPr>
              <w:t>494,365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Education Media Platform</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Education Technology</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61"/>
        </w:trPr>
        <w:tc>
          <w:tcPr>
            <w:tcW w:w="3200" w:type="dxa"/>
            <w:vAlign w:val="bottom"/>
          </w:tcPr>
          <w:p>
            <w:pPr>
              <w:ind w:left="300"/>
              <w:spacing w:after="0"/>
              <w:rPr>
                <w:sz w:val="20"/>
                <w:szCs w:val="20"/>
                <w:color w:val="auto"/>
              </w:rPr>
            </w:pPr>
            <w:r>
              <w:rPr>
                <w:rFonts w:ascii="Arial" w:cs="Arial" w:eastAsia="Arial" w:hAnsi="Arial"/>
                <w:sz w:val="13"/>
                <w:szCs w:val="13"/>
                <w:color w:val="auto"/>
              </w:rPr>
              <w:t>Global Education Learning (Holdings) Ltd. –</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59"/>
        </w:trPr>
        <w:tc>
          <w:tcPr>
            <w:tcW w:w="3200" w:type="dxa"/>
            <w:vAlign w:val="bottom"/>
          </w:tcPr>
          <w:p>
            <w:pPr>
              <w:ind w:left="440"/>
              <w:spacing w:after="0"/>
              <w:rPr>
                <w:sz w:val="20"/>
                <w:szCs w:val="20"/>
                <w:color w:val="auto"/>
              </w:rPr>
            </w:pPr>
            <w:r>
              <w:rPr>
                <w:rFonts w:ascii="Arial" w:cs="Arial" w:eastAsia="Arial" w:hAnsi="Arial"/>
                <w:sz w:val="13"/>
                <w:szCs w:val="13"/>
                <w:color w:val="auto"/>
              </w:rPr>
              <w:t>Preferred shares, Series A**</w:t>
            </w:r>
            <w:r>
              <w:rPr>
                <w:rFonts w:ascii="Arial" w:cs="Arial" w:eastAsia="Arial" w:hAnsi="Arial"/>
                <w:sz w:val="20"/>
                <w:szCs w:val="20"/>
                <w:color w:val="auto"/>
                <w:vertAlign w:val="superscript"/>
              </w:rPr>
              <w:t>(9)</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Knowledge Networks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3"/>
        </w:trPr>
        <w:tc>
          <w:tcPr>
            <w:tcW w:w="3200" w:type="dxa"/>
            <w:vAlign w:val="bottom"/>
          </w:tcPr>
          <w:p>
            <w:pPr>
              <w:ind w:left="300"/>
              <w:spacing w:after="0"/>
              <w:rPr>
                <w:sz w:val="20"/>
                <w:szCs w:val="20"/>
                <w:color w:val="auto"/>
              </w:rPr>
            </w:pPr>
            <w:r>
              <w:rPr>
                <w:rFonts w:ascii="Arial" w:cs="Arial" w:eastAsia="Arial" w:hAnsi="Arial"/>
                <w:sz w:val="13"/>
                <w:szCs w:val="13"/>
                <w:color w:val="auto"/>
                <w:w w:val="97"/>
              </w:rPr>
              <w:t>Maven Research, Inc. – Preferred shares, Series C</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318,979</w:t>
            </w: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6"/>
        </w:trPr>
        <w:tc>
          <w:tcPr>
            <w:tcW w:w="3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w w:val="97"/>
              </w:rPr>
              <w:t>Maven Research, Inc. – Preferred shares, Series B</w:t>
            </w:r>
          </w:p>
        </w:tc>
        <w:tc>
          <w:tcPr>
            <w:tcW w:w="860" w:type="dxa"/>
            <w:vAlign w:val="bottom"/>
            <w:tcBorders>
              <w:bottom w:val="single" w:sz="8" w:color="CCEEFF"/>
            </w:tcBorders>
          </w:tcPr>
          <w:p>
            <w:pPr>
              <w:jc w:val="right"/>
              <w:ind w:right="173"/>
              <w:spacing w:after="0"/>
              <w:rPr>
                <w:sz w:val="20"/>
                <w:szCs w:val="20"/>
                <w:color w:val="auto"/>
              </w:rPr>
            </w:pPr>
            <w:r>
              <w:rPr>
                <w:rFonts w:ascii="Arial" w:cs="Arial" w:eastAsia="Arial" w:hAnsi="Arial"/>
                <w:sz w:val="13"/>
                <w:szCs w:val="13"/>
                <w:color w:val="auto"/>
              </w:rPr>
              <w:t>49,505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Knowledge Networks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Digital Media Platform</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1"/>
        </w:trPr>
        <w:tc>
          <w:tcPr>
            <w:tcW w:w="3200" w:type="dxa"/>
            <w:vAlign w:val="bottom"/>
          </w:tcPr>
          <w:p>
            <w:pPr>
              <w:ind w:left="300"/>
              <w:spacing w:after="0"/>
              <w:rPr>
                <w:sz w:val="20"/>
                <w:szCs w:val="20"/>
                <w:color w:val="auto"/>
              </w:rPr>
            </w:pPr>
            <w:r>
              <w:rPr>
                <w:rFonts w:ascii="Arial" w:cs="Arial" w:eastAsia="Arial" w:hAnsi="Arial"/>
                <w:sz w:val="13"/>
                <w:szCs w:val="13"/>
                <w:color w:val="auto"/>
              </w:rPr>
              <w:t>OzyMedia, Inc. – Preferred shares, Series B</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922,509</w:t>
            </w: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200" w:type="dxa"/>
            <w:vAlign w:val="bottom"/>
          </w:tcPr>
          <w:p>
            <w:pPr>
              <w:ind w:left="300"/>
              <w:spacing w:after="0"/>
              <w:rPr>
                <w:sz w:val="20"/>
                <w:szCs w:val="20"/>
                <w:color w:val="auto"/>
              </w:rPr>
            </w:pPr>
            <w:r>
              <w:rPr>
                <w:rFonts w:ascii="Arial" w:cs="Arial" w:eastAsia="Arial" w:hAnsi="Arial"/>
                <w:sz w:val="13"/>
                <w:szCs w:val="13"/>
                <w:color w:val="auto"/>
              </w:rPr>
              <w:t>OzyMedia, Inc. – Preferred shares, Series A</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1,090,909</w:t>
            </w: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9"/>
        </w:trPr>
        <w:tc>
          <w:tcPr>
            <w:tcW w:w="3200" w:type="dxa"/>
            <w:vAlign w:val="bottom"/>
          </w:tcPr>
          <w:p>
            <w:pPr>
              <w:ind w:left="300"/>
              <w:spacing w:after="0"/>
              <w:rPr>
                <w:sz w:val="20"/>
                <w:szCs w:val="20"/>
                <w:color w:val="auto"/>
              </w:rPr>
            </w:pPr>
            <w:r>
              <w:rPr>
                <w:rFonts w:ascii="Arial" w:cs="Arial" w:eastAsia="Arial" w:hAnsi="Arial"/>
                <w:sz w:val="13"/>
                <w:szCs w:val="13"/>
                <w:color w:val="auto"/>
              </w:rPr>
              <w:t>OzyMedia, Inc. – Preferred shares, Series Seed</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500,000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Digital Media Platform</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6"/>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Social Media</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3200" w:type="dxa"/>
            <w:vAlign w:val="bottom"/>
          </w:tcPr>
          <w:p>
            <w:pPr>
              <w:ind w:left="300"/>
              <w:spacing w:after="0" w:line="216" w:lineRule="exact"/>
              <w:rPr>
                <w:sz w:val="20"/>
                <w:szCs w:val="20"/>
                <w:color w:val="auto"/>
              </w:rPr>
            </w:pPr>
            <w:r>
              <w:rPr>
                <w:rFonts w:ascii="Arial" w:cs="Arial" w:eastAsia="Arial" w:hAnsi="Arial"/>
                <w:sz w:val="13"/>
                <w:szCs w:val="13"/>
                <w:color w:val="auto"/>
                <w:w w:val="99"/>
              </w:rPr>
              <w:t>AlwaysOn, Inc. – Preferred shares, Series A-1</w:t>
            </w:r>
            <w:r>
              <w:rPr>
                <w:rFonts w:ascii="Arial" w:cs="Arial" w:eastAsia="Arial" w:hAnsi="Arial"/>
                <w:sz w:val="20"/>
                <w:szCs w:val="20"/>
                <w:color w:val="auto"/>
                <w:w w:val="99"/>
                <w:vertAlign w:val="superscript"/>
              </w:rPr>
              <w:t>(10)</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4"/>
        </w:trPr>
        <w:tc>
          <w:tcPr>
            <w:tcW w:w="3200" w:type="dxa"/>
            <w:vAlign w:val="bottom"/>
          </w:tcPr>
          <w:p>
            <w:pPr>
              <w:ind w:left="300"/>
              <w:spacing w:after="0" w:line="224" w:lineRule="exact"/>
              <w:rPr>
                <w:sz w:val="20"/>
                <w:szCs w:val="20"/>
                <w:color w:val="auto"/>
              </w:rPr>
            </w:pPr>
            <w:r>
              <w:rPr>
                <w:rFonts w:ascii="Arial" w:cs="Arial" w:eastAsia="Arial" w:hAnsi="Arial"/>
                <w:sz w:val="13"/>
                <w:szCs w:val="13"/>
                <w:color w:val="auto"/>
              </w:rPr>
              <w:t>AlwaysOn, Inc. – Preferred shares, Series A</w:t>
            </w:r>
            <w:r>
              <w:rPr>
                <w:rFonts w:ascii="Arial" w:cs="Arial" w:eastAsia="Arial" w:hAnsi="Arial"/>
                <w:sz w:val="20"/>
                <w:szCs w:val="20"/>
                <w:color w:val="auto"/>
                <w:vertAlign w:val="superscript"/>
              </w:rPr>
              <w:t>(10)</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3200" w:type="dxa"/>
            <w:vAlign w:val="bottom"/>
          </w:tcPr>
          <w:p>
            <w:pPr>
              <w:ind w:left="140"/>
              <w:spacing w:after="0"/>
              <w:rPr>
                <w:sz w:val="20"/>
                <w:szCs w:val="20"/>
                <w:color w:val="auto"/>
              </w:rPr>
            </w:pPr>
            <w:r>
              <w:rPr>
                <w:rFonts w:ascii="Arial" w:cs="Arial" w:eastAsia="Arial" w:hAnsi="Arial"/>
                <w:sz w:val="13"/>
                <w:szCs w:val="13"/>
                <w:i w:val="1"/>
                <w:iCs w:val="1"/>
                <w:color w:val="auto"/>
              </w:rPr>
              <w:t>Total Social Media</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200" w:type="dxa"/>
            <w:vAlign w:val="bottom"/>
          </w:tcPr>
          <w:p>
            <w:pPr>
              <w:spacing w:after="0"/>
              <w:rPr>
                <w:sz w:val="20"/>
                <w:szCs w:val="20"/>
                <w:color w:val="auto"/>
              </w:rPr>
            </w:pPr>
            <w:r>
              <w:rPr>
                <w:rFonts w:ascii="Arial" w:cs="Arial" w:eastAsia="Arial" w:hAnsi="Arial"/>
                <w:sz w:val="13"/>
                <w:szCs w:val="13"/>
                <w:b w:val="1"/>
                <w:bCs w:val="1"/>
                <w:color w:val="auto"/>
              </w:rPr>
              <w:t>Total Preferred Stock</w:t>
            </w:r>
          </w:p>
        </w:tc>
        <w:tc>
          <w:tcPr>
            <w:tcW w:w="8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120" w:type="dxa"/>
            <w:vAlign w:val="bottom"/>
            <w:gridSpan w:val="2"/>
          </w:tcPr>
          <w:p>
            <w:pPr>
              <w:jc w:val="right"/>
              <w:spacing w:after="0"/>
              <w:rPr>
                <w:sz w:val="20"/>
                <w:szCs w:val="20"/>
                <w:color w:val="auto"/>
              </w:rPr>
            </w:pPr>
            <w:r>
              <w:rPr>
                <w:rFonts w:ascii="Arial" w:cs="Arial" w:eastAsia="Arial" w:hAnsi="Arial"/>
                <w:sz w:val="13"/>
                <w:szCs w:val="13"/>
                <w:color w:val="auto"/>
              </w:rPr>
              <w:t>500,000</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500,000</w:t>
            </w:r>
          </w:p>
        </w:tc>
        <w:tc>
          <w:tcPr>
            <w:tcW w:w="620" w:type="dxa"/>
            <w:vAlign w:val="bottom"/>
          </w:tcPr>
          <w:p>
            <w:pPr>
              <w:jc w:val="right"/>
              <w:spacing w:after="0"/>
              <w:rPr>
                <w:sz w:val="20"/>
                <w:szCs w:val="20"/>
                <w:color w:val="auto"/>
              </w:rPr>
            </w:pPr>
            <w:r>
              <w:rPr>
                <w:rFonts w:ascii="Arial" w:cs="Arial" w:eastAsia="Arial" w:hAnsi="Arial"/>
                <w:sz w:val="13"/>
                <w:szCs w:val="13"/>
                <w:color w:val="auto"/>
              </w:rPr>
              <w:t>0.24%</w:t>
            </w:r>
          </w:p>
        </w:tc>
      </w:tr>
      <w:tr>
        <w:trPr>
          <w:trHeight w:val="209"/>
        </w:trPr>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588,294</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(6,377)</w:t>
            </w:r>
          </w:p>
        </w:tc>
        <w:tc>
          <w:tcPr>
            <w:tcW w:w="680" w:type="dxa"/>
            <w:vAlign w:val="bottom"/>
          </w:tcPr>
          <w:p>
            <w:pPr>
              <w:jc w:val="right"/>
              <w:spacing w:after="0"/>
              <w:rPr>
                <w:sz w:val="20"/>
                <w:szCs w:val="20"/>
                <w:color w:val="auto"/>
              </w:rPr>
            </w:pPr>
            <w:r>
              <w:rPr>
                <w:rFonts w:ascii="Arial" w:cs="Arial" w:eastAsia="Arial" w:hAnsi="Arial"/>
                <w:sz w:val="13"/>
                <w:szCs w:val="13"/>
                <w:color w:val="auto"/>
              </w:rPr>
              <w:t>581,917</w:t>
            </w:r>
          </w:p>
        </w:tc>
        <w:tc>
          <w:tcPr>
            <w:tcW w:w="620" w:type="dxa"/>
            <w:vAlign w:val="bottom"/>
          </w:tcPr>
          <w:p>
            <w:pPr>
              <w:jc w:val="right"/>
              <w:spacing w:after="0"/>
              <w:rPr>
                <w:sz w:val="20"/>
                <w:szCs w:val="20"/>
                <w:color w:val="auto"/>
              </w:rPr>
            </w:pPr>
            <w:r>
              <w:rPr>
                <w:rFonts w:ascii="Arial" w:cs="Arial" w:eastAsia="Arial" w:hAnsi="Arial"/>
                <w:sz w:val="13"/>
                <w:szCs w:val="13"/>
                <w:color w:val="auto"/>
              </w:rPr>
              <w:t>0.28%</w:t>
            </w:r>
          </w:p>
        </w:tc>
      </w:tr>
      <w:tr>
        <w:trPr>
          <w:trHeight w:val="20"/>
        </w:trPr>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206"/>
        </w:trPr>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1,088,294</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(6,377)</w:t>
            </w:r>
          </w:p>
        </w:tc>
        <w:tc>
          <w:tcPr>
            <w:tcW w:w="680" w:type="dxa"/>
            <w:vAlign w:val="bottom"/>
          </w:tcPr>
          <w:p>
            <w:pPr>
              <w:jc w:val="right"/>
              <w:spacing w:after="0"/>
              <w:rPr>
                <w:sz w:val="20"/>
                <w:szCs w:val="20"/>
                <w:color w:val="auto"/>
              </w:rPr>
            </w:pPr>
            <w:r>
              <w:rPr>
                <w:rFonts w:ascii="Arial" w:cs="Arial" w:eastAsia="Arial" w:hAnsi="Arial"/>
                <w:sz w:val="13"/>
                <w:szCs w:val="13"/>
                <w:color w:val="auto"/>
              </w:rPr>
              <w:t>1,081,917</w:t>
            </w:r>
          </w:p>
        </w:tc>
        <w:tc>
          <w:tcPr>
            <w:tcW w:w="620" w:type="dxa"/>
            <w:vAlign w:val="bottom"/>
          </w:tcPr>
          <w:p>
            <w:pPr>
              <w:jc w:val="right"/>
              <w:spacing w:after="0"/>
              <w:rPr>
                <w:sz w:val="20"/>
                <w:szCs w:val="20"/>
                <w:color w:val="auto"/>
              </w:rPr>
            </w:pPr>
            <w:r>
              <w:rPr>
                <w:rFonts w:ascii="Arial" w:cs="Arial" w:eastAsia="Arial" w:hAnsi="Arial"/>
                <w:sz w:val="13"/>
                <w:szCs w:val="13"/>
                <w:color w:val="auto"/>
              </w:rPr>
              <w:t>0.52%</w:t>
            </w:r>
          </w:p>
        </w:tc>
      </w:tr>
      <w:tr>
        <w:trPr>
          <w:trHeight w:val="591"/>
        </w:trPr>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(675,495)</w:t>
            </w:r>
          </w:p>
        </w:tc>
        <w:tc>
          <w:tcPr>
            <w:tcW w:w="740" w:type="dxa"/>
            <w:vAlign w:val="bottom"/>
          </w:tcPr>
          <w:p>
            <w:pPr>
              <w:jc w:val="right"/>
              <w:spacing w:after="0"/>
              <w:rPr>
                <w:sz w:val="20"/>
                <w:szCs w:val="20"/>
                <w:color w:val="auto"/>
              </w:rPr>
            </w:pPr>
            <w:r>
              <w:rPr>
                <w:rFonts w:ascii="Arial" w:cs="Arial" w:eastAsia="Arial" w:hAnsi="Arial"/>
                <w:sz w:val="13"/>
                <w:szCs w:val="13"/>
                <w:color w:val="auto"/>
              </w:rPr>
              <w:t>675,495</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46"/>
        </w:trPr>
        <w:tc>
          <w:tcPr>
            <w:tcW w:w="1120" w:type="dxa"/>
            <w:vAlign w:val="bottom"/>
            <w:gridSpan w:val="2"/>
          </w:tcPr>
          <w:p>
            <w:pPr>
              <w:jc w:val="right"/>
              <w:spacing w:after="0"/>
              <w:rPr>
                <w:sz w:val="20"/>
                <w:szCs w:val="20"/>
                <w:color w:val="auto"/>
              </w:rPr>
            </w:pPr>
            <w:r>
              <w:rPr>
                <w:rFonts w:ascii="Arial" w:cs="Arial" w:eastAsia="Arial" w:hAnsi="Arial"/>
                <w:sz w:val="13"/>
                <w:szCs w:val="13"/>
                <w:color w:val="auto"/>
              </w:rPr>
              <w:t>1,999,998</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(1,498,758)</w:t>
            </w:r>
          </w:p>
        </w:tc>
        <w:tc>
          <w:tcPr>
            <w:tcW w:w="680" w:type="dxa"/>
            <w:vAlign w:val="bottom"/>
          </w:tcPr>
          <w:p>
            <w:pPr>
              <w:jc w:val="right"/>
              <w:spacing w:after="0"/>
              <w:rPr>
                <w:sz w:val="20"/>
                <w:szCs w:val="20"/>
                <w:color w:val="auto"/>
              </w:rPr>
            </w:pPr>
            <w:r>
              <w:rPr>
                <w:rFonts w:ascii="Arial" w:cs="Arial" w:eastAsia="Arial" w:hAnsi="Arial"/>
                <w:sz w:val="13"/>
                <w:szCs w:val="13"/>
                <w:color w:val="auto"/>
              </w:rPr>
              <w:t>501,240</w:t>
            </w:r>
          </w:p>
        </w:tc>
        <w:tc>
          <w:tcPr>
            <w:tcW w:w="620" w:type="dxa"/>
            <w:vAlign w:val="bottom"/>
          </w:tcPr>
          <w:p>
            <w:pPr>
              <w:jc w:val="right"/>
              <w:spacing w:after="0"/>
              <w:rPr>
                <w:sz w:val="20"/>
                <w:szCs w:val="20"/>
                <w:color w:val="auto"/>
              </w:rPr>
            </w:pPr>
            <w:r>
              <w:rPr>
                <w:rFonts w:ascii="Arial" w:cs="Arial" w:eastAsia="Arial" w:hAnsi="Arial"/>
                <w:sz w:val="13"/>
                <w:szCs w:val="13"/>
                <w:color w:val="auto"/>
              </w:rPr>
              <w:t>0.24%</w:t>
            </w:r>
          </w:p>
        </w:tc>
      </w:tr>
      <w:tr>
        <w:trPr>
          <w:trHeight w:val="209"/>
        </w:trPr>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223,763</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(173,763)</w:t>
            </w:r>
          </w:p>
        </w:tc>
        <w:tc>
          <w:tcPr>
            <w:tcW w:w="680" w:type="dxa"/>
            <w:vAlign w:val="bottom"/>
          </w:tcPr>
          <w:p>
            <w:pPr>
              <w:jc w:val="right"/>
              <w:spacing w:after="0"/>
              <w:rPr>
                <w:sz w:val="20"/>
                <w:szCs w:val="20"/>
                <w:color w:val="auto"/>
              </w:rPr>
            </w:pPr>
            <w:r>
              <w:rPr>
                <w:rFonts w:ascii="Arial" w:cs="Arial" w:eastAsia="Arial" w:hAnsi="Arial"/>
                <w:sz w:val="13"/>
                <w:szCs w:val="13"/>
                <w:color w:val="auto"/>
              </w:rPr>
              <w:t>50,000</w:t>
            </w:r>
          </w:p>
        </w:tc>
        <w:tc>
          <w:tcPr>
            <w:tcW w:w="62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20"/>
        </w:trPr>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206"/>
        </w:trPr>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2,223,761</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(1,672,521)</w:t>
            </w:r>
          </w:p>
        </w:tc>
        <w:tc>
          <w:tcPr>
            <w:tcW w:w="680" w:type="dxa"/>
            <w:vAlign w:val="bottom"/>
          </w:tcPr>
          <w:p>
            <w:pPr>
              <w:jc w:val="right"/>
              <w:spacing w:after="0"/>
              <w:rPr>
                <w:sz w:val="20"/>
                <w:szCs w:val="20"/>
                <w:color w:val="auto"/>
              </w:rPr>
            </w:pPr>
            <w:r>
              <w:rPr>
                <w:rFonts w:ascii="Arial" w:cs="Arial" w:eastAsia="Arial" w:hAnsi="Arial"/>
                <w:sz w:val="13"/>
                <w:szCs w:val="13"/>
                <w:color w:val="auto"/>
              </w:rPr>
              <w:t>551,240</w:t>
            </w:r>
          </w:p>
        </w:tc>
        <w:tc>
          <w:tcPr>
            <w:tcW w:w="620" w:type="dxa"/>
            <w:vAlign w:val="bottom"/>
          </w:tcPr>
          <w:p>
            <w:pPr>
              <w:jc w:val="right"/>
              <w:spacing w:after="0"/>
              <w:rPr>
                <w:sz w:val="20"/>
                <w:szCs w:val="20"/>
                <w:color w:val="auto"/>
              </w:rPr>
            </w:pPr>
            <w:r>
              <w:rPr>
                <w:rFonts w:ascii="Arial" w:cs="Arial" w:eastAsia="Arial" w:hAnsi="Arial"/>
                <w:sz w:val="13"/>
                <w:szCs w:val="13"/>
                <w:color w:val="auto"/>
              </w:rPr>
              <w:t>0.26%</w:t>
            </w:r>
          </w:p>
        </w:tc>
      </w:tr>
      <w:tr>
        <w:trPr>
          <w:trHeight w:val="446"/>
        </w:trPr>
        <w:tc>
          <w:tcPr>
            <w:tcW w:w="1120" w:type="dxa"/>
            <w:vAlign w:val="bottom"/>
            <w:gridSpan w:val="2"/>
          </w:tcPr>
          <w:p>
            <w:pPr>
              <w:jc w:val="right"/>
              <w:spacing w:after="0"/>
              <w:rPr>
                <w:sz w:val="20"/>
                <w:szCs w:val="20"/>
                <w:color w:val="auto"/>
              </w:rPr>
            </w:pPr>
            <w:r>
              <w:rPr>
                <w:rFonts w:ascii="Arial" w:cs="Arial" w:eastAsia="Arial" w:hAnsi="Arial"/>
                <w:sz w:val="13"/>
                <w:szCs w:val="13"/>
                <w:color w:val="auto"/>
              </w:rPr>
              <w:t>4,999,999</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(2,632,977)</w:t>
            </w:r>
          </w:p>
        </w:tc>
        <w:tc>
          <w:tcPr>
            <w:tcW w:w="680" w:type="dxa"/>
            <w:vAlign w:val="bottom"/>
          </w:tcPr>
          <w:p>
            <w:pPr>
              <w:jc w:val="right"/>
              <w:spacing w:after="0"/>
              <w:rPr>
                <w:sz w:val="20"/>
                <w:szCs w:val="20"/>
                <w:color w:val="auto"/>
              </w:rPr>
            </w:pPr>
            <w:r>
              <w:rPr>
                <w:rFonts w:ascii="Arial" w:cs="Arial" w:eastAsia="Arial" w:hAnsi="Arial"/>
                <w:sz w:val="13"/>
                <w:szCs w:val="13"/>
                <w:color w:val="auto"/>
              </w:rPr>
              <w:t>2,367,022</w:t>
            </w:r>
          </w:p>
        </w:tc>
        <w:tc>
          <w:tcPr>
            <w:tcW w:w="62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201"/>
        </w:trPr>
        <w:tc>
          <w:tcPr>
            <w:tcW w:w="1120" w:type="dxa"/>
            <w:vAlign w:val="bottom"/>
            <w:gridSpan w:val="2"/>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(1,580,190)</w:t>
            </w:r>
          </w:p>
        </w:tc>
        <w:tc>
          <w:tcPr>
            <w:tcW w:w="680" w:type="dxa"/>
            <w:vAlign w:val="bottom"/>
          </w:tcPr>
          <w:p>
            <w:pPr>
              <w:jc w:val="right"/>
              <w:spacing w:after="0"/>
              <w:rPr>
                <w:sz w:val="20"/>
                <w:szCs w:val="20"/>
                <w:color w:val="auto"/>
              </w:rPr>
            </w:pPr>
            <w:r>
              <w:rPr>
                <w:rFonts w:ascii="Arial" w:cs="Arial" w:eastAsia="Arial" w:hAnsi="Arial"/>
                <w:sz w:val="13"/>
                <w:szCs w:val="13"/>
                <w:color w:val="auto"/>
              </w:rPr>
              <w:t>1,419,810</w:t>
            </w:r>
          </w:p>
        </w:tc>
        <w:tc>
          <w:tcPr>
            <w:tcW w:w="620" w:type="dxa"/>
            <w:vAlign w:val="bottom"/>
          </w:tcPr>
          <w:p>
            <w:pPr>
              <w:jc w:val="right"/>
              <w:spacing w:after="0"/>
              <w:rPr>
                <w:sz w:val="20"/>
                <w:szCs w:val="20"/>
                <w:color w:val="auto"/>
              </w:rPr>
            </w:pPr>
            <w:r>
              <w:rPr>
                <w:rFonts w:ascii="Arial" w:cs="Arial" w:eastAsia="Arial" w:hAnsi="Arial"/>
                <w:sz w:val="13"/>
                <w:szCs w:val="13"/>
                <w:color w:val="auto"/>
              </w:rPr>
              <w:t>0.69%</w:t>
            </w:r>
          </w:p>
        </w:tc>
      </w:tr>
      <w:tr>
        <w:trPr>
          <w:trHeight w:val="209"/>
        </w:trPr>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610,000</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(373,365)</w:t>
            </w:r>
          </w:p>
        </w:tc>
        <w:tc>
          <w:tcPr>
            <w:tcW w:w="680" w:type="dxa"/>
            <w:vAlign w:val="bottom"/>
          </w:tcPr>
          <w:p>
            <w:pPr>
              <w:jc w:val="right"/>
              <w:spacing w:after="0"/>
              <w:rPr>
                <w:sz w:val="20"/>
                <w:szCs w:val="20"/>
                <w:color w:val="auto"/>
              </w:rPr>
            </w:pPr>
            <w:r>
              <w:rPr>
                <w:rFonts w:ascii="Arial" w:cs="Arial" w:eastAsia="Arial" w:hAnsi="Arial"/>
                <w:sz w:val="13"/>
                <w:szCs w:val="13"/>
                <w:color w:val="auto"/>
              </w:rPr>
              <w:t>236,635</w:t>
            </w:r>
          </w:p>
        </w:tc>
        <w:tc>
          <w:tcPr>
            <w:tcW w:w="620" w:type="dxa"/>
            <w:vAlign w:val="bottom"/>
          </w:tcPr>
          <w:p>
            <w:pPr>
              <w:jc w:val="right"/>
              <w:spacing w:after="0"/>
              <w:rPr>
                <w:sz w:val="20"/>
                <w:szCs w:val="20"/>
                <w:color w:val="auto"/>
              </w:rPr>
            </w:pPr>
            <w:r>
              <w:rPr>
                <w:rFonts w:ascii="Arial" w:cs="Arial" w:eastAsia="Arial" w:hAnsi="Arial"/>
                <w:sz w:val="13"/>
                <w:szCs w:val="13"/>
                <w:color w:val="auto"/>
              </w:rPr>
              <w:t>0.12%</w:t>
            </w:r>
          </w:p>
        </w:tc>
      </w:tr>
      <w:tr>
        <w:trPr>
          <w:trHeight w:val="20"/>
        </w:trPr>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6"/>
        </w:trPr>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8,609,999</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(4,586,532)</w:t>
            </w:r>
          </w:p>
        </w:tc>
        <w:tc>
          <w:tcPr>
            <w:tcW w:w="680" w:type="dxa"/>
            <w:vAlign w:val="bottom"/>
          </w:tcPr>
          <w:p>
            <w:pPr>
              <w:jc w:val="right"/>
              <w:spacing w:after="0"/>
              <w:rPr>
                <w:sz w:val="20"/>
                <w:szCs w:val="20"/>
                <w:color w:val="auto"/>
              </w:rPr>
            </w:pPr>
            <w:r>
              <w:rPr>
                <w:rFonts w:ascii="Arial" w:cs="Arial" w:eastAsia="Arial" w:hAnsi="Arial"/>
                <w:sz w:val="13"/>
                <w:szCs w:val="13"/>
                <w:color w:val="auto"/>
              </w:rPr>
              <w:t>4,023,467</w:t>
            </w:r>
          </w:p>
        </w:tc>
        <w:tc>
          <w:tcPr>
            <w:tcW w:w="620" w:type="dxa"/>
            <w:vAlign w:val="bottom"/>
          </w:tcPr>
          <w:p>
            <w:pPr>
              <w:jc w:val="right"/>
              <w:spacing w:after="0"/>
              <w:rPr>
                <w:sz w:val="20"/>
                <w:szCs w:val="20"/>
                <w:color w:val="auto"/>
              </w:rPr>
            </w:pPr>
            <w:r>
              <w:rPr>
                <w:rFonts w:ascii="Arial" w:cs="Arial" w:eastAsia="Arial" w:hAnsi="Arial"/>
                <w:sz w:val="13"/>
                <w:szCs w:val="13"/>
                <w:color w:val="auto"/>
              </w:rPr>
              <w:t>1.97%</w:t>
            </w:r>
          </w:p>
        </w:tc>
      </w:tr>
      <w:tr>
        <w:trPr>
          <w:trHeight w:val="458"/>
        </w:trPr>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(876,023)</w:t>
            </w:r>
          </w:p>
        </w:tc>
        <w:tc>
          <w:tcPr>
            <w:tcW w:w="740" w:type="dxa"/>
            <w:vAlign w:val="bottom"/>
          </w:tcPr>
          <w:p>
            <w:pPr>
              <w:jc w:val="right"/>
              <w:spacing w:after="0"/>
              <w:rPr>
                <w:sz w:val="20"/>
                <w:szCs w:val="20"/>
                <w:color w:val="auto"/>
              </w:rPr>
            </w:pPr>
            <w:r>
              <w:rPr>
                <w:rFonts w:ascii="Arial" w:cs="Arial" w:eastAsia="Arial" w:hAnsi="Arial"/>
                <w:sz w:val="13"/>
                <w:szCs w:val="13"/>
                <w:color w:val="auto"/>
              </w:rPr>
              <w:t>876,023</w:t>
            </w: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(1,027,391)</w:t>
            </w:r>
          </w:p>
        </w:tc>
        <w:tc>
          <w:tcPr>
            <w:tcW w:w="740" w:type="dxa"/>
            <w:vAlign w:val="bottom"/>
          </w:tcPr>
          <w:p>
            <w:pPr>
              <w:jc w:val="right"/>
              <w:spacing w:after="0"/>
              <w:rPr>
                <w:sz w:val="20"/>
                <w:szCs w:val="20"/>
                <w:color w:val="auto"/>
              </w:rPr>
            </w:pPr>
            <w:r>
              <w:rPr>
                <w:rFonts w:ascii="Arial" w:cs="Arial" w:eastAsia="Arial" w:hAnsi="Arial"/>
                <w:sz w:val="13"/>
                <w:szCs w:val="13"/>
                <w:color w:val="auto"/>
              </w:rPr>
              <w:t>1,027,391</w:t>
            </w:r>
          </w:p>
        </w:tc>
        <w:tc>
          <w:tcPr>
            <w:tcW w:w="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6"/>
        </w:trPr>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(1,903,414)</w:t>
            </w:r>
          </w:p>
        </w:tc>
        <w:tc>
          <w:tcPr>
            <w:tcW w:w="740" w:type="dxa"/>
            <w:vAlign w:val="bottom"/>
          </w:tcPr>
          <w:p>
            <w:pPr>
              <w:jc w:val="right"/>
              <w:spacing w:after="0"/>
              <w:rPr>
                <w:sz w:val="20"/>
                <w:szCs w:val="20"/>
                <w:color w:val="auto"/>
              </w:rPr>
            </w:pPr>
            <w:r>
              <w:rPr>
                <w:rFonts w:ascii="Arial" w:cs="Arial" w:eastAsia="Arial" w:hAnsi="Arial"/>
                <w:sz w:val="13"/>
                <w:szCs w:val="13"/>
                <w:color w:val="auto"/>
              </w:rPr>
              <w:t>1,903,414</w:t>
            </w: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$32,867,776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$119,299</w:t>
            </w: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$(3,000,000)</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$(4,475,784)</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w w:val="89"/>
              </w:rPr>
              <w:t>$ (12,488,239)</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$13,023,052</w:t>
            </w:r>
          </w:p>
        </w:tc>
        <w:tc>
          <w:tcPr>
            <w:tcW w:w="620" w:type="dxa"/>
            <w:vAlign w:val="bottom"/>
          </w:tcPr>
          <w:p>
            <w:pPr>
              <w:jc w:val="right"/>
              <w:spacing w:after="0"/>
              <w:rPr>
                <w:sz w:val="20"/>
                <w:szCs w:val="20"/>
                <w:color w:val="auto"/>
              </w:rPr>
            </w:pPr>
            <w:r>
              <w:rPr>
                <w:rFonts w:ascii="Arial" w:cs="Arial" w:eastAsia="Arial" w:hAnsi="Arial"/>
                <w:sz w:val="13"/>
                <w:szCs w:val="13"/>
                <w:color w:val="auto"/>
              </w:rPr>
              <w:t>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-2611120</wp:posOffset>
            </wp:positionV>
            <wp:extent cx="6519545" cy="24733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519545" cy="2473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0"/>
            <w:col w:w="5760"/>
          </w:cols>
          <w:pgMar w:left="220" w:top="13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334885"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type w:val="continuous"/>
        </w:sectPr>
      </w:pPr>
    </w:p>
    <w:bookmarkStart w:id="116" w:name="page117"/>
    <w:bookmarkEnd w:id="11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84"/>
              </w:rPr>
              <w:t>Purchases,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4"/>
        </w:trPr>
        <w:tc>
          <w:tcPr>
            <w:tcW w:w="3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jc w:val="center"/>
              <w:ind w:right="80"/>
              <w:spacing w:after="0" w:line="134" w:lineRule="exact"/>
              <w:rPr>
                <w:sz w:val="20"/>
                <w:szCs w:val="20"/>
                <w:color w:val="auto"/>
              </w:rPr>
            </w:pPr>
            <w:r>
              <w:rPr>
                <w:rFonts w:ascii="Arial" w:cs="Arial" w:eastAsia="Arial" w:hAnsi="Arial"/>
                <w:sz w:val="12"/>
                <w:szCs w:val="12"/>
                <w:b w:val="1"/>
                <w:bCs w:val="1"/>
                <w:color w:val="auto"/>
                <w:w w:val="87"/>
              </w:rPr>
              <w:t>Interest, Fees, or</w:t>
            </w:r>
          </w:p>
        </w:tc>
        <w:tc>
          <w:tcPr>
            <w:tcW w:w="70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w w:val="86"/>
              </w:rPr>
              <w:t>Fair Value at</w:t>
            </w:r>
          </w:p>
        </w:tc>
        <w:tc>
          <w:tcPr>
            <w:tcW w:w="960" w:type="dxa"/>
            <w:vAlign w:val="bottom"/>
            <w:gridSpan w:val="5"/>
          </w:tcPr>
          <w:p>
            <w:pPr>
              <w:jc w:val="center"/>
              <w:ind w:right="100"/>
              <w:spacing w:after="0" w:line="134" w:lineRule="exact"/>
              <w:rPr>
                <w:sz w:val="20"/>
                <w:szCs w:val="20"/>
                <w:color w:val="auto"/>
              </w:rPr>
            </w:pPr>
            <w:r>
              <w:rPr>
                <w:rFonts w:ascii="Arial" w:cs="Arial" w:eastAsia="Arial" w:hAnsi="Arial"/>
                <w:sz w:val="12"/>
                <w:szCs w:val="12"/>
                <w:b w:val="1"/>
                <w:bCs w:val="1"/>
                <w:color w:val="auto"/>
                <w:w w:val="88"/>
              </w:rPr>
              <w:t>Capitalized Fees,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w w:val="83"/>
              </w:rPr>
              <w:t>Percentage</w:t>
            </w:r>
          </w:p>
        </w:tc>
      </w:tr>
      <w:tr>
        <w:trPr>
          <w:trHeight w:val="134"/>
        </w:trPr>
        <w:tc>
          <w:tcPr>
            <w:tcW w:w="3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Principal/</w:t>
            </w:r>
          </w:p>
        </w:tc>
        <w:tc>
          <w:tcPr>
            <w:tcW w:w="1780" w:type="dxa"/>
            <w:vAlign w:val="bottom"/>
            <w:gridSpan w:val="6"/>
          </w:tcPr>
          <w:p>
            <w:pPr>
              <w:jc w:val="right"/>
              <w:spacing w:after="0" w:line="134" w:lineRule="exact"/>
              <w:rPr>
                <w:sz w:val="20"/>
                <w:szCs w:val="20"/>
                <w:color w:val="auto"/>
              </w:rPr>
            </w:pPr>
            <w:r>
              <w:rPr>
                <w:rFonts w:ascii="Arial" w:cs="Arial" w:eastAsia="Arial" w:hAnsi="Arial"/>
                <w:sz w:val="12"/>
                <w:szCs w:val="12"/>
                <w:b w:val="1"/>
                <w:bCs w:val="1"/>
                <w:color w:val="auto"/>
                <w:w w:val="89"/>
              </w:rPr>
              <w:t>Dividends Credited December 31,</w:t>
            </w:r>
          </w:p>
        </w:tc>
        <w:tc>
          <w:tcPr>
            <w:tcW w:w="960" w:type="dxa"/>
            <w:vAlign w:val="bottom"/>
            <w:gridSpan w:val="5"/>
          </w:tcPr>
          <w:p>
            <w:pPr>
              <w:jc w:val="center"/>
              <w:ind w:right="100"/>
              <w:spacing w:after="0" w:line="134" w:lineRule="exact"/>
              <w:rPr>
                <w:sz w:val="20"/>
                <w:szCs w:val="20"/>
                <w:color w:val="auto"/>
              </w:rPr>
            </w:pPr>
            <w:r>
              <w:rPr>
                <w:rFonts w:ascii="Arial" w:cs="Arial" w:eastAsia="Arial" w:hAnsi="Arial"/>
                <w:sz w:val="12"/>
                <w:szCs w:val="12"/>
                <w:b w:val="1"/>
                <w:bCs w:val="1"/>
                <w:color w:val="auto"/>
                <w:w w:val="91"/>
              </w:rPr>
              <w:t>Interest and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Realized</w:t>
            </w:r>
          </w:p>
        </w:tc>
        <w:tc>
          <w:tcPr>
            <w:tcW w:w="760" w:type="dxa"/>
            <w:vAlign w:val="bottom"/>
            <w:gridSpan w:val="2"/>
          </w:tcPr>
          <w:p>
            <w:pPr>
              <w:jc w:val="right"/>
              <w:ind w:right="73"/>
              <w:spacing w:after="0" w:line="134" w:lineRule="exact"/>
              <w:rPr>
                <w:sz w:val="20"/>
                <w:szCs w:val="20"/>
                <w:color w:val="auto"/>
              </w:rPr>
            </w:pPr>
            <w:r>
              <w:rPr>
                <w:rFonts w:ascii="Arial" w:cs="Arial" w:eastAsia="Arial" w:hAnsi="Arial"/>
                <w:sz w:val="12"/>
                <w:szCs w:val="12"/>
                <w:b w:val="1"/>
                <w:bCs w:val="1"/>
                <w:color w:val="auto"/>
                <w:w w:val="98"/>
              </w:rPr>
              <w:t>Unrealized</w:t>
            </w:r>
          </w:p>
        </w:tc>
        <w:tc>
          <w:tcPr>
            <w:tcW w:w="74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 Net</w:t>
            </w:r>
          </w:p>
        </w:tc>
      </w:tr>
      <w:tr>
        <w:trPr>
          <w:trHeight w:val="152"/>
        </w:trPr>
        <w:tc>
          <w:tcPr>
            <w:tcW w:w="3180" w:type="dxa"/>
            <w:vAlign w:val="bottom"/>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60" w:type="dxa"/>
            <w:vAlign w:val="bottom"/>
          </w:tcPr>
          <w:p>
            <w:pPr>
              <w:spacing w:after="0"/>
              <w:rPr>
                <w:sz w:val="13"/>
                <w:szCs w:val="13"/>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Quantity</w:t>
            </w:r>
          </w:p>
        </w:tc>
        <w:tc>
          <w:tcPr>
            <w:tcW w:w="10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9"/>
              </w:rPr>
              <w:t>in Income</w:t>
            </w:r>
          </w:p>
        </w:tc>
        <w:tc>
          <w:tcPr>
            <w:tcW w:w="60" w:type="dxa"/>
            <w:vAlign w:val="bottom"/>
          </w:tcPr>
          <w:p>
            <w:pPr>
              <w:spacing w:after="0"/>
              <w:rPr>
                <w:sz w:val="13"/>
                <w:szCs w:val="13"/>
                <w:color w:val="auto"/>
              </w:rPr>
            </w:pPr>
          </w:p>
        </w:tc>
        <w:tc>
          <w:tcPr>
            <w:tcW w:w="640" w:type="dxa"/>
            <w:vAlign w:val="bottom"/>
          </w:tcPr>
          <w:p>
            <w:pPr>
              <w:jc w:val="right"/>
              <w:ind w:right="214"/>
              <w:spacing w:after="0"/>
              <w:rPr>
                <w:sz w:val="20"/>
                <w:szCs w:val="20"/>
                <w:color w:val="auto"/>
              </w:rPr>
            </w:pPr>
            <w:r>
              <w:rPr>
                <w:rFonts w:ascii="Arial" w:cs="Arial" w:eastAsia="Arial" w:hAnsi="Arial"/>
                <w:sz w:val="12"/>
                <w:szCs w:val="12"/>
                <w:b w:val="1"/>
                <w:bCs w:val="1"/>
                <w:color w:val="auto"/>
              </w:rPr>
              <w:t>2016</w:t>
            </w:r>
          </w:p>
        </w:tc>
        <w:tc>
          <w:tcPr>
            <w:tcW w:w="96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2"/>
              </w:rPr>
              <w:t>Amortization</w:t>
            </w:r>
          </w:p>
        </w:tc>
        <w:tc>
          <w:tcPr>
            <w:tcW w:w="6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2"/>
                <w:szCs w:val="12"/>
                <w:b w:val="1"/>
                <w:bCs w:val="1"/>
                <w:color w:val="auto"/>
              </w:rPr>
              <w:t>Sales</w:t>
            </w:r>
          </w:p>
        </w:tc>
        <w:tc>
          <w:tcPr>
            <w:tcW w:w="1520" w:type="dxa"/>
            <w:vAlign w:val="bottom"/>
            <w:gridSpan w:val="6"/>
          </w:tcPr>
          <w:p>
            <w:pPr>
              <w:jc w:val="right"/>
              <w:spacing w:after="0"/>
              <w:rPr>
                <w:sz w:val="20"/>
                <w:szCs w:val="20"/>
                <w:color w:val="auto"/>
              </w:rPr>
            </w:pPr>
            <w:r>
              <w:rPr>
                <w:rFonts w:ascii="Arial" w:cs="Arial" w:eastAsia="Arial" w:hAnsi="Arial"/>
                <w:sz w:val="12"/>
                <w:szCs w:val="12"/>
                <w:b w:val="1"/>
                <w:bCs w:val="1"/>
                <w:color w:val="auto"/>
                <w:w w:val="82"/>
              </w:rPr>
              <w:t>Gains/(Losses) Gains/(Losses)</w:t>
            </w:r>
          </w:p>
        </w:tc>
        <w:tc>
          <w:tcPr>
            <w:tcW w:w="6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2017</w:t>
            </w:r>
          </w:p>
        </w:tc>
        <w:tc>
          <w:tcPr>
            <w:tcW w:w="6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Assets</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3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Common Stock</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1"/>
        </w:trPr>
        <w:tc>
          <w:tcPr>
            <w:tcW w:w="3180" w:type="dxa"/>
            <w:vAlign w:val="bottom"/>
          </w:tcPr>
          <w:p>
            <w:pPr>
              <w:ind w:left="140"/>
              <w:spacing w:after="0"/>
              <w:rPr>
                <w:sz w:val="20"/>
                <w:szCs w:val="20"/>
                <w:color w:val="auto"/>
              </w:rPr>
            </w:pPr>
            <w:r>
              <w:rPr>
                <w:rFonts w:ascii="Arial" w:cs="Arial" w:eastAsia="Arial" w:hAnsi="Arial"/>
                <w:sz w:val="13"/>
                <w:szCs w:val="13"/>
                <w:i w:val="1"/>
                <w:iCs w:val="1"/>
                <w:color w:val="auto"/>
              </w:rPr>
              <w:t>Big Data Consulting</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3180" w:type="dxa"/>
            <w:vAlign w:val="bottom"/>
            <w:shd w:val="clear" w:color="auto" w:fill="CCEEFF"/>
          </w:tcPr>
          <w:p>
            <w:pPr>
              <w:ind w:left="300"/>
              <w:spacing w:after="0" w:line="212" w:lineRule="exact"/>
              <w:rPr>
                <w:sz w:val="20"/>
                <w:szCs w:val="20"/>
                <w:color w:val="auto"/>
              </w:rPr>
            </w:pPr>
            <w:r>
              <w:rPr>
                <w:rFonts w:ascii="Arial" w:cs="Arial" w:eastAsia="Arial" w:hAnsi="Arial"/>
                <w:sz w:val="13"/>
                <w:szCs w:val="13"/>
                <w:color w:val="auto"/>
                <w:w w:val="94"/>
              </w:rPr>
              <w:t>Strategic Data Command, LLC – Common shares</w:t>
            </w:r>
            <w:r>
              <w:rPr>
                <w:rFonts w:ascii="Arial" w:cs="Arial" w:eastAsia="Arial" w:hAnsi="Arial"/>
                <w:sz w:val="20"/>
                <w:szCs w:val="20"/>
                <w:color w:val="auto"/>
                <w:w w:val="94"/>
                <w:vertAlign w:val="superscript"/>
              </w:rPr>
              <w:t>(7)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108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9"/>
              </w:rPr>
              <w:t>2,052,555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w w:val="90"/>
              </w:rPr>
              <w:t>(2,514,651)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1,524,374</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0"/>
              </w:rPr>
              <w:t>(1,063,278)</w:t>
            </w:r>
          </w:p>
        </w:tc>
        <w:tc>
          <w:tcPr>
            <w:tcW w:w="74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r>
      <w:tr>
        <w:trPr>
          <w:trHeight w:val="290"/>
        </w:trPr>
        <w:tc>
          <w:tcPr>
            <w:tcW w:w="3180" w:type="dxa"/>
            <w:vAlign w:val="bottom"/>
          </w:tcPr>
          <w:p>
            <w:pPr>
              <w:ind w:left="140"/>
              <w:spacing w:after="0"/>
              <w:rPr>
                <w:sz w:val="20"/>
                <w:szCs w:val="20"/>
                <w:color w:val="auto"/>
              </w:rPr>
            </w:pPr>
            <w:r>
              <w:rPr>
                <w:rFonts w:ascii="Arial" w:cs="Arial" w:eastAsia="Arial" w:hAnsi="Arial"/>
                <w:sz w:val="13"/>
                <w:szCs w:val="13"/>
                <w:i w:val="1"/>
                <w:iCs w:val="1"/>
                <w:color w:val="auto"/>
              </w:rPr>
              <w:t>Globally-Focused Private School</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2"/>
        </w:trPr>
        <w:tc>
          <w:tcPr>
            <w:tcW w:w="3180" w:type="dxa"/>
            <w:vAlign w:val="bottom"/>
            <w:shd w:val="clear" w:color="auto" w:fill="CCEEFF"/>
          </w:tcPr>
          <w:p>
            <w:pPr>
              <w:ind w:left="300"/>
              <w:spacing w:after="0" w:line="212" w:lineRule="exact"/>
              <w:rPr>
                <w:sz w:val="20"/>
                <w:szCs w:val="20"/>
                <w:color w:val="auto"/>
              </w:rPr>
            </w:pPr>
            <w:r>
              <w:rPr>
                <w:rFonts w:ascii="Arial" w:cs="Arial" w:eastAsia="Arial" w:hAnsi="Arial"/>
                <w:sz w:val="13"/>
                <w:szCs w:val="13"/>
                <w:color w:val="auto"/>
              </w:rPr>
              <w:t>Whittle Schools, LLC – Common shares</w:t>
            </w:r>
            <w:r>
              <w:rPr>
                <w:rFonts w:ascii="Arial" w:cs="Arial" w:eastAsia="Arial" w:hAnsi="Arial"/>
                <w:sz w:val="20"/>
                <w:szCs w:val="20"/>
                <w:color w:val="auto"/>
                <w:vertAlign w:val="superscript"/>
              </w:rPr>
              <w:t>(5)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9"/>
              </w:rPr>
              <w:t>1,500,000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59,649</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w w:val="90"/>
              </w:rPr>
              <w:t>(1,575,000)</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(61,746)</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77,097</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r>
      <w:tr>
        <w:trPr>
          <w:trHeight w:val="201"/>
        </w:trPr>
        <w:tc>
          <w:tcPr>
            <w:tcW w:w="3180" w:type="dxa"/>
            <w:vAlign w:val="bottom"/>
          </w:tcPr>
          <w:p>
            <w:pPr>
              <w:spacing w:after="0"/>
              <w:rPr>
                <w:sz w:val="20"/>
                <w:szCs w:val="20"/>
                <w:color w:val="auto"/>
              </w:rPr>
            </w:pPr>
            <w:r>
              <w:rPr>
                <w:rFonts w:ascii="Arial" w:cs="Arial" w:eastAsia="Arial" w:hAnsi="Arial"/>
                <w:sz w:val="13"/>
                <w:szCs w:val="13"/>
                <w:b w:val="1"/>
                <w:bCs w:val="1"/>
                <w:color w:val="auto"/>
              </w:rPr>
              <w:t>Total Common Stock</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w w:val="89"/>
              </w:rPr>
              <w:t>3,552,555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5"/>
              </w:rPr>
              <w:t>60,649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w w:val="90"/>
              </w:rPr>
              <w:t>(4,089,651)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1,462,628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(986,181)</w:t>
            </w:r>
          </w:p>
        </w:tc>
        <w:tc>
          <w:tcPr>
            <w:tcW w:w="740" w:type="dxa"/>
            <w:vAlign w:val="bottom"/>
            <w:gridSpan w:val="4"/>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tcPr>
          <w:p>
            <w:pPr>
              <w:ind w:left="200"/>
              <w:spacing w:after="0"/>
              <w:rPr>
                <w:sz w:val="20"/>
                <w:szCs w:val="20"/>
                <w:color w:val="auto"/>
              </w:rPr>
            </w:pPr>
            <w:r>
              <w:rPr>
                <w:rFonts w:ascii="Arial" w:cs="Arial" w:eastAsia="Arial" w:hAnsi="Arial"/>
                <w:sz w:val="13"/>
                <w:szCs w:val="13"/>
                <w:color w:val="auto"/>
              </w:rPr>
              <w:t>—%</w:t>
            </w:r>
          </w:p>
        </w:tc>
      </w:tr>
      <w:tr>
        <w:trPr>
          <w:trHeight w:val="290"/>
        </w:trPr>
        <w:tc>
          <w:tcPr>
            <w:tcW w:w="3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Warrants</w:t>
            </w: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01"/>
        </w:trPr>
        <w:tc>
          <w:tcPr>
            <w:tcW w:w="3180" w:type="dxa"/>
            <w:vAlign w:val="bottom"/>
          </w:tcPr>
          <w:p>
            <w:pPr>
              <w:ind w:left="140"/>
              <w:spacing w:after="0"/>
              <w:rPr>
                <w:sz w:val="20"/>
                <w:szCs w:val="20"/>
                <w:color w:val="auto"/>
              </w:rPr>
            </w:pPr>
            <w:r>
              <w:rPr>
                <w:rFonts w:ascii="Arial" w:cs="Arial" w:eastAsia="Arial" w:hAnsi="Arial"/>
                <w:sz w:val="13"/>
                <w:szCs w:val="13"/>
                <w:i w:val="1"/>
                <w:iCs w:val="1"/>
                <w:color w:val="auto"/>
              </w:rPr>
              <w:t>Sports Analytics</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2"/>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Circle Media (f/k/a S3 Digital Corp.</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31"/>
        </w:trPr>
        <w:tc>
          <w:tcPr>
            <w:tcW w:w="3180" w:type="dxa"/>
            <w:vAlign w:val="bottom"/>
            <w:shd w:val="clear" w:color="auto" w:fill="CCEEFF"/>
          </w:tcPr>
          <w:p>
            <w:pPr>
              <w:ind w:left="440"/>
              <w:spacing w:after="0" w:line="131" w:lineRule="exact"/>
              <w:rPr>
                <w:sz w:val="20"/>
                <w:szCs w:val="20"/>
                <w:color w:val="auto"/>
              </w:rPr>
            </w:pPr>
            <w:r>
              <w:rPr>
                <w:rFonts w:ascii="Arial" w:cs="Arial" w:eastAsia="Arial" w:hAnsi="Arial"/>
                <w:sz w:val="13"/>
                <w:szCs w:val="13"/>
                <w:color w:val="auto"/>
              </w:rPr>
              <w:t>(d/b/a S3i)) – Preferred warrants, $1.17 Strike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3180" w:type="dxa"/>
            <w:vAlign w:val="bottom"/>
            <w:shd w:val="clear" w:color="auto" w:fill="CCEEFF"/>
          </w:tcPr>
          <w:p>
            <w:pPr>
              <w:ind w:left="440"/>
              <w:spacing w:after="0" w:line="167" w:lineRule="exact"/>
              <w:rPr>
                <w:sz w:val="20"/>
                <w:szCs w:val="20"/>
                <w:color w:val="auto"/>
              </w:rPr>
            </w:pPr>
            <w:r>
              <w:rPr>
                <w:rFonts w:ascii="Arial" w:cs="Arial" w:eastAsia="Arial" w:hAnsi="Arial"/>
                <w:sz w:val="13"/>
                <w:szCs w:val="13"/>
                <w:color w:val="auto"/>
              </w:rPr>
              <w:t>Price, Expiration Date 11/18/2022</w:t>
            </w:r>
            <w:r>
              <w:rPr>
                <w:rFonts w:ascii="Arial" w:cs="Arial" w:eastAsia="Arial" w:hAnsi="Arial"/>
                <w:sz w:val="19"/>
                <w:szCs w:val="19"/>
                <w:color w:val="auto"/>
                <w:vertAlign w:val="superscript"/>
              </w:rPr>
              <w:t>(13)</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108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(576)</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576</w:t>
            </w:r>
          </w:p>
        </w:tc>
        <w:tc>
          <w:tcPr>
            <w:tcW w:w="74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r>
      <w:tr>
        <w:trPr>
          <w:trHeight w:val="192"/>
        </w:trPr>
        <w:tc>
          <w:tcPr>
            <w:tcW w:w="3180" w:type="dxa"/>
            <w:vAlign w:val="bottom"/>
          </w:tcPr>
          <w:p>
            <w:pPr>
              <w:ind w:left="300"/>
              <w:spacing w:after="0"/>
              <w:rPr>
                <w:sz w:val="20"/>
                <w:szCs w:val="20"/>
                <w:color w:val="auto"/>
              </w:rPr>
            </w:pPr>
            <w:r>
              <w:rPr>
                <w:rFonts w:ascii="Arial" w:cs="Arial" w:eastAsia="Arial" w:hAnsi="Arial"/>
                <w:sz w:val="13"/>
                <w:szCs w:val="13"/>
                <w:color w:val="auto"/>
              </w:rPr>
              <w:t>Circle Media (f/k/a S3 Digital Corp. (d/b/a S3i)) –</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1"/>
        </w:trPr>
        <w:tc>
          <w:tcPr>
            <w:tcW w:w="3180" w:type="dxa"/>
            <w:vAlign w:val="bottom"/>
          </w:tcPr>
          <w:p>
            <w:pPr>
              <w:ind w:left="440"/>
              <w:spacing w:after="0" w:line="131" w:lineRule="exact"/>
              <w:rPr>
                <w:sz w:val="20"/>
                <w:szCs w:val="20"/>
                <w:color w:val="auto"/>
              </w:rPr>
            </w:pPr>
            <w:r>
              <w:rPr>
                <w:rFonts w:ascii="Arial" w:cs="Arial" w:eastAsia="Arial" w:hAnsi="Arial"/>
                <w:sz w:val="13"/>
                <w:szCs w:val="13"/>
                <w:color w:val="auto"/>
                <w:w w:val="96"/>
              </w:rPr>
              <w:t>Preferred warrants, $1.17 Strike Price, Expiration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3180" w:type="dxa"/>
            <w:vAlign w:val="bottom"/>
          </w:tcPr>
          <w:p>
            <w:pPr>
              <w:ind w:left="440"/>
              <w:spacing w:after="0" w:line="167" w:lineRule="exact"/>
              <w:rPr>
                <w:sz w:val="20"/>
                <w:szCs w:val="20"/>
                <w:color w:val="auto"/>
              </w:rPr>
            </w:pPr>
            <w:r>
              <w:rPr>
                <w:rFonts w:ascii="Arial" w:cs="Arial" w:eastAsia="Arial" w:hAnsi="Arial"/>
                <w:sz w:val="13"/>
                <w:szCs w:val="13"/>
                <w:color w:val="auto"/>
              </w:rPr>
              <w:t>Date 8/29/2021</w:t>
            </w:r>
            <w:r>
              <w:rPr>
                <w:rFonts w:ascii="Arial" w:cs="Arial" w:eastAsia="Arial" w:hAnsi="Arial"/>
                <w:sz w:val="19"/>
                <w:szCs w:val="19"/>
                <w:color w:val="auto"/>
                <w:vertAlign w:val="superscript"/>
              </w:rPr>
              <w:t>(13)</w:t>
            </w:r>
          </w:p>
        </w:tc>
        <w:tc>
          <w:tcPr>
            <w:tcW w:w="6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7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tcPr>
          <w:p>
            <w:pPr>
              <w:ind w:left="200"/>
              <w:spacing w:after="0"/>
              <w:rPr>
                <w:sz w:val="20"/>
                <w:szCs w:val="20"/>
                <w:color w:val="auto"/>
              </w:rPr>
            </w:pPr>
            <w:r>
              <w:rPr>
                <w:rFonts w:ascii="Arial" w:cs="Arial" w:eastAsia="Arial" w:hAnsi="Arial"/>
                <w:sz w:val="13"/>
                <w:szCs w:val="13"/>
                <w:color w:val="auto"/>
              </w:rPr>
              <w:t>—%</w:t>
            </w:r>
          </w:p>
        </w:tc>
      </w:tr>
      <w:tr>
        <w:trPr>
          <w:trHeight w:val="192"/>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Circle Media (f/k/a S3 Digital Corp. (d/b/a S3i)) –</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31"/>
        </w:trPr>
        <w:tc>
          <w:tcPr>
            <w:tcW w:w="3180" w:type="dxa"/>
            <w:vAlign w:val="bottom"/>
            <w:shd w:val="clear" w:color="auto" w:fill="CCEEFF"/>
          </w:tcPr>
          <w:p>
            <w:pPr>
              <w:ind w:left="440"/>
              <w:spacing w:after="0" w:line="131" w:lineRule="exact"/>
              <w:rPr>
                <w:sz w:val="20"/>
                <w:szCs w:val="20"/>
                <w:color w:val="auto"/>
              </w:rPr>
            </w:pPr>
            <w:r>
              <w:rPr>
                <w:rFonts w:ascii="Arial" w:cs="Arial" w:eastAsia="Arial" w:hAnsi="Arial"/>
                <w:sz w:val="13"/>
                <w:szCs w:val="13"/>
                <w:color w:val="auto"/>
                <w:w w:val="96"/>
              </w:rPr>
              <w:t>Preferred warrants, $1.17 Strike Price, Expiration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3180" w:type="dxa"/>
            <w:vAlign w:val="bottom"/>
            <w:shd w:val="clear" w:color="auto" w:fill="CCEEFF"/>
          </w:tcPr>
          <w:p>
            <w:pPr>
              <w:ind w:left="440"/>
              <w:spacing w:after="0" w:line="167" w:lineRule="exact"/>
              <w:rPr>
                <w:sz w:val="20"/>
                <w:szCs w:val="20"/>
                <w:color w:val="auto"/>
              </w:rPr>
            </w:pPr>
            <w:r>
              <w:rPr>
                <w:rFonts w:ascii="Arial" w:cs="Arial" w:eastAsia="Arial" w:hAnsi="Arial"/>
                <w:sz w:val="13"/>
                <w:szCs w:val="13"/>
                <w:color w:val="auto"/>
              </w:rPr>
              <w:t>Date 6/26/2021</w:t>
            </w:r>
            <w:r>
              <w:rPr>
                <w:rFonts w:ascii="Arial" w:cs="Arial" w:eastAsia="Arial" w:hAnsi="Arial"/>
                <w:sz w:val="19"/>
                <w:szCs w:val="19"/>
                <w:color w:val="auto"/>
                <w:vertAlign w:val="superscript"/>
              </w:rPr>
              <w:t>(13)</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r>
      <w:tr>
        <w:trPr>
          <w:trHeight w:val="192"/>
        </w:trPr>
        <w:tc>
          <w:tcPr>
            <w:tcW w:w="3180" w:type="dxa"/>
            <w:vAlign w:val="bottom"/>
          </w:tcPr>
          <w:p>
            <w:pPr>
              <w:ind w:left="300"/>
              <w:spacing w:after="0"/>
              <w:rPr>
                <w:sz w:val="20"/>
                <w:szCs w:val="20"/>
                <w:color w:val="auto"/>
              </w:rPr>
            </w:pPr>
            <w:r>
              <w:rPr>
                <w:rFonts w:ascii="Arial" w:cs="Arial" w:eastAsia="Arial" w:hAnsi="Arial"/>
                <w:sz w:val="13"/>
                <w:szCs w:val="13"/>
                <w:color w:val="auto"/>
              </w:rPr>
              <w:t>Circle Media (f/k/a S3 Digital Corp. (d/b/a S3i)) –</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1"/>
        </w:trPr>
        <w:tc>
          <w:tcPr>
            <w:tcW w:w="3180" w:type="dxa"/>
            <w:vAlign w:val="bottom"/>
          </w:tcPr>
          <w:p>
            <w:pPr>
              <w:ind w:left="440"/>
              <w:spacing w:after="0" w:line="131" w:lineRule="exact"/>
              <w:rPr>
                <w:sz w:val="20"/>
                <w:szCs w:val="20"/>
                <w:color w:val="auto"/>
              </w:rPr>
            </w:pPr>
            <w:r>
              <w:rPr>
                <w:rFonts w:ascii="Arial" w:cs="Arial" w:eastAsia="Arial" w:hAnsi="Arial"/>
                <w:sz w:val="13"/>
                <w:szCs w:val="13"/>
                <w:color w:val="auto"/>
                <w:w w:val="96"/>
              </w:rPr>
              <w:t>Preferred warrants, $1.17 Strike Price, Expiration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3180" w:type="dxa"/>
            <w:vAlign w:val="bottom"/>
          </w:tcPr>
          <w:p>
            <w:pPr>
              <w:ind w:left="440"/>
              <w:spacing w:after="0" w:line="167" w:lineRule="exact"/>
              <w:rPr>
                <w:sz w:val="20"/>
                <w:szCs w:val="20"/>
                <w:color w:val="auto"/>
              </w:rPr>
            </w:pPr>
            <w:r>
              <w:rPr>
                <w:rFonts w:ascii="Arial" w:cs="Arial" w:eastAsia="Arial" w:hAnsi="Arial"/>
                <w:sz w:val="13"/>
                <w:szCs w:val="13"/>
                <w:color w:val="auto"/>
              </w:rPr>
              <w:t>Date 9/30/2020</w:t>
            </w:r>
            <w:r>
              <w:rPr>
                <w:rFonts w:ascii="Arial" w:cs="Arial" w:eastAsia="Arial" w:hAnsi="Arial"/>
                <w:sz w:val="19"/>
                <w:szCs w:val="19"/>
                <w:color w:val="auto"/>
                <w:vertAlign w:val="superscript"/>
              </w:rPr>
              <w:t>(13)</w:t>
            </w:r>
          </w:p>
        </w:tc>
        <w:tc>
          <w:tcPr>
            <w:tcW w:w="6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7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tcPr>
          <w:p>
            <w:pPr>
              <w:ind w:left="200"/>
              <w:spacing w:after="0"/>
              <w:rPr>
                <w:sz w:val="20"/>
                <w:szCs w:val="20"/>
                <w:color w:val="auto"/>
              </w:rPr>
            </w:pPr>
            <w:r>
              <w:rPr>
                <w:rFonts w:ascii="Arial" w:cs="Arial" w:eastAsia="Arial" w:hAnsi="Arial"/>
                <w:sz w:val="13"/>
                <w:szCs w:val="13"/>
                <w:color w:val="auto"/>
              </w:rPr>
              <w:t>—%</w:t>
            </w:r>
          </w:p>
        </w:tc>
      </w:tr>
      <w:tr>
        <w:trPr>
          <w:trHeight w:val="192"/>
        </w:trPr>
        <w:tc>
          <w:tcPr>
            <w:tcW w:w="31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Circle Media (f/k/a S3 Digital Corp. (d/b/a S3i)) –</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31"/>
        </w:trPr>
        <w:tc>
          <w:tcPr>
            <w:tcW w:w="3180" w:type="dxa"/>
            <w:vAlign w:val="bottom"/>
            <w:shd w:val="clear" w:color="auto" w:fill="CCEEFF"/>
          </w:tcPr>
          <w:p>
            <w:pPr>
              <w:ind w:left="440"/>
              <w:spacing w:after="0" w:line="131" w:lineRule="exact"/>
              <w:rPr>
                <w:sz w:val="20"/>
                <w:szCs w:val="20"/>
                <w:color w:val="auto"/>
              </w:rPr>
            </w:pPr>
            <w:r>
              <w:rPr>
                <w:rFonts w:ascii="Arial" w:cs="Arial" w:eastAsia="Arial" w:hAnsi="Arial"/>
                <w:sz w:val="13"/>
                <w:szCs w:val="13"/>
                <w:color w:val="auto"/>
                <w:w w:val="96"/>
              </w:rPr>
              <w:t>Preferred warrants, $1.00 Strike Price, Expiration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201"/>
        </w:trPr>
        <w:tc>
          <w:tcPr>
            <w:tcW w:w="3180" w:type="dxa"/>
            <w:vAlign w:val="bottom"/>
            <w:shd w:val="clear" w:color="auto" w:fill="CCEEFF"/>
          </w:tcPr>
          <w:p>
            <w:pPr>
              <w:ind w:left="440"/>
              <w:spacing w:after="0" w:line="201" w:lineRule="exact"/>
              <w:rPr>
                <w:sz w:val="20"/>
                <w:szCs w:val="20"/>
                <w:color w:val="auto"/>
              </w:rPr>
            </w:pPr>
            <w:r>
              <w:rPr>
                <w:rFonts w:ascii="Arial" w:cs="Arial" w:eastAsia="Arial" w:hAnsi="Arial"/>
                <w:sz w:val="13"/>
                <w:szCs w:val="13"/>
                <w:color w:val="auto"/>
              </w:rPr>
              <w:t>Date 11/21/2017</w:t>
            </w:r>
            <w:r>
              <w:rPr>
                <w:rFonts w:ascii="Arial" w:cs="Arial" w:eastAsia="Arial" w:hAnsi="Arial"/>
                <w:sz w:val="20"/>
                <w:szCs w:val="20"/>
                <w:color w:val="auto"/>
                <w:vertAlign w:val="superscript"/>
              </w:rPr>
              <w:t>(13)</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(31,354)</w:t>
            </w: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31,354</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210"/>
        </w:trPr>
        <w:tc>
          <w:tcPr>
            <w:tcW w:w="3180" w:type="dxa"/>
            <w:vAlign w:val="bottom"/>
          </w:tcPr>
          <w:p>
            <w:pPr>
              <w:ind w:left="140"/>
              <w:spacing w:after="0"/>
              <w:rPr>
                <w:sz w:val="20"/>
                <w:szCs w:val="20"/>
                <w:color w:val="auto"/>
              </w:rPr>
            </w:pPr>
            <w:r>
              <w:rPr>
                <w:rFonts w:ascii="Arial" w:cs="Arial" w:eastAsia="Arial" w:hAnsi="Arial"/>
                <w:sz w:val="13"/>
                <w:szCs w:val="13"/>
                <w:i w:val="1"/>
                <w:iCs w:val="1"/>
                <w:color w:val="auto"/>
              </w:rPr>
              <w:t>Total Sports Analytics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(31,930)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31,930</w:t>
            </w:r>
          </w:p>
        </w:tc>
        <w:tc>
          <w:tcPr>
            <w:tcW w:w="240" w:type="dxa"/>
            <w:vAlign w:val="bottom"/>
          </w:tcPr>
          <w:p>
            <w:pPr>
              <w:spacing w:after="0"/>
              <w:rPr>
                <w:sz w:val="18"/>
                <w:szCs w:val="18"/>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560" w:type="dxa"/>
            <w:vAlign w:val="bottom"/>
          </w:tcPr>
          <w:p>
            <w:pPr>
              <w:ind w:left="2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6595745</wp:posOffset>
            </wp:positionH>
            <wp:positionV relativeFrom="paragraph">
              <wp:posOffset>-2873375</wp:posOffset>
            </wp:positionV>
            <wp:extent cx="2857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-2873375</wp:posOffset>
            </wp:positionV>
            <wp:extent cx="2857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-2873375</wp:posOffset>
            </wp:positionV>
            <wp:extent cx="2857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-2873375</wp:posOffset>
            </wp:positionV>
            <wp:extent cx="2857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-2873375</wp:posOffset>
            </wp:positionV>
            <wp:extent cx="2857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-2873375</wp:posOffset>
            </wp:positionV>
            <wp:extent cx="2857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-2873375</wp:posOffset>
            </wp:positionV>
            <wp:extent cx="2857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-2873375</wp:posOffset>
            </wp:positionV>
            <wp:extent cx="2857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-2873375</wp:posOffset>
            </wp:positionV>
            <wp:extent cx="2857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17" w:name="page118"/>
    <w:bookmarkEnd w:id="11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84"/>
              </w:rPr>
              <w:t>Purchases,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5"/>
          </w:tcPr>
          <w:p>
            <w:pPr>
              <w:jc w:val="center"/>
              <w:ind w:right="40"/>
              <w:spacing w:after="0" w:line="134" w:lineRule="exact"/>
              <w:rPr>
                <w:sz w:val="20"/>
                <w:szCs w:val="20"/>
                <w:color w:val="auto"/>
              </w:rPr>
            </w:pPr>
            <w:r>
              <w:rPr>
                <w:rFonts w:ascii="Arial" w:cs="Arial" w:eastAsia="Arial" w:hAnsi="Arial"/>
                <w:sz w:val="12"/>
                <w:szCs w:val="12"/>
                <w:b w:val="1"/>
                <w:bCs w:val="1"/>
                <w:color w:val="auto"/>
                <w:w w:val="87"/>
              </w:rPr>
              <w:t>Interest, Fees, or</w:t>
            </w:r>
          </w:p>
        </w:tc>
        <w:tc>
          <w:tcPr>
            <w:tcW w:w="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8"/>
              </w:rPr>
              <w:t>Fair Value at</w:t>
            </w:r>
          </w:p>
        </w:tc>
        <w:tc>
          <w:tcPr>
            <w:tcW w:w="900" w:type="dxa"/>
            <w:vAlign w:val="bottom"/>
            <w:gridSpan w:val="5"/>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Capitalized Fees,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Fair Value at</w:t>
            </w:r>
          </w:p>
        </w:tc>
        <w:tc>
          <w:tcPr>
            <w:tcW w:w="56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Principal/</w:t>
            </w:r>
          </w:p>
        </w:tc>
        <w:tc>
          <w:tcPr>
            <w:tcW w:w="1780" w:type="dxa"/>
            <w:vAlign w:val="bottom"/>
            <w:gridSpan w:val="9"/>
          </w:tcPr>
          <w:p>
            <w:pPr>
              <w:spacing w:after="0" w:line="134" w:lineRule="exact"/>
              <w:rPr>
                <w:sz w:val="20"/>
                <w:szCs w:val="20"/>
                <w:color w:val="auto"/>
              </w:rPr>
            </w:pPr>
            <w:r>
              <w:rPr>
                <w:rFonts w:ascii="Arial" w:cs="Arial" w:eastAsia="Arial" w:hAnsi="Arial"/>
                <w:sz w:val="12"/>
                <w:szCs w:val="12"/>
                <w:b w:val="1"/>
                <w:bCs w:val="1"/>
                <w:color w:val="auto"/>
                <w:w w:val="92"/>
              </w:rPr>
              <w:t>Dividends Credited December 31,</w:t>
            </w:r>
          </w:p>
        </w:tc>
        <w:tc>
          <w:tcPr>
            <w:tcW w:w="900" w:type="dxa"/>
            <w:vAlign w:val="bottom"/>
            <w:gridSpan w:val="5"/>
          </w:tcPr>
          <w:p>
            <w:pPr>
              <w:jc w:val="center"/>
              <w:ind w:right="40"/>
              <w:spacing w:after="0" w:line="134" w:lineRule="exact"/>
              <w:rPr>
                <w:sz w:val="20"/>
                <w:szCs w:val="20"/>
                <w:color w:val="auto"/>
              </w:rPr>
            </w:pPr>
            <w:r>
              <w:rPr>
                <w:rFonts w:ascii="Arial" w:cs="Arial" w:eastAsia="Arial" w:hAnsi="Arial"/>
                <w:sz w:val="12"/>
                <w:szCs w:val="12"/>
                <w:b w:val="1"/>
                <w:bCs w:val="1"/>
                <w:color w:val="auto"/>
                <w:w w:val="91"/>
              </w:rPr>
              <w:t>Interest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4" w:lineRule="exact"/>
              <w:rPr>
                <w:sz w:val="20"/>
                <w:szCs w:val="20"/>
                <w:color w:val="auto"/>
              </w:rPr>
            </w:pPr>
            <w:r>
              <w:rPr>
                <w:rFonts w:ascii="Arial" w:cs="Arial" w:eastAsia="Arial" w:hAnsi="Arial"/>
                <w:sz w:val="12"/>
                <w:szCs w:val="12"/>
                <w:b w:val="1"/>
                <w:bCs w:val="1"/>
                <w:color w:val="auto"/>
                <w:w w:val="88"/>
              </w:rPr>
              <w:t>Unrealized</w:t>
            </w:r>
          </w:p>
        </w:tc>
        <w:tc>
          <w:tcPr>
            <w:tcW w:w="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2"/>
              </w:rPr>
              <w:t>December 31,</w:t>
            </w:r>
          </w:p>
        </w:tc>
        <w:tc>
          <w:tcPr>
            <w:tcW w:w="560" w:type="dxa"/>
            <w:vAlign w:val="bottom"/>
            <w:gridSpan w:val="3"/>
          </w:tcPr>
          <w:p>
            <w:pPr>
              <w:jc w:val="right"/>
              <w:ind w:right="140"/>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2"/>
        </w:trPr>
        <w:tc>
          <w:tcPr>
            <w:tcW w:w="3200" w:type="dxa"/>
            <w:vAlign w:val="bottom"/>
            <w:gridSpan w:val="2"/>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40" w:type="dxa"/>
            <w:vAlign w:val="bottom"/>
          </w:tcPr>
          <w:p>
            <w:pPr>
              <w:spacing w:after="0"/>
              <w:rPr>
                <w:sz w:val="13"/>
                <w:szCs w:val="13"/>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Quantity</w:t>
            </w: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80" w:type="dxa"/>
            <w:vAlign w:val="bottom"/>
          </w:tcPr>
          <w:p>
            <w:pPr>
              <w:spacing w:after="0"/>
              <w:rPr>
                <w:sz w:val="13"/>
                <w:szCs w:val="13"/>
                <w:color w:val="auto"/>
              </w:rPr>
            </w:pPr>
          </w:p>
        </w:tc>
        <w:tc>
          <w:tcPr>
            <w:tcW w:w="600" w:type="dxa"/>
            <w:vAlign w:val="bottom"/>
          </w:tcPr>
          <w:p>
            <w:pPr>
              <w:jc w:val="right"/>
              <w:ind w:right="155"/>
              <w:spacing w:after="0"/>
              <w:rPr>
                <w:sz w:val="20"/>
                <w:szCs w:val="20"/>
                <w:color w:val="auto"/>
              </w:rPr>
            </w:pPr>
            <w:r>
              <w:rPr>
                <w:rFonts w:ascii="Arial" w:cs="Arial" w:eastAsia="Arial" w:hAnsi="Arial"/>
                <w:sz w:val="12"/>
                <w:szCs w:val="12"/>
                <w:b w:val="1"/>
                <w:bCs w:val="1"/>
                <w:color w:val="auto"/>
              </w:rPr>
              <w:t>2016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2"/>
              </w:rPr>
              <w:t>Amortization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Sales</w:t>
            </w:r>
          </w:p>
        </w:tc>
        <w:tc>
          <w:tcPr>
            <w:tcW w:w="1580" w:type="dxa"/>
            <w:vAlign w:val="bottom"/>
            <w:gridSpan w:val="9"/>
          </w:tcPr>
          <w:p>
            <w:pPr>
              <w:jc w:val="right"/>
              <w:ind w:right="60"/>
              <w:spacing w:after="0"/>
              <w:rPr>
                <w:sz w:val="20"/>
                <w:szCs w:val="20"/>
                <w:color w:val="auto"/>
              </w:rPr>
            </w:pPr>
            <w:r>
              <w:rPr>
                <w:rFonts w:ascii="Arial" w:cs="Arial" w:eastAsia="Arial" w:hAnsi="Arial"/>
                <w:sz w:val="12"/>
                <w:szCs w:val="12"/>
                <w:b w:val="1"/>
                <w:bCs w:val="1"/>
                <w:color w:val="auto"/>
                <w:w w:val="85"/>
              </w:rPr>
              <w:t>Gains/(Losses) Gains/(Losses)</w:t>
            </w:r>
          </w:p>
        </w:tc>
        <w:tc>
          <w:tcPr>
            <w:tcW w:w="80" w:type="dxa"/>
            <w:vAlign w:val="bottom"/>
          </w:tcPr>
          <w:p>
            <w:pPr>
              <w:spacing w:after="0"/>
              <w:rPr>
                <w:sz w:val="13"/>
                <w:szCs w:val="13"/>
                <w:color w:val="auto"/>
              </w:rPr>
            </w:pPr>
          </w:p>
        </w:tc>
        <w:tc>
          <w:tcPr>
            <w:tcW w:w="600" w:type="dxa"/>
            <w:vAlign w:val="bottom"/>
          </w:tcPr>
          <w:p>
            <w:pPr>
              <w:jc w:val="right"/>
              <w:ind w:right="155"/>
              <w:spacing w:after="0"/>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
        </w:trPr>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Corporate Education</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0" w:type="dxa"/>
            <w:vAlign w:val="bottom"/>
            <w:gridSpan w:val="2"/>
          </w:tcPr>
          <w:p>
            <w:pPr>
              <w:ind w:left="300"/>
              <w:spacing w:after="0"/>
              <w:rPr>
                <w:sz w:val="20"/>
                <w:szCs w:val="20"/>
                <w:color w:val="auto"/>
              </w:rPr>
            </w:pPr>
            <w:r>
              <w:rPr>
                <w:rFonts w:ascii="Arial" w:cs="Arial" w:eastAsia="Arial" w:hAnsi="Arial"/>
                <w:sz w:val="13"/>
                <w:szCs w:val="13"/>
                <w:color w:val="auto"/>
              </w:rPr>
              <w:t>CUX, Inc. (d/b/a CorpU) -Preferred warrants,</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00" w:type="dxa"/>
            <w:vAlign w:val="bottom"/>
            <w:gridSpan w:val="2"/>
          </w:tcPr>
          <w:p>
            <w:pPr>
              <w:ind w:left="440"/>
              <w:spacing w:after="0" w:line="134" w:lineRule="exact"/>
              <w:rPr>
                <w:sz w:val="20"/>
                <w:szCs w:val="20"/>
                <w:color w:val="auto"/>
              </w:rPr>
            </w:pPr>
            <w:r>
              <w:rPr>
                <w:rFonts w:ascii="Arial" w:cs="Arial" w:eastAsia="Arial" w:hAnsi="Arial"/>
                <w:sz w:val="13"/>
                <w:szCs w:val="13"/>
                <w:color w:val="auto"/>
              </w:rPr>
              <w:t>Series D, Strike Price $4.59, Expiration Date</w:t>
            </w:r>
          </w:p>
        </w:tc>
        <w:tc>
          <w:tcPr>
            <w:tcW w:w="66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16,903</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4,395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(2,029)</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2,366</w:t>
            </w:r>
          </w:p>
        </w:tc>
        <w:tc>
          <w:tcPr>
            <w:tcW w:w="60" w:type="dxa"/>
            <w:vAlign w:val="bottom"/>
          </w:tcPr>
          <w:p>
            <w:pPr>
              <w:spacing w:after="0"/>
              <w:rPr>
                <w:sz w:val="11"/>
                <w:szCs w:val="1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54"/>
        </w:trPr>
        <w:tc>
          <w:tcPr>
            <w:tcW w:w="1600" w:type="dxa"/>
            <w:vAlign w:val="bottom"/>
          </w:tcPr>
          <w:p>
            <w:pPr>
              <w:ind w:left="440"/>
              <w:spacing w:after="0"/>
              <w:rPr>
                <w:sz w:val="20"/>
                <w:szCs w:val="20"/>
                <w:color w:val="auto"/>
              </w:rPr>
            </w:pPr>
            <w:r>
              <w:rPr>
                <w:rFonts w:ascii="Arial" w:cs="Arial" w:eastAsia="Arial" w:hAnsi="Arial"/>
                <w:sz w:val="13"/>
                <w:szCs w:val="13"/>
                <w:color w:val="auto"/>
              </w:rPr>
              <w:t>2/25/2018</w:t>
            </w:r>
          </w:p>
        </w:tc>
        <w:tc>
          <w:tcPr>
            <w:tcW w:w="16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Social Media</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ind w:left="300"/>
              <w:spacing w:after="0"/>
              <w:rPr>
                <w:sz w:val="20"/>
                <w:szCs w:val="20"/>
                <w:color w:val="auto"/>
              </w:rPr>
            </w:pPr>
            <w:r>
              <w:rPr>
                <w:rFonts w:ascii="Arial" w:cs="Arial" w:eastAsia="Arial" w:hAnsi="Arial"/>
                <w:sz w:val="13"/>
                <w:szCs w:val="13"/>
                <w:color w:val="auto"/>
                <w:w w:val="94"/>
              </w:rPr>
              <w:t>AlwaysOn, Inc. – Preferred Warrants Series A, $1.00</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ind w:left="440"/>
              <w:spacing w:after="0" w:line="167" w:lineRule="exact"/>
              <w:rPr>
                <w:sz w:val="20"/>
                <w:szCs w:val="20"/>
                <w:color w:val="auto"/>
              </w:rPr>
            </w:pPr>
            <w:r>
              <w:rPr>
                <w:rFonts w:ascii="Arial" w:cs="Arial" w:eastAsia="Arial" w:hAnsi="Arial"/>
                <w:sz w:val="13"/>
                <w:szCs w:val="13"/>
                <w:color w:val="auto"/>
              </w:rPr>
              <w:t xml:space="preserve">strike price, expire 1/9/2017 </w:t>
            </w:r>
            <w:r>
              <w:rPr>
                <w:rFonts w:ascii="Arial" w:cs="Arial" w:eastAsia="Arial" w:hAnsi="Arial"/>
                <w:sz w:val="19"/>
                <w:szCs w:val="19"/>
                <w:color w:val="auto"/>
                <w:vertAlign w:val="superscript"/>
              </w:rPr>
              <w:t>(10)</w:t>
            </w:r>
          </w:p>
        </w:tc>
        <w:tc>
          <w:tcPr>
            <w:tcW w:w="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6"/>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Warrants</w:t>
            </w: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(31,930)</w:t>
            </w:r>
          </w:p>
        </w:tc>
        <w:tc>
          <w:tcPr>
            <w:tcW w:w="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2,366</w:t>
            </w: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6"/>
        </w:trPr>
        <w:tc>
          <w:tcPr>
            <w:tcW w:w="320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TOTAL NON-CONTROLLED/AFFILIATE</w:t>
            </w:r>
          </w:p>
        </w:tc>
        <w:tc>
          <w:tcPr>
            <w:tcW w:w="4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gridSpan w:val="2"/>
          </w:tcPr>
          <w:p>
            <w:pPr>
              <w:ind w:left="140"/>
              <w:spacing w:after="0" w:line="189"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20"/>
                <w:szCs w:val="20"/>
                <w:b w:val="1"/>
                <w:bCs w:val="1"/>
                <w:color w:val="auto"/>
                <w:vertAlign w:val="superscript"/>
              </w:rPr>
              <w:t>(1)</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0"/>
              </w:rPr>
              <w:t>59,460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b w:val="1"/>
                <w:bCs w:val="1"/>
                <w:u w:val="single" w:color="auto"/>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9"/>
              </w:rPr>
              <w:t>42,444,690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9"/>
              </w:rPr>
              <w:t>278,069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(7,089,651)</w:t>
            </w:r>
          </w:p>
        </w:tc>
        <w:tc>
          <w:tcPr>
            <w:tcW w:w="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78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95"/>
              </w:rPr>
              <w:t>(3,075,494) $</w:t>
            </w: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(16,084,516)</w:t>
            </w:r>
            <w:r>
              <w:rPr>
                <w:rFonts w:ascii="Arial" w:cs="Arial" w:eastAsia="Arial" w:hAnsi="Arial"/>
                <w:sz w:val="13"/>
                <w:szCs w:val="13"/>
                <w:b w:val="1"/>
                <w:bCs w:val="1"/>
                <w:u w:val="single" w:color="auto"/>
                <w:color w:val="auto"/>
                <w:w w:val="93"/>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9"/>
              </w:rPr>
              <w:t>16,473,098</w:t>
            </w:r>
          </w:p>
        </w:tc>
        <w:tc>
          <w:tcPr>
            <w:tcW w:w="6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8.04%</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0" w:type="dxa"/>
            <w:vAlign w:val="bottom"/>
            <w:tcBorders>
              <w:bottom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-389255</wp:posOffset>
            </wp:positionV>
            <wp:extent cx="3556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-1310005</wp:posOffset>
            </wp:positionV>
            <wp:extent cx="2857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-1310005</wp:posOffset>
            </wp:positionV>
            <wp:extent cx="2857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-1310005</wp:posOffset>
            </wp:positionV>
            <wp:extent cx="2857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-1310005</wp:posOffset>
            </wp:positionV>
            <wp:extent cx="2857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-1310005</wp:posOffset>
            </wp:positionV>
            <wp:extent cx="2857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-1310005</wp:posOffset>
            </wp:positionV>
            <wp:extent cx="2857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-1310005</wp:posOffset>
            </wp:positionV>
            <wp:extent cx="2857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-1310005</wp:posOffset>
            </wp:positionV>
            <wp:extent cx="2857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-1310005</wp:posOffset>
            </wp:positionV>
            <wp:extent cx="2857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92" w:lineRule="exact"/>
        <w:rPr>
          <w:sz w:val="20"/>
          <w:szCs w:val="20"/>
          <w:color w:val="auto"/>
        </w:rPr>
      </w:pPr>
    </w:p>
    <w:p>
      <w:pPr>
        <w:ind w:left="1040" w:right="80" w:hanging="306"/>
        <w:spacing w:after="0" w:line="254" w:lineRule="auto"/>
        <w:tabs>
          <w:tab w:leader="none" w:pos="10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80" w:lineRule="exact"/>
        <w:rPr>
          <w:sz w:val="20"/>
          <w:szCs w:val="20"/>
          <w:color w:val="auto"/>
        </w:rPr>
      </w:pPr>
    </w:p>
    <w:p>
      <w:pPr>
        <w:ind w:left="1040" w:hanging="306"/>
        <w:spacing w:after="0"/>
        <w:tabs>
          <w:tab w:leader="none" w:pos="10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Indicates assets that GSV Capital Corp. believes do not represent “qualifying assets” under Section 55(a) of the 1940 Act.</w:t>
      </w:r>
    </w:p>
    <w:p>
      <w:pPr>
        <w:spacing w:after="0" w:line="95" w:lineRule="exact"/>
        <w:rPr>
          <w:rFonts w:ascii="Arial" w:cs="Arial" w:eastAsia="Arial" w:hAnsi="Arial"/>
          <w:sz w:val="15"/>
          <w:szCs w:val="15"/>
          <w:color w:val="auto"/>
        </w:rPr>
      </w:pPr>
    </w:p>
    <w:p>
      <w:pPr>
        <w:ind w:left="1040" w:hanging="306"/>
        <w:spacing w:after="0"/>
        <w:tabs>
          <w:tab w:leader="none" w:pos="10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Investment is income-producing.</w:t>
      </w:r>
    </w:p>
    <w:p>
      <w:pPr>
        <w:spacing w:after="0" w:line="106" w:lineRule="exact"/>
        <w:rPr>
          <w:sz w:val="20"/>
          <w:szCs w:val="20"/>
          <w:color w:val="auto"/>
        </w:rPr>
      </w:pPr>
    </w:p>
    <w:p>
      <w:pPr>
        <w:jc w:val="both"/>
        <w:ind w:left="1040" w:right="140" w:hanging="306"/>
        <w:spacing w:after="0" w:line="259" w:lineRule="auto"/>
        <w:tabs>
          <w:tab w:leader="none" w:pos="10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5"/>
          <w:szCs w:val="15"/>
          <w:i w:val="1"/>
          <w:iCs w:val="1"/>
          <w:color w:val="auto"/>
        </w:rPr>
        <w:t>i.e.</w:t>
      </w:r>
      <w:r>
        <w:rPr>
          <w:rFonts w:ascii="Arial" w:cs="Arial" w:eastAsia="Arial" w:hAnsi="Arial"/>
          <w:sz w:val="15"/>
          <w:szCs w:val="15"/>
          <w:color w:val="auto"/>
        </w:rPr>
        <w:t>, securities with the right to elect directors) of such company.</w:t>
      </w:r>
    </w:p>
    <w:p>
      <w:pPr>
        <w:spacing w:after="0" w:line="66" w:lineRule="exact"/>
        <w:rPr>
          <w:rFonts w:ascii="Arial" w:cs="Arial" w:eastAsia="Arial" w:hAnsi="Arial"/>
          <w:sz w:val="15"/>
          <w:szCs w:val="15"/>
          <w:color w:val="auto"/>
        </w:rPr>
      </w:pPr>
    </w:p>
    <w:p>
      <w:pPr>
        <w:ind w:left="1040" w:right="240" w:hanging="306"/>
        <w:spacing w:after="0" w:line="317" w:lineRule="auto"/>
        <w:tabs>
          <w:tab w:leader="none" w:pos="10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18" w:name="page119"/>
    <w:bookmarkEnd w:id="11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p>
      <w:pPr>
        <w:ind w:left="1040" w:hanging="306"/>
        <w:spacing w:after="0"/>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GSV Capital Corp.’s investment in StormWind, LLC is held through its wholly owned subsidiary, GSVC SW Holdings, Inc.</w:t>
      </w:r>
    </w:p>
    <w:p>
      <w:pPr>
        <w:spacing w:after="0" w:line="128" w:lineRule="exact"/>
        <w:rPr>
          <w:rFonts w:ascii="Arial" w:cs="Arial" w:eastAsia="Arial" w:hAnsi="Arial"/>
          <w:sz w:val="15"/>
          <w:szCs w:val="15"/>
          <w:color w:val="auto"/>
        </w:rPr>
      </w:pPr>
    </w:p>
    <w:p>
      <w:pPr>
        <w:ind w:left="1040" w:right="40" w:hanging="306"/>
        <w:spacing w:after="0" w:line="279" w:lineRule="auto"/>
        <w:tabs>
          <w:tab w:leader="none" w:pos="10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On November 29, 2017, the maturity date of the unsecured promissory note to NestGSV, Inc. (d/b/a GSV Labs, Inc.) was extended to January 15, 2018. On January 12, 2018, the unsecured promissory note to NestGSV, Inc. (d/b/a GSV Labs, Inc.) was repaid, with interest.</w:t>
      </w:r>
    </w:p>
    <w:p>
      <w:pPr>
        <w:spacing w:after="0" w:line="88" w:lineRule="exact"/>
        <w:rPr>
          <w:rFonts w:ascii="Arial" w:cs="Arial" w:eastAsia="Arial" w:hAnsi="Arial"/>
          <w:sz w:val="14"/>
          <w:szCs w:val="14"/>
          <w:color w:val="auto"/>
        </w:rPr>
      </w:pPr>
    </w:p>
    <w:p>
      <w:pPr>
        <w:ind w:left="1040" w:right="360" w:hanging="306"/>
        <w:spacing w:after="0" w:line="259" w:lineRule="auto"/>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 In November 2017, the Company sold its entire position in Whittle Schools, LLC.</w:t>
      </w:r>
    </w:p>
    <w:p>
      <w:pPr>
        <w:spacing w:after="0" w:line="111" w:lineRule="exact"/>
        <w:rPr>
          <w:rFonts w:ascii="Arial" w:cs="Arial" w:eastAsia="Arial" w:hAnsi="Arial"/>
          <w:sz w:val="15"/>
          <w:szCs w:val="15"/>
          <w:color w:val="auto"/>
        </w:rPr>
      </w:pPr>
    </w:p>
    <w:p>
      <w:pPr>
        <w:ind w:left="1040" w:right="120" w:hanging="306"/>
        <w:spacing w:after="0" w:line="307" w:lineRule="auto"/>
        <w:tabs>
          <w:tab w:leader="none" w:pos="10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67" w:lineRule="exact"/>
        <w:rPr>
          <w:rFonts w:ascii="Arial" w:cs="Arial" w:eastAsia="Arial" w:hAnsi="Arial"/>
          <w:sz w:val="14"/>
          <w:szCs w:val="14"/>
          <w:color w:val="auto"/>
        </w:rPr>
      </w:pPr>
    </w:p>
    <w:p>
      <w:pPr>
        <w:ind w:left="1040" w:right="20" w:hanging="306"/>
        <w:spacing w:after="0" w:line="270" w:lineRule="auto"/>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GSV Capital Corp.’s investment in Strategic Data Command, LLC is held through its wholly owned subsidiary, GSVC SVDS Holdings, Inc. In November 2017, the Company sold its entire position in Strategic Data Command, LLC.</w:t>
      </w:r>
    </w:p>
    <w:p>
      <w:pPr>
        <w:spacing w:after="0" w:line="91" w:lineRule="exact"/>
        <w:rPr>
          <w:rFonts w:ascii="Arial" w:cs="Arial" w:eastAsia="Arial" w:hAnsi="Arial"/>
          <w:sz w:val="15"/>
          <w:szCs w:val="15"/>
          <w:color w:val="auto"/>
        </w:rPr>
      </w:pPr>
    </w:p>
    <w:p>
      <w:pPr>
        <w:ind w:left="1040" w:right="20" w:hanging="306"/>
        <w:spacing w:after="0" w:line="255" w:lineRule="auto"/>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On July 1, 2017, the maturity date of the convertible promissory note to Declara, Inc. was extended to December 31, 2017. The convertible promissory note to Declara, Inc.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03" w:lineRule="exact"/>
        <w:rPr>
          <w:rFonts w:ascii="Arial" w:cs="Arial" w:eastAsia="Arial" w:hAnsi="Arial"/>
          <w:sz w:val="15"/>
          <w:szCs w:val="15"/>
          <w:color w:val="auto"/>
        </w:rPr>
      </w:pPr>
    </w:p>
    <w:p>
      <w:pPr>
        <w:ind w:left="1040" w:hanging="306"/>
        <w:spacing w:after="0"/>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Company wrote-off its investment in Global Education Learning (Holdings) Ltd. during the three months ended June 30, 2017.</w:t>
      </w:r>
    </w:p>
    <w:p>
      <w:pPr>
        <w:spacing w:after="0" w:line="128" w:lineRule="exact"/>
        <w:rPr>
          <w:rFonts w:ascii="Arial" w:cs="Arial" w:eastAsia="Arial" w:hAnsi="Arial"/>
          <w:sz w:val="15"/>
          <w:szCs w:val="15"/>
          <w:color w:val="auto"/>
        </w:rPr>
      </w:pPr>
    </w:p>
    <w:p>
      <w:pPr>
        <w:ind w:left="1040" w:hanging="306"/>
        <w:spacing w:after="0"/>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Company wrote-off its investment in AlwaysOn, Inc. during the three months ended March 31, 2017.</w:t>
      </w:r>
    </w:p>
    <w:p>
      <w:pPr>
        <w:spacing w:after="0" w:line="128" w:lineRule="exact"/>
        <w:rPr>
          <w:rFonts w:ascii="Arial" w:cs="Arial" w:eastAsia="Arial" w:hAnsi="Arial"/>
          <w:sz w:val="15"/>
          <w:szCs w:val="15"/>
          <w:color w:val="auto"/>
        </w:rPr>
      </w:pPr>
    </w:p>
    <w:p>
      <w:pPr>
        <w:ind w:left="1040" w:hanging="306"/>
        <w:spacing w:after="0" w:line="349" w:lineRule="auto"/>
        <w:tabs>
          <w:tab w:leader="none" w:pos="10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56" w:lineRule="exact"/>
        <w:rPr>
          <w:rFonts w:ascii="Arial" w:cs="Arial" w:eastAsia="Arial" w:hAnsi="Arial"/>
          <w:sz w:val="13"/>
          <w:szCs w:val="13"/>
          <w:color w:val="auto"/>
        </w:rPr>
      </w:pPr>
    </w:p>
    <w:p>
      <w:pPr>
        <w:ind w:left="1040" w:right="60" w:hanging="306"/>
        <w:spacing w:after="0" w:line="270" w:lineRule="auto"/>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Subsequent to period-end, Ozy Media, Inc.’s obligations under its financing arrangements with the Company became past due. The Company and Ozy Media are in the process of renegotiating the terms of the Company’s investment.</w:t>
      </w:r>
    </w:p>
    <w:p>
      <w:pPr>
        <w:spacing w:after="0" w:line="91" w:lineRule="exact"/>
        <w:rPr>
          <w:rFonts w:ascii="Arial" w:cs="Arial" w:eastAsia="Arial" w:hAnsi="Arial"/>
          <w:sz w:val="15"/>
          <w:szCs w:val="15"/>
          <w:color w:val="auto"/>
        </w:rPr>
      </w:pPr>
    </w:p>
    <w:p>
      <w:pPr>
        <w:ind w:left="1040" w:hanging="306"/>
        <w:spacing w:after="0"/>
        <w:tabs>
          <w:tab w:leader="none" w:pos="10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Company wrote-off its investment in Circle Media (f/k/a S3 Digital Corp. (d/b/a S3i)) during the three months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0840"/>
          </w:cols>
          <w:pgMar w:left="220" w:top="134" w:right="839" w:bottom="1440" w:gutter="0" w:footer="0" w:header="0"/>
        </w:sectPr>
      </w:pPr>
    </w:p>
    <w:bookmarkStart w:id="119" w:name="page120"/>
    <w:bookmarkEnd w:id="11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left="280"/>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Transactions during the year ended December 31, 2016 involving the Company’s controlled investments and non-controlled/affiliate investments were as follows: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5"/>
          <w:szCs w:val="15"/>
          <w:b w:val="1"/>
          <w:bCs w:val="1"/>
          <w:i w:val="1"/>
          <w:iCs w:val="1"/>
          <w:color w:val="auto"/>
        </w:rPr>
        <w:t>Schedule of Investments In, and Advances to, Affiliates</w:t>
      </w:r>
    </w:p>
    <w:p>
      <w:pPr>
        <w:spacing w:after="0" w:line="95"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2"/>
              </w:rPr>
              <w:t>Transfer from</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88"/>
              </w:rPr>
              <w:t>Control</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center"/>
              <w:ind w:right="100"/>
              <w:spacing w:after="0" w:line="134" w:lineRule="exact"/>
              <w:rPr>
                <w:sz w:val="20"/>
                <w:szCs w:val="20"/>
                <w:color w:val="auto"/>
              </w:rPr>
            </w:pPr>
            <w:r>
              <w:rPr>
                <w:rFonts w:ascii="Arial" w:cs="Arial" w:eastAsia="Arial" w:hAnsi="Arial"/>
                <w:sz w:val="12"/>
                <w:szCs w:val="12"/>
                <w:b w:val="1"/>
                <w:bCs w:val="1"/>
                <w:color w:val="auto"/>
                <w:w w:val="86"/>
              </w:rPr>
              <w:t>Interest, Fees,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center"/>
              <w:ind w:right="100"/>
              <w:spacing w:after="0" w:line="134" w:lineRule="exact"/>
              <w:rPr>
                <w:sz w:val="20"/>
                <w:szCs w:val="20"/>
                <w:color w:val="auto"/>
              </w:rPr>
            </w:pPr>
            <w:r>
              <w:rPr>
                <w:rFonts w:ascii="Arial" w:cs="Arial" w:eastAsia="Arial" w:hAnsi="Arial"/>
                <w:sz w:val="12"/>
                <w:szCs w:val="12"/>
                <w:b w:val="1"/>
                <w:bCs w:val="1"/>
                <w:color w:val="auto"/>
                <w:w w:val="90"/>
              </w:rPr>
              <w:t>or Dividends</w:t>
            </w:r>
          </w:p>
        </w:tc>
        <w:tc>
          <w:tcPr>
            <w:tcW w:w="6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6"/>
              </w:rPr>
              <w:t>Fair Value at</w:t>
            </w:r>
          </w:p>
        </w:tc>
        <w:tc>
          <w:tcPr>
            <w:tcW w:w="80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Non-Control/</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7"/>
              <w:spacing w:after="0" w:line="134" w:lineRule="exact"/>
              <w:rPr>
                <w:sz w:val="20"/>
                <w:szCs w:val="20"/>
                <w:color w:val="auto"/>
              </w:rPr>
            </w:pPr>
            <w:r>
              <w:rPr>
                <w:rFonts w:ascii="Arial" w:cs="Arial" w:eastAsia="Arial" w:hAnsi="Arial"/>
                <w:sz w:val="12"/>
                <w:szCs w:val="12"/>
                <w:b w:val="1"/>
                <w:bCs w:val="1"/>
                <w:color w:val="auto"/>
                <w:w w:val="86"/>
              </w:rPr>
              <w:t>Fair Value at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right"/>
              <w:ind w:right="60"/>
              <w:spacing w:after="0" w:line="134" w:lineRule="exact"/>
              <w:rPr>
                <w:sz w:val="20"/>
                <w:szCs w:val="20"/>
                <w:color w:val="auto"/>
              </w:rPr>
            </w:pPr>
            <w:r>
              <w:rPr>
                <w:rFonts w:ascii="Arial" w:cs="Arial" w:eastAsia="Arial" w:hAnsi="Arial"/>
                <w:sz w:val="12"/>
                <w:szCs w:val="12"/>
                <w:b w:val="1"/>
                <w:bCs w:val="1"/>
                <w:color w:val="auto"/>
                <w:w w:val="96"/>
              </w:rPr>
              <w:t>Principal/</w:t>
            </w:r>
          </w:p>
        </w:tc>
        <w:tc>
          <w:tcPr>
            <w:tcW w:w="120" w:type="dxa"/>
            <w:vAlign w:val="bottom"/>
          </w:tcPr>
          <w:p>
            <w:pPr>
              <w:spacing w:after="0"/>
              <w:rPr>
                <w:sz w:val="11"/>
                <w:szCs w:val="11"/>
                <w:color w:val="auto"/>
              </w:rPr>
            </w:pPr>
          </w:p>
        </w:tc>
        <w:tc>
          <w:tcPr>
            <w:tcW w:w="720" w:type="dxa"/>
            <w:vAlign w:val="bottom"/>
            <w:gridSpan w:val="4"/>
          </w:tcPr>
          <w:p>
            <w:pPr>
              <w:jc w:val="center"/>
              <w:ind w:right="240"/>
              <w:spacing w:after="0" w:line="134" w:lineRule="exact"/>
              <w:rPr>
                <w:sz w:val="20"/>
                <w:szCs w:val="20"/>
                <w:color w:val="auto"/>
              </w:rPr>
            </w:pPr>
            <w:r>
              <w:rPr>
                <w:rFonts w:ascii="Arial" w:cs="Arial" w:eastAsia="Arial" w:hAnsi="Arial"/>
                <w:sz w:val="12"/>
                <w:szCs w:val="12"/>
                <w:b w:val="1"/>
                <w:bCs w:val="1"/>
                <w:color w:val="auto"/>
                <w:w w:val="90"/>
              </w:rPr>
              <w:t>Credited</w:t>
            </w:r>
          </w:p>
        </w:tc>
        <w:tc>
          <w:tcPr>
            <w:tcW w:w="6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1"/>
              </w:rPr>
              <w:t>December 31,</w:t>
            </w:r>
          </w:p>
        </w:tc>
        <w:tc>
          <w:tcPr>
            <w:tcW w:w="80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720" w:type="dxa"/>
            <w:vAlign w:val="bottom"/>
            <w:gridSpan w:val="3"/>
          </w:tcPr>
          <w:p>
            <w:pPr>
              <w:jc w:val="right"/>
              <w:ind w:right="160"/>
              <w:spacing w:after="0" w:line="134" w:lineRule="exact"/>
              <w:rPr>
                <w:sz w:val="20"/>
                <w:szCs w:val="20"/>
                <w:color w:val="auto"/>
              </w:rPr>
            </w:pPr>
            <w:r>
              <w:rPr>
                <w:rFonts w:ascii="Arial" w:cs="Arial" w:eastAsia="Arial" w:hAnsi="Arial"/>
                <w:sz w:val="12"/>
                <w:szCs w:val="12"/>
                <w:b w:val="1"/>
                <w:bCs w:val="1"/>
                <w:color w:val="auto"/>
                <w:w w:val="94"/>
              </w:rPr>
              <w:t>Corporate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4"/>
          </w:tcPr>
          <w:p>
            <w:pPr>
              <w:jc w:val="center"/>
              <w:ind w:right="140"/>
              <w:spacing w:after="0" w:line="134" w:lineRule="exact"/>
              <w:rPr>
                <w:sz w:val="20"/>
                <w:szCs w:val="20"/>
                <w:color w:val="auto"/>
              </w:rPr>
            </w:pPr>
            <w:r>
              <w:rPr>
                <w:rFonts w:ascii="Arial" w:cs="Arial" w:eastAsia="Arial" w:hAnsi="Arial"/>
                <w:sz w:val="12"/>
                <w:szCs w:val="12"/>
                <w:b w:val="1"/>
                <w:bCs w:val="1"/>
                <w:color w:val="auto"/>
                <w:w w:val="90"/>
              </w:rPr>
              <w:t>Realized</w:t>
            </w:r>
          </w:p>
        </w:tc>
        <w:tc>
          <w:tcPr>
            <w:tcW w:w="8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Unrealized</w:t>
            </w:r>
          </w:p>
        </w:tc>
        <w:tc>
          <w:tcPr>
            <w:tcW w:w="7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1"/>
              </w:rPr>
              <w:t>December 31,</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of Net</w:t>
            </w:r>
          </w:p>
        </w:tc>
        <w:tc>
          <w:tcPr>
            <w:tcW w:w="0" w:type="dxa"/>
            <w:vAlign w:val="bottom"/>
          </w:tcPr>
          <w:p>
            <w:pPr>
              <w:spacing w:after="0"/>
              <w:rPr>
                <w:sz w:val="1"/>
                <w:szCs w:val="1"/>
                <w:color w:val="auto"/>
              </w:rPr>
            </w:pPr>
          </w:p>
        </w:tc>
      </w:tr>
      <w:tr>
        <w:trPr>
          <w:trHeight w:val="151"/>
        </w:trPr>
        <w:tc>
          <w:tcPr>
            <w:tcW w:w="2380" w:type="dxa"/>
            <w:vAlign w:val="bottom"/>
            <w:gridSpan w:val="2"/>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Quantity</w:t>
            </w:r>
          </w:p>
        </w:tc>
        <w:tc>
          <w:tcPr>
            <w:tcW w:w="12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in Income</w:t>
            </w:r>
          </w:p>
        </w:tc>
        <w:tc>
          <w:tcPr>
            <w:tcW w:w="80" w:type="dxa"/>
            <w:vAlign w:val="bottom"/>
          </w:tcPr>
          <w:p>
            <w:pPr>
              <w:spacing w:after="0"/>
              <w:rPr>
                <w:sz w:val="13"/>
                <w:szCs w:val="13"/>
                <w:color w:val="auto"/>
              </w:rPr>
            </w:pPr>
          </w:p>
        </w:tc>
        <w:tc>
          <w:tcPr>
            <w:tcW w:w="600" w:type="dxa"/>
            <w:vAlign w:val="bottom"/>
          </w:tcPr>
          <w:p>
            <w:pPr>
              <w:jc w:val="center"/>
              <w:ind w:right="97"/>
              <w:spacing w:after="0"/>
              <w:rPr>
                <w:sz w:val="20"/>
                <w:szCs w:val="20"/>
                <w:color w:val="auto"/>
              </w:rPr>
            </w:pPr>
            <w:r>
              <w:rPr>
                <w:rFonts w:ascii="Arial" w:cs="Arial" w:eastAsia="Arial" w:hAnsi="Arial"/>
                <w:sz w:val="12"/>
                <w:szCs w:val="12"/>
                <w:b w:val="1"/>
                <w:bCs w:val="1"/>
                <w:color w:val="auto"/>
                <w:w w:val="89"/>
              </w:rPr>
              <w:t>2015</w:t>
            </w:r>
          </w:p>
        </w:tc>
        <w:tc>
          <w:tcPr>
            <w:tcW w:w="8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8"/>
              </w:rPr>
              <w:t>Investment</w:t>
            </w:r>
          </w:p>
        </w:tc>
        <w:tc>
          <w:tcPr>
            <w:tcW w:w="6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Action</w:t>
            </w:r>
          </w:p>
        </w:tc>
        <w:tc>
          <w:tcPr>
            <w:tcW w:w="700" w:type="dxa"/>
            <w:vAlign w:val="bottom"/>
            <w:gridSpan w:val="4"/>
          </w:tcPr>
          <w:p>
            <w:pPr>
              <w:ind w:left="40"/>
              <w:spacing w:after="0"/>
              <w:rPr>
                <w:sz w:val="20"/>
                <w:szCs w:val="20"/>
                <w:color w:val="auto"/>
              </w:rPr>
            </w:pPr>
            <w:r>
              <w:rPr>
                <w:rFonts w:ascii="Arial" w:cs="Arial" w:eastAsia="Arial" w:hAnsi="Arial"/>
                <w:sz w:val="12"/>
                <w:szCs w:val="12"/>
                <w:b w:val="1"/>
                <w:bCs w:val="1"/>
                <w:color w:val="auto"/>
              </w:rPr>
              <w:t>Purchases</w:t>
            </w:r>
          </w:p>
        </w:tc>
        <w:tc>
          <w:tcPr>
            <w:tcW w:w="6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2"/>
                <w:szCs w:val="12"/>
                <w:b w:val="1"/>
                <w:bCs w:val="1"/>
                <w:color w:val="auto"/>
                <w:w w:val="95"/>
              </w:rPr>
              <w:t>Sales</w:t>
            </w:r>
          </w:p>
        </w:tc>
        <w:tc>
          <w:tcPr>
            <w:tcW w:w="86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Gains/(Losses)</w:t>
            </w: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w w:val="88"/>
              </w:rPr>
              <w:t>Gains/(Losses)</w:t>
            </w:r>
          </w:p>
        </w:tc>
        <w:tc>
          <w:tcPr>
            <w:tcW w:w="80" w:type="dxa"/>
            <w:vAlign w:val="bottom"/>
          </w:tcPr>
          <w:p>
            <w:pPr>
              <w:spacing w:after="0"/>
              <w:rPr>
                <w:sz w:val="13"/>
                <w:szCs w:val="13"/>
                <w:color w:val="auto"/>
              </w:rPr>
            </w:pPr>
          </w:p>
        </w:tc>
        <w:tc>
          <w:tcPr>
            <w:tcW w:w="620" w:type="dxa"/>
            <w:vAlign w:val="bottom"/>
          </w:tcPr>
          <w:p>
            <w:pPr>
              <w:jc w:val="center"/>
              <w:ind w:right="117"/>
              <w:spacing w:after="0"/>
              <w:rPr>
                <w:sz w:val="20"/>
                <w:szCs w:val="20"/>
                <w:color w:val="auto"/>
              </w:rPr>
            </w:pPr>
            <w:r>
              <w:rPr>
                <w:rFonts w:ascii="Arial" w:cs="Arial" w:eastAsia="Arial" w:hAnsi="Arial"/>
                <w:sz w:val="12"/>
                <w:szCs w:val="12"/>
                <w:b w:val="1"/>
                <w:bCs w:val="1"/>
                <w:color w:val="auto"/>
                <w:w w:val="89"/>
              </w:rPr>
              <w:t>2016</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1"/>
              </w:rPr>
              <w:t>Assets</w:t>
            </w:r>
          </w:p>
        </w:tc>
        <w:tc>
          <w:tcPr>
            <w:tcW w:w="0" w:type="dxa"/>
            <w:vAlign w:val="bottom"/>
          </w:tcPr>
          <w:p>
            <w:pPr>
              <w:spacing w:after="0"/>
              <w:rPr>
                <w:sz w:val="1"/>
                <w:szCs w:val="1"/>
                <w:color w:val="auto"/>
              </w:rPr>
            </w:pPr>
          </w:p>
        </w:tc>
      </w:tr>
      <w:tr>
        <w:trPr>
          <w:trHeight w:val="116"/>
        </w:trPr>
        <w:tc>
          <w:tcPr>
            <w:tcW w:w="238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9"/>
                <w:szCs w:val="9"/>
                <w:b w:val="1"/>
                <w:bCs w:val="1"/>
                <w:color w:val="auto"/>
              </w:rPr>
              <w:t>CONTROLLED INVESTMENTS*</w:t>
            </w:r>
            <w:r>
              <w:rPr>
                <w:rFonts w:ascii="Arial" w:cs="Arial" w:eastAsia="Arial" w:hAnsi="Arial"/>
                <w:sz w:val="13"/>
                <w:szCs w:val="13"/>
                <w:b w:val="1"/>
                <w:bCs w:val="1"/>
                <w:color w:val="auto"/>
                <w:vertAlign w:val="superscript"/>
              </w:rPr>
              <w:t>(2)</w:t>
            </w:r>
          </w:p>
        </w:tc>
        <w:tc>
          <w:tcPr>
            <w:tcW w:w="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right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1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Debt Investments</w:t>
            </w:r>
          </w:p>
        </w:tc>
        <w:tc>
          <w:tcPr>
            <w:tcW w:w="5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3"/>
                <w:szCs w:val="13"/>
                <w:i w:val="1"/>
                <w:iCs w:val="1"/>
                <w:color w:val="auto"/>
              </w:rPr>
              <w:t>Global Innovation Platform</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300"/>
              <w:spacing w:after="0" w:line="123" w:lineRule="exact"/>
              <w:rPr>
                <w:sz w:val="20"/>
                <w:szCs w:val="20"/>
                <w:color w:val="auto"/>
              </w:rPr>
            </w:pPr>
            <w:r>
              <w:rPr>
                <w:rFonts w:ascii="Arial" w:cs="Arial" w:eastAsia="Arial" w:hAnsi="Arial"/>
                <w:sz w:val="13"/>
                <w:szCs w:val="13"/>
                <w:color w:val="auto"/>
              </w:rPr>
              <w:t>NestGSV, Inc. (d/b/a GSV Labs,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440"/>
              <w:spacing w:after="0" w:line="123" w:lineRule="exact"/>
              <w:rPr>
                <w:sz w:val="20"/>
                <w:szCs w:val="20"/>
                <w:color w:val="auto"/>
              </w:rPr>
            </w:pPr>
            <w:r>
              <w:rPr>
                <w:rFonts w:ascii="Arial" w:cs="Arial" w:eastAsia="Arial" w:hAnsi="Arial"/>
                <w:sz w:val="13"/>
                <w:szCs w:val="13"/>
                <w:color w:val="auto"/>
                <w:w w:val="93"/>
              </w:rPr>
              <w:t>Inc.) – Convertible Promissory Note</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500,000</w:t>
            </w:r>
          </w:p>
        </w:tc>
        <w:tc>
          <w:tcPr>
            <w:tcW w:w="20" w:type="dxa"/>
            <w:vAlign w:val="bottom"/>
          </w:tcPr>
          <w:p>
            <w:pPr>
              <w:spacing w:after="0"/>
              <w:rPr>
                <w:sz w:val="10"/>
                <w:szCs w:val="10"/>
                <w:color w:val="auto"/>
              </w:rPr>
            </w:pPr>
          </w:p>
        </w:tc>
        <w:tc>
          <w:tcPr>
            <w:tcW w:w="200" w:type="dxa"/>
            <w:vAlign w:val="bottom"/>
            <w:gridSpan w:val="2"/>
            <w:vMerge w:val="restart"/>
          </w:tcPr>
          <w:p>
            <w:pPr>
              <w:ind w:left="120"/>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16,889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w w:val="75"/>
              </w:rPr>
              <w:t>$ —</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425,620</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31,972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w w:val="88"/>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(29,692)</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427,900</w:t>
            </w:r>
          </w:p>
        </w:tc>
        <w:tc>
          <w:tcPr>
            <w:tcW w:w="600" w:type="dxa"/>
            <w:vAlign w:val="bottom"/>
            <w:vMerge w:val="restart"/>
          </w:tcPr>
          <w:p>
            <w:pPr>
              <w:jc w:val="right"/>
              <w:ind w:right="18"/>
              <w:spacing w:after="0"/>
              <w:rPr>
                <w:sz w:val="20"/>
                <w:szCs w:val="20"/>
                <w:color w:val="auto"/>
              </w:rPr>
            </w:pPr>
            <w:r>
              <w:rPr>
                <w:rFonts w:ascii="Arial" w:cs="Arial" w:eastAsia="Arial" w:hAnsi="Arial"/>
                <w:sz w:val="13"/>
                <w:szCs w:val="13"/>
                <w:color w:val="auto"/>
              </w:rPr>
              <w:t>0.22%</w:t>
            </w:r>
          </w:p>
        </w:tc>
        <w:tc>
          <w:tcPr>
            <w:tcW w:w="0" w:type="dxa"/>
            <w:vAlign w:val="bottom"/>
          </w:tcPr>
          <w:p>
            <w:pPr>
              <w:spacing w:after="0"/>
              <w:rPr>
                <w:sz w:val="1"/>
                <w:szCs w:val="1"/>
                <w:color w:val="auto"/>
              </w:rPr>
            </w:pPr>
          </w:p>
        </w:tc>
      </w:tr>
      <w:tr>
        <w:trPr>
          <w:trHeight w:val="145"/>
        </w:trPr>
        <w:tc>
          <w:tcPr>
            <w:tcW w:w="2380" w:type="dxa"/>
            <w:vAlign w:val="bottom"/>
            <w:gridSpan w:val="2"/>
          </w:tcPr>
          <w:p>
            <w:pPr>
              <w:ind w:left="440"/>
              <w:spacing w:after="0" w:line="145" w:lineRule="exact"/>
              <w:rPr>
                <w:sz w:val="20"/>
                <w:szCs w:val="20"/>
                <w:color w:val="auto"/>
              </w:rPr>
            </w:pPr>
            <w:r>
              <w:rPr>
                <w:rFonts w:ascii="Arial" w:cs="Arial" w:eastAsia="Arial" w:hAnsi="Arial"/>
                <w:sz w:val="13"/>
                <w:szCs w:val="13"/>
                <w:color w:val="auto"/>
              </w:rPr>
              <w:t>8% Due 7/31/2017***</w:t>
            </w: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3"/>
                <w:szCs w:val="13"/>
                <w:color w:val="auto"/>
              </w:rPr>
              <w:t>NestGSV, Inc. (d/b/a GSV Labs,</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w w:val="93"/>
              </w:rPr>
              <w:t>Inc.) – Convertible Promissory Note</w:t>
            </w:r>
          </w:p>
        </w:tc>
        <w:tc>
          <w:tcPr>
            <w:tcW w:w="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48,248</w:t>
            </w:r>
          </w:p>
        </w:tc>
        <w:tc>
          <w:tcPr>
            <w:tcW w:w="1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3"/>
                <w:szCs w:val="13"/>
                <w:color w:val="auto"/>
              </w:rPr>
              <w:t>8% Due 6/30/16***</w:t>
            </w:r>
          </w:p>
        </w:tc>
        <w:tc>
          <w:tcPr>
            <w:tcW w:w="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440"/>
              <w:spacing w:after="0" w:line="123" w:lineRule="exact"/>
              <w:rPr>
                <w:sz w:val="20"/>
                <w:szCs w:val="20"/>
                <w:color w:val="auto"/>
              </w:rPr>
            </w:pPr>
            <w:r>
              <w:rPr>
                <w:rFonts w:ascii="Arial" w:cs="Arial" w:eastAsia="Arial" w:hAnsi="Arial"/>
                <w:sz w:val="13"/>
                <w:szCs w:val="13"/>
                <w:color w:val="auto"/>
              </w:rPr>
              <w:t>Promissory Note 10% Due</w:t>
            </w:r>
          </w:p>
        </w:tc>
        <w:tc>
          <w:tcPr>
            <w:tcW w:w="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26,000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86"/>
              </w:rPr>
              <w:t>(500,000)</w:t>
            </w:r>
          </w:p>
        </w:tc>
        <w:tc>
          <w:tcPr>
            <w:tcW w:w="280" w:type="dxa"/>
            <w:vAlign w:val="bottom"/>
          </w:tcPr>
          <w:p>
            <w:pPr>
              <w:spacing w:after="0"/>
              <w:rPr>
                <w:sz w:val="10"/>
                <w:szCs w:val="10"/>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840" w:type="dxa"/>
            <w:vAlign w:val="bottom"/>
          </w:tcPr>
          <w:p>
            <w:pPr>
              <w:ind w:left="440"/>
              <w:spacing w:after="0" w:line="145" w:lineRule="exact"/>
              <w:rPr>
                <w:sz w:val="20"/>
                <w:szCs w:val="20"/>
                <w:color w:val="auto"/>
              </w:rPr>
            </w:pPr>
            <w:r>
              <w:rPr>
                <w:rFonts w:ascii="Arial" w:cs="Arial" w:eastAsia="Arial" w:hAnsi="Arial"/>
                <w:sz w:val="13"/>
                <w:szCs w:val="13"/>
                <w:color w:val="auto"/>
              </w:rPr>
              <w:t>11/23/2016***</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w w:val="87"/>
              </w:rPr>
              <w:t>Unsecured Promissory Note 12% Due</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526,000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10,862</w:t>
            </w:r>
          </w:p>
        </w:tc>
        <w:tc>
          <w:tcPr>
            <w:tcW w:w="1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501,802</w:t>
            </w:r>
          </w:p>
        </w:tc>
        <w:tc>
          <w:tcPr>
            <w:tcW w:w="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(5,077)</w:t>
            </w: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496,725</w:t>
            </w:r>
          </w:p>
        </w:tc>
        <w:tc>
          <w:tcPr>
            <w:tcW w:w="60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45"/>
        </w:trPr>
        <w:tc>
          <w:tcPr>
            <w:tcW w:w="184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5/29/2017***</w:t>
            </w:r>
          </w:p>
        </w:tc>
        <w:tc>
          <w:tcPr>
            <w:tcW w:w="54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80" w:type="dxa"/>
            <w:vAlign w:val="bottom"/>
            <w:gridSpan w:val="2"/>
          </w:tcPr>
          <w:p>
            <w:pPr>
              <w:ind w:left="140"/>
              <w:spacing w:after="0" w:line="136" w:lineRule="exact"/>
              <w:rPr>
                <w:sz w:val="20"/>
                <w:szCs w:val="20"/>
                <w:color w:val="auto"/>
              </w:rPr>
            </w:pPr>
            <w:r>
              <w:rPr>
                <w:rFonts w:ascii="Arial" w:cs="Arial" w:eastAsia="Arial" w:hAnsi="Arial"/>
                <w:sz w:val="13"/>
                <w:szCs w:val="13"/>
                <w:i w:val="1"/>
                <w:iCs w:val="1"/>
                <w:color w:val="auto"/>
              </w:rPr>
              <w:t>Total Global Innovation Platform</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3"/>
                <w:szCs w:val="13"/>
                <w:color w:val="auto"/>
                <w:w w:val="89"/>
              </w:rPr>
              <w:t>101,999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520" w:type="dxa"/>
            <w:vAlign w:val="bottom"/>
            <w:gridSpan w:val="3"/>
          </w:tcPr>
          <w:p>
            <w:pPr>
              <w:jc w:val="right"/>
              <w:ind w:right="320"/>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(74,380)</w:t>
            </w:r>
          </w:p>
        </w:tc>
        <w:tc>
          <w:tcPr>
            <w:tcW w:w="8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3"/>
                <w:szCs w:val="13"/>
                <w:color w:val="auto"/>
                <w:w w:val="82"/>
              </w:rPr>
              <w:t>1,533,774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3"/>
                <w:szCs w:val="13"/>
                <w:color w:val="auto"/>
                <w:w w:val="86"/>
              </w:rPr>
              <w:t>(500,000)</w:t>
            </w:r>
          </w:p>
        </w:tc>
        <w:tc>
          <w:tcPr>
            <w:tcW w:w="280" w:type="dxa"/>
            <w:vAlign w:val="bottom"/>
          </w:tcPr>
          <w:p>
            <w:pPr>
              <w:spacing w:after="0"/>
              <w:rPr>
                <w:sz w:val="11"/>
                <w:szCs w:val="11"/>
                <w:color w:val="auto"/>
              </w:rPr>
            </w:pPr>
          </w:p>
        </w:tc>
        <w:tc>
          <w:tcPr>
            <w:tcW w:w="580" w:type="dxa"/>
            <w:vAlign w:val="bottom"/>
            <w:gridSpan w:val="3"/>
          </w:tcPr>
          <w:p>
            <w:pPr>
              <w:jc w:val="right"/>
              <w:ind w:right="380"/>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(34,769)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37"/>
              <w:spacing w:after="0" w:line="136" w:lineRule="exact"/>
              <w:rPr>
                <w:sz w:val="20"/>
                <w:szCs w:val="20"/>
                <w:color w:val="auto"/>
              </w:rPr>
            </w:pPr>
            <w:r>
              <w:rPr>
                <w:rFonts w:ascii="Arial" w:cs="Arial" w:eastAsia="Arial" w:hAnsi="Arial"/>
                <w:sz w:val="13"/>
                <w:szCs w:val="13"/>
                <w:color w:val="auto"/>
              </w:rPr>
              <w:t>924,625</w:t>
            </w:r>
          </w:p>
        </w:tc>
        <w:tc>
          <w:tcPr>
            <w:tcW w:w="600" w:type="dxa"/>
            <w:vAlign w:val="bottom"/>
          </w:tcPr>
          <w:p>
            <w:pPr>
              <w:jc w:val="right"/>
              <w:ind w:right="18"/>
              <w:spacing w:after="0" w:line="136" w:lineRule="exact"/>
              <w:rPr>
                <w:sz w:val="20"/>
                <w:szCs w:val="20"/>
                <w:color w:val="auto"/>
              </w:rPr>
            </w:pPr>
            <w:r>
              <w:rPr>
                <w:rFonts w:ascii="Arial" w:cs="Arial" w:eastAsia="Arial" w:hAnsi="Arial"/>
                <w:sz w:val="13"/>
                <w:szCs w:val="13"/>
                <w:color w:val="auto"/>
              </w:rPr>
              <w:t>0.48%</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Debt Investments</w:t>
            </w: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101,999</w:t>
            </w:r>
          </w:p>
        </w:tc>
        <w:tc>
          <w:tcPr>
            <w:tcW w:w="1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75"/>
              </w:rPr>
              <w:t>$ —</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(74,380)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1,533,774</w:t>
            </w:r>
          </w:p>
        </w:tc>
        <w:tc>
          <w:tcPr>
            <w:tcW w:w="8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(500,000)</w:t>
            </w:r>
          </w:p>
        </w:tc>
        <w:tc>
          <w:tcPr>
            <w:tcW w:w="280" w:type="dxa"/>
            <w:vAlign w:val="bottom"/>
            <w:shd w:val="clear" w:color="auto" w:fill="CCEEFF"/>
          </w:tcPr>
          <w:p>
            <w:pPr>
              <w:spacing w:after="0"/>
              <w:rPr>
                <w:sz w:val="22"/>
                <w:szCs w:val="22"/>
                <w:color w:val="auto"/>
              </w:rPr>
            </w:pPr>
          </w:p>
        </w:tc>
        <w:tc>
          <w:tcPr>
            <w:tcW w:w="5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(34,769)</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924,625</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0.48%</w:t>
            </w: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Preferred Stock</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3"/>
                <w:szCs w:val="13"/>
                <w:i w:val="1"/>
                <w:iCs w:val="1"/>
                <w:color w:val="auto"/>
              </w:rPr>
              <w:t>Clean Technology</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300"/>
              <w:spacing w:after="0" w:line="123" w:lineRule="exact"/>
              <w:rPr>
                <w:sz w:val="20"/>
                <w:szCs w:val="20"/>
                <w:color w:val="auto"/>
              </w:rPr>
            </w:pPr>
            <w:r>
              <w:rPr>
                <w:rFonts w:ascii="Arial" w:cs="Arial" w:eastAsia="Arial" w:hAnsi="Arial"/>
                <w:sz w:val="13"/>
                <w:szCs w:val="13"/>
                <w:color w:val="auto"/>
                <w:w w:val="93"/>
              </w:rPr>
              <w:t>SPBRX, INC. (f/k/a GSV Sustainability</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440"/>
              <w:spacing w:after="0" w:line="123" w:lineRule="exact"/>
              <w:rPr>
                <w:sz w:val="20"/>
                <w:szCs w:val="20"/>
                <w:color w:val="auto"/>
              </w:rPr>
            </w:pPr>
            <w:r>
              <w:rPr>
                <w:rFonts w:ascii="Arial" w:cs="Arial" w:eastAsia="Arial" w:hAnsi="Arial"/>
                <w:sz w:val="13"/>
                <w:szCs w:val="13"/>
                <w:color w:val="auto"/>
                <w:w w:val="97"/>
              </w:rPr>
              <w:t>Partners, Inc.) – Preferred shares,</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w w:val="89"/>
              </w:rPr>
              <w:t>14,300,000</w:t>
            </w:r>
          </w:p>
        </w:tc>
        <w:tc>
          <w:tcPr>
            <w:tcW w:w="20" w:type="dxa"/>
            <w:vAlign w:val="bottom"/>
          </w:tcPr>
          <w:p>
            <w:pPr>
              <w:spacing w:after="0"/>
              <w:rPr>
                <w:sz w:val="10"/>
                <w:szCs w:val="10"/>
                <w:color w:val="auto"/>
              </w:rPr>
            </w:pPr>
          </w:p>
        </w:tc>
        <w:tc>
          <w:tcPr>
            <w:tcW w:w="200" w:type="dxa"/>
            <w:vAlign w:val="bottom"/>
            <w:gridSpan w:val="2"/>
            <w:vMerge w:val="restart"/>
          </w:tcPr>
          <w:p>
            <w:pPr>
              <w:ind w:left="120"/>
              <w:spacing w:after="0"/>
              <w:rPr>
                <w:sz w:val="20"/>
                <w:szCs w:val="20"/>
                <w:color w:val="auto"/>
              </w:rPr>
            </w:pPr>
            <w:r>
              <w:rPr>
                <w:rFonts w:ascii="Arial" w:cs="Arial" w:eastAsia="Arial" w:hAnsi="Arial"/>
                <w:sz w:val="13"/>
                <w:szCs w:val="13"/>
                <w:color w:val="auto"/>
                <w:w w:val="82"/>
              </w:rPr>
              <w:t>$</w:t>
            </w: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w w:val="86"/>
              </w:rPr>
              <w:t>6,250,000</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w w:val="75"/>
              </w:rPr>
              <w:t>$ —</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w w:val="88"/>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w w:val="84"/>
              </w:rPr>
              <w:t>(1,940,222)</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w w:val="86"/>
              </w:rPr>
              <w:t>4,309,778</w:t>
            </w:r>
          </w:p>
        </w:tc>
        <w:tc>
          <w:tcPr>
            <w:tcW w:w="600" w:type="dxa"/>
            <w:vAlign w:val="bottom"/>
            <w:vMerge w:val="restart"/>
          </w:tcPr>
          <w:p>
            <w:pPr>
              <w:jc w:val="right"/>
              <w:ind w:right="18"/>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45"/>
        </w:trPr>
        <w:tc>
          <w:tcPr>
            <w:tcW w:w="2380" w:type="dxa"/>
            <w:vAlign w:val="bottom"/>
            <w:gridSpan w:val="2"/>
          </w:tcPr>
          <w:p>
            <w:pPr>
              <w:ind w:left="440"/>
              <w:spacing w:after="0" w:line="145" w:lineRule="exact"/>
              <w:rPr>
                <w:sz w:val="20"/>
                <w:szCs w:val="20"/>
                <w:color w:val="auto"/>
              </w:rPr>
            </w:pPr>
            <w:r>
              <w:rPr>
                <w:rFonts w:ascii="Arial" w:cs="Arial" w:eastAsia="Arial" w:hAnsi="Arial"/>
                <w:sz w:val="13"/>
                <w:szCs w:val="13"/>
                <w:color w:val="auto"/>
              </w:rPr>
              <w:t>Class A</w:t>
            </w: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3"/>
                <w:szCs w:val="13"/>
                <w:i w:val="1"/>
                <w:iCs w:val="1"/>
                <w:color w:val="auto"/>
              </w:rPr>
              <w:t>Global Innovation Platform</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w w:val="86"/>
              </w:rPr>
              <w:t>4,960,565</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87"/>
              </w:rPr>
              <w:t>(4,904,498)</w:t>
            </w:r>
          </w:p>
        </w:tc>
        <w:tc>
          <w:tcPr>
            <w:tcW w:w="80" w:type="dxa"/>
            <w:vAlign w:val="bottom"/>
          </w:tcPr>
          <w:p>
            <w:pPr>
              <w:spacing w:after="0"/>
              <w:rPr>
                <w:sz w:val="10"/>
                <w:szCs w:val="10"/>
                <w:color w:val="auto"/>
              </w:rPr>
            </w:pP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80" w:type="dxa"/>
            <w:vAlign w:val="bottom"/>
            <w:gridSpan w:val="3"/>
            <w:vMerge w:val="restart"/>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(56,067)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380" w:type="dxa"/>
            <w:vAlign w:val="bottom"/>
            <w:gridSpan w:val="2"/>
          </w:tcPr>
          <w:p>
            <w:pPr>
              <w:ind w:left="440"/>
              <w:spacing w:after="0"/>
              <w:rPr>
                <w:sz w:val="20"/>
                <w:szCs w:val="20"/>
                <w:color w:val="auto"/>
              </w:rPr>
            </w:pPr>
            <w:r>
              <w:rPr>
                <w:rFonts w:ascii="Arial" w:cs="Arial" w:eastAsia="Arial" w:hAnsi="Arial"/>
                <w:sz w:val="13"/>
                <w:szCs w:val="13"/>
                <w:color w:val="auto"/>
              </w:rPr>
              <w:t>Preferred shares, Series D</w:t>
            </w:r>
          </w:p>
        </w:tc>
        <w:tc>
          <w:tcPr>
            <w:tcW w:w="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6581775</wp:posOffset>
            </wp:positionH>
            <wp:positionV relativeFrom="paragraph">
              <wp:posOffset>-2376170</wp:posOffset>
            </wp:positionV>
            <wp:extent cx="2857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-2376170</wp:posOffset>
            </wp:positionV>
            <wp:extent cx="2857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-2376170</wp:posOffset>
            </wp:positionV>
            <wp:extent cx="2857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-2376170</wp:posOffset>
            </wp:positionV>
            <wp:extent cx="2095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-2376170</wp:posOffset>
            </wp:positionV>
            <wp:extent cx="1397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-2376170</wp:posOffset>
            </wp:positionV>
            <wp:extent cx="13970"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3825240</wp:posOffset>
            </wp:positionH>
            <wp:positionV relativeFrom="paragraph">
              <wp:posOffset>-2376170</wp:posOffset>
            </wp:positionV>
            <wp:extent cx="1397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-2376170</wp:posOffset>
            </wp:positionV>
            <wp:extent cx="1397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-2376170</wp:posOffset>
            </wp:positionV>
            <wp:extent cx="1397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-2376170</wp:posOffset>
            </wp:positionV>
            <wp:extent cx="191325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913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0" w:name="page121"/>
    <w:bookmarkEnd w:id="12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jc w:val="right"/>
        <w:ind w:right="318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ectPr>
          <w:pgSz w:w="11900" w:h="16838" w:orient="portrait"/>
          <w:cols w:equalWidth="0" w:num="1">
            <w:col w:w="11000"/>
          </w:cols>
          <w:pgMar w:left="220" w:top="134" w:right="679" w:bottom="1440" w:gutter="0" w:footer="0" w:header="0"/>
        </w:sectPr>
      </w:pP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2"/>
              </w:rPr>
              <w:t>Transfer from</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3"/>
              </w:rPr>
              <w:t>Control</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6"/>
              </w:rPr>
              <w:t>Interest, Fees,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jc w:val="center"/>
              <w:ind w:right="8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90"/>
              </w:rPr>
              <w:t>or Dividends</w:t>
            </w:r>
          </w:p>
        </w:tc>
        <w:tc>
          <w:tcPr>
            <w:tcW w:w="40" w:type="dxa"/>
            <w:vAlign w:val="bottom"/>
          </w:tcPr>
          <w:p>
            <w:pPr>
              <w:spacing w:after="0"/>
              <w:rPr>
                <w:sz w:val="11"/>
                <w:szCs w:val="11"/>
                <w:color w:val="auto"/>
              </w:rPr>
            </w:pPr>
          </w:p>
        </w:tc>
        <w:tc>
          <w:tcPr>
            <w:tcW w:w="74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78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Non-Control/</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Principal/</w:t>
            </w: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0"/>
              </w:rPr>
              <w:t>Credited</w:t>
            </w:r>
          </w:p>
        </w:tc>
        <w:tc>
          <w:tcPr>
            <w:tcW w:w="780" w:type="dxa"/>
            <w:vAlign w:val="bottom"/>
            <w:gridSpan w:val="5"/>
          </w:tcPr>
          <w:p>
            <w:pPr>
              <w:jc w:val="center"/>
              <w:ind w:right="2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780" w:type="dxa"/>
            <w:vAlign w:val="bottom"/>
            <w:gridSpan w:val="4"/>
          </w:tcPr>
          <w:p>
            <w:pPr>
              <w:jc w:val="center"/>
              <w:ind w:right="80"/>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0" w:type="dxa"/>
            <w:vAlign w:val="bottom"/>
          </w:tcPr>
          <w:p>
            <w:pPr>
              <w:spacing w:after="0"/>
              <w:rPr>
                <w:sz w:val="1"/>
                <w:szCs w:val="1"/>
                <w:color w:val="auto"/>
              </w:rPr>
            </w:pPr>
          </w:p>
        </w:tc>
      </w:tr>
      <w:tr>
        <w:trPr>
          <w:trHeight w:val="151"/>
        </w:trPr>
        <w:tc>
          <w:tcPr>
            <w:tcW w:w="2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2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Quantity</w:t>
            </w:r>
          </w:p>
        </w:tc>
        <w:tc>
          <w:tcPr>
            <w:tcW w:w="40" w:type="dxa"/>
            <w:vAlign w:val="bottom"/>
          </w:tcPr>
          <w:p>
            <w:pPr>
              <w:spacing w:after="0"/>
              <w:rPr>
                <w:sz w:val="13"/>
                <w:szCs w:val="13"/>
                <w:color w:val="auto"/>
              </w:rPr>
            </w:pPr>
          </w:p>
        </w:tc>
        <w:tc>
          <w:tcPr>
            <w:tcW w:w="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9"/>
              </w:rPr>
              <w:t>in Income</w:t>
            </w:r>
          </w:p>
        </w:tc>
        <w:tc>
          <w:tcPr>
            <w:tcW w:w="40" w:type="dxa"/>
            <w:vAlign w:val="bottom"/>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2015</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8"/>
              </w:rPr>
              <w:t>Investment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300"/>
              <w:spacing w:after="0" w:line="125"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1,733,404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rPr>
                <w:sz w:val="20"/>
                <w:szCs w:val="20"/>
                <w:color w:val="auto"/>
              </w:rPr>
            </w:pPr>
            <w:r>
              <w:rPr>
                <w:rFonts w:ascii="Arial" w:cs="Arial" w:eastAsia="Arial" w:hAnsi="Arial"/>
                <w:sz w:val="13"/>
                <w:szCs w:val="13"/>
                <w:color w:val="auto"/>
              </w:rPr>
              <w:t>Preferred shares, Series C</w:t>
            </w:r>
          </w:p>
        </w:tc>
        <w:tc>
          <w:tcPr>
            <w:tcW w:w="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rPr>
                <w:sz w:val="20"/>
                <w:szCs w:val="20"/>
                <w:color w:val="auto"/>
              </w:rPr>
            </w:pPr>
            <w:r>
              <w:rPr>
                <w:rFonts w:ascii="Arial" w:cs="Arial" w:eastAsia="Arial" w:hAnsi="Arial"/>
                <w:sz w:val="13"/>
                <w:szCs w:val="13"/>
                <w:color w:val="auto"/>
              </w:rPr>
              <w:t>Preferred shares, Series B</w:t>
            </w:r>
          </w:p>
        </w:tc>
        <w:tc>
          <w:tcPr>
            <w:tcW w:w="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rPr>
                <w:sz w:val="20"/>
                <w:szCs w:val="20"/>
                <w:color w:val="auto"/>
              </w:rPr>
            </w:pPr>
            <w:r>
              <w:rPr>
                <w:rFonts w:ascii="Arial" w:cs="Arial" w:eastAsia="Arial" w:hAnsi="Arial"/>
                <w:sz w:val="13"/>
                <w:szCs w:val="13"/>
                <w:color w:val="auto"/>
              </w:rPr>
              <w:t>Preferred shares, Series A</w:t>
            </w:r>
          </w:p>
        </w:tc>
        <w:tc>
          <w:tcPr>
            <w:tcW w:w="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3,720,424</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rPr>
                <w:sz w:val="20"/>
                <w:szCs w:val="20"/>
                <w:color w:val="auto"/>
              </w:rPr>
            </w:pPr>
            <w:r>
              <w:rPr>
                <w:rFonts w:ascii="Arial" w:cs="Arial" w:eastAsia="Arial" w:hAnsi="Arial"/>
                <w:sz w:val="13"/>
                <w:szCs w:val="13"/>
                <w:color w:val="auto"/>
              </w:rPr>
              <w:t>Preferred stock Series A-4</w:t>
            </w: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1,561,625</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rPr>
                <w:sz w:val="20"/>
                <w:szCs w:val="20"/>
                <w:color w:val="auto"/>
              </w:rPr>
            </w:pPr>
            <w:r>
              <w:rPr>
                <w:rFonts w:ascii="Arial" w:cs="Arial" w:eastAsia="Arial" w:hAnsi="Arial"/>
                <w:sz w:val="13"/>
                <w:szCs w:val="13"/>
                <w:color w:val="auto"/>
              </w:rPr>
              <w:t>Preferred stock Series A-3</w:t>
            </w: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1"/>
              </w:rPr>
              <w:t>NestGSV, Inc. (d/b/a GSV Labs, Inc.) –</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450,001</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Preferred stock Series A-2</w:t>
            </w: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w w:val="91"/>
              </w:rPr>
              <w:t>NestGSV, Inc. (d/b/a GSV Labs, Inc.) –</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1,000,000</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gridSpan w:val="2"/>
            <w:vMerge w:val="restart"/>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Preferred stock Series A-1</w:t>
            </w:r>
          </w:p>
        </w:tc>
        <w:tc>
          <w:tcPr>
            <w:tcW w:w="600" w:type="dxa"/>
            <w:vAlign w:val="bottom"/>
            <w:tcBorders>
              <w:bottom w:val="single" w:sz="8" w:color="CCEEFF"/>
            </w:tcBorders>
            <w:gridSpan w:val="2"/>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gridSpan w:val="2"/>
            <w:vMerge w:val="continue"/>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CCEE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tcPr>
          <w:p>
            <w:pPr>
              <w:ind w:left="140"/>
              <w:spacing w:after="0"/>
              <w:rPr>
                <w:sz w:val="20"/>
                <w:szCs w:val="20"/>
                <w:color w:val="auto"/>
              </w:rPr>
            </w:pPr>
            <w:r>
              <w:rPr>
                <w:rFonts w:ascii="Arial" w:cs="Arial" w:eastAsia="Arial" w:hAnsi="Arial"/>
                <w:sz w:val="13"/>
                <w:szCs w:val="13"/>
                <w:i w:val="1"/>
                <w:iCs w:val="1"/>
                <w:color w:val="auto"/>
              </w:rPr>
              <w:t>Total Global Innovation Platform</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6,693,969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2380" w:type="dxa"/>
            <w:vAlign w:val="bottom"/>
          </w:tcPr>
          <w:p>
            <w:pPr>
              <w:ind w:left="140"/>
              <w:spacing w:after="0"/>
              <w:rPr>
                <w:sz w:val="20"/>
                <w:szCs w:val="20"/>
                <w:color w:val="auto"/>
              </w:rPr>
            </w:pPr>
            <w:r>
              <w:rPr>
                <w:rFonts w:ascii="Arial" w:cs="Arial" w:eastAsia="Arial" w:hAnsi="Arial"/>
                <w:sz w:val="13"/>
                <w:szCs w:val="13"/>
                <w:i w:val="1"/>
                <w:iCs w:val="1"/>
                <w:color w:val="auto"/>
              </w:rPr>
              <w:t>Interactive Learning</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7"/>
              </w:rPr>
              <w:t>StormWind, LLC – Preferred shares,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440"/>
              <w:spacing w:after="0" w:line="167" w:lineRule="exact"/>
              <w:rPr>
                <w:sz w:val="20"/>
                <w:szCs w:val="20"/>
                <w:color w:val="auto"/>
              </w:rPr>
            </w:pPr>
            <w:r>
              <w:rPr>
                <w:rFonts w:ascii="Arial" w:cs="Arial" w:eastAsia="Arial" w:hAnsi="Arial"/>
                <w:sz w:val="13"/>
                <w:szCs w:val="13"/>
                <w:color w:val="auto"/>
              </w:rPr>
              <w:t xml:space="preserve">Series C </w:t>
            </w:r>
            <w:r>
              <w:rPr>
                <w:rFonts w:ascii="Arial" w:cs="Arial" w:eastAsia="Arial" w:hAnsi="Arial"/>
                <w:sz w:val="19"/>
                <w:szCs w:val="19"/>
                <w:color w:val="auto"/>
                <w:vertAlign w:val="superscript"/>
              </w:rPr>
              <w:t>(4)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w w:val="96"/>
              </w:rPr>
              <w:t>2,779,134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4,599,718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7"/>
              </w:rPr>
              <w:t>StormWind, LLC – Preferred shares,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440"/>
              <w:spacing w:after="0" w:line="167" w:lineRule="exact"/>
              <w:rPr>
                <w:sz w:val="20"/>
                <w:szCs w:val="20"/>
                <w:color w:val="auto"/>
              </w:rPr>
            </w:pPr>
            <w:r>
              <w:rPr>
                <w:rFonts w:ascii="Arial" w:cs="Arial" w:eastAsia="Arial" w:hAnsi="Arial"/>
                <w:sz w:val="13"/>
                <w:szCs w:val="13"/>
                <w:color w:val="auto"/>
              </w:rPr>
              <w:t xml:space="preserve">Series B </w:t>
            </w:r>
            <w:r>
              <w:rPr>
                <w:rFonts w:ascii="Arial" w:cs="Arial" w:eastAsia="Arial" w:hAnsi="Arial"/>
                <w:sz w:val="19"/>
                <w:szCs w:val="19"/>
                <w:color w:val="auto"/>
                <w:vertAlign w:val="superscript"/>
              </w:rPr>
              <w:t>(4)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w w:val="96"/>
              </w:rPr>
              <w:t>3,279,629</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4,633,228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2380" w:type="dxa"/>
            <w:vAlign w:val="bottom"/>
          </w:tcPr>
          <w:p>
            <w:pPr>
              <w:ind w:left="300"/>
              <w:spacing w:after="0" w:line="123" w:lineRule="exact"/>
              <w:rPr>
                <w:sz w:val="20"/>
                <w:szCs w:val="20"/>
                <w:color w:val="auto"/>
              </w:rPr>
            </w:pPr>
            <w:r>
              <w:rPr>
                <w:rFonts w:ascii="Arial" w:cs="Arial" w:eastAsia="Arial" w:hAnsi="Arial"/>
                <w:sz w:val="13"/>
                <w:szCs w:val="13"/>
                <w:color w:val="auto"/>
                <w:w w:val="97"/>
              </w:rPr>
              <w:t>StormWind, LLC – Preferred shares,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440"/>
              <w:spacing w:after="0" w:line="167" w:lineRule="exact"/>
              <w:rPr>
                <w:sz w:val="20"/>
                <w:szCs w:val="20"/>
                <w:color w:val="auto"/>
              </w:rPr>
            </w:pPr>
            <w:r>
              <w:rPr>
                <w:rFonts w:ascii="Arial" w:cs="Arial" w:eastAsia="Arial" w:hAnsi="Arial"/>
                <w:sz w:val="13"/>
                <w:szCs w:val="13"/>
                <w:color w:val="auto"/>
              </w:rPr>
              <w:t xml:space="preserve">Series A </w:t>
            </w:r>
            <w:r>
              <w:rPr>
                <w:rFonts w:ascii="Arial" w:cs="Arial" w:eastAsia="Arial" w:hAnsi="Arial"/>
                <w:sz w:val="19"/>
                <w:szCs w:val="19"/>
                <w:color w:val="auto"/>
                <w:vertAlign w:val="superscript"/>
              </w:rPr>
              <w:t>(4)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366,666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80" w:type="dxa"/>
            <w:vAlign w:val="bottom"/>
          </w:tcPr>
          <w:p>
            <w:pPr>
              <w:ind w:left="140"/>
              <w:spacing w:after="0"/>
              <w:rPr>
                <w:sz w:val="20"/>
                <w:szCs w:val="20"/>
                <w:color w:val="auto"/>
              </w:rPr>
            </w:pPr>
            <w:r>
              <w:rPr>
                <w:rFonts w:ascii="Arial" w:cs="Arial" w:eastAsia="Arial" w:hAnsi="Arial"/>
                <w:sz w:val="13"/>
                <w:szCs w:val="13"/>
                <w:i w:val="1"/>
                <w:iCs w:val="1"/>
                <w:color w:val="auto"/>
              </w:rPr>
              <w:t>Total Interactive Learning</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9,750,946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0"/>
                <w:szCs w:val="20"/>
                <w:color w:val="auto"/>
              </w:rPr>
            </w:pPr>
            <w:r>
              <w:rPr>
                <w:rFonts w:ascii="Arial" w:cs="Arial" w:eastAsia="Arial" w:hAnsi="Arial"/>
                <w:sz w:val="13"/>
                <w:szCs w:val="13"/>
                <w:b w:val="1"/>
                <w:bCs w:val="1"/>
                <w:color w:val="auto"/>
              </w:rPr>
              <w:t>Total Preferred Stock</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w w:val="88"/>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w w:val="94"/>
              </w:rPr>
              <w:t>$22,694,915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-1986280</wp:posOffset>
            </wp:positionV>
            <wp:extent cx="6519545" cy="1771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519545" cy="17716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-1631950</wp:posOffset>
            </wp:positionV>
            <wp:extent cx="6519545" cy="1771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519545" cy="17716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-1277620</wp:posOffset>
            </wp:positionV>
            <wp:extent cx="6519545" cy="1841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519545" cy="18415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-987425</wp:posOffset>
            </wp:positionV>
            <wp:extent cx="6519545" cy="156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519545" cy="15621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-647065</wp:posOffset>
            </wp:positionV>
            <wp:extent cx="6519545" cy="1841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519545" cy="18415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-271780</wp:posOffset>
            </wp:positionV>
            <wp:extent cx="6519545" cy="1060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519545" cy="10604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-2347595</wp:posOffset>
            </wp:positionV>
            <wp:extent cx="6519545" cy="1841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519545" cy="184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Fair Value at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3"/>
              </w:rPr>
              <w:t>Percentage</w:t>
            </w:r>
          </w:p>
        </w:tc>
      </w:tr>
      <w:tr>
        <w:trPr>
          <w:trHeight w:val="134"/>
        </w:trPr>
        <w:tc>
          <w:tcPr>
            <w:tcW w:w="62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w w:val="94"/>
              </w:rPr>
              <w:t>Corporate</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70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w w:val="92"/>
              </w:rPr>
              <w:t>Unrealized</w:t>
            </w:r>
          </w:p>
        </w:tc>
        <w:tc>
          <w:tcPr>
            <w:tcW w:w="78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right"/>
              <w:ind w:right="77"/>
              <w:spacing w:after="0" w:line="134" w:lineRule="exact"/>
              <w:rPr>
                <w:sz w:val="20"/>
                <w:szCs w:val="20"/>
                <w:color w:val="auto"/>
              </w:rPr>
            </w:pPr>
            <w:r>
              <w:rPr>
                <w:rFonts w:ascii="Arial" w:cs="Arial" w:eastAsia="Arial" w:hAnsi="Arial"/>
                <w:sz w:val="12"/>
                <w:szCs w:val="12"/>
                <w:b w:val="1"/>
                <w:bCs w:val="1"/>
                <w:color w:val="auto"/>
              </w:rPr>
              <w:t>of Net</w:t>
            </w:r>
          </w:p>
        </w:tc>
      </w:tr>
      <w:tr>
        <w:trPr>
          <w:trHeight w:val="151"/>
        </w:trPr>
        <w:tc>
          <w:tcPr>
            <w:tcW w:w="6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2"/>
                <w:szCs w:val="12"/>
                <w:b w:val="1"/>
                <w:bCs w:val="1"/>
                <w:color w:val="auto"/>
              </w:rPr>
              <w:t>Action</w:t>
            </w: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Purchases</w:t>
            </w:r>
          </w:p>
        </w:tc>
        <w:tc>
          <w:tcPr>
            <w:tcW w:w="40" w:type="dxa"/>
            <w:vAlign w:val="bottom"/>
          </w:tcPr>
          <w:p>
            <w:pPr>
              <w:spacing w:after="0"/>
              <w:rPr>
                <w:sz w:val="13"/>
                <w:szCs w:val="13"/>
                <w:color w:val="auto"/>
              </w:rPr>
            </w:pPr>
          </w:p>
        </w:tc>
        <w:tc>
          <w:tcPr>
            <w:tcW w:w="540" w:type="dxa"/>
            <w:vAlign w:val="bottom"/>
            <w:gridSpan w:val="3"/>
          </w:tcPr>
          <w:p>
            <w:pPr>
              <w:ind w:left="140"/>
              <w:spacing w:after="0"/>
              <w:rPr>
                <w:sz w:val="20"/>
                <w:szCs w:val="20"/>
                <w:color w:val="auto"/>
              </w:rPr>
            </w:pPr>
            <w:r>
              <w:rPr>
                <w:rFonts w:ascii="Arial" w:cs="Arial" w:eastAsia="Arial" w:hAnsi="Arial"/>
                <w:sz w:val="12"/>
                <w:szCs w:val="12"/>
                <w:b w:val="1"/>
                <w:bCs w:val="1"/>
                <w:color w:val="auto"/>
              </w:rPr>
              <w:t>Sales</w:t>
            </w:r>
          </w:p>
        </w:tc>
        <w:tc>
          <w:tcPr>
            <w:tcW w:w="40" w:type="dxa"/>
            <w:vAlign w:val="bottom"/>
          </w:tcPr>
          <w:p>
            <w:pPr>
              <w:spacing w:after="0"/>
              <w:rPr>
                <w:sz w:val="13"/>
                <w:szCs w:val="13"/>
                <w:color w:val="auto"/>
              </w:rPr>
            </w:pPr>
          </w:p>
        </w:tc>
        <w:tc>
          <w:tcPr>
            <w:tcW w:w="158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w w:val="87"/>
              </w:rPr>
              <w:t>Gains/(Losses) Gains/(Losses)</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2016</w:t>
            </w:r>
          </w:p>
        </w:tc>
        <w:tc>
          <w:tcPr>
            <w:tcW w:w="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2"/>
                <w:szCs w:val="12"/>
                <w:b w:val="1"/>
                <w:bCs w:val="1"/>
                <w:color w:val="auto"/>
              </w:rPr>
              <w:t>Assets</w:t>
            </w:r>
          </w:p>
        </w:tc>
      </w:tr>
      <w:tr>
        <w:trPr>
          <w:trHeight w:val="286"/>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7"/>
              </w:rPr>
              <w:t>(2,005,730)</w:t>
            </w: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272,326</w:t>
            </w: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r>
      <w:tr>
        <w:trPr>
          <w:trHeight w:val="279"/>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(605,500)</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605,500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9"/>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7"/>
              </w:rPr>
              <w:t>(1,021,778)</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1,021,778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9"/>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4,904,498</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(2,188,588)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2,715,910</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1.41%</w:t>
            </w:r>
          </w:p>
        </w:tc>
      </w:tr>
      <w:tr>
        <w:trPr>
          <w:trHeight w:val="279"/>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2,005,730</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(1,053,139)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952,591</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0.50%</w:t>
            </w:r>
          </w:p>
        </w:tc>
      </w:tr>
      <w:tr>
        <w:trPr>
          <w:trHeight w:val="279"/>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605,500</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(439,000)</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166,500</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0.09%</w:t>
            </w:r>
          </w:p>
        </w:tc>
      </w:tr>
      <w:tr>
        <w:trPr>
          <w:trHeight w:val="274"/>
        </w:trPr>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1,021,778</w:t>
            </w:r>
          </w:p>
        </w:tc>
        <w:tc>
          <w:tcPr>
            <w:tcW w:w="320" w:type="dxa"/>
            <w:vAlign w:val="bottom"/>
          </w:tcPr>
          <w:p>
            <w:pPr>
              <w:spacing w:after="0"/>
              <w:rPr>
                <w:sz w:val="23"/>
                <w:szCs w:val="23"/>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(751,778)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270,000</w:t>
            </w:r>
          </w:p>
        </w:tc>
        <w:tc>
          <w:tcPr>
            <w:tcW w:w="8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0.14%</w:t>
            </w:r>
          </w:p>
        </w:tc>
      </w:tr>
      <w:tr>
        <w:trPr>
          <w:trHeight w:val="20"/>
        </w:trPr>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(2,588,968)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4,105,001</w:t>
            </w: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2.14%</w:t>
            </w:r>
          </w:p>
        </w:tc>
      </w:tr>
      <w:tr>
        <w:trPr>
          <w:trHeight w:val="246"/>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51,120</w:t>
            </w: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4,650,838</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2.42%</w:t>
            </w:r>
          </w:p>
        </w:tc>
      </w:tr>
      <w:tr>
        <w:trPr>
          <w:trHeight w:val="290"/>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(162,825)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4,470,403</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2.33%</w:t>
            </w:r>
          </w:p>
        </w:tc>
      </w:tr>
      <w:tr>
        <w:trPr>
          <w:trHeight w:val="286"/>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(18,204)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499,796</w:t>
            </w:r>
          </w:p>
        </w:tc>
        <w:tc>
          <w:tcPr>
            <w:tcW w:w="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0.26%</w:t>
            </w:r>
          </w:p>
        </w:tc>
      </w:tr>
      <w:tr>
        <w:trPr>
          <w:trHeight w:val="20"/>
        </w:trPr>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(129,909)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9,621,037</w:t>
            </w: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5.01%</w:t>
            </w:r>
          </w:p>
        </w:tc>
      </w:tr>
      <w:tr>
        <w:trPr>
          <w:trHeight w:val="246"/>
        </w:trPr>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w w:val="88"/>
              </w:rPr>
              <w:t>$—</w:t>
            </w:r>
          </w:p>
        </w:tc>
        <w:tc>
          <w:tcPr>
            <w:tcW w:w="18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w w:val="88"/>
              </w:rPr>
              <w:t>$—</w:t>
            </w:r>
          </w:p>
        </w:tc>
        <w:tc>
          <w:tcPr>
            <w:tcW w:w="280" w:type="dxa"/>
            <w:vAlign w:val="bottom"/>
          </w:tcPr>
          <w:p>
            <w:pPr>
              <w:spacing w:after="0"/>
              <w:rPr>
                <w:sz w:val="21"/>
                <w:szCs w:val="21"/>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w w:val="88"/>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86"/>
              </w:rPr>
              <w:t>$(4,659,099)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4"/>
              </w:rPr>
              <w:t>$18,035,816</w:t>
            </w:r>
          </w:p>
        </w:tc>
        <w:tc>
          <w:tcPr>
            <w:tcW w:w="80" w:type="dxa"/>
            <w:vAlign w:val="bottom"/>
          </w:tcPr>
          <w:p>
            <w:pPr>
              <w:spacing w:after="0"/>
              <w:rPr>
                <w:sz w:val="21"/>
                <w:szCs w:val="21"/>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9.39%</w:t>
            </w:r>
          </w:p>
        </w:tc>
      </w:tr>
    </w:tbl>
    <w:p>
      <w:pPr>
        <w:spacing w:after="0" w:line="200" w:lineRule="exact"/>
        <w:rPr>
          <w:sz w:val="20"/>
          <w:szCs w:val="20"/>
          <w:color w:val="auto"/>
        </w:rPr>
      </w:pPr>
    </w:p>
    <w:p>
      <w:pPr>
        <w:sectPr>
          <w:pgSz w:w="11900" w:h="16838" w:orient="portrait"/>
          <w:cols w:equalWidth="0" w:num="2">
            <w:col w:w="6040" w:space="0"/>
            <w:col w:w="4960"/>
          </w:cols>
          <w:pgMar w:left="220" w:top="13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334885" cy="3937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type w:val="continuous"/>
        </w:sectPr>
      </w:pPr>
    </w:p>
    <w:bookmarkStart w:id="121" w:name="page122"/>
    <w:bookmarkEnd w:id="12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2"/>
              </w:rPr>
              <w:t>Transfer from</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3"/>
              </w:rPr>
              <w:t>Control</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6"/>
              </w:rPr>
              <w:t>Interest, Fees,</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0"/>
              </w:rPr>
              <w:t>or Dividends</w:t>
            </w:r>
          </w:p>
        </w:tc>
        <w:tc>
          <w:tcPr>
            <w:tcW w:w="76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7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Non-Control/</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w w:val="96"/>
              </w:rPr>
              <w:t>Principal/</w:t>
            </w:r>
          </w:p>
        </w:tc>
        <w:tc>
          <w:tcPr>
            <w:tcW w:w="740" w:type="dxa"/>
            <w:vAlign w:val="bottom"/>
            <w:gridSpan w:val="4"/>
          </w:tcPr>
          <w:p>
            <w:pPr>
              <w:jc w:val="center"/>
              <w:ind w:right="20"/>
              <w:spacing w:after="0" w:line="134" w:lineRule="exact"/>
              <w:rPr>
                <w:sz w:val="20"/>
                <w:szCs w:val="20"/>
                <w:color w:val="auto"/>
              </w:rPr>
            </w:pPr>
            <w:r>
              <w:rPr>
                <w:rFonts w:ascii="Arial" w:cs="Arial" w:eastAsia="Arial" w:hAnsi="Arial"/>
                <w:sz w:val="12"/>
                <w:szCs w:val="12"/>
                <w:b w:val="1"/>
                <w:bCs w:val="1"/>
                <w:color w:val="auto"/>
                <w:w w:val="90"/>
              </w:rPr>
              <w:t>Credited</w:t>
            </w:r>
          </w:p>
        </w:tc>
        <w:tc>
          <w:tcPr>
            <w:tcW w:w="7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76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70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4"/>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760" w:type="dxa"/>
            <w:vAlign w:val="bottom"/>
            <w:gridSpan w:val="3"/>
          </w:tcPr>
          <w:p>
            <w:pPr>
              <w:jc w:val="right"/>
              <w:ind w:right="100"/>
              <w:spacing w:after="0" w:line="134" w:lineRule="exact"/>
              <w:rPr>
                <w:sz w:val="20"/>
                <w:szCs w:val="20"/>
                <w:color w:val="auto"/>
              </w:rPr>
            </w:pPr>
            <w:r>
              <w:rPr>
                <w:rFonts w:ascii="Arial" w:cs="Arial" w:eastAsia="Arial" w:hAnsi="Arial"/>
                <w:sz w:val="12"/>
                <w:szCs w:val="12"/>
                <w:b w:val="1"/>
                <w:bCs w:val="1"/>
                <w:color w:val="auto"/>
              </w:rPr>
              <w:t>Unrealized</w:t>
            </w:r>
          </w:p>
        </w:tc>
        <w:tc>
          <w:tcPr>
            <w:tcW w:w="780" w:type="dxa"/>
            <w:vAlign w:val="bottom"/>
            <w:gridSpan w:val="5"/>
          </w:tcPr>
          <w:p>
            <w:pPr>
              <w:jc w:val="center"/>
              <w:ind w:right="2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380" w:type="dxa"/>
            <w:vAlign w:val="bottom"/>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20" w:type="dxa"/>
            <w:vAlign w:val="bottom"/>
          </w:tcPr>
          <w:p>
            <w:pPr>
              <w:spacing w:after="0"/>
              <w:rPr>
                <w:sz w:val="13"/>
                <w:szCs w:val="13"/>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0"/>
              </w:rPr>
              <w:t>Quantity</w:t>
            </w:r>
          </w:p>
        </w:tc>
        <w:tc>
          <w:tcPr>
            <w:tcW w:w="7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9"/>
              </w:rPr>
              <w:t>in Income</w:t>
            </w:r>
          </w:p>
        </w:tc>
        <w:tc>
          <w:tcPr>
            <w:tcW w:w="18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9"/>
              </w:rPr>
              <w:t>2015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8"/>
              </w:rPr>
              <w:t>Investment</w:t>
            </w:r>
          </w:p>
        </w:tc>
        <w:tc>
          <w:tcPr>
            <w:tcW w:w="180" w:type="dxa"/>
            <w:vAlign w:val="bottom"/>
          </w:tcPr>
          <w:p>
            <w:pPr>
              <w:spacing w:after="0"/>
              <w:rPr>
                <w:sz w:val="13"/>
                <w:szCs w:val="13"/>
                <w:color w:val="auto"/>
              </w:rPr>
            </w:pPr>
          </w:p>
        </w:tc>
        <w:tc>
          <w:tcPr>
            <w:tcW w:w="5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5"/>
              </w:rPr>
              <w:t>Action</w:t>
            </w:r>
          </w:p>
        </w:tc>
        <w:tc>
          <w:tcPr>
            <w:tcW w:w="800" w:type="dxa"/>
            <w:vAlign w:val="bottom"/>
            <w:gridSpan w:val="5"/>
          </w:tcPr>
          <w:p>
            <w:pPr>
              <w:ind w:left="120"/>
              <w:spacing w:after="0"/>
              <w:rPr>
                <w:sz w:val="20"/>
                <w:szCs w:val="20"/>
                <w:color w:val="auto"/>
              </w:rPr>
            </w:pPr>
            <w:r>
              <w:rPr>
                <w:rFonts w:ascii="Arial" w:cs="Arial" w:eastAsia="Arial" w:hAnsi="Arial"/>
                <w:sz w:val="12"/>
                <w:szCs w:val="12"/>
                <w:b w:val="1"/>
                <w:bCs w:val="1"/>
                <w:color w:val="auto"/>
              </w:rPr>
              <w:t>Purchases</w:t>
            </w:r>
          </w:p>
        </w:tc>
        <w:tc>
          <w:tcPr>
            <w:tcW w:w="580" w:type="dxa"/>
            <w:vAlign w:val="bottom"/>
            <w:gridSpan w:val="4"/>
          </w:tcPr>
          <w:p>
            <w:pPr>
              <w:ind w:left="140"/>
              <w:spacing w:after="0"/>
              <w:rPr>
                <w:sz w:val="20"/>
                <w:szCs w:val="20"/>
                <w:color w:val="auto"/>
              </w:rPr>
            </w:pPr>
            <w:r>
              <w:rPr>
                <w:rFonts w:ascii="Arial" w:cs="Arial" w:eastAsia="Arial" w:hAnsi="Arial"/>
                <w:sz w:val="12"/>
                <w:szCs w:val="12"/>
                <w:b w:val="1"/>
                <w:bCs w:val="1"/>
                <w:color w:val="auto"/>
              </w:rPr>
              <w:t>Sales</w:t>
            </w:r>
          </w:p>
        </w:tc>
        <w:tc>
          <w:tcPr>
            <w:tcW w:w="156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6"/>
              </w:rPr>
              <w:t>Gains/(Losses) Gains/(Losses)</w:t>
            </w:r>
          </w:p>
        </w:tc>
        <w:tc>
          <w:tcPr>
            <w:tcW w:w="600" w:type="dxa"/>
            <w:vAlign w:val="bottom"/>
            <w:gridSpan w:val="3"/>
          </w:tcPr>
          <w:p>
            <w:pPr>
              <w:jc w:val="center"/>
              <w:ind w:left="98"/>
              <w:spacing w:after="0"/>
              <w:rPr>
                <w:sz w:val="20"/>
                <w:szCs w:val="20"/>
                <w:color w:val="auto"/>
              </w:rPr>
            </w:pPr>
            <w:r>
              <w:rPr>
                <w:rFonts w:ascii="Arial" w:cs="Arial" w:eastAsia="Arial" w:hAnsi="Arial"/>
                <w:sz w:val="12"/>
                <w:szCs w:val="12"/>
                <w:b w:val="1"/>
                <w:bCs w:val="1"/>
                <w:color w:val="auto"/>
                <w:w w:val="89"/>
              </w:rPr>
              <w:t>2016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47"/>
        </w:trPr>
        <w:tc>
          <w:tcPr>
            <w:tcW w:w="23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Warrants</w:t>
            </w: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140"/>
              <w:spacing w:after="0"/>
              <w:rPr>
                <w:sz w:val="20"/>
                <w:szCs w:val="20"/>
                <w:color w:val="auto"/>
              </w:rPr>
            </w:pPr>
            <w:r>
              <w:rPr>
                <w:rFonts w:ascii="Arial" w:cs="Arial" w:eastAsia="Arial" w:hAnsi="Arial"/>
                <w:sz w:val="13"/>
                <w:szCs w:val="13"/>
                <w:i w:val="1"/>
                <w:iCs w:val="1"/>
                <w:color w:val="auto"/>
              </w:rPr>
              <w:t>Global Innovation Platform</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w w:val="88"/>
              </w:rPr>
              <w:t>Preferred Warrant Series A-4 – Strike</w:t>
            </w: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rPr>
              <w:t>Price $1.33333, Expiration Date</w:t>
            </w:r>
          </w:p>
        </w:tc>
        <w:tc>
          <w:tcPr>
            <w:tcW w:w="62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500,000</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color w:val="auto"/>
                <w:w w:val="88"/>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w w:val="88"/>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w w:val="88"/>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2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10/6/2019</w:t>
            </w:r>
          </w:p>
        </w:tc>
        <w:tc>
          <w:tcPr>
            <w:tcW w:w="62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vMerge w:val="continue"/>
            <w:shd w:val="clear" w:color="auto" w:fill="CCEEFF"/>
          </w:tcPr>
          <w:p>
            <w:pPr>
              <w:spacing w:after="0"/>
              <w:rPr>
                <w:sz w:val="12"/>
                <w:szCs w:val="12"/>
                <w:color w:val="auto"/>
              </w:rPr>
            </w:pPr>
          </w:p>
        </w:tc>
        <w:tc>
          <w:tcPr>
            <w:tcW w:w="58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vMerge w:val="continue"/>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tcPr>
          <w:p>
            <w:pPr>
              <w:ind w:left="300"/>
              <w:spacing w:after="0" w:line="146"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w w:val="88"/>
              </w:rPr>
              <w:t>Preferred Warrant Series A-4 – Strike</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rPr>
              <w:t>Price $1.33333, Expiration Date</w:t>
            </w:r>
          </w:p>
        </w:tc>
        <w:tc>
          <w:tcPr>
            <w:tcW w:w="620" w:type="dxa"/>
            <w:vAlign w:val="bottom"/>
            <w:gridSpan w:val="2"/>
            <w:vMerge w:val="restart"/>
          </w:tcPr>
          <w:p>
            <w:pPr>
              <w:jc w:val="right"/>
              <w:ind w:right="38"/>
              <w:spacing w:after="0"/>
              <w:rPr>
                <w:sz w:val="20"/>
                <w:szCs w:val="20"/>
                <w:color w:val="auto"/>
              </w:rPr>
            </w:pPr>
            <w:r>
              <w:rPr>
                <w:rFonts w:ascii="Arial" w:cs="Arial" w:eastAsia="Arial" w:hAnsi="Arial"/>
                <w:sz w:val="13"/>
                <w:szCs w:val="13"/>
                <w:color w:val="auto"/>
              </w:rPr>
              <w:t>250,000</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0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w w:val="85"/>
              </w:rPr>
              <w:t>74,380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9"/>
              </w:rPr>
              <w:t>(51,880)</w:t>
            </w:r>
          </w:p>
        </w:tc>
        <w:tc>
          <w:tcPr>
            <w:tcW w:w="600" w:type="dxa"/>
            <w:vAlign w:val="bottom"/>
            <w:gridSpan w:val="3"/>
            <w:vMerge w:val="restart"/>
          </w:tcPr>
          <w:p>
            <w:pPr>
              <w:jc w:val="right"/>
              <w:spacing w:after="0"/>
              <w:rPr>
                <w:sz w:val="20"/>
                <w:szCs w:val="20"/>
                <w:color w:val="auto"/>
              </w:rPr>
            </w:pPr>
            <w:r>
              <w:rPr>
                <w:rFonts w:ascii="Arial" w:cs="Arial" w:eastAsia="Arial" w:hAnsi="Arial"/>
                <w:sz w:val="13"/>
                <w:szCs w:val="13"/>
                <w:color w:val="auto"/>
              </w:rPr>
              <w:t>22,500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7/18/2021</w:t>
            </w: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300"/>
              <w:spacing w:after="0" w:line="146"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w w:val="88"/>
              </w:rPr>
              <w:t>Preferred Warrant Series A-4 – Strike</w:t>
            </w: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rPr>
              <w:t>Price $1.33333, Expiration Date</w:t>
            </w:r>
          </w:p>
        </w:tc>
        <w:tc>
          <w:tcPr>
            <w:tcW w:w="62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100,000</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0"/>
              </w:rPr>
              <w:t>29,275</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99"/>
              </w:rPr>
              <w:t>(20,275)</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11/29/2021</w:t>
            </w:r>
          </w:p>
        </w:tc>
        <w:tc>
          <w:tcPr>
            <w:tcW w:w="62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tcPr>
          <w:p>
            <w:pPr>
              <w:ind w:left="300"/>
              <w:spacing w:after="0" w:line="146"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w w:val="88"/>
              </w:rPr>
              <w:t>Preferred Warrant Series A-3 – Strike</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rPr>
              <w:t>Price $1.33333, Expiration Date</w:t>
            </w:r>
          </w:p>
        </w:tc>
        <w:tc>
          <w:tcPr>
            <w:tcW w:w="620" w:type="dxa"/>
            <w:vAlign w:val="bottom"/>
            <w:gridSpan w:val="2"/>
            <w:vMerge w:val="restart"/>
          </w:tcPr>
          <w:p>
            <w:pPr>
              <w:jc w:val="right"/>
              <w:ind w:right="38"/>
              <w:spacing w:after="0"/>
              <w:rPr>
                <w:sz w:val="20"/>
                <w:szCs w:val="20"/>
                <w:color w:val="auto"/>
              </w:rPr>
            </w:pPr>
            <w:r>
              <w:rPr>
                <w:rFonts w:ascii="Arial" w:cs="Arial" w:eastAsia="Arial" w:hAnsi="Arial"/>
                <w:sz w:val="13"/>
                <w:szCs w:val="13"/>
                <w:color w:val="auto"/>
              </w:rPr>
              <w:t>187,500</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50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5,625</w:t>
            </w:r>
          </w:p>
        </w:tc>
        <w:tc>
          <w:tcPr>
            <w:tcW w:w="120" w:type="dxa"/>
            <w:vAlign w:val="bottom"/>
          </w:tcPr>
          <w:p>
            <w:pPr>
              <w:spacing w:after="0"/>
              <w:rPr>
                <w:sz w:val="10"/>
                <w:szCs w:val="10"/>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3"/>
                <w:szCs w:val="13"/>
                <w:color w:val="auto"/>
              </w:rPr>
              <w:t>5,625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4/4/2019</w:t>
            </w: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300"/>
              <w:spacing w:after="0" w:line="146"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w w:val="90"/>
              </w:rPr>
              <w:t>Preferred warrants, Series D – $1.33</w:t>
            </w: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rPr>
              <w:t>Strike Price, Expiration Date</w:t>
            </w: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145,000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6"/>
              </w:rPr>
              <w:t>(145,000)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10/6/2019</w:t>
            </w:r>
          </w:p>
        </w:tc>
        <w:tc>
          <w:tcPr>
            <w:tcW w:w="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tcPr>
          <w:p>
            <w:pPr>
              <w:ind w:left="300"/>
              <w:spacing w:after="0" w:line="146"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w w:val="90"/>
              </w:rPr>
              <w:t>Preferred warrants, Series C – $1.33</w:t>
            </w:r>
          </w:p>
        </w:tc>
        <w:tc>
          <w:tcPr>
            <w:tcW w:w="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31,875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9"/>
              </w:rPr>
              <w:t>(31,875)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w w:val="88"/>
              </w:rPr>
              <w:t>Strike Price, Expiration Date 4/4/2019</w:t>
            </w:r>
          </w:p>
        </w:tc>
        <w:tc>
          <w:tcPr>
            <w:tcW w:w="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300"/>
              <w:spacing w:after="0" w:line="146" w:lineRule="exact"/>
              <w:rPr>
                <w:sz w:val="20"/>
                <w:szCs w:val="20"/>
                <w:color w:val="auto"/>
              </w:rPr>
            </w:pPr>
            <w:r>
              <w:rPr>
                <w:rFonts w:ascii="Arial" w:cs="Arial" w:eastAsia="Arial" w:hAnsi="Arial"/>
                <w:sz w:val="13"/>
                <w:szCs w:val="13"/>
                <w:color w:val="auto"/>
                <w:w w:val="91"/>
              </w:rPr>
              <w:t>NestGSV, Inc. (d/b/a GSV Labs, Inc.) –</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w w:val="91"/>
              </w:rPr>
              <w:t>Preferred warrants Series D – Strike</w:t>
            </w: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rPr>
              <w:t>Price $1.33, Expiration Date</w:t>
            </w: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7/18/2021</w:t>
            </w:r>
          </w:p>
        </w:tc>
        <w:tc>
          <w:tcPr>
            <w:tcW w:w="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80" w:type="dxa"/>
            <w:vAlign w:val="bottom"/>
          </w:tcPr>
          <w:p>
            <w:pPr>
              <w:ind w:left="140"/>
              <w:spacing w:after="0"/>
              <w:rPr>
                <w:sz w:val="20"/>
                <w:szCs w:val="20"/>
                <w:color w:val="auto"/>
              </w:rPr>
            </w:pPr>
            <w:r>
              <w:rPr>
                <w:rFonts w:ascii="Arial" w:cs="Arial" w:eastAsia="Arial" w:hAnsi="Arial"/>
                <w:sz w:val="13"/>
                <w:szCs w:val="13"/>
                <w:i w:val="1"/>
                <w:iCs w:val="1"/>
                <w:color w:val="auto"/>
              </w:rPr>
              <w:t>Total Global Innovation Platform</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176,875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74,380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0"/>
              </w:rPr>
              <w:t>29,275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(203,405)</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77,125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Warrants</w:t>
            </w: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w w:val="88"/>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176,875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88"/>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74,380</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0"/>
              </w:rPr>
              <w:t>29,275</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88"/>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(203,405)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$77,125</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6595745</wp:posOffset>
            </wp:positionH>
            <wp:positionV relativeFrom="paragraph">
              <wp:posOffset>-2776855</wp:posOffset>
            </wp:positionV>
            <wp:extent cx="2857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-2776855</wp:posOffset>
            </wp:positionV>
            <wp:extent cx="2857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-2776855</wp:posOffset>
            </wp:positionV>
            <wp:extent cx="2857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-2776855</wp:posOffset>
            </wp:positionV>
            <wp:extent cx="2857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-2776855</wp:posOffset>
            </wp:positionV>
            <wp:extent cx="2857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-2776855</wp:posOffset>
            </wp:positionV>
            <wp:extent cx="2857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-2776855</wp:posOffset>
            </wp:positionV>
            <wp:extent cx="2857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-2776855</wp:posOffset>
            </wp:positionV>
            <wp:extent cx="2857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-2776855</wp:posOffset>
            </wp:positionV>
            <wp:extent cx="2095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-2776855</wp:posOffset>
            </wp:positionV>
            <wp:extent cx="1397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-2776855</wp:posOffset>
            </wp:positionV>
            <wp:extent cx="1397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2" w:name="page123"/>
    <w:bookmarkEnd w:id="12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2"/>
              </w:rPr>
              <w:t>Transfer from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Control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center"/>
              <w:spacing w:after="0" w:line="134" w:lineRule="exact"/>
              <w:rPr>
                <w:sz w:val="20"/>
                <w:szCs w:val="20"/>
                <w:color w:val="auto"/>
              </w:rPr>
            </w:pPr>
            <w:r>
              <w:rPr>
                <w:rFonts w:ascii="Arial" w:cs="Arial" w:eastAsia="Arial" w:hAnsi="Arial"/>
                <w:sz w:val="12"/>
                <w:szCs w:val="12"/>
                <w:b w:val="1"/>
                <w:bCs w:val="1"/>
                <w:color w:val="auto"/>
                <w:w w:val="86"/>
              </w:rPr>
              <w:t>Interest, Fees,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center"/>
              <w:spacing w:after="0" w:line="134" w:lineRule="exact"/>
              <w:rPr>
                <w:sz w:val="20"/>
                <w:szCs w:val="20"/>
                <w:color w:val="auto"/>
              </w:rPr>
            </w:pPr>
            <w:r>
              <w:rPr>
                <w:rFonts w:ascii="Arial" w:cs="Arial" w:eastAsia="Arial" w:hAnsi="Arial"/>
                <w:sz w:val="12"/>
                <w:szCs w:val="12"/>
                <w:b w:val="1"/>
                <w:bCs w:val="1"/>
                <w:color w:val="auto"/>
                <w:w w:val="90"/>
              </w:rPr>
              <w:t>or Dividends</w:t>
            </w:r>
          </w:p>
        </w:tc>
        <w:tc>
          <w:tcPr>
            <w:tcW w:w="40" w:type="dxa"/>
            <w:vAlign w:val="bottom"/>
          </w:tcPr>
          <w:p>
            <w:pPr>
              <w:spacing w:after="0"/>
              <w:rPr>
                <w:sz w:val="11"/>
                <w:szCs w:val="11"/>
                <w:color w:val="auto"/>
              </w:rPr>
            </w:pPr>
          </w:p>
        </w:tc>
        <w:tc>
          <w:tcPr>
            <w:tcW w:w="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w w:val="98"/>
              </w:rPr>
              <w:t>Fair Value at</w:t>
            </w:r>
          </w:p>
        </w:tc>
        <w:tc>
          <w:tcPr>
            <w:tcW w:w="78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Non-Control/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Fair Value at</w:t>
            </w:r>
          </w:p>
        </w:tc>
        <w:tc>
          <w:tcPr>
            <w:tcW w:w="56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Principal/</w:t>
            </w:r>
          </w:p>
        </w:tc>
        <w:tc>
          <w:tcPr>
            <w:tcW w:w="120" w:type="dxa"/>
            <w:vAlign w:val="bottom"/>
          </w:tcPr>
          <w:p>
            <w:pPr>
              <w:spacing w:after="0"/>
              <w:rPr>
                <w:sz w:val="11"/>
                <w:szCs w:val="11"/>
                <w:color w:val="auto"/>
              </w:rPr>
            </w:pPr>
          </w:p>
        </w:tc>
        <w:tc>
          <w:tcPr>
            <w:tcW w:w="600" w:type="dxa"/>
            <w:vAlign w:val="bottom"/>
            <w:gridSpan w:val="3"/>
          </w:tcPr>
          <w:p>
            <w:pPr>
              <w:jc w:val="center"/>
              <w:ind w:right="120"/>
              <w:spacing w:after="0" w:line="134" w:lineRule="exact"/>
              <w:rPr>
                <w:sz w:val="20"/>
                <w:szCs w:val="20"/>
                <w:color w:val="auto"/>
              </w:rPr>
            </w:pPr>
            <w:r>
              <w:rPr>
                <w:rFonts w:ascii="Arial" w:cs="Arial" w:eastAsia="Arial" w:hAnsi="Arial"/>
                <w:sz w:val="12"/>
                <w:szCs w:val="12"/>
                <w:b w:val="1"/>
                <w:bCs w:val="1"/>
                <w:color w:val="auto"/>
                <w:w w:val="90"/>
              </w:rPr>
              <w:t>Credited</w:t>
            </w:r>
          </w:p>
        </w:tc>
        <w:tc>
          <w:tcPr>
            <w:tcW w:w="780" w:type="dxa"/>
            <w:vAlign w:val="bottom"/>
            <w:gridSpan w:val="6"/>
          </w:tcPr>
          <w:p>
            <w:pPr>
              <w:ind w:left="40"/>
              <w:spacing w:after="0" w:line="134" w:lineRule="exact"/>
              <w:rPr>
                <w:sz w:val="20"/>
                <w:szCs w:val="20"/>
                <w:color w:val="auto"/>
              </w:rPr>
            </w:pPr>
            <w:r>
              <w:rPr>
                <w:rFonts w:ascii="Arial" w:cs="Arial" w:eastAsia="Arial" w:hAnsi="Arial"/>
                <w:sz w:val="12"/>
                <w:szCs w:val="12"/>
                <w:b w:val="1"/>
                <w:bCs w:val="1"/>
                <w:color w:val="auto"/>
                <w:w w:val="92"/>
              </w:rPr>
              <w:t>December 31,</w:t>
            </w: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760" w:type="dxa"/>
            <w:vAlign w:val="bottom"/>
            <w:gridSpan w:val="5"/>
          </w:tcPr>
          <w:p>
            <w:pPr>
              <w:jc w:val="center"/>
              <w:ind w:right="120"/>
              <w:spacing w:after="0" w:line="134" w:lineRule="exact"/>
              <w:rPr>
                <w:sz w:val="20"/>
                <w:szCs w:val="20"/>
                <w:color w:val="auto"/>
              </w:rPr>
            </w:pPr>
            <w:r>
              <w:rPr>
                <w:rFonts w:ascii="Arial" w:cs="Arial" w:eastAsia="Arial" w:hAnsi="Arial"/>
                <w:sz w:val="12"/>
                <w:szCs w:val="12"/>
                <w:b w:val="1"/>
                <w:bCs w:val="1"/>
                <w:color w:val="auto"/>
                <w:w w:val="90"/>
              </w:rPr>
              <w:t>Corporate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60" w:type="dxa"/>
            <w:vAlign w:val="bottom"/>
          </w:tcPr>
          <w:p>
            <w:pPr>
              <w:spacing w:after="0"/>
              <w:rPr>
                <w:sz w:val="11"/>
                <w:szCs w:val="11"/>
                <w:color w:val="auto"/>
              </w:rPr>
            </w:pPr>
          </w:p>
        </w:tc>
        <w:tc>
          <w:tcPr>
            <w:tcW w:w="700" w:type="dxa"/>
            <w:vAlign w:val="bottom"/>
            <w:gridSpan w:val="3"/>
          </w:tcPr>
          <w:p>
            <w:pPr>
              <w:jc w:val="right"/>
              <w:ind w:right="120"/>
              <w:spacing w:after="0" w:line="134" w:lineRule="exact"/>
              <w:rPr>
                <w:sz w:val="20"/>
                <w:szCs w:val="20"/>
                <w:color w:val="auto"/>
              </w:rPr>
            </w:pPr>
            <w:r>
              <w:rPr>
                <w:rFonts w:ascii="Arial" w:cs="Arial" w:eastAsia="Arial" w:hAnsi="Arial"/>
                <w:sz w:val="12"/>
                <w:szCs w:val="12"/>
                <w:b w:val="1"/>
                <w:bCs w:val="1"/>
                <w:color w:val="auto"/>
                <w:w w:val="92"/>
              </w:rPr>
              <w:t>Unrealized</w:t>
            </w:r>
          </w:p>
        </w:tc>
        <w:tc>
          <w:tcPr>
            <w:tcW w:w="780" w:type="dxa"/>
            <w:vAlign w:val="bottom"/>
            <w:gridSpan w:val="6"/>
          </w:tcPr>
          <w:p>
            <w:pPr>
              <w:ind w:left="40"/>
              <w:spacing w:after="0" w:line="134" w:lineRule="exact"/>
              <w:rPr>
                <w:sz w:val="20"/>
                <w:szCs w:val="20"/>
                <w:color w:val="auto"/>
              </w:rPr>
            </w:pPr>
            <w:r>
              <w:rPr>
                <w:rFonts w:ascii="Arial" w:cs="Arial" w:eastAsia="Arial" w:hAnsi="Arial"/>
                <w:sz w:val="12"/>
                <w:szCs w:val="12"/>
                <w:b w:val="1"/>
                <w:bCs w:val="1"/>
                <w:color w:val="auto"/>
                <w:w w:val="92"/>
              </w:rPr>
              <w:t>December 31,</w:t>
            </w:r>
          </w:p>
        </w:tc>
        <w:tc>
          <w:tcPr>
            <w:tcW w:w="560" w:type="dxa"/>
            <w:vAlign w:val="bottom"/>
            <w:gridSpan w:val="3"/>
          </w:tcPr>
          <w:p>
            <w:pPr>
              <w:jc w:val="right"/>
              <w:ind w:right="140"/>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3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Quantity</w:t>
            </w:r>
          </w:p>
        </w:tc>
        <w:tc>
          <w:tcPr>
            <w:tcW w:w="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rPr>
              <w:t>in Income</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2015</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1"/>
              </w:rPr>
              <w:t>Investment</w:t>
            </w:r>
          </w:p>
        </w:tc>
        <w:tc>
          <w:tcPr>
            <w:tcW w:w="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90"/>
              </w:rPr>
              <w:t>Action</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88"/>
              </w:rPr>
              <w:t>Purchases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Sales</w:t>
            </w: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5"/>
              </w:rPr>
              <w:t>Gains/(Losses)</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83"/>
              </w:rPr>
              <w:t>Gains/(Losses)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2"/>
                <w:szCs w:val="12"/>
                <w:b w:val="1"/>
                <w:bCs w:val="1"/>
                <w:color w:val="auto"/>
              </w:rPr>
              <w:t>2016</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47"/>
        </w:trPr>
        <w:tc>
          <w:tcPr>
            <w:tcW w:w="24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Common Stock</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00" w:type="dxa"/>
            <w:vAlign w:val="bottom"/>
            <w:gridSpan w:val="4"/>
          </w:tcPr>
          <w:p>
            <w:pPr>
              <w:ind w:left="140"/>
              <w:spacing w:after="0"/>
              <w:rPr>
                <w:sz w:val="20"/>
                <w:szCs w:val="20"/>
                <w:color w:val="auto"/>
              </w:rPr>
            </w:pPr>
            <w:r>
              <w:rPr>
                <w:rFonts w:ascii="Arial" w:cs="Arial" w:eastAsia="Arial" w:hAnsi="Arial"/>
                <w:sz w:val="13"/>
                <w:szCs w:val="13"/>
                <w:i w:val="1"/>
                <w:iCs w:val="1"/>
                <w:color w:val="auto"/>
              </w:rPr>
              <w:t>Clean Technology</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60"/>
              <w:spacing w:after="0" w:line="134" w:lineRule="exact"/>
              <w:rPr>
                <w:sz w:val="20"/>
                <w:szCs w:val="20"/>
                <w:color w:val="auto"/>
              </w:rPr>
            </w:pPr>
            <w:r>
              <w:rPr>
                <w:rFonts w:ascii="Arial" w:cs="Arial" w:eastAsia="Arial" w:hAnsi="Arial"/>
                <w:sz w:val="13"/>
                <w:szCs w:val="13"/>
                <w:color w:val="auto"/>
                <w:w w:val="94"/>
              </w:rPr>
              <w:t>SPBRX, INC. (f/k/a GSV Sustainability</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3"/>
            <w:vMerge w:val="restart"/>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w w:val="88"/>
              </w:rPr>
              <w:t>$—</w:t>
            </w:r>
          </w:p>
        </w:tc>
        <w:tc>
          <w:tcPr>
            <w:tcW w:w="220" w:type="dxa"/>
            <w:vAlign w:val="bottom"/>
            <w:shd w:val="clear" w:color="auto" w:fill="CCEEFF"/>
          </w:tcPr>
          <w:p>
            <w:pPr>
              <w:spacing w:after="0"/>
              <w:rPr>
                <w:sz w:val="11"/>
                <w:szCs w:val="11"/>
                <w:color w:val="auto"/>
              </w:rPr>
            </w:pPr>
          </w:p>
        </w:tc>
        <w:tc>
          <w:tcPr>
            <w:tcW w:w="540" w:type="dxa"/>
            <w:vAlign w:val="bottom"/>
            <w:gridSpan w:val="4"/>
            <w:vMerge w:val="restart"/>
            <w:shd w:val="clear" w:color="auto" w:fill="CCEEFF"/>
          </w:tcPr>
          <w:p>
            <w:pPr>
              <w:jc w:val="right"/>
              <w:ind w:right="340"/>
              <w:spacing w:after="0"/>
              <w:rPr>
                <w:sz w:val="20"/>
                <w:szCs w:val="20"/>
                <w:color w:val="auto"/>
              </w:rPr>
            </w:pPr>
            <w:r>
              <w:rPr>
                <w:rFonts w:ascii="Arial" w:cs="Arial" w:eastAsia="Arial" w:hAnsi="Arial"/>
                <w:sz w:val="13"/>
                <w:szCs w:val="13"/>
                <w:color w:val="auto"/>
                <w:w w:val="88"/>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3"/>
                <w:szCs w:val="13"/>
                <w:color w:val="auto"/>
                <w:w w:val="88"/>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3"/>
            <w:vMerge w:val="restart"/>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300"/>
              <w:spacing w:after="0" w:line="145" w:lineRule="exact"/>
              <w:rPr>
                <w:sz w:val="20"/>
                <w:szCs w:val="20"/>
                <w:color w:val="auto"/>
              </w:rPr>
            </w:pPr>
            <w:r>
              <w:rPr>
                <w:rFonts w:ascii="Arial" w:cs="Arial" w:eastAsia="Arial" w:hAnsi="Arial"/>
                <w:sz w:val="13"/>
                <w:szCs w:val="13"/>
                <w:color w:val="auto"/>
              </w:rPr>
              <w:t>Partners, Inc.) – Common shares</w:t>
            </w: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40" w:type="dxa"/>
            <w:vAlign w:val="bottom"/>
            <w:gridSpan w:val="3"/>
            <w:vMerge w:val="continue"/>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4"/>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40" w:type="dxa"/>
            <w:vAlign w:val="bottom"/>
            <w:gridSpan w:val="4"/>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gridSpan w:val="3"/>
            <w:vMerge w:val="continue"/>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400" w:type="dxa"/>
            <w:vAlign w:val="bottom"/>
            <w:gridSpan w:val="4"/>
          </w:tcPr>
          <w:p>
            <w:pPr>
              <w:ind w:left="140"/>
              <w:spacing w:after="0"/>
              <w:rPr>
                <w:sz w:val="20"/>
                <w:szCs w:val="20"/>
                <w:color w:val="auto"/>
              </w:rPr>
            </w:pPr>
            <w:r>
              <w:rPr>
                <w:rFonts w:ascii="Arial" w:cs="Arial" w:eastAsia="Arial" w:hAnsi="Arial"/>
                <w:sz w:val="13"/>
                <w:szCs w:val="13"/>
                <w:i w:val="1"/>
                <w:iCs w:val="1"/>
                <w:color w:val="auto"/>
              </w:rPr>
              <w:t>Global Innovation Platform</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60"/>
              <w:spacing w:after="0" w:line="146" w:lineRule="exact"/>
              <w:rPr>
                <w:sz w:val="20"/>
                <w:szCs w:val="20"/>
                <w:color w:val="auto"/>
              </w:rPr>
            </w:pPr>
            <w:r>
              <w:rPr>
                <w:rFonts w:ascii="Arial" w:cs="Arial" w:eastAsia="Arial" w:hAnsi="Arial"/>
                <w:sz w:val="13"/>
                <w:szCs w:val="13"/>
                <w:color w:val="auto"/>
                <w:w w:val="92"/>
              </w:rPr>
              <w:t>NestGSV, Inc. (d/b/a GSV Labs, Inc.)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4"/>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300"/>
              <w:spacing w:after="0" w:line="145" w:lineRule="exact"/>
              <w:rPr>
                <w:sz w:val="20"/>
                <w:szCs w:val="20"/>
                <w:color w:val="auto"/>
              </w:rPr>
            </w:pPr>
            <w:r>
              <w:rPr>
                <w:rFonts w:ascii="Arial" w:cs="Arial" w:eastAsia="Arial" w:hAnsi="Arial"/>
                <w:sz w:val="13"/>
                <w:szCs w:val="13"/>
                <w:color w:val="auto"/>
              </w:rPr>
              <w:t>Common shares</w:t>
            </w: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Total Common Stock</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ind w:left="120"/>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3"/>
          </w:tcPr>
          <w:p>
            <w:pPr>
              <w:ind w:left="80"/>
              <w:spacing w:after="0"/>
              <w:rPr>
                <w:sz w:val="20"/>
                <w:szCs w:val="20"/>
                <w:color w:val="auto"/>
              </w:rPr>
            </w:pPr>
            <w:r>
              <w:rPr>
                <w:rFonts w:ascii="Arial" w:cs="Arial" w:eastAsia="Arial" w:hAnsi="Arial"/>
                <w:sz w:val="9"/>
                <w:szCs w:val="9"/>
                <w:color w:val="auto"/>
                <w:w w:val="78"/>
              </w:rPr>
              <w:t>$</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w w:val="88"/>
              </w:rPr>
              <w:t>$—</w:t>
            </w:r>
          </w:p>
        </w:tc>
        <w:tc>
          <w:tcPr>
            <w:tcW w:w="220" w:type="dxa"/>
            <w:vAlign w:val="bottom"/>
          </w:tcPr>
          <w:p>
            <w:pPr>
              <w:spacing w:after="0"/>
              <w:rPr>
                <w:sz w:val="15"/>
                <w:szCs w:val="15"/>
                <w:color w:val="auto"/>
              </w:rPr>
            </w:pPr>
          </w:p>
        </w:tc>
        <w:tc>
          <w:tcPr>
            <w:tcW w:w="540" w:type="dxa"/>
            <w:vAlign w:val="bottom"/>
            <w:gridSpan w:val="4"/>
          </w:tcPr>
          <w:p>
            <w:pPr>
              <w:jc w:val="right"/>
              <w:ind w:right="3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3"/>
                <w:szCs w:val="13"/>
                <w:color w:val="auto"/>
                <w:w w:val="88"/>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3"/>
          </w:tcPr>
          <w:p>
            <w:pPr>
              <w:ind w:left="60"/>
              <w:spacing w:after="0"/>
              <w:rPr>
                <w:sz w:val="20"/>
                <w:szCs w:val="20"/>
                <w:color w:val="auto"/>
              </w:rPr>
            </w:pPr>
            <w:r>
              <w:rPr>
                <w:rFonts w:ascii="Arial" w:cs="Arial" w:eastAsia="Arial" w:hAnsi="Arial"/>
                <w:sz w:val="9"/>
                <w:szCs w:val="9"/>
                <w:color w:val="auto"/>
                <w:w w:val="78"/>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6"/>
        </w:trPr>
        <w:tc>
          <w:tcPr>
            <w:tcW w:w="24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TOTAL CONTROLLED</w:t>
            </w:r>
          </w:p>
        </w:tc>
        <w:tc>
          <w:tcPr>
            <w:tcW w:w="5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400" w:type="dxa"/>
            <w:vAlign w:val="bottom"/>
            <w:gridSpan w:val="4"/>
            <w:shd w:val="clear" w:color="auto" w:fill="CCEEFF"/>
          </w:tcPr>
          <w:p>
            <w:pPr>
              <w:ind w:left="140"/>
              <w:spacing w:after="0" w:line="167"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9"/>
                <w:szCs w:val="19"/>
                <w:b w:val="1"/>
                <w:bCs w:val="1"/>
                <w:color w:val="auto"/>
                <w:vertAlign w:val="superscript"/>
              </w:rPr>
              <w:t>(2)</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b w:val="1"/>
                <w:bCs w:val="1"/>
                <w:u w:val="single" w:color="auto"/>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101,999</w:t>
            </w:r>
          </w:p>
        </w:tc>
        <w:tc>
          <w:tcPr>
            <w:tcW w:w="1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ind w:left="80"/>
              <w:spacing w:after="0"/>
              <w:rPr>
                <w:sz w:val="20"/>
                <w:szCs w:val="20"/>
                <w:color w:val="auto"/>
              </w:rPr>
            </w:pPr>
            <w:r>
              <w:rPr>
                <w:rFonts w:ascii="Arial" w:cs="Arial" w:eastAsia="Arial" w:hAnsi="Arial"/>
                <w:sz w:val="9"/>
                <w:szCs w:val="9"/>
                <w:b w:val="1"/>
                <w:bCs w:val="1"/>
                <w:u w:val="single" w:color="auto"/>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22,871,790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b w:val="1"/>
                <w:bCs w:val="1"/>
                <w:color w:val="auto"/>
                <w:w w:val="88"/>
              </w:rPr>
              <w:t>$—</w:t>
            </w:r>
          </w:p>
        </w:tc>
        <w:tc>
          <w:tcPr>
            <w:tcW w:w="22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b w:val="1"/>
                <w:bCs w:val="1"/>
                <w:color w:val="auto"/>
                <w:w w:val="88"/>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1,563,049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u w:val="single" w:color="auto"/>
                <w:color w:val="auto"/>
                <w:w w:val="78"/>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(500,000)</w:t>
            </w:r>
          </w:p>
        </w:tc>
        <w:tc>
          <w:tcPr>
            <w:tcW w:w="2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b w:val="1"/>
                <w:bCs w:val="1"/>
                <w:color w:val="auto"/>
                <w:w w:val="88"/>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84"/>
              </w:rPr>
              <w:t>(4,897,273)</w:t>
            </w:r>
          </w:p>
        </w:tc>
        <w:tc>
          <w:tcPr>
            <w:tcW w:w="120" w:type="dxa"/>
            <w:vAlign w:val="bottom"/>
            <w:gridSpan w:val="3"/>
            <w:shd w:val="clear" w:color="auto" w:fill="CCEEFF"/>
          </w:tcPr>
          <w:p>
            <w:pPr>
              <w:ind w:left="60"/>
              <w:spacing w:after="0"/>
              <w:rPr>
                <w:sz w:val="20"/>
                <w:szCs w:val="20"/>
                <w:color w:val="auto"/>
              </w:rPr>
            </w:pPr>
            <w:r>
              <w:rPr>
                <w:rFonts w:ascii="Arial" w:cs="Arial" w:eastAsia="Arial" w:hAnsi="Arial"/>
                <w:sz w:val="9"/>
                <w:szCs w:val="9"/>
                <w:b w:val="1"/>
                <w:bCs w:val="1"/>
                <w:u w:val="single" w:color="auto"/>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19,037,566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9.</w:t>
            </w:r>
            <w:r>
              <w:rPr>
                <w:rFonts w:ascii="Arial" w:cs="Arial" w:eastAsia="Arial" w:hAnsi="Arial"/>
                <w:sz w:val="13"/>
                <w:szCs w:val="13"/>
                <w:b w:val="1"/>
                <w:bCs w:val="1"/>
                <w:u w:val="single" w:color="auto"/>
                <w:color w:val="auto"/>
              </w:rPr>
              <w:t>90</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3"/>
                <w:szCs w:val="13"/>
                <w:b w:val="1"/>
                <w:bCs w:val="1"/>
                <w:u w:val="single" w:color="auto"/>
                <w:color w:val="auto"/>
              </w:rPr>
              <w:t>NON-CONTROLLED/AFFILIATE</w:t>
            </w: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0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2240" w:type="dxa"/>
            <w:vAlign w:val="bottom"/>
            <w:gridSpan w:val="2"/>
          </w:tcPr>
          <w:p>
            <w:pPr>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5"/>
                <w:szCs w:val="15"/>
                <w:b w:val="1"/>
                <w:bCs w:val="1"/>
                <w:color w:val="auto"/>
                <w:vertAlign w:val="superscript"/>
              </w:rPr>
              <w:t>(1)</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40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Debt Investments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0" w:type="dxa"/>
            <w:vAlign w:val="bottom"/>
            <w:gridSpan w:val="4"/>
          </w:tcPr>
          <w:p>
            <w:pPr>
              <w:ind w:left="140"/>
              <w:spacing w:after="0"/>
              <w:rPr>
                <w:sz w:val="20"/>
                <w:szCs w:val="20"/>
                <w:color w:val="auto"/>
              </w:rPr>
            </w:pPr>
            <w:r>
              <w:rPr>
                <w:rFonts w:ascii="Arial" w:cs="Arial" w:eastAsia="Arial" w:hAnsi="Arial"/>
                <w:sz w:val="13"/>
                <w:szCs w:val="13"/>
                <w:i w:val="1"/>
                <w:iCs w:val="1"/>
                <w:color w:val="auto"/>
              </w:rPr>
              <w:t>Corporate Education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60"/>
              <w:spacing w:after="0" w:line="146" w:lineRule="exact"/>
              <w:rPr>
                <w:sz w:val="20"/>
                <w:szCs w:val="20"/>
                <w:color w:val="auto"/>
              </w:rPr>
            </w:pPr>
            <w:r>
              <w:rPr>
                <w:rFonts w:ascii="Arial" w:cs="Arial" w:eastAsia="Arial" w:hAnsi="Arial"/>
                <w:sz w:val="13"/>
                <w:szCs w:val="13"/>
                <w:color w:val="auto"/>
              </w:rPr>
              <w:t>CUX, Inc. (d/b/a CorpU) – Senior</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0" w:type="dxa"/>
            <w:vAlign w:val="bottom"/>
            <w:shd w:val="clear" w:color="auto" w:fill="CCEEFF"/>
          </w:tcPr>
          <w:p>
            <w:pPr>
              <w:spacing w:after="0"/>
              <w:rPr>
                <w:sz w:val="10"/>
                <w:szCs w:val="10"/>
                <w:color w:val="auto"/>
              </w:rPr>
            </w:pPr>
          </w:p>
        </w:tc>
        <w:tc>
          <w:tcPr>
            <w:tcW w:w="2260" w:type="dxa"/>
            <w:vAlign w:val="bottom"/>
            <w:gridSpan w:val="3"/>
            <w:shd w:val="clear" w:color="auto" w:fill="CCEEFF"/>
          </w:tcPr>
          <w:p>
            <w:pPr>
              <w:ind w:left="300"/>
              <w:spacing w:after="0" w:line="123" w:lineRule="exact"/>
              <w:rPr>
                <w:sz w:val="20"/>
                <w:szCs w:val="20"/>
                <w:color w:val="auto"/>
              </w:rPr>
            </w:pPr>
            <w:r>
              <w:rPr>
                <w:rFonts w:ascii="Arial" w:cs="Arial" w:eastAsia="Arial" w:hAnsi="Arial"/>
                <w:sz w:val="13"/>
                <w:szCs w:val="13"/>
                <w:color w:val="auto"/>
                <w:w w:val="90"/>
              </w:rPr>
              <w:t>Subordinated Convertible Promissory</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300"/>
              <w:spacing w:after="0" w:line="157" w:lineRule="exact"/>
              <w:rPr>
                <w:sz w:val="20"/>
                <w:szCs w:val="20"/>
                <w:color w:val="auto"/>
              </w:rPr>
            </w:pPr>
            <w:r>
              <w:rPr>
                <w:rFonts w:ascii="Arial" w:cs="Arial" w:eastAsia="Arial" w:hAnsi="Arial"/>
                <w:sz w:val="12"/>
                <w:szCs w:val="12"/>
                <w:color w:val="auto"/>
              </w:rPr>
              <w:t xml:space="preserve">Note 8% Due 11/26/2018*** </w:t>
            </w:r>
            <w:r>
              <w:rPr>
                <w:rFonts w:ascii="Arial" w:cs="Arial" w:eastAsia="Arial" w:hAnsi="Arial"/>
                <w:sz w:val="18"/>
                <w:szCs w:val="18"/>
                <w:color w:val="auto"/>
                <w:vertAlign w:val="superscript"/>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1,166,400</w:t>
            </w:r>
          </w:p>
        </w:tc>
        <w:tc>
          <w:tcPr>
            <w:tcW w:w="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87,318</w:t>
            </w:r>
          </w:p>
        </w:tc>
        <w:tc>
          <w:tcPr>
            <w:tcW w:w="1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1,080,000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88"/>
              </w:rPr>
              <w:t>$—</w:t>
            </w:r>
          </w:p>
        </w:tc>
        <w:tc>
          <w:tcPr>
            <w:tcW w:w="22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86,400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88"/>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3"/>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1,166,400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167"/>
        </w:trPr>
        <w:tc>
          <w:tcPr>
            <w:tcW w:w="2400" w:type="dxa"/>
            <w:vAlign w:val="bottom"/>
            <w:gridSpan w:val="4"/>
          </w:tcPr>
          <w:p>
            <w:pPr>
              <w:ind w:left="140"/>
              <w:spacing w:after="0"/>
              <w:rPr>
                <w:sz w:val="20"/>
                <w:szCs w:val="20"/>
                <w:color w:val="auto"/>
              </w:rPr>
            </w:pPr>
            <w:r>
              <w:rPr>
                <w:rFonts w:ascii="Arial" w:cs="Arial" w:eastAsia="Arial" w:hAnsi="Arial"/>
                <w:sz w:val="13"/>
                <w:szCs w:val="13"/>
                <w:i w:val="1"/>
                <w:iCs w:val="1"/>
                <w:color w:val="auto"/>
              </w:rPr>
              <w:t>Digital Media Platform</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60"/>
              <w:spacing w:after="0" w:line="146" w:lineRule="exact"/>
              <w:rPr>
                <w:sz w:val="20"/>
                <w:szCs w:val="20"/>
                <w:color w:val="auto"/>
              </w:rPr>
            </w:pPr>
            <w:r>
              <w:rPr>
                <w:rFonts w:ascii="Arial" w:cs="Arial" w:eastAsia="Arial" w:hAnsi="Arial"/>
                <w:sz w:val="13"/>
                <w:szCs w:val="13"/>
                <w:color w:val="auto"/>
              </w:rPr>
              <w:t>Ozy Media, Inc. – Convertible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0" w:type="dxa"/>
            <w:vAlign w:val="bottom"/>
            <w:shd w:val="clear" w:color="auto" w:fill="CCEEFF"/>
          </w:tcPr>
          <w:p>
            <w:pPr>
              <w:spacing w:after="0"/>
              <w:rPr>
                <w:sz w:val="10"/>
                <w:szCs w:val="10"/>
                <w:color w:val="auto"/>
              </w:rPr>
            </w:pPr>
          </w:p>
        </w:tc>
        <w:tc>
          <w:tcPr>
            <w:tcW w:w="2260" w:type="dxa"/>
            <w:vAlign w:val="bottom"/>
            <w:gridSpan w:val="3"/>
            <w:shd w:val="clear" w:color="auto" w:fill="CCEEFF"/>
          </w:tcPr>
          <w:p>
            <w:pPr>
              <w:ind w:left="300"/>
              <w:spacing w:after="0" w:line="123" w:lineRule="exact"/>
              <w:rPr>
                <w:sz w:val="20"/>
                <w:szCs w:val="20"/>
                <w:color w:val="auto"/>
              </w:rPr>
            </w:pPr>
            <w:r>
              <w:rPr>
                <w:rFonts w:ascii="Arial" w:cs="Arial" w:eastAsia="Arial" w:hAnsi="Arial"/>
                <w:sz w:val="13"/>
                <w:szCs w:val="13"/>
                <w:color w:val="auto"/>
              </w:rPr>
              <w:t>Promissory Note 5%, Due 2/28/</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2,000,000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33,700</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540" w:type="dxa"/>
            <w:vAlign w:val="bottom"/>
            <w:gridSpan w:val="4"/>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2,000,000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5"/>
        </w:trPr>
        <w:tc>
          <w:tcPr>
            <w:tcW w:w="106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3"/>
                <w:szCs w:val="13"/>
                <w:color w:val="auto"/>
              </w:rPr>
              <w:t>2018***</w:t>
            </w: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4"/>
          </w:tcPr>
          <w:p>
            <w:pPr>
              <w:ind w:left="140"/>
              <w:spacing w:after="0"/>
              <w:rPr>
                <w:sz w:val="20"/>
                <w:szCs w:val="20"/>
                <w:color w:val="auto"/>
              </w:rPr>
            </w:pPr>
            <w:r>
              <w:rPr>
                <w:rFonts w:ascii="Arial" w:cs="Arial" w:eastAsia="Arial" w:hAnsi="Arial"/>
                <w:sz w:val="13"/>
                <w:szCs w:val="13"/>
                <w:i w:val="1"/>
                <w:iCs w:val="1"/>
                <w:color w:val="auto"/>
              </w:rPr>
              <w:t>Social Cognitive Learning</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60"/>
              <w:spacing w:after="0" w:line="146" w:lineRule="exact"/>
              <w:rPr>
                <w:sz w:val="20"/>
                <w:szCs w:val="20"/>
                <w:color w:val="auto"/>
              </w:rPr>
            </w:pPr>
            <w:r>
              <w:rPr>
                <w:rFonts w:ascii="Arial" w:cs="Arial" w:eastAsia="Arial" w:hAnsi="Arial"/>
                <w:sz w:val="13"/>
                <w:szCs w:val="13"/>
                <w:color w:val="auto"/>
                <w:w w:val="93"/>
              </w:rPr>
              <w:t>Declara, Inc. – Convertible Promissory</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2,120,658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120,523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2,000,000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4"/>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120,658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706,362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2,827,020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5"/>
        </w:trPr>
        <w:tc>
          <w:tcPr>
            <w:tcW w:w="1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300"/>
              <w:spacing w:after="0" w:line="145" w:lineRule="exact"/>
              <w:rPr>
                <w:sz w:val="20"/>
                <w:szCs w:val="20"/>
                <w:color w:val="auto"/>
              </w:rPr>
            </w:pPr>
            <w:r>
              <w:rPr>
                <w:rFonts w:ascii="Arial" w:cs="Arial" w:eastAsia="Arial" w:hAnsi="Arial"/>
                <w:sz w:val="13"/>
                <w:szCs w:val="13"/>
                <w:color w:val="auto"/>
              </w:rPr>
              <w:t>Note 9% Due 6/30/2017***</w:t>
            </w: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6872605</wp:posOffset>
            </wp:positionH>
            <wp:positionV relativeFrom="paragraph">
              <wp:posOffset>-1650365</wp:posOffset>
            </wp:positionV>
            <wp:extent cx="11366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-1650365</wp:posOffset>
            </wp:positionV>
            <wp:extent cx="15621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6210" cy="6985"/>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-1650365</wp:posOffset>
            </wp:positionV>
            <wp:extent cx="8509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-1650365</wp:posOffset>
            </wp:positionV>
            <wp:extent cx="58102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81025" cy="6985"/>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-1650365</wp:posOffset>
            </wp:positionV>
            <wp:extent cx="8509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-1650365</wp:posOffset>
            </wp:positionV>
            <wp:extent cx="385508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55085" cy="698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-2486660</wp:posOffset>
            </wp:positionV>
            <wp:extent cx="2857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-2486660</wp:posOffset>
            </wp:positionV>
            <wp:extent cx="2857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-2486660</wp:posOffset>
            </wp:positionV>
            <wp:extent cx="2857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-2486660</wp:posOffset>
            </wp:positionV>
            <wp:extent cx="2857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-2486660</wp:posOffset>
            </wp:positionV>
            <wp:extent cx="2857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-2486660</wp:posOffset>
            </wp:positionV>
            <wp:extent cx="2857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-2486660</wp:posOffset>
            </wp:positionV>
            <wp:extent cx="2857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-2486660</wp:posOffset>
            </wp:positionV>
            <wp:extent cx="2857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-2486660</wp:posOffset>
            </wp:positionV>
            <wp:extent cx="2857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-2486660</wp:posOffset>
            </wp:positionV>
            <wp:extent cx="2857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-2486660</wp:posOffset>
            </wp:positionV>
            <wp:extent cx="1397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3" w:name="page124"/>
    <w:bookmarkEnd w:id="123"/>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Transfer from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97"/>
              <w:spacing w:after="0" w:line="134" w:lineRule="exact"/>
              <w:rPr>
                <w:sz w:val="20"/>
                <w:szCs w:val="20"/>
                <w:color w:val="auto"/>
              </w:rPr>
            </w:pPr>
            <w:r>
              <w:rPr>
                <w:rFonts w:ascii="Arial" w:cs="Arial" w:eastAsia="Arial" w:hAnsi="Arial"/>
                <w:sz w:val="12"/>
                <w:szCs w:val="12"/>
                <w:b w:val="1"/>
                <w:bCs w:val="1"/>
                <w:color w:val="auto"/>
                <w:w w:val="93"/>
              </w:rPr>
              <w:t>Control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9"/>
              </w:rPr>
              <w:t>Interest, Fees,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4"/>
              </w:rPr>
              <w:t>Investment to</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7"/>
              </w:rPr>
              <w:t>or Dividends</w:t>
            </w:r>
          </w:p>
        </w:tc>
        <w:tc>
          <w:tcPr>
            <w:tcW w:w="160" w:type="dxa"/>
            <w:vAlign w:val="bottom"/>
          </w:tcPr>
          <w:p>
            <w:pPr>
              <w:spacing w:after="0"/>
              <w:rPr>
                <w:sz w:val="11"/>
                <w:szCs w:val="11"/>
                <w:color w:val="auto"/>
              </w:rPr>
            </w:pPr>
          </w:p>
        </w:tc>
        <w:tc>
          <w:tcPr>
            <w:tcW w:w="660" w:type="dxa"/>
            <w:vAlign w:val="bottom"/>
          </w:tcPr>
          <w:p>
            <w:pPr>
              <w:jc w:val="center"/>
              <w:ind w:right="37"/>
              <w:spacing w:after="0" w:line="134" w:lineRule="exact"/>
              <w:rPr>
                <w:sz w:val="20"/>
                <w:szCs w:val="20"/>
                <w:color w:val="auto"/>
              </w:rPr>
            </w:pPr>
            <w:r>
              <w:rPr>
                <w:rFonts w:ascii="Arial" w:cs="Arial" w:eastAsia="Arial" w:hAnsi="Arial"/>
                <w:sz w:val="12"/>
                <w:szCs w:val="12"/>
                <w:b w:val="1"/>
                <w:bCs w:val="1"/>
                <w:color w:val="auto"/>
                <w:w w:val="78"/>
              </w:rPr>
              <w:t>Fair Value at</w:t>
            </w:r>
          </w:p>
        </w:tc>
        <w:tc>
          <w:tcPr>
            <w:tcW w:w="7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9"/>
              </w:rPr>
              <w:t>Non-Control/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78"/>
              </w:rPr>
              <w:t>Fair Value at</w:t>
            </w: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Principal/</w:t>
            </w:r>
          </w:p>
        </w:tc>
        <w:tc>
          <w:tcPr>
            <w:tcW w:w="180" w:type="dxa"/>
            <w:vAlign w:val="bottom"/>
          </w:tcPr>
          <w:p>
            <w:pPr>
              <w:spacing w:after="0"/>
              <w:rPr>
                <w:sz w:val="11"/>
                <w:szCs w:val="11"/>
                <w:color w:val="auto"/>
              </w:rPr>
            </w:pPr>
          </w:p>
        </w:tc>
        <w:tc>
          <w:tcPr>
            <w:tcW w:w="5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2"/>
              </w:rPr>
              <w:t>Credited</w:t>
            </w:r>
          </w:p>
        </w:tc>
        <w:tc>
          <w:tcPr>
            <w:tcW w:w="8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9"/>
              </w:rPr>
              <w:t>December 31,</w:t>
            </w:r>
          </w:p>
        </w:tc>
        <w:tc>
          <w:tcPr>
            <w:tcW w:w="7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780" w:type="dxa"/>
            <w:vAlign w:val="bottom"/>
            <w:gridSpan w:val="5"/>
          </w:tcPr>
          <w:p>
            <w:pPr>
              <w:jc w:val="center"/>
              <w:ind w:right="120"/>
              <w:spacing w:after="0" w:line="134" w:lineRule="exact"/>
              <w:rPr>
                <w:sz w:val="20"/>
                <w:szCs w:val="20"/>
                <w:color w:val="auto"/>
              </w:rPr>
            </w:pPr>
            <w:r>
              <w:rPr>
                <w:rFonts w:ascii="Arial" w:cs="Arial" w:eastAsia="Arial" w:hAnsi="Arial"/>
                <w:sz w:val="12"/>
                <w:szCs w:val="12"/>
                <w:b w:val="1"/>
                <w:bCs w:val="1"/>
                <w:color w:val="auto"/>
                <w:w w:val="94"/>
              </w:rPr>
              <w:t>Corporate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5"/>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b w:val="1"/>
                <w:bCs w:val="1"/>
                <w:color w:val="auto"/>
                <w:w w:val="92"/>
              </w:rPr>
              <w:t>Unrealized</w:t>
            </w: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380" w:type="dxa"/>
            <w:vAlign w:val="bottom"/>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40" w:type="dxa"/>
            <w:vAlign w:val="bottom"/>
          </w:tcPr>
          <w:p>
            <w:pPr>
              <w:spacing w:after="0"/>
              <w:rPr>
                <w:sz w:val="13"/>
                <w:szCs w:val="13"/>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Quantity</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in Income</w:t>
            </w:r>
          </w:p>
        </w:tc>
        <w:tc>
          <w:tcPr>
            <w:tcW w:w="160" w:type="dxa"/>
            <w:vAlign w:val="bottom"/>
          </w:tcPr>
          <w:p>
            <w:pPr>
              <w:spacing w:after="0"/>
              <w:rPr>
                <w:sz w:val="13"/>
                <w:szCs w:val="13"/>
                <w:color w:val="auto"/>
              </w:rPr>
            </w:pPr>
          </w:p>
        </w:tc>
        <w:tc>
          <w:tcPr>
            <w:tcW w:w="660" w:type="dxa"/>
            <w:vAlign w:val="bottom"/>
          </w:tcPr>
          <w:p>
            <w:pPr>
              <w:jc w:val="center"/>
              <w:ind w:right="157"/>
              <w:spacing w:after="0"/>
              <w:rPr>
                <w:sz w:val="20"/>
                <w:szCs w:val="20"/>
                <w:color w:val="auto"/>
              </w:rPr>
            </w:pPr>
            <w:r>
              <w:rPr>
                <w:rFonts w:ascii="Arial" w:cs="Arial" w:eastAsia="Arial" w:hAnsi="Arial"/>
                <w:sz w:val="12"/>
                <w:szCs w:val="12"/>
                <w:b w:val="1"/>
                <w:bCs w:val="1"/>
                <w:color w:val="auto"/>
                <w:w w:val="89"/>
              </w:rPr>
              <w:t>2015</w:t>
            </w:r>
          </w:p>
        </w:tc>
        <w:tc>
          <w:tcPr>
            <w:tcW w:w="720" w:type="dxa"/>
            <w:vAlign w:val="bottom"/>
            <w:gridSpan w:val="2"/>
          </w:tcPr>
          <w:p>
            <w:pPr>
              <w:jc w:val="center"/>
              <w:ind w:right="17"/>
              <w:spacing w:after="0"/>
              <w:rPr>
                <w:sz w:val="20"/>
                <w:szCs w:val="20"/>
                <w:color w:val="auto"/>
              </w:rPr>
            </w:pPr>
            <w:r>
              <w:rPr>
                <w:rFonts w:ascii="Arial" w:cs="Arial" w:eastAsia="Arial" w:hAnsi="Arial"/>
                <w:sz w:val="12"/>
                <w:szCs w:val="12"/>
                <w:b w:val="1"/>
                <w:bCs w:val="1"/>
                <w:color w:val="auto"/>
                <w:w w:val="88"/>
              </w:rPr>
              <w:t>Investment</w:t>
            </w:r>
          </w:p>
        </w:tc>
        <w:tc>
          <w:tcPr>
            <w:tcW w:w="7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0"/>
              </w:rPr>
              <w:t>Action</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w w:val="85"/>
              </w:rPr>
              <w:t>Purchases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4"/>
          </w:tcPr>
          <w:p>
            <w:pPr>
              <w:ind w:left="140"/>
              <w:spacing w:after="0"/>
              <w:rPr>
                <w:sz w:val="20"/>
                <w:szCs w:val="20"/>
                <w:color w:val="auto"/>
              </w:rPr>
            </w:pPr>
            <w:r>
              <w:rPr>
                <w:rFonts w:ascii="Arial" w:cs="Arial" w:eastAsia="Arial" w:hAnsi="Arial"/>
                <w:sz w:val="12"/>
                <w:szCs w:val="12"/>
                <w:b w:val="1"/>
                <w:bCs w:val="1"/>
                <w:color w:val="auto"/>
              </w:rPr>
              <w:t>Sales</w:t>
            </w:r>
          </w:p>
        </w:tc>
        <w:tc>
          <w:tcPr>
            <w:tcW w:w="156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86"/>
              </w:rPr>
              <w:t>Gains/(Losses) Gains/(Losses)</w:t>
            </w:r>
          </w:p>
        </w:tc>
        <w:tc>
          <w:tcPr>
            <w:tcW w:w="160" w:type="dxa"/>
            <w:vAlign w:val="bottom"/>
          </w:tcPr>
          <w:p>
            <w:pPr>
              <w:spacing w:after="0"/>
              <w:rPr>
                <w:sz w:val="13"/>
                <w:szCs w:val="13"/>
                <w:color w:val="auto"/>
              </w:rPr>
            </w:pPr>
          </w:p>
        </w:tc>
        <w:tc>
          <w:tcPr>
            <w:tcW w:w="620" w:type="dxa"/>
            <w:vAlign w:val="bottom"/>
          </w:tcPr>
          <w:p>
            <w:pPr>
              <w:jc w:val="center"/>
              <w:ind w:right="117"/>
              <w:spacing w:after="0"/>
              <w:rPr>
                <w:sz w:val="20"/>
                <w:szCs w:val="20"/>
                <w:color w:val="auto"/>
              </w:rPr>
            </w:pPr>
            <w:r>
              <w:rPr>
                <w:rFonts w:ascii="Arial" w:cs="Arial" w:eastAsia="Arial" w:hAnsi="Arial"/>
                <w:sz w:val="12"/>
                <w:szCs w:val="12"/>
                <w:b w:val="1"/>
                <w:bCs w:val="1"/>
                <w:color w:val="auto"/>
                <w:w w:val="89"/>
              </w:rPr>
              <w:t>2016</w:t>
            </w: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47"/>
        </w:trPr>
        <w:tc>
          <w:tcPr>
            <w:tcW w:w="2380" w:type="dxa"/>
            <w:vAlign w:val="bottom"/>
            <w:tcBorders>
              <w:top w:val="single" w:sz="8" w:color="auto"/>
            </w:tcBorders>
            <w:shd w:val="clear" w:color="auto" w:fill="CCEEFF"/>
          </w:tcPr>
          <w:p>
            <w:pPr>
              <w:ind w:left="140"/>
              <w:spacing w:after="0" w:line="148" w:lineRule="exact"/>
              <w:rPr>
                <w:sz w:val="20"/>
                <w:szCs w:val="20"/>
                <w:color w:val="auto"/>
              </w:rPr>
            </w:pPr>
            <w:r>
              <w:rPr>
                <w:rFonts w:ascii="Arial" w:cs="Arial" w:eastAsia="Arial" w:hAnsi="Arial"/>
                <w:sz w:val="13"/>
                <w:szCs w:val="13"/>
                <w:i w:val="1"/>
                <w:iCs w:val="1"/>
                <w:color w:val="auto"/>
              </w:rPr>
              <w:t>Sports Analytics</w:t>
            </w: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w w:val="90"/>
              </w:rPr>
              <w:t>(d/b/a S3i)) – Promissory Note, 12%,</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25,000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3,304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0"/>
                <w:szCs w:val="10"/>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560" w:type="dxa"/>
            <w:vAlign w:val="bottom"/>
            <w:gridSpan w:val="4"/>
            <w:vMerge w:val="restart"/>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736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0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808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26,544</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11/17/2017***</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Business Education</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Fullbridge, Inc. – Convertible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rPr>
              <w:t>Promissory Note, 10% Due</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line="157" w:lineRule="exact"/>
              <w:rPr>
                <w:sz w:val="20"/>
                <w:szCs w:val="20"/>
                <w:color w:val="auto"/>
              </w:rPr>
            </w:pPr>
            <w:r>
              <w:rPr>
                <w:rFonts w:ascii="Arial" w:cs="Arial" w:eastAsia="Arial" w:hAnsi="Arial"/>
                <w:sz w:val="12"/>
                <w:szCs w:val="12"/>
                <w:color w:val="auto"/>
              </w:rPr>
              <w:t>3/2/2016</w:t>
            </w:r>
            <w:r>
              <w:rPr>
                <w:rFonts w:ascii="Arial" w:cs="Arial" w:eastAsia="Arial" w:hAnsi="Arial"/>
                <w:sz w:val="18"/>
                <w:szCs w:val="18"/>
                <w:color w:val="auto"/>
                <w:vertAlign w:val="superscript"/>
              </w:rPr>
              <w:t>(8)</w:t>
            </w:r>
          </w:p>
        </w:tc>
        <w:tc>
          <w:tcPr>
            <w:tcW w:w="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(85,829)</w:t>
            </w:r>
          </w:p>
        </w:tc>
        <w:tc>
          <w:tcPr>
            <w:tcW w:w="16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w w:val="86"/>
              </w:rPr>
              <w:t>1,020,859</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(354,075)</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0" w:type="dxa"/>
            <w:vAlign w:val="bottom"/>
            <w:gridSpan w:val="4"/>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(667,184)</w:t>
            </w:r>
          </w:p>
        </w:tc>
        <w:tc>
          <w:tcPr>
            <w:tcW w:w="16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Fullbridge, Inc. – Convertible</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380" w:type="dxa"/>
            <w:vAlign w:val="bottom"/>
            <w:shd w:val="clear" w:color="auto" w:fill="CCEEFF"/>
          </w:tcPr>
          <w:p>
            <w:pPr>
              <w:ind w:left="440"/>
              <w:spacing w:after="0" w:line="123" w:lineRule="exact"/>
              <w:rPr>
                <w:sz w:val="20"/>
                <w:szCs w:val="20"/>
                <w:color w:val="auto"/>
              </w:rPr>
            </w:pPr>
            <w:r>
              <w:rPr>
                <w:rFonts w:ascii="Arial" w:cs="Arial" w:eastAsia="Arial" w:hAnsi="Arial"/>
                <w:sz w:val="13"/>
                <w:szCs w:val="13"/>
                <w:color w:val="auto"/>
                <w:w w:val="87"/>
              </w:rPr>
              <w:t>Promissory Note, 10% Due 3/14/2017</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0"/>
                <w:szCs w:val="10"/>
                <w:color w:val="auto"/>
              </w:rPr>
              <w:t>(8)</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660" w:type="dxa"/>
            <w:vAlign w:val="bottom"/>
            <w:tcBorders>
              <w:bottom w:val="single" w:sz="8" w:color="CCEEFF"/>
              <w:right w:val="single" w:sz="8" w:color="CCEEFF"/>
            </w:tcBorders>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(935,849)</w:t>
            </w:r>
          </w:p>
        </w:tc>
        <w:tc>
          <w:tcPr>
            <w:tcW w:w="2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4"/>
            <w:shd w:val="clear" w:color="auto" w:fill="CCEEFF"/>
          </w:tcPr>
          <w:p>
            <w:pPr>
              <w:jc w:val="right"/>
              <w:ind w:right="360"/>
              <w:spacing w:after="0" w:line="13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1,000,000</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3"/>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4"/>
            <w:shd w:val="clear" w:color="auto" w:fill="CCEEFF"/>
          </w:tcPr>
          <w:p>
            <w:pPr>
              <w:jc w:val="right"/>
              <w:ind w:right="400"/>
              <w:spacing w:after="0" w:line="136"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(64,151)</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620" w:type="dxa"/>
            <w:vAlign w:val="bottom"/>
            <w:tcBorders>
              <w:bottom w:val="single" w:sz="8" w:color="CCEEFF"/>
              <w:right w:val="single" w:sz="8" w:color="CCEEFF"/>
            </w:tcBorders>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18"/>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Business Education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0"/>
              </w:rPr>
              <w:t>(85,829)</w:t>
            </w:r>
          </w:p>
        </w:tc>
        <w:tc>
          <w:tcPr>
            <w:tcW w:w="160" w:type="dxa"/>
            <w:vAlign w:val="bottom"/>
          </w:tcPr>
          <w:p>
            <w:pPr>
              <w:spacing w:after="0"/>
              <w:rPr>
                <w:sz w:val="12"/>
                <w:szCs w:val="12"/>
                <w:color w:val="auto"/>
              </w:rPr>
            </w:pPr>
          </w:p>
        </w:tc>
        <w:tc>
          <w:tcPr>
            <w:tcW w:w="660" w:type="dxa"/>
            <w:vAlign w:val="bottom"/>
          </w:tcPr>
          <w:p>
            <w:pPr>
              <w:jc w:val="right"/>
              <w:ind w:right="77"/>
              <w:spacing w:after="0" w:line="148" w:lineRule="exact"/>
              <w:rPr>
                <w:sz w:val="20"/>
                <w:szCs w:val="20"/>
                <w:color w:val="auto"/>
              </w:rPr>
            </w:pPr>
            <w:r>
              <w:rPr>
                <w:rFonts w:ascii="Arial" w:cs="Arial" w:eastAsia="Arial" w:hAnsi="Arial"/>
                <w:sz w:val="13"/>
                <w:szCs w:val="13"/>
                <w:color w:val="auto"/>
                <w:w w:val="86"/>
              </w:rPr>
              <w:t>1,020,859</w:t>
            </w:r>
          </w:p>
        </w:tc>
        <w:tc>
          <w:tcPr>
            <w:tcW w:w="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w w:val="84"/>
              </w:rPr>
              <w:t>(1,289,924)</w:t>
            </w:r>
          </w:p>
        </w:tc>
        <w:tc>
          <w:tcPr>
            <w:tcW w:w="220" w:type="dxa"/>
            <w:vAlign w:val="bottom"/>
          </w:tcPr>
          <w:p>
            <w:pPr>
              <w:spacing w:after="0"/>
              <w:rPr>
                <w:sz w:val="12"/>
                <w:szCs w:val="12"/>
                <w:color w:val="auto"/>
              </w:rPr>
            </w:pPr>
          </w:p>
        </w:tc>
        <w:tc>
          <w:tcPr>
            <w:tcW w:w="560" w:type="dxa"/>
            <w:vAlign w:val="bottom"/>
            <w:gridSpan w:val="4"/>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w w:val="86"/>
              </w:rPr>
              <w:t>1,000,400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00" w:type="dxa"/>
            <w:vAlign w:val="bottom"/>
            <w:gridSpan w:val="4"/>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(731,335)</w:t>
            </w:r>
          </w:p>
        </w:tc>
        <w:tc>
          <w:tcPr>
            <w:tcW w:w="160" w:type="dxa"/>
            <w:vAlign w:val="bottom"/>
          </w:tcPr>
          <w:p>
            <w:pPr>
              <w:spacing w:after="0"/>
              <w:rPr>
                <w:sz w:val="12"/>
                <w:szCs w:val="12"/>
                <w:color w:val="auto"/>
              </w:rPr>
            </w:pPr>
          </w:p>
        </w:tc>
        <w:tc>
          <w:tcPr>
            <w:tcW w:w="6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Debt Investments</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159,016</w:t>
            </w: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6"/>
              </w:rPr>
              <w:t>4,125,859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4"/>
              </w:rPr>
              <w:t>(1,289,924)</w:t>
            </w:r>
          </w:p>
        </w:tc>
        <w:tc>
          <w:tcPr>
            <w:tcW w:w="220" w:type="dxa"/>
            <w:vAlign w:val="bottom"/>
            <w:shd w:val="clear" w:color="auto" w:fill="CCEEFF"/>
          </w:tcPr>
          <w:p>
            <w:pPr>
              <w:spacing w:after="0"/>
              <w:rPr>
                <w:sz w:val="21"/>
                <w:szCs w:val="21"/>
                <w:color w:val="auto"/>
              </w:rPr>
            </w:pPr>
          </w:p>
        </w:tc>
        <w:tc>
          <w:tcPr>
            <w:tcW w:w="56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w w:val="88"/>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3,208,194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shd w:val="clear" w:color="auto" w:fill="CCEEFF"/>
          </w:tcPr>
          <w:p>
            <w:pPr>
              <w:spacing w:after="0"/>
              <w:rPr>
                <w:sz w:val="21"/>
                <w:szCs w:val="21"/>
                <w:color w:val="auto"/>
              </w:rPr>
            </w:pPr>
          </w:p>
        </w:tc>
        <w:tc>
          <w:tcPr>
            <w:tcW w:w="60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w w:val="88"/>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(24,165)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6"/>
              </w:rPr>
              <w:t>6,019,964</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Corporate Education</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w w:val="94"/>
              </w:rPr>
              <w:t>CUX, Inc. (d/b/a CorpU) – Convertible</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169,033</w:t>
            </w:r>
          </w:p>
        </w:tc>
        <w:tc>
          <w:tcPr>
            <w:tcW w:w="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775,861</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60" w:type="dxa"/>
            <w:vAlign w:val="bottom"/>
            <w:gridSpan w:val="4"/>
            <w:vMerge w:val="restart"/>
          </w:tcPr>
          <w:p>
            <w:pPr>
              <w:jc w:val="right"/>
              <w:ind w:right="360"/>
              <w:spacing w:after="0"/>
              <w:rPr>
                <w:sz w:val="20"/>
                <w:szCs w:val="20"/>
                <w:color w:val="auto"/>
              </w:rPr>
            </w:pPr>
            <w:r>
              <w:rPr>
                <w:rFonts w:ascii="Arial" w:cs="Arial" w:eastAsia="Arial" w:hAnsi="Arial"/>
                <w:sz w:val="13"/>
                <w:szCs w:val="13"/>
                <w:color w:val="auto"/>
                <w:w w:val="88"/>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tcPr>
          <w:p>
            <w:pPr>
              <w:spacing w:after="0"/>
              <w:rPr>
                <w:sz w:val="11"/>
                <w:szCs w:val="11"/>
                <w:color w:val="auto"/>
              </w:rPr>
            </w:pPr>
          </w:p>
        </w:tc>
        <w:tc>
          <w:tcPr>
            <w:tcW w:w="60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w w:val="88"/>
              </w:rPr>
              <w:t>$—</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775,861</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preferred shares, Series D</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w w:val="94"/>
              </w:rPr>
              <w:t>CUX, Inc. (d/b/a CorpU) – Convertible</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615,763</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6"/>
              </w:rPr>
              <w:t>1,959,127</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60" w:type="dxa"/>
            <w:vAlign w:val="bottom"/>
            <w:gridSpan w:val="4"/>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(45,643)</w:t>
            </w: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6"/>
              </w:rPr>
              <w:t>1,913,484</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preferred shares, Series C</w:t>
            </w:r>
          </w:p>
        </w:tc>
        <w:tc>
          <w:tcPr>
            <w:tcW w:w="6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gridSpan w:val="4"/>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Corporate Education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77"/>
              <w:spacing w:after="0" w:line="148" w:lineRule="exact"/>
              <w:rPr>
                <w:sz w:val="20"/>
                <w:szCs w:val="20"/>
                <w:color w:val="auto"/>
              </w:rPr>
            </w:pPr>
            <w:r>
              <w:rPr>
                <w:rFonts w:ascii="Arial" w:cs="Arial" w:eastAsia="Arial" w:hAnsi="Arial"/>
                <w:sz w:val="13"/>
                <w:szCs w:val="13"/>
                <w:color w:val="auto"/>
                <w:w w:val="86"/>
              </w:rPr>
              <w:t>2,734,988</w:t>
            </w:r>
          </w:p>
        </w:tc>
        <w:tc>
          <w:tcPr>
            <w:tcW w:w="8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60" w:type="dxa"/>
            <w:vAlign w:val="bottom"/>
            <w:gridSpan w:val="4"/>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00" w:type="dxa"/>
            <w:vAlign w:val="bottom"/>
            <w:gridSpan w:val="4"/>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(45,643)</w:t>
            </w:r>
          </w:p>
        </w:tc>
        <w:tc>
          <w:tcPr>
            <w:tcW w:w="160" w:type="dxa"/>
            <w:vAlign w:val="bottom"/>
          </w:tcPr>
          <w:p>
            <w:pPr>
              <w:spacing w:after="0"/>
              <w:rPr>
                <w:sz w:val="12"/>
                <w:szCs w:val="12"/>
                <w:color w:val="auto"/>
              </w:rPr>
            </w:pPr>
          </w:p>
        </w:tc>
        <w:tc>
          <w:tcPr>
            <w:tcW w:w="620" w:type="dxa"/>
            <w:vAlign w:val="bottom"/>
          </w:tcPr>
          <w:p>
            <w:pPr>
              <w:jc w:val="right"/>
              <w:ind w:right="37"/>
              <w:spacing w:after="0" w:line="148" w:lineRule="exact"/>
              <w:rPr>
                <w:sz w:val="20"/>
                <w:szCs w:val="20"/>
                <w:color w:val="auto"/>
              </w:rPr>
            </w:pPr>
            <w:r>
              <w:rPr>
                <w:rFonts w:ascii="Arial" w:cs="Arial" w:eastAsia="Arial" w:hAnsi="Arial"/>
                <w:sz w:val="13"/>
                <w:szCs w:val="13"/>
                <w:color w:val="auto"/>
                <w:w w:val="86"/>
              </w:rPr>
              <w:t>2,689,345</w:t>
            </w:r>
          </w:p>
        </w:tc>
        <w:tc>
          <w:tcPr>
            <w:tcW w:w="56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Globally-Focused Private School</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w w:val="87"/>
              </w:rPr>
              <w:t>Whittle Schools, LLC – Preferred shares,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line="157" w:lineRule="exact"/>
              <w:rPr>
                <w:sz w:val="20"/>
                <w:szCs w:val="20"/>
                <w:color w:val="auto"/>
              </w:rPr>
            </w:pPr>
            <w:r>
              <w:rPr>
                <w:rFonts w:ascii="Arial" w:cs="Arial" w:eastAsia="Arial" w:hAnsi="Arial"/>
                <w:sz w:val="12"/>
                <w:szCs w:val="12"/>
                <w:color w:val="auto"/>
              </w:rPr>
              <w:t xml:space="preserve">Series B </w:t>
            </w:r>
            <w:r>
              <w:rPr>
                <w:rFonts w:ascii="Arial" w:cs="Arial" w:eastAsia="Arial" w:hAnsi="Arial"/>
                <w:sz w:val="18"/>
                <w:szCs w:val="18"/>
                <w:color w:val="auto"/>
                <w:vertAlign w:val="superscript"/>
              </w:rPr>
              <w:t>(3)</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6"/>
              </w:rPr>
              <w:t>3,000,000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w w:val="86"/>
              </w:rPr>
              <w:t>3,000,000</w:t>
            </w:r>
          </w:p>
        </w:tc>
        <w:tc>
          <w:tcPr>
            <w:tcW w:w="8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0" w:type="dxa"/>
            <w:vAlign w:val="bottom"/>
            <w:gridSpan w:val="4"/>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w w:val="86"/>
              </w:rPr>
              <w:t>3,000,000</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Online Education</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w w:val="96"/>
              </w:rPr>
              <w:t>Curious.com Inc. – Preferred shares,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3,407,834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w w:val="86"/>
              </w:rPr>
              <w:t>9,996,311</w:t>
            </w:r>
          </w:p>
        </w:tc>
        <w:tc>
          <w:tcPr>
            <w:tcW w:w="80" w:type="dxa"/>
            <w:vAlign w:val="bottom"/>
          </w:tcPr>
          <w:p>
            <w:pPr>
              <w:spacing w:after="0"/>
              <w:rPr>
                <w:sz w:val="11"/>
                <w:szCs w:val="11"/>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60" w:type="dxa"/>
            <w:vAlign w:val="bottom"/>
            <w:gridSpan w:val="4"/>
            <w:vMerge w:val="restart"/>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86"/>
              </w:rPr>
              <w:t>2,000,003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60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w w:val="84"/>
              </w:rPr>
              <w:t>(2,011,360)</w:t>
            </w:r>
          </w:p>
        </w:tc>
        <w:tc>
          <w:tcPr>
            <w:tcW w:w="160" w:type="dxa"/>
            <w:vAlign w:val="bottom"/>
          </w:tcPr>
          <w:p>
            <w:pPr>
              <w:spacing w:after="0"/>
              <w:rPr>
                <w:sz w:val="11"/>
                <w:szCs w:val="11"/>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w w:val="86"/>
              </w:rPr>
              <w:t>9,984,954</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61"/>
        </w:trPr>
        <w:tc>
          <w:tcPr>
            <w:tcW w:w="2380" w:type="dxa"/>
            <w:vAlign w:val="bottom"/>
          </w:tcPr>
          <w:p>
            <w:pPr>
              <w:ind w:left="440"/>
              <w:spacing w:after="0"/>
              <w:rPr>
                <w:sz w:val="20"/>
                <w:szCs w:val="20"/>
                <w:color w:val="auto"/>
              </w:rPr>
            </w:pPr>
            <w:r>
              <w:rPr>
                <w:rFonts w:ascii="Arial" w:cs="Arial" w:eastAsia="Arial" w:hAnsi="Arial"/>
                <w:sz w:val="13"/>
                <w:szCs w:val="13"/>
                <w:color w:val="auto"/>
              </w:rPr>
              <w:t>Series B</w:t>
            </w: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6595745</wp:posOffset>
            </wp:positionH>
            <wp:positionV relativeFrom="paragraph">
              <wp:posOffset>-2652395</wp:posOffset>
            </wp:positionV>
            <wp:extent cx="2857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-2652395</wp:posOffset>
            </wp:positionV>
            <wp:extent cx="2857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-2652395</wp:posOffset>
            </wp:positionV>
            <wp:extent cx="2857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-2652395</wp:posOffset>
            </wp:positionV>
            <wp:extent cx="2857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-2652395</wp:posOffset>
            </wp:positionV>
            <wp:extent cx="2857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-2652395</wp:posOffset>
            </wp:positionV>
            <wp:extent cx="2857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-2652395</wp:posOffset>
            </wp:positionV>
            <wp:extent cx="2857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-2652395</wp:posOffset>
            </wp:positionV>
            <wp:extent cx="2857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-2652395</wp:posOffset>
            </wp:positionV>
            <wp:extent cx="2857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-2652395</wp:posOffset>
            </wp:positionV>
            <wp:extent cx="2857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-2652395</wp:posOffset>
            </wp:positionV>
            <wp:extent cx="2095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4" w:name="page125"/>
    <w:bookmarkEnd w:id="12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9"/>
              </w:rPr>
              <w:t>Transfer from</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8"/>
              </w:rPr>
              <w:t>Control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6"/>
              </w:rPr>
              <w:t>Interest, Fees,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0"/>
              </w:rPr>
              <w:t>or Dividends</w:t>
            </w:r>
          </w:p>
        </w:tc>
        <w:tc>
          <w:tcPr>
            <w:tcW w:w="60" w:type="dxa"/>
            <w:vAlign w:val="bottom"/>
          </w:tcPr>
          <w:p>
            <w:pPr>
              <w:spacing w:after="0"/>
              <w:rPr>
                <w:sz w:val="11"/>
                <w:szCs w:val="11"/>
                <w:color w:val="auto"/>
              </w:rPr>
            </w:pPr>
          </w:p>
        </w:tc>
        <w:tc>
          <w:tcPr>
            <w:tcW w:w="72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89"/>
              </w:rPr>
              <w:t>Non-Control/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5"/>
              </w:rPr>
              <w:t>Fair Value at</w:t>
            </w: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Principal/</w:t>
            </w:r>
          </w:p>
        </w:tc>
        <w:tc>
          <w:tcPr>
            <w:tcW w:w="7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4"/>
              </w:rPr>
              <w:t>Credited</w:t>
            </w:r>
          </w:p>
        </w:tc>
        <w:tc>
          <w:tcPr>
            <w:tcW w:w="780" w:type="dxa"/>
            <w:vAlign w:val="bottom"/>
            <w:gridSpan w:val="5"/>
          </w:tcPr>
          <w:p>
            <w:pPr>
              <w:jc w:val="center"/>
              <w:spacing w:after="0" w:line="134" w:lineRule="exact"/>
              <w:rPr>
                <w:sz w:val="20"/>
                <w:szCs w:val="20"/>
                <w:color w:val="auto"/>
              </w:rPr>
            </w:pPr>
            <w:r>
              <w:rPr>
                <w:rFonts w:ascii="Arial" w:cs="Arial" w:eastAsia="Arial" w:hAnsi="Arial"/>
                <w:sz w:val="12"/>
                <w:szCs w:val="12"/>
                <w:b w:val="1"/>
                <w:bCs w:val="1"/>
                <w:color w:val="auto"/>
                <w:w w:val="87"/>
              </w:rPr>
              <w:t>December 31,</w:t>
            </w:r>
          </w:p>
        </w:tc>
        <w:tc>
          <w:tcPr>
            <w:tcW w:w="78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6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4"/>
              </w:rPr>
              <w:t>Corporate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5"/>
          </w:tcPr>
          <w:p>
            <w:pPr>
              <w:jc w:val="center"/>
              <w:ind w:right="140"/>
              <w:spacing w:after="0" w:line="134" w:lineRule="exact"/>
              <w:rPr>
                <w:sz w:val="20"/>
                <w:szCs w:val="20"/>
                <w:color w:val="auto"/>
              </w:rPr>
            </w:pPr>
            <w:r>
              <w:rPr>
                <w:rFonts w:ascii="Arial" w:cs="Arial" w:eastAsia="Arial" w:hAnsi="Arial"/>
                <w:sz w:val="12"/>
                <w:szCs w:val="12"/>
                <w:b w:val="1"/>
                <w:bCs w:val="1"/>
                <w:color w:val="auto"/>
                <w:w w:val="90"/>
              </w:rPr>
              <w:t>Realized</w:t>
            </w:r>
          </w:p>
        </w:tc>
        <w:tc>
          <w:tcPr>
            <w:tcW w:w="660" w:type="dxa"/>
            <w:vAlign w:val="bottom"/>
            <w:gridSpan w:val="2"/>
          </w:tcPr>
          <w:p>
            <w:pPr>
              <w:jc w:val="right"/>
              <w:ind w:right="100"/>
              <w:spacing w:after="0" w:line="134" w:lineRule="exact"/>
              <w:rPr>
                <w:sz w:val="20"/>
                <w:szCs w:val="20"/>
                <w:color w:val="auto"/>
              </w:rPr>
            </w:pPr>
            <w:r>
              <w:rPr>
                <w:rFonts w:ascii="Arial" w:cs="Arial" w:eastAsia="Arial" w:hAnsi="Arial"/>
                <w:sz w:val="12"/>
                <w:szCs w:val="12"/>
                <w:b w:val="1"/>
                <w:bCs w:val="1"/>
                <w:color w:val="auto"/>
                <w:w w:val="88"/>
              </w:rPr>
              <w:t>Unrealized</w:t>
            </w:r>
          </w:p>
        </w:tc>
        <w:tc>
          <w:tcPr>
            <w:tcW w:w="780" w:type="dxa"/>
            <w:vAlign w:val="bottom"/>
            <w:gridSpan w:val="5"/>
          </w:tcPr>
          <w:p>
            <w:pPr>
              <w:jc w:val="center"/>
              <w:ind w:right="20"/>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380" w:type="dxa"/>
            <w:vAlign w:val="bottom"/>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4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Quantity</w:t>
            </w: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in Income</w:t>
            </w:r>
          </w:p>
        </w:tc>
        <w:tc>
          <w:tcPr>
            <w:tcW w:w="660" w:type="dxa"/>
            <w:vAlign w:val="bottom"/>
            <w:gridSpan w:val="3"/>
          </w:tcPr>
          <w:p>
            <w:pPr>
              <w:jc w:val="center"/>
              <w:ind w:left="78"/>
              <w:spacing w:after="0"/>
              <w:rPr>
                <w:sz w:val="20"/>
                <w:szCs w:val="20"/>
                <w:color w:val="auto"/>
              </w:rPr>
            </w:pPr>
            <w:r>
              <w:rPr>
                <w:rFonts w:ascii="Arial" w:cs="Arial" w:eastAsia="Arial" w:hAnsi="Arial"/>
                <w:sz w:val="12"/>
                <w:szCs w:val="12"/>
                <w:b w:val="1"/>
                <w:bCs w:val="1"/>
                <w:color w:val="auto"/>
                <w:w w:val="89"/>
              </w:rPr>
              <w:t>2015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1"/>
              </w:rPr>
              <w:t>Investment</w:t>
            </w:r>
          </w:p>
        </w:tc>
        <w:tc>
          <w:tcPr>
            <w:tcW w:w="6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0"/>
              </w:rPr>
              <w:t>Action</w:t>
            </w:r>
          </w:p>
        </w:tc>
        <w:tc>
          <w:tcPr>
            <w:tcW w:w="800" w:type="dxa"/>
            <w:vAlign w:val="bottom"/>
            <w:gridSpan w:val="4"/>
          </w:tcPr>
          <w:p>
            <w:pPr>
              <w:ind w:left="120"/>
              <w:spacing w:after="0"/>
              <w:rPr>
                <w:sz w:val="20"/>
                <w:szCs w:val="20"/>
                <w:color w:val="auto"/>
              </w:rPr>
            </w:pPr>
            <w:r>
              <w:rPr>
                <w:rFonts w:ascii="Arial" w:cs="Arial" w:eastAsia="Arial" w:hAnsi="Arial"/>
                <w:sz w:val="12"/>
                <w:szCs w:val="12"/>
                <w:b w:val="1"/>
                <w:bCs w:val="1"/>
                <w:color w:val="auto"/>
              </w:rPr>
              <w:t>Purchases</w:t>
            </w:r>
          </w:p>
        </w:tc>
        <w:tc>
          <w:tcPr>
            <w:tcW w:w="5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2"/>
              </w:rPr>
              <w:t>Sales</w:t>
            </w:r>
          </w:p>
        </w:tc>
        <w:tc>
          <w:tcPr>
            <w:tcW w:w="156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6"/>
              </w:rPr>
              <w:t>Gains/(Losses) Gains/(Losses)</w:t>
            </w:r>
          </w:p>
        </w:tc>
        <w:tc>
          <w:tcPr>
            <w:tcW w:w="640" w:type="dxa"/>
            <w:vAlign w:val="bottom"/>
            <w:gridSpan w:val="3"/>
          </w:tcPr>
          <w:p>
            <w:pPr>
              <w:jc w:val="center"/>
              <w:ind w:left="57"/>
              <w:spacing w:after="0"/>
              <w:rPr>
                <w:sz w:val="20"/>
                <w:szCs w:val="20"/>
                <w:color w:val="auto"/>
              </w:rPr>
            </w:pPr>
            <w:r>
              <w:rPr>
                <w:rFonts w:ascii="Arial" w:cs="Arial" w:eastAsia="Arial" w:hAnsi="Arial"/>
                <w:sz w:val="12"/>
                <w:szCs w:val="12"/>
                <w:b w:val="1"/>
                <w:bCs w:val="1"/>
                <w:color w:val="auto"/>
                <w:w w:val="89"/>
              </w:rPr>
              <w:t>2016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47"/>
        </w:trPr>
        <w:tc>
          <w:tcPr>
            <w:tcW w:w="2380" w:type="dxa"/>
            <w:vAlign w:val="bottom"/>
            <w:tcBorders>
              <w:top w:val="single" w:sz="8" w:color="auto"/>
            </w:tcBorders>
            <w:shd w:val="clear" w:color="auto" w:fill="CCEEFF"/>
          </w:tcPr>
          <w:p>
            <w:pPr>
              <w:ind w:left="140"/>
              <w:spacing w:after="0" w:line="148" w:lineRule="exact"/>
              <w:rPr>
                <w:sz w:val="20"/>
                <w:szCs w:val="20"/>
                <w:color w:val="auto"/>
              </w:rPr>
            </w:pPr>
            <w:r>
              <w:rPr>
                <w:rFonts w:ascii="Arial" w:cs="Arial" w:eastAsia="Arial" w:hAnsi="Arial"/>
                <w:sz w:val="13"/>
                <w:szCs w:val="13"/>
                <w:i w:val="1"/>
                <w:iCs w:val="1"/>
                <w:color w:val="auto"/>
              </w:rPr>
              <w:t>Sports Analytics</w:t>
            </w: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rPr>
              <w:t>(d/b/a S3i)) – Preferred shares,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1,864,495</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rPr>
              <w:t>—</w:t>
            </w:r>
          </w:p>
        </w:tc>
        <w:tc>
          <w:tcPr>
            <w:tcW w:w="660" w:type="dxa"/>
            <w:vAlign w:val="bottom"/>
            <w:gridSpan w:val="3"/>
            <w:vMerge w:val="restart"/>
          </w:tcPr>
          <w:p>
            <w:pPr>
              <w:jc w:val="right"/>
              <w:spacing w:after="0"/>
              <w:rPr>
                <w:sz w:val="20"/>
                <w:szCs w:val="20"/>
                <w:color w:val="auto"/>
              </w:rPr>
            </w:pPr>
            <w:r>
              <w:rPr>
                <w:rFonts w:ascii="Arial" w:cs="Arial" w:eastAsia="Arial" w:hAnsi="Arial"/>
                <w:sz w:val="13"/>
                <w:szCs w:val="13"/>
                <w:color w:val="auto"/>
              </w:rPr>
              <w:t>1,156,175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3"/>
            <w:vMerge w:val="restart"/>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8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580" w:type="dxa"/>
            <w:vAlign w:val="bottom"/>
            <w:gridSpan w:val="4"/>
            <w:vMerge w:val="restart"/>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(671,406)</w:t>
            </w: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484,769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Series A</w:t>
            </w: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Social Cognitive Learning</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300"/>
              <w:spacing w:after="0"/>
              <w:rPr>
                <w:sz w:val="20"/>
                <w:szCs w:val="20"/>
                <w:color w:val="auto"/>
              </w:rPr>
            </w:pPr>
            <w:r>
              <w:rPr>
                <w:rFonts w:ascii="Arial" w:cs="Arial" w:eastAsia="Arial" w:hAnsi="Arial"/>
                <w:sz w:val="13"/>
                <w:szCs w:val="13"/>
                <w:color w:val="auto"/>
                <w:w w:val="85"/>
              </w:rPr>
              <w:t>Declara, Inc. – Preferred shares, Series A</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10,716,390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jc w:val="center"/>
              <w:ind w:right="28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9,999,999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gridSpan w:val="3"/>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gridSpan w:val="3"/>
          </w:tcPr>
          <w:p>
            <w:pPr>
              <w:jc w:val="center"/>
              <w:ind w:right="260"/>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3"/>
                <w:szCs w:val="13"/>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80" w:type="dxa"/>
            <w:vAlign w:val="bottom"/>
            <w:gridSpan w:val="3"/>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580" w:type="dxa"/>
            <w:vAlign w:val="bottom"/>
            <w:gridSpan w:val="4"/>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w w:val="87"/>
              </w:rPr>
              <w:t>(5,213,345)</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4,786,654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Education Media Platform</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EdSurge, Inc. – Preferred shares,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378,788</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rPr>
              <w:t>—</w:t>
            </w:r>
          </w:p>
        </w:tc>
        <w:tc>
          <w:tcPr>
            <w:tcW w:w="660" w:type="dxa"/>
            <w:vAlign w:val="bottom"/>
            <w:gridSpan w:val="3"/>
            <w:vMerge w:val="restart"/>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3"/>
            <w:vMerge w:val="restart"/>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1"/>
              </w:rPr>
              <w:t>—</w:t>
            </w: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400</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80" w:type="dxa"/>
            <w:vAlign w:val="bottom"/>
            <w:gridSpan w:val="4"/>
            <w:vMerge w:val="restart"/>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(400)</w:t>
            </w: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Series A-1</w:t>
            </w: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EdSurge, Inc. – Preferred shares,</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494,365</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spacing w:after="0"/>
              <w:rPr>
                <w:sz w:val="11"/>
                <w:szCs w:val="11"/>
                <w:color w:val="auto"/>
              </w:rPr>
            </w:pPr>
          </w:p>
        </w:tc>
        <w:tc>
          <w:tcPr>
            <w:tcW w:w="140" w:type="dxa"/>
            <w:vAlign w:val="bottom"/>
            <w:gridSpan w:val="2"/>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524,867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gridSpan w:val="2"/>
            <w:vMerge w:val="restart"/>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center"/>
              <w:ind w:right="460"/>
              <w:spacing w:after="0"/>
              <w:rPr>
                <w:sz w:val="20"/>
                <w:szCs w:val="20"/>
                <w:color w:val="auto"/>
              </w:rPr>
            </w:pPr>
            <w:r>
              <w:rPr>
                <w:rFonts w:ascii="Arial" w:cs="Arial" w:eastAsia="Arial" w:hAnsi="Arial"/>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63,427</w:t>
            </w:r>
          </w:p>
        </w:tc>
        <w:tc>
          <w:tcPr>
            <w:tcW w:w="10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588,294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Series A</w:t>
            </w: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gridSpan w:val="4"/>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Education Media Platform</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w w:val="86"/>
              </w:rPr>
              <w:t>1,024,867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2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w w:val="82"/>
              </w:rPr>
              <w:t>400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tcPr>
          <w:p>
            <w:pPr>
              <w:jc w:val="center"/>
              <w:ind w:right="460"/>
              <w:spacing w:after="0" w:line="148" w:lineRule="exact"/>
              <w:rPr>
                <w:sz w:val="20"/>
                <w:szCs w:val="20"/>
                <w:color w:val="auto"/>
              </w:rPr>
            </w:pPr>
            <w:r>
              <w:rPr>
                <w:rFonts w:ascii="Arial" w:cs="Arial" w:eastAsia="Arial" w:hAnsi="Arial"/>
                <w:sz w:val="13"/>
                <w:szCs w:val="13"/>
                <w:color w:val="auto"/>
                <w:w w:val="91"/>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63,027</w:t>
            </w:r>
          </w:p>
        </w:tc>
        <w:tc>
          <w:tcPr>
            <w:tcW w:w="100" w:type="dxa"/>
            <w:vAlign w:val="bottom"/>
          </w:tcPr>
          <w:p>
            <w:pPr>
              <w:spacing w:after="0"/>
              <w:rPr>
                <w:sz w:val="12"/>
                <w:szCs w:val="12"/>
                <w:color w:val="auto"/>
              </w:rPr>
            </w:pPr>
          </w:p>
        </w:tc>
        <w:tc>
          <w:tcPr>
            <w:tcW w:w="6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1,088,294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8"/>
              <w:spacing w:after="0" w:line="148" w:lineRule="exact"/>
              <w:rPr>
                <w:sz w:val="20"/>
                <w:szCs w:val="20"/>
                <w:color w:val="auto"/>
              </w:rPr>
            </w:pPr>
            <w:r>
              <w:rPr>
                <w:rFonts w:ascii="Arial" w:cs="Arial" w:eastAsia="Arial" w:hAnsi="Arial"/>
                <w:sz w:val="13"/>
                <w:szCs w:val="13"/>
                <w:color w:val="auto"/>
              </w:rPr>
              <w:t>0.57%</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Education Technology</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w w:val="95"/>
              </w:rPr>
              <w:t>Global Education Learning (Holdings)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2,126,475</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480" w:type="dxa"/>
            <w:vAlign w:val="bottom"/>
            <w:gridSpan w:val="3"/>
            <w:vMerge w:val="restart"/>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1"/>
              </w:rPr>
              <w:t>—</w:t>
            </w: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120</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80" w:type="dxa"/>
            <w:vAlign w:val="bottom"/>
            <w:gridSpan w:val="4"/>
            <w:vMerge w:val="restart"/>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w w:val="96"/>
              </w:rPr>
              <w:t>Ltd. – Preferred shares, Series A**</w:t>
            </w: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Knowledge Networks</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w w:val="85"/>
              </w:rPr>
              <w:t>Maven Research, Inc. – Preferred shares,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318,979</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rPr>
              <w:t>—</w:t>
            </w:r>
          </w:p>
        </w:tc>
        <w:tc>
          <w:tcPr>
            <w:tcW w:w="660" w:type="dxa"/>
            <w:vAlign w:val="bottom"/>
            <w:gridSpan w:val="3"/>
            <w:vMerge w:val="restart"/>
          </w:tcPr>
          <w:p>
            <w:pPr>
              <w:jc w:val="right"/>
              <w:spacing w:after="0"/>
              <w:rPr>
                <w:sz w:val="20"/>
                <w:szCs w:val="20"/>
                <w:color w:val="auto"/>
              </w:rPr>
            </w:pPr>
            <w:r>
              <w:rPr>
                <w:rFonts w:ascii="Arial" w:cs="Arial" w:eastAsia="Arial" w:hAnsi="Arial"/>
                <w:sz w:val="13"/>
                <w:szCs w:val="13"/>
                <w:color w:val="auto"/>
              </w:rPr>
              <w:t>1,999,998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3"/>
            <w:vMerge w:val="restart"/>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1"/>
                <w:szCs w:val="11"/>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8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80" w:type="dxa"/>
            <w:vAlign w:val="bottom"/>
            <w:gridSpan w:val="4"/>
            <w:vMerge w:val="restart"/>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1,999,998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Series C</w:t>
            </w: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w w:val="85"/>
              </w:rPr>
              <w:t>Maven Research, Inc. – Preferred shares,</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49,505</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spacing w:after="0"/>
              <w:rPr>
                <w:sz w:val="11"/>
                <w:szCs w:val="11"/>
                <w:color w:val="auto"/>
              </w:rPr>
            </w:pPr>
          </w:p>
        </w:tc>
        <w:tc>
          <w:tcPr>
            <w:tcW w:w="140" w:type="dxa"/>
            <w:vAlign w:val="bottom"/>
            <w:gridSpan w:val="2"/>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249,691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gridSpan w:val="2"/>
            <w:vMerge w:val="restart"/>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(25,928)</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223,763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0.12%</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Series B</w:t>
            </w: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gridSpan w:val="4"/>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Knowledge Networks</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w w:val="86"/>
              </w:rPr>
              <w:t>2,249,689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2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tcPr>
          <w:p>
            <w:pPr>
              <w:jc w:val="center"/>
              <w:ind w:right="460"/>
              <w:spacing w:after="0" w:line="148" w:lineRule="exact"/>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(25,928)</w:t>
            </w:r>
          </w:p>
        </w:tc>
        <w:tc>
          <w:tcPr>
            <w:tcW w:w="6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2,223,761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Digital Media Platform</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Ozy Media, Inc. – Preferred shares,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922,509</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rPr>
              <w:t>—</w:t>
            </w:r>
          </w:p>
        </w:tc>
        <w:tc>
          <w:tcPr>
            <w:tcW w:w="660" w:type="dxa"/>
            <w:vAlign w:val="bottom"/>
            <w:gridSpan w:val="3"/>
            <w:vMerge w:val="restart"/>
          </w:tcPr>
          <w:p>
            <w:pPr>
              <w:jc w:val="right"/>
              <w:spacing w:after="0"/>
              <w:rPr>
                <w:sz w:val="20"/>
                <w:szCs w:val="20"/>
                <w:color w:val="auto"/>
              </w:rPr>
            </w:pPr>
            <w:r>
              <w:rPr>
                <w:rFonts w:ascii="Arial" w:cs="Arial" w:eastAsia="Arial" w:hAnsi="Arial"/>
                <w:sz w:val="13"/>
                <w:szCs w:val="13"/>
                <w:color w:val="auto"/>
              </w:rPr>
              <w:t>4,690,178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3"/>
            <w:vMerge w:val="restart"/>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2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1"/>
                <w:szCs w:val="11"/>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80" w:type="dxa"/>
            <w:vAlign w:val="bottom"/>
            <w:gridSpan w:val="3"/>
            <w:vMerge w:val="restart"/>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80" w:type="dxa"/>
            <w:vAlign w:val="bottom"/>
            <w:gridSpan w:val="4"/>
            <w:vMerge w:val="restart"/>
          </w:tcPr>
          <w:p>
            <w:pPr>
              <w:jc w:val="center"/>
              <w:ind w:right="460"/>
              <w:spacing w:after="0"/>
              <w:rPr>
                <w:sz w:val="20"/>
                <w:szCs w:val="20"/>
                <w:color w:val="auto"/>
              </w:rPr>
            </w:pPr>
            <w:r>
              <w:rPr>
                <w:rFonts w:ascii="Arial" w:cs="Arial" w:eastAsia="Arial" w:hAnsi="Arial"/>
                <w:sz w:val="13"/>
                <w:szCs w:val="13"/>
                <w:color w:val="auto"/>
                <w:w w:val="9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309,821</w:t>
            </w:r>
          </w:p>
        </w:tc>
        <w:tc>
          <w:tcPr>
            <w:tcW w:w="10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4,999,999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Series B</w:t>
            </w: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Ozy Media, Inc. – Preferred shares,</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1,090,909</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3"/>
                <w:szCs w:val="13"/>
                <w:color w:val="auto"/>
              </w:rPr>
              <w:t>—</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3,907,004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gridSpan w:val="3"/>
            <w:vMerge w:val="restart"/>
            <w:shd w:val="clear" w:color="auto" w:fill="CCEEFF"/>
          </w:tcPr>
          <w:p>
            <w:pPr>
              <w:jc w:val="center"/>
              <w:ind w:righ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center"/>
              <w:ind w:right="26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spacing w:after="0"/>
              <w:rPr>
                <w:sz w:val="11"/>
                <w:szCs w:val="11"/>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center"/>
              <w:ind w:right="460"/>
              <w:spacing w:after="0"/>
              <w:rPr>
                <w:sz w:val="20"/>
                <w:szCs w:val="20"/>
                <w:color w:val="auto"/>
              </w:rPr>
            </w:pPr>
            <w:r>
              <w:rPr>
                <w:rFonts w:ascii="Arial" w:cs="Arial" w:eastAsia="Arial" w:hAnsi="Arial"/>
                <w:sz w:val="13"/>
                <w:szCs w:val="13"/>
                <w:color w:val="auto"/>
                <w:w w:val="91"/>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(907,004)</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Series A</w:t>
            </w:r>
          </w:p>
        </w:tc>
        <w:tc>
          <w:tcPr>
            <w:tcW w:w="6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3"/>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gridSpan w:val="4"/>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6595745</wp:posOffset>
            </wp:positionH>
            <wp:positionV relativeFrom="paragraph">
              <wp:posOffset>-2592705</wp:posOffset>
            </wp:positionV>
            <wp:extent cx="2857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-2592705</wp:posOffset>
            </wp:positionV>
            <wp:extent cx="2857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-2592705</wp:posOffset>
            </wp:positionV>
            <wp:extent cx="2857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-2592705</wp:posOffset>
            </wp:positionV>
            <wp:extent cx="2857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-2592705</wp:posOffset>
            </wp:positionV>
            <wp:extent cx="2857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-2592705</wp:posOffset>
            </wp:positionV>
            <wp:extent cx="2857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-2592705</wp:posOffset>
            </wp:positionV>
            <wp:extent cx="2857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-2592705</wp:posOffset>
            </wp:positionV>
            <wp:extent cx="2857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-2592705</wp:posOffset>
            </wp:positionV>
            <wp:extent cx="2857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-2592705</wp:posOffset>
            </wp:positionV>
            <wp:extent cx="2857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-2592705</wp:posOffset>
            </wp:positionV>
            <wp:extent cx="2857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5" w:name="page126"/>
    <w:bookmarkEnd w:id="12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2"/>
              </w:rPr>
              <w:t>Transfer from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Control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9"/>
              </w:rPr>
              <w:t>Interest, Fees,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7"/>
              </w:rPr>
              <w:t>Investment to</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7"/>
              </w:rPr>
              <w:t>or Dividends</w:t>
            </w:r>
          </w:p>
        </w:tc>
        <w:tc>
          <w:tcPr>
            <w:tcW w:w="6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Non-Control/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Fair Value at</w:t>
            </w: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Principal/</w:t>
            </w: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0"/>
              </w:rPr>
              <w:t>Credited</w:t>
            </w: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9"/>
              </w:rPr>
              <w:t>December 31,</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Non-Affiliate</w:t>
            </w:r>
          </w:p>
        </w:tc>
        <w:tc>
          <w:tcPr>
            <w:tcW w:w="780" w:type="dxa"/>
            <w:vAlign w:val="bottom"/>
            <w:gridSpan w:val="5"/>
          </w:tcPr>
          <w:p>
            <w:pPr>
              <w:jc w:val="center"/>
              <w:ind w:right="120"/>
              <w:spacing w:after="0" w:line="134" w:lineRule="exact"/>
              <w:rPr>
                <w:sz w:val="20"/>
                <w:szCs w:val="20"/>
                <w:color w:val="auto"/>
              </w:rPr>
            </w:pPr>
            <w:r>
              <w:rPr>
                <w:rFonts w:ascii="Arial" w:cs="Arial" w:eastAsia="Arial" w:hAnsi="Arial"/>
                <w:sz w:val="12"/>
                <w:szCs w:val="12"/>
                <w:b w:val="1"/>
                <w:bCs w:val="1"/>
                <w:color w:val="auto"/>
                <w:w w:val="94"/>
              </w:rPr>
              <w:t>Corporate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780" w:type="dxa"/>
            <w:vAlign w:val="bottom"/>
          </w:tcPr>
          <w:p>
            <w:pPr>
              <w:jc w:val="right"/>
              <w:ind w:right="97"/>
              <w:spacing w:after="0" w:line="134" w:lineRule="exact"/>
              <w:rPr>
                <w:sz w:val="20"/>
                <w:szCs w:val="20"/>
                <w:color w:val="auto"/>
              </w:rPr>
            </w:pPr>
            <w:r>
              <w:rPr>
                <w:rFonts w:ascii="Arial" w:cs="Arial" w:eastAsia="Arial" w:hAnsi="Arial"/>
                <w:sz w:val="12"/>
                <w:szCs w:val="12"/>
                <w:b w:val="1"/>
                <w:bCs w:val="1"/>
                <w:color w:val="auto"/>
                <w:w w:val="98"/>
              </w:rPr>
              <w:t>Unrealized</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December 31,</w:t>
            </w:r>
          </w:p>
        </w:tc>
        <w:tc>
          <w:tcPr>
            <w:tcW w:w="56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380" w:type="dxa"/>
            <w:vAlign w:val="bottom"/>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Quantity</w:t>
            </w:r>
          </w:p>
        </w:tc>
        <w:tc>
          <w:tcPr>
            <w:tcW w:w="4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in Income</w:t>
            </w:r>
          </w:p>
        </w:tc>
        <w:tc>
          <w:tcPr>
            <w:tcW w:w="60" w:type="dxa"/>
            <w:vAlign w:val="bottom"/>
          </w:tcPr>
          <w:p>
            <w:pPr>
              <w:spacing w:after="0"/>
              <w:rPr>
                <w:sz w:val="13"/>
                <w:szCs w:val="13"/>
                <w:color w:val="auto"/>
              </w:rPr>
            </w:pPr>
          </w:p>
        </w:tc>
        <w:tc>
          <w:tcPr>
            <w:tcW w:w="720" w:type="dxa"/>
            <w:vAlign w:val="bottom"/>
          </w:tcPr>
          <w:p>
            <w:pPr>
              <w:jc w:val="center"/>
              <w:ind w:right="18"/>
              <w:spacing w:after="0"/>
              <w:rPr>
                <w:sz w:val="20"/>
                <w:szCs w:val="20"/>
                <w:color w:val="auto"/>
              </w:rPr>
            </w:pPr>
            <w:r>
              <w:rPr>
                <w:rFonts w:ascii="Arial" w:cs="Arial" w:eastAsia="Arial" w:hAnsi="Arial"/>
                <w:sz w:val="12"/>
                <w:szCs w:val="12"/>
                <w:b w:val="1"/>
                <w:bCs w:val="1"/>
                <w:color w:val="auto"/>
                <w:w w:val="89"/>
              </w:rPr>
              <w:t>2015</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8"/>
              </w:rPr>
              <w:t>Investment</w:t>
            </w:r>
          </w:p>
        </w:tc>
        <w:tc>
          <w:tcPr>
            <w:tcW w:w="6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Action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85"/>
              </w:rPr>
              <w:t>Purchases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Sales</w:t>
            </w:r>
          </w:p>
        </w:tc>
        <w:tc>
          <w:tcPr>
            <w:tcW w:w="40" w:type="dxa"/>
            <w:vAlign w:val="bottom"/>
          </w:tcPr>
          <w:p>
            <w:pPr>
              <w:spacing w:after="0"/>
              <w:rPr>
                <w:sz w:val="13"/>
                <w:szCs w:val="13"/>
                <w:color w:val="auto"/>
              </w:rPr>
            </w:pPr>
          </w:p>
        </w:tc>
        <w:tc>
          <w:tcPr>
            <w:tcW w:w="1620" w:type="dxa"/>
            <w:vAlign w:val="bottom"/>
            <w:gridSpan w:val="5"/>
          </w:tcPr>
          <w:p>
            <w:pPr>
              <w:jc w:val="right"/>
              <w:ind w:right="17"/>
              <w:spacing w:after="0"/>
              <w:rPr>
                <w:sz w:val="20"/>
                <w:szCs w:val="20"/>
                <w:color w:val="auto"/>
              </w:rPr>
            </w:pPr>
            <w:r>
              <w:rPr>
                <w:rFonts w:ascii="Arial" w:cs="Arial" w:eastAsia="Arial" w:hAnsi="Arial"/>
                <w:sz w:val="12"/>
                <w:szCs w:val="12"/>
                <w:b w:val="1"/>
                <w:bCs w:val="1"/>
                <w:color w:val="auto"/>
                <w:w w:val="86"/>
              </w:rPr>
              <w:t>Gains/(Losses) Gains/(Losses)</w:t>
            </w:r>
          </w:p>
        </w:tc>
        <w:tc>
          <w:tcPr>
            <w:tcW w:w="720" w:type="dxa"/>
            <w:vAlign w:val="bottom"/>
          </w:tcPr>
          <w:p>
            <w:pPr>
              <w:jc w:val="center"/>
              <w:ind w:right="18"/>
              <w:spacing w:after="0"/>
              <w:rPr>
                <w:sz w:val="20"/>
                <w:szCs w:val="20"/>
                <w:color w:val="auto"/>
              </w:rPr>
            </w:pPr>
            <w:r>
              <w:rPr>
                <w:rFonts w:ascii="Arial" w:cs="Arial" w:eastAsia="Arial" w:hAnsi="Arial"/>
                <w:sz w:val="12"/>
                <w:szCs w:val="12"/>
                <w:b w:val="1"/>
                <w:bCs w:val="1"/>
                <w:color w:val="auto"/>
                <w:w w:val="89"/>
              </w:rPr>
              <w:t>2016</w:t>
            </w: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25"/>
        </w:trPr>
        <w:tc>
          <w:tcPr>
            <w:tcW w:w="2380" w:type="dxa"/>
            <w:vAlign w:val="bottom"/>
            <w:tcBorders>
              <w:top w:val="single" w:sz="8" w:color="auto"/>
            </w:tcBorders>
            <w:shd w:val="clear" w:color="auto" w:fill="CCEEFF"/>
          </w:tcPr>
          <w:p>
            <w:pPr>
              <w:ind w:left="300"/>
              <w:spacing w:after="0" w:line="125" w:lineRule="exact"/>
              <w:rPr>
                <w:sz w:val="20"/>
                <w:szCs w:val="20"/>
                <w:color w:val="auto"/>
              </w:rPr>
            </w:pPr>
            <w:r>
              <w:rPr>
                <w:rFonts w:ascii="Arial" w:cs="Arial" w:eastAsia="Arial" w:hAnsi="Arial"/>
                <w:sz w:val="13"/>
                <w:szCs w:val="13"/>
                <w:color w:val="auto"/>
              </w:rPr>
              <w:t>Ozy Media, Inc. – Preferred shares,</w:t>
            </w:r>
          </w:p>
        </w:tc>
        <w:tc>
          <w:tcPr>
            <w:tcW w:w="40" w:type="dxa"/>
            <w:vAlign w:val="bottom"/>
            <w:tcBorders>
              <w:top w:val="single" w:sz="8" w:color="CCEEFF"/>
            </w:tcBorders>
            <w:vMerge w:val="restart"/>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CCEEFF"/>
          </w:tcPr>
          <w:p>
            <w:pPr>
              <w:spacing w:after="0"/>
              <w:rPr>
                <w:sz w:val="10"/>
                <w:szCs w:val="10"/>
                <w:color w:val="auto"/>
              </w:rPr>
            </w:pPr>
          </w:p>
        </w:tc>
        <w:tc>
          <w:tcPr>
            <w:tcW w:w="60" w:type="dxa"/>
            <w:vAlign w:val="bottom"/>
            <w:tcBorders>
              <w:top w:val="single" w:sz="8" w:color="CCEEFF"/>
              <w:right w:val="single" w:sz="8" w:color="CCEEFF"/>
            </w:tcBorders>
            <w:vMerge w:val="restart"/>
            <w:shd w:val="clear" w:color="auto" w:fill="CCEEFF"/>
          </w:tcPr>
          <w:p>
            <w:pPr>
              <w:spacing w:after="0"/>
              <w:rPr>
                <w:sz w:val="10"/>
                <w:szCs w:val="10"/>
                <w:color w:val="auto"/>
              </w:rPr>
            </w:pPr>
          </w:p>
        </w:tc>
        <w:tc>
          <w:tcPr>
            <w:tcW w:w="720" w:type="dxa"/>
            <w:vAlign w:val="bottom"/>
            <w:tcBorders>
              <w:top w:val="single" w:sz="8" w:color="auto"/>
              <w:right w:val="single" w:sz="8" w:color="CCEEFF"/>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1,531,812</w:t>
            </w:r>
          </w:p>
        </w:tc>
        <w:tc>
          <w:tcPr>
            <w:tcW w:w="76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vMerge w:val="restart"/>
            <w:shd w:val="clear" w:color="auto" w:fill="CCEEFF"/>
          </w:tcPr>
          <w:p>
            <w:pPr>
              <w:spacing w:after="0"/>
              <w:rPr>
                <w:sz w:val="10"/>
                <w:szCs w:val="10"/>
                <w:color w:val="auto"/>
              </w:rPr>
            </w:pPr>
          </w:p>
        </w:tc>
        <w:tc>
          <w:tcPr>
            <w:tcW w:w="40" w:type="dxa"/>
            <w:vAlign w:val="bottom"/>
            <w:tcBorders>
              <w:top w:val="single" w:sz="8" w:color="CCEEFF"/>
            </w:tcBorders>
            <w:vMerge w:val="restart"/>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vMerge w:val="restart"/>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right w:val="single" w:sz="8" w:color="CCEEFF"/>
            </w:tcBorders>
            <w:vMerge w:val="restart"/>
            <w:shd w:val="clear" w:color="auto" w:fill="CCEEFF"/>
          </w:tcPr>
          <w:p>
            <w:pPr>
              <w:spacing w:after="0"/>
              <w:rPr>
                <w:sz w:val="10"/>
                <w:szCs w:val="10"/>
                <w:color w:val="auto"/>
              </w:rPr>
            </w:pPr>
          </w:p>
        </w:tc>
        <w:tc>
          <w:tcPr>
            <w:tcW w:w="78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(921,812)</w:t>
            </w:r>
          </w:p>
        </w:tc>
        <w:tc>
          <w:tcPr>
            <w:tcW w:w="720" w:type="dxa"/>
            <w:vAlign w:val="bottom"/>
            <w:tcBorders>
              <w:top w:val="single" w:sz="8" w:color="auto"/>
              <w:right w:val="single" w:sz="8" w:color="CCEEFF"/>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610,000</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Series Seed</w:t>
            </w:r>
          </w:p>
        </w:tc>
        <w:tc>
          <w:tcPr>
            <w:tcW w:w="4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60" w:type="dxa"/>
            <w:vAlign w:val="bottom"/>
            <w:tcBorders>
              <w:right w:val="single" w:sz="8" w:color="CCEEFF"/>
            </w:tcBorders>
            <w:vMerge w:val="continue"/>
            <w:shd w:val="clear" w:color="auto" w:fill="CCEEFF"/>
          </w:tcPr>
          <w:p>
            <w:pPr>
              <w:spacing w:after="0"/>
              <w:rPr>
                <w:sz w:val="13"/>
                <w:szCs w:val="13"/>
                <w:color w:val="auto"/>
              </w:rPr>
            </w:pPr>
          </w:p>
        </w:tc>
        <w:tc>
          <w:tcPr>
            <w:tcW w:w="720" w:type="dxa"/>
            <w:vAlign w:val="bottom"/>
            <w:tcBorders>
              <w:right w:val="single" w:sz="8" w:color="CCEEFF"/>
            </w:tcBorders>
            <w:vMerge w:val="continue"/>
            <w:shd w:val="clear" w:color="auto" w:fill="CCEEFF"/>
          </w:tcPr>
          <w:p>
            <w:pPr>
              <w:spacing w:after="0"/>
              <w:rPr>
                <w:sz w:val="13"/>
                <w:szCs w:val="13"/>
                <w:color w:val="auto"/>
              </w:rPr>
            </w:pPr>
          </w:p>
        </w:tc>
        <w:tc>
          <w:tcPr>
            <w:tcW w:w="760" w:type="dxa"/>
            <w:vAlign w:val="bottom"/>
            <w:tcBorders>
              <w:right w:val="single" w:sz="8" w:color="CCEEFF"/>
            </w:tcBorders>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80" w:type="dxa"/>
            <w:vAlign w:val="bottom"/>
            <w:tcBorders>
              <w:right w:val="single" w:sz="8" w:color="CCEEFF"/>
            </w:tcBorders>
            <w:vMerge w:val="continue"/>
            <w:shd w:val="clear" w:color="auto" w:fill="CCEEFF"/>
          </w:tcPr>
          <w:p>
            <w:pPr>
              <w:spacing w:after="0"/>
              <w:rPr>
                <w:sz w:val="13"/>
                <w:szCs w:val="13"/>
                <w:color w:val="auto"/>
              </w:rPr>
            </w:pPr>
          </w:p>
        </w:tc>
        <w:tc>
          <w:tcPr>
            <w:tcW w:w="780" w:type="dxa"/>
            <w:vAlign w:val="bottom"/>
            <w:tcBorders>
              <w:right w:val="single" w:sz="8" w:color="CCEEFF"/>
            </w:tcBorders>
            <w:vMerge w:val="continue"/>
            <w:shd w:val="clear" w:color="auto" w:fill="CCEEFF"/>
          </w:tcPr>
          <w:p>
            <w:pPr>
              <w:spacing w:after="0"/>
              <w:rPr>
                <w:sz w:val="13"/>
                <w:szCs w:val="13"/>
                <w:color w:val="auto"/>
              </w:rPr>
            </w:pPr>
          </w:p>
        </w:tc>
        <w:tc>
          <w:tcPr>
            <w:tcW w:w="720" w:type="dxa"/>
            <w:vAlign w:val="bottom"/>
            <w:tcBorders>
              <w:right w:val="single" w:sz="8" w:color="CCEEFF"/>
            </w:tcBorders>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Digital Media Platform</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8"/>
              <w:spacing w:after="0" w:line="148" w:lineRule="exact"/>
              <w:rPr>
                <w:sz w:val="20"/>
                <w:szCs w:val="20"/>
                <w:color w:val="auto"/>
              </w:rPr>
            </w:pPr>
            <w:r>
              <w:rPr>
                <w:rFonts w:ascii="Arial" w:cs="Arial" w:eastAsia="Arial" w:hAnsi="Arial"/>
                <w:sz w:val="13"/>
                <w:szCs w:val="13"/>
                <w:color w:val="auto"/>
                <w:w w:val="95"/>
              </w:rPr>
              <w:t>10,128,994</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3"/>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60" w:type="dxa"/>
            <w:vAlign w:val="bottom"/>
            <w:gridSpan w:val="3"/>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(1,518,995)</w:t>
            </w:r>
          </w:p>
        </w:tc>
        <w:tc>
          <w:tcPr>
            <w:tcW w:w="7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8,609,999</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Social Media</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AlwaysOn, Inc. – Preferred shares,</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4,465,925</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8"/>
              <w:spacing w:after="0"/>
              <w:rPr>
                <w:sz w:val="20"/>
                <w:szCs w:val="20"/>
                <w:color w:val="auto"/>
              </w:rPr>
            </w:pPr>
            <w:r>
              <w:rPr>
                <w:rFonts w:ascii="Arial" w:cs="Arial" w:eastAsia="Arial" w:hAnsi="Arial"/>
                <w:sz w:val="13"/>
                <w:szCs w:val="13"/>
                <w:color w:val="auto"/>
              </w:rPr>
              <w:t>133,978</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60" w:type="dxa"/>
            <w:vAlign w:val="bottom"/>
            <w:gridSpan w:val="4"/>
            <w:vMerge w:val="restart"/>
          </w:tcPr>
          <w:p>
            <w:pPr>
              <w:jc w:val="right"/>
              <w:ind w:right="36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560" w:type="dxa"/>
            <w:vAlign w:val="bottom"/>
            <w:gridSpan w:val="3"/>
            <w:vMerge w:val="restart"/>
          </w:tcPr>
          <w:p>
            <w:pPr>
              <w:jc w:val="right"/>
              <w:ind w:right="36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(133,978)</w:t>
            </w:r>
          </w:p>
        </w:tc>
        <w:tc>
          <w:tcPr>
            <w:tcW w:w="72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Series A – 1</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AlwaysOn, Inc. – Preferred shares,</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1,066,626</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spacing w:after="0"/>
              <w:rPr>
                <w:sz w:val="11"/>
                <w:szCs w:val="11"/>
                <w:color w:val="auto"/>
              </w:rPr>
            </w:pPr>
          </w:p>
        </w:tc>
        <w:tc>
          <w:tcPr>
            <w:tcW w:w="60" w:type="dxa"/>
            <w:vAlign w:val="bottom"/>
            <w:tcBorders>
              <w:right w:val="single" w:sz="8" w:color="CCEEFF"/>
            </w:tcBorders>
            <w:vMerge w:val="restart"/>
            <w:shd w:val="clear" w:color="auto" w:fill="CCEEFF"/>
          </w:tcPr>
          <w:p>
            <w:pPr>
              <w:spacing w:after="0"/>
              <w:rPr>
                <w:sz w:val="11"/>
                <w:szCs w:val="11"/>
                <w:color w:val="auto"/>
              </w:rPr>
            </w:pPr>
          </w:p>
        </w:tc>
        <w:tc>
          <w:tcPr>
            <w:tcW w:w="720" w:type="dxa"/>
            <w:vAlign w:val="bottom"/>
            <w:tcBorders>
              <w:right w:val="single" w:sz="8" w:color="CCEEFF"/>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191,993</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vMerge w:val="restart"/>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3"/>
            <w:vMerge w:val="restart"/>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(191,993)</w:t>
            </w:r>
          </w:p>
        </w:tc>
        <w:tc>
          <w:tcPr>
            <w:tcW w:w="720" w:type="dxa"/>
            <w:vAlign w:val="bottom"/>
            <w:tcBorders>
              <w:right w:val="single" w:sz="8" w:color="CCEEFF"/>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Series A</w:t>
            </w:r>
          </w:p>
        </w:tc>
        <w:tc>
          <w:tcPr>
            <w:tcW w:w="6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60" w:type="dxa"/>
            <w:vAlign w:val="bottom"/>
            <w:tcBorders>
              <w:right w:val="single" w:sz="8" w:color="CCEEFF"/>
            </w:tcBorders>
            <w:vMerge w:val="continue"/>
            <w:shd w:val="clear" w:color="auto" w:fill="CCEEFF"/>
          </w:tcPr>
          <w:p>
            <w:pPr>
              <w:spacing w:after="0"/>
              <w:rPr>
                <w:sz w:val="13"/>
                <w:szCs w:val="13"/>
                <w:color w:val="auto"/>
              </w:rPr>
            </w:pPr>
          </w:p>
        </w:tc>
        <w:tc>
          <w:tcPr>
            <w:tcW w:w="720" w:type="dxa"/>
            <w:vAlign w:val="bottom"/>
            <w:tcBorders>
              <w:right w:val="single" w:sz="8" w:color="CCEEFF"/>
            </w:tcBorders>
            <w:vMerge w:val="continue"/>
            <w:shd w:val="clear" w:color="auto" w:fill="CCEEFF"/>
          </w:tcPr>
          <w:p>
            <w:pPr>
              <w:spacing w:after="0"/>
              <w:rPr>
                <w:sz w:val="13"/>
                <w:szCs w:val="13"/>
                <w:color w:val="auto"/>
              </w:rPr>
            </w:pPr>
          </w:p>
        </w:tc>
        <w:tc>
          <w:tcPr>
            <w:tcW w:w="760" w:type="dxa"/>
            <w:vAlign w:val="bottom"/>
            <w:tcBorders>
              <w:right w:val="single" w:sz="8" w:color="CCEEFF"/>
            </w:tcBorders>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vMerge w:val="continue"/>
            <w:shd w:val="clear" w:color="auto" w:fill="CCEEFF"/>
          </w:tcPr>
          <w:p>
            <w:pPr>
              <w:spacing w:after="0"/>
              <w:rPr>
                <w:sz w:val="13"/>
                <w:szCs w:val="13"/>
                <w:color w:val="auto"/>
              </w:rPr>
            </w:pPr>
          </w:p>
        </w:tc>
        <w:tc>
          <w:tcPr>
            <w:tcW w:w="780" w:type="dxa"/>
            <w:vAlign w:val="bottom"/>
            <w:tcBorders>
              <w:right w:val="single" w:sz="8" w:color="CCEEFF"/>
            </w:tcBorders>
            <w:vMerge w:val="continue"/>
            <w:shd w:val="clear" w:color="auto" w:fill="CCEEFF"/>
          </w:tcPr>
          <w:p>
            <w:pPr>
              <w:spacing w:after="0"/>
              <w:rPr>
                <w:sz w:val="13"/>
                <w:szCs w:val="13"/>
                <w:color w:val="auto"/>
              </w:rPr>
            </w:pPr>
          </w:p>
        </w:tc>
        <w:tc>
          <w:tcPr>
            <w:tcW w:w="720" w:type="dxa"/>
            <w:vAlign w:val="bottom"/>
            <w:tcBorders>
              <w:right w:val="single" w:sz="8" w:color="CCEEFF"/>
            </w:tcBorders>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Social Media</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325,971</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3"/>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60" w:type="dxa"/>
            <w:vAlign w:val="bottom"/>
            <w:gridSpan w:val="3"/>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(325,971)</w:t>
            </w:r>
          </w:p>
        </w:tc>
        <w:tc>
          <w:tcPr>
            <w:tcW w:w="7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Business Education</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Fullbridge, Inc. – Preferred shares,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line="157" w:lineRule="exact"/>
              <w:rPr>
                <w:sz w:val="20"/>
                <w:szCs w:val="20"/>
                <w:color w:val="auto"/>
              </w:rPr>
            </w:pPr>
            <w:r>
              <w:rPr>
                <w:rFonts w:ascii="Arial" w:cs="Arial" w:eastAsia="Arial" w:hAnsi="Arial"/>
                <w:sz w:val="12"/>
                <w:szCs w:val="12"/>
                <w:color w:val="auto"/>
              </w:rPr>
              <w:t xml:space="preserve">Series D </w:t>
            </w:r>
            <w:r>
              <w:rPr>
                <w:rFonts w:ascii="Arial" w:cs="Arial" w:eastAsia="Arial" w:hAnsi="Arial"/>
                <w:sz w:val="18"/>
                <w:szCs w:val="18"/>
                <w:color w:val="auto"/>
                <w:vertAlign w:val="superscript"/>
              </w:rPr>
              <w:t>(8)</w:t>
            </w:r>
          </w:p>
        </w:tc>
        <w:tc>
          <w:tcPr>
            <w:tcW w:w="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3,111,714</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(3,112,754)</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CCEEFF"/>
          </w:tcPr>
          <w:p>
            <w:pPr>
              <w:ind w:left="300"/>
              <w:spacing w:after="0" w:line="134" w:lineRule="exact"/>
              <w:rPr>
                <w:sz w:val="20"/>
                <w:szCs w:val="20"/>
                <w:color w:val="auto"/>
              </w:rPr>
            </w:pPr>
            <w:r>
              <w:rPr>
                <w:rFonts w:ascii="Arial" w:cs="Arial" w:eastAsia="Arial" w:hAnsi="Arial"/>
                <w:sz w:val="13"/>
                <w:szCs w:val="13"/>
                <w:color w:val="auto"/>
              </w:rPr>
              <w:t>Fullbridge, Inc. – Preferred shares,</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40"/>
              <w:spacing w:after="0" w:line="167" w:lineRule="exact"/>
              <w:rPr>
                <w:sz w:val="20"/>
                <w:szCs w:val="20"/>
                <w:color w:val="auto"/>
              </w:rPr>
            </w:pPr>
            <w:r>
              <w:rPr>
                <w:rFonts w:ascii="Arial" w:cs="Arial" w:eastAsia="Arial" w:hAnsi="Arial"/>
                <w:sz w:val="13"/>
                <w:szCs w:val="13"/>
                <w:color w:val="auto"/>
              </w:rPr>
              <w:t xml:space="preserve">Series C </w:t>
            </w:r>
            <w:r>
              <w:rPr>
                <w:rFonts w:ascii="Arial" w:cs="Arial" w:eastAsia="Arial" w:hAnsi="Arial"/>
                <w:sz w:val="19"/>
                <w:szCs w:val="19"/>
                <w:color w:val="auto"/>
                <w:vertAlign w:val="superscript"/>
              </w:rPr>
              <w:t>(8)</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1,625,001</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(1,625,001)</w:t>
            </w:r>
          </w:p>
        </w:tc>
        <w:tc>
          <w:tcPr>
            <w:tcW w:w="72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80" w:type="dxa"/>
            <w:vAlign w:val="bottom"/>
          </w:tcPr>
          <w:p>
            <w:pPr>
              <w:ind w:left="140"/>
              <w:spacing w:after="0" w:line="148" w:lineRule="exact"/>
              <w:rPr>
                <w:sz w:val="20"/>
                <w:szCs w:val="20"/>
                <w:color w:val="auto"/>
              </w:rPr>
            </w:pPr>
            <w:r>
              <w:rPr>
                <w:rFonts w:ascii="Arial" w:cs="Arial" w:eastAsia="Arial" w:hAnsi="Arial"/>
                <w:sz w:val="13"/>
                <w:szCs w:val="13"/>
                <w:i w:val="1"/>
                <w:iCs w:val="1"/>
                <w:color w:val="auto"/>
              </w:rPr>
              <w:t>Total Business Education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4,736,715</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3"/>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1,040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60" w:type="dxa"/>
            <w:vAlign w:val="bottom"/>
            <w:gridSpan w:val="3"/>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(4,737,755)</w:t>
            </w:r>
          </w:p>
        </w:tc>
        <w:tc>
          <w:tcPr>
            <w:tcW w:w="7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Cash Payment Network</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300"/>
              <w:spacing w:after="0" w:line="134" w:lineRule="exact"/>
              <w:rPr>
                <w:sz w:val="20"/>
                <w:szCs w:val="20"/>
                <w:color w:val="auto"/>
              </w:rPr>
            </w:pPr>
            <w:r>
              <w:rPr>
                <w:rFonts w:ascii="Arial" w:cs="Arial" w:eastAsia="Arial" w:hAnsi="Arial"/>
                <w:sz w:val="13"/>
                <w:szCs w:val="13"/>
                <w:color w:val="auto"/>
              </w:rPr>
              <w:t>Handle Financial, Inc. (f/k/a</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380" w:type="dxa"/>
            <w:vAlign w:val="bottom"/>
          </w:tcPr>
          <w:p>
            <w:pPr>
              <w:ind w:left="440"/>
              <w:spacing w:after="0" w:line="123" w:lineRule="exact"/>
              <w:rPr>
                <w:sz w:val="20"/>
                <w:szCs w:val="20"/>
                <w:color w:val="auto"/>
              </w:rPr>
            </w:pPr>
            <w:r>
              <w:rPr>
                <w:rFonts w:ascii="Arial" w:cs="Arial" w:eastAsia="Arial" w:hAnsi="Arial"/>
                <w:sz w:val="13"/>
                <w:szCs w:val="13"/>
                <w:color w:val="auto"/>
                <w:w w:val="88"/>
              </w:rPr>
              <w:t>PayNearMe, Inc.) – Preferred shares,</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440"/>
              <w:spacing w:after="0" w:line="157" w:lineRule="exact"/>
              <w:rPr>
                <w:sz w:val="20"/>
                <w:szCs w:val="20"/>
                <w:color w:val="auto"/>
              </w:rPr>
            </w:pPr>
            <w:r>
              <w:rPr>
                <w:rFonts w:ascii="Arial" w:cs="Arial" w:eastAsia="Arial" w:hAnsi="Arial"/>
                <w:sz w:val="12"/>
                <w:szCs w:val="12"/>
                <w:color w:val="auto"/>
              </w:rPr>
              <w:t xml:space="preserve">Series E </w:t>
            </w:r>
            <w:r>
              <w:rPr>
                <w:rFonts w:ascii="Arial" w:cs="Arial" w:eastAsia="Arial" w:hAnsi="Arial"/>
                <w:sz w:val="18"/>
                <w:szCs w:val="18"/>
                <w:color w:val="auto"/>
                <w:vertAlign w:val="superscript"/>
              </w:rPr>
              <w:t>(8)</w:t>
            </w:r>
          </w:p>
        </w:tc>
        <w:tc>
          <w:tcPr>
            <w:tcW w:w="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13,974,887</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(13,974,887)</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6"/>
        </w:trPr>
        <w:tc>
          <w:tcPr>
            <w:tcW w:w="2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Stock</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8"/>
              </w:rPr>
              <w:t>$—</w:t>
            </w:r>
          </w:p>
        </w:tc>
        <w:tc>
          <w:tcPr>
            <w:tcW w:w="780" w:type="dxa"/>
            <w:vAlign w:val="bottom"/>
            <w:tcBorders>
              <w:right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3"/>
                <w:szCs w:val="13"/>
                <w:color w:val="auto"/>
                <w:w w:val="94"/>
              </w:rPr>
              <w:t>$59,328,596</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 (13,974,887)</w:t>
            </w:r>
          </w:p>
        </w:tc>
        <w:tc>
          <w:tcPr>
            <w:tcW w:w="220" w:type="dxa"/>
            <w:vAlign w:val="bottom"/>
            <w:shd w:val="clear" w:color="auto" w:fill="CCEEFF"/>
          </w:tcPr>
          <w:p>
            <w:pPr>
              <w:spacing w:after="0"/>
              <w:rPr>
                <w:sz w:val="21"/>
                <w:szCs w:val="21"/>
                <w:color w:val="auto"/>
              </w:rPr>
            </w:pPr>
          </w:p>
        </w:tc>
        <w:tc>
          <w:tcPr>
            <w:tcW w:w="56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w w:val="8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$2,001,563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3"/>
                <w:szCs w:val="13"/>
                <w:color w:val="auto"/>
                <w:w w:val="88"/>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$(14,487,496)</w:t>
            </w:r>
          </w:p>
        </w:tc>
        <w:tc>
          <w:tcPr>
            <w:tcW w:w="72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w w:val="85"/>
              </w:rPr>
              <w:t>$32,867,776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246"/>
        </w:trPr>
        <w:tc>
          <w:tcPr>
            <w:tcW w:w="2380" w:type="dxa"/>
            <w:vAlign w:val="bottom"/>
          </w:tcPr>
          <w:p>
            <w:pPr>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Big Data Consulting</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6595745</wp:posOffset>
            </wp:positionH>
            <wp:positionV relativeFrom="paragraph">
              <wp:posOffset>-2273935</wp:posOffset>
            </wp:positionV>
            <wp:extent cx="2857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-2273935</wp:posOffset>
            </wp:positionV>
            <wp:extent cx="2857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-2273935</wp:posOffset>
            </wp:positionV>
            <wp:extent cx="2857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-2273935</wp:posOffset>
            </wp:positionV>
            <wp:extent cx="2857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-2273935</wp:posOffset>
            </wp:positionV>
            <wp:extent cx="2857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-2273935</wp:posOffset>
            </wp:positionV>
            <wp:extent cx="2857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-2273935</wp:posOffset>
            </wp:positionV>
            <wp:extent cx="2857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-2273935</wp:posOffset>
            </wp:positionV>
            <wp:extent cx="2857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-2273935</wp:posOffset>
            </wp:positionV>
            <wp:extent cx="2857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-2273935</wp:posOffset>
            </wp:positionV>
            <wp:extent cx="2857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-2273935</wp:posOffset>
            </wp:positionV>
            <wp:extent cx="20955"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p>
      <w:pPr>
        <w:spacing w:after="0" w:line="11" w:lineRule="exact"/>
        <w:rPr>
          <w:sz w:val="20"/>
          <w:szCs w:val="20"/>
          <w:color w:val="auto"/>
        </w:rPr>
      </w:pPr>
    </w:p>
    <w:p>
      <w:pPr>
        <w:ind w:left="1180" w:right="20" w:hanging="148"/>
        <w:spacing w:after="0" w:line="195" w:lineRule="auto"/>
        <w:rPr>
          <w:sz w:val="20"/>
          <w:szCs w:val="20"/>
          <w:color w:val="auto"/>
        </w:rPr>
      </w:pPr>
      <w:r>
        <w:rPr>
          <w:rFonts w:ascii="Arial" w:cs="Arial" w:eastAsia="Arial" w:hAnsi="Arial"/>
          <w:sz w:val="13"/>
          <w:szCs w:val="13"/>
          <w:color w:val="auto"/>
        </w:rPr>
        <w:t>Strategic Data Command, LLC – Common shares</w:t>
      </w:r>
      <w:r>
        <w:rPr>
          <w:rFonts w:ascii="Arial" w:cs="Arial" w:eastAsia="Arial" w:hAnsi="Arial"/>
          <w:sz w:val="19"/>
          <w:szCs w:val="19"/>
          <w:color w:val="auto"/>
          <w:vertAlign w:val="superscript"/>
        </w:rPr>
        <w:t>(7)</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Globally-Focused Private School</w:t>
      </w:r>
    </w:p>
    <w:p>
      <w:pPr>
        <w:spacing w:after="0" w:line="13" w:lineRule="exact"/>
        <w:rPr>
          <w:sz w:val="20"/>
          <w:szCs w:val="20"/>
          <w:color w:val="auto"/>
        </w:rPr>
      </w:pPr>
    </w:p>
    <w:p>
      <w:pPr>
        <w:ind w:left="1180" w:hanging="148"/>
        <w:spacing w:after="0" w:line="230" w:lineRule="auto"/>
        <w:rPr>
          <w:sz w:val="20"/>
          <w:szCs w:val="20"/>
          <w:color w:val="auto"/>
        </w:rPr>
      </w:pPr>
      <w:r>
        <w:rPr>
          <w:rFonts w:ascii="Arial" w:cs="Arial" w:eastAsia="Arial" w:hAnsi="Arial"/>
          <w:sz w:val="13"/>
          <w:szCs w:val="13"/>
          <w:color w:val="auto"/>
        </w:rPr>
        <w:t>Whittle Schools, LLC – Common shares</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117"/>
              <w:spacing w:after="0"/>
              <w:rPr>
                <w:sz w:val="20"/>
                <w:szCs w:val="20"/>
                <w:color w:val="auto"/>
              </w:rPr>
            </w:pPr>
            <w:r>
              <w:rPr>
                <w:rFonts w:ascii="Arial" w:cs="Arial" w:eastAsia="Arial" w:hAnsi="Arial"/>
                <w:sz w:val="13"/>
                <w:szCs w:val="13"/>
                <w:color w:val="auto"/>
                <w:w w:val="82"/>
              </w:rPr>
              <w:t>2,400,000</w:t>
            </w:r>
          </w:p>
        </w:tc>
        <w:tc>
          <w:tcPr>
            <w:tcW w:w="5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$ 1,001,650</w:t>
            </w:r>
          </w:p>
        </w:tc>
        <w:tc>
          <w:tcPr>
            <w:tcW w:w="3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460" w:type="dxa"/>
            <w:vAlign w:val="bottom"/>
          </w:tcPr>
          <w:p>
            <w:pPr>
              <w:ind w:left="1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  1,050,905</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w w:val="98"/>
              </w:rPr>
              <w:t>$ 2,052,555</w:t>
            </w:r>
          </w:p>
        </w:tc>
        <w:tc>
          <w:tcPr>
            <w:tcW w:w="460" w:type="dxa"/>
            <w:vAlign w:val="bottom"/>
          </w:tcPr>
          <w:p>
            <w:pPr>
              <w:jc w:val="right"/>
              <w:spacing w:after="0"/>
              <w:rPr>
                <w:sz w:val="20"/>
                <w:szCs w:val="20"/>
                <w:color w:val="auto"/>
              </w:rPr>
            </w:pPr>
            <w:r>
              <w:rPr>
                <w:rFonts w:ascii="Arial" w:cs="Arial" w:eastAsia="Arial" w:hAnsi="Arial"/>
                <w:sz w:val="13"/>
                <w:szCs w:val="13"/>
                <w:color w:val="auto"/>
              </w:rPr>
              <w:t>1.07%</w:t>
            </w:r>
          </w:p>
        </w:tc>
      </w:tr>
      <w:tr>
        <w:trPr>
          <w:trHeight w:val="446"/>
        </w:trPr>
        <w:tc>
          <w:tcPr>
            <w:tcW w:w="680" w:type="dxa"/>
            <w:vAlign w:val="bottom"/>
          </w:tcPr>
          <w:p>
            <w:pPr>
              <w:jc w:val="right"/>
              <w:ind w:right="117"/>
              <w:spacing w:after="0"/>
              <w:rPr>
                <w:sz w:val="20"/>
                <w:szCs w:val="20"/>
                <w:color w:val="auto"/>
              </w:rPr>
            </w:pPr>
            <w:r>
              <w:rPr>
                <w:rFonts w:ascii="Arial" w:cs="Arial" w:eastAsia="Arial" w:hAnsi="Arial"/>
                <w:sz w:val="13"/>
                <w:szCs w:val="13"/>
                <w:color w:val="auto"/>
              </w:rPr>
              <w:t>229</w:t>
            </w:r>
          </w:p>
        </w:tc>
        <w:tc>
          <w:tcPr>
            <w:tcW w:w="5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1,500,000</w:t>
            </w:r>
          </w:p>
        </w:tc>
        <w:tc>
          <w:tcPr>
            <w:tcW w:w="36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1,500,000</w:t>
            </w:r>
          </w:p>
        </w:tc>
        <w:tc>
          <w:tcPr>
            <w:tcW w:w="460" w:type="dxa"/>
            <w:vAlign w:val="bottom"/>
          </w:tcPr>
          <w:p>
            <w:pPr>
              <w:jc w:val="right"/>
              <w:spacing w:after="0"/>
              <w:rPr>
                <w:sz w:val="20"/>
                <w:szCs w:val="20"/>
                <w:color w:val="auto"/>
              </w:rPr>
            </w:pPr>
            <w:r>
              <w:rPr>
                <w:rFonts w:ascii="Arial" w:cs="Arial" w:eastAsia="Arial" w:hAnsi="Arial"/>
                <w:sz w:val="13"/>
                <w:szCs w:val="13"/>
                <w:color w:val="auto"/>
              </w:rPr>
              <w:t>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-292735</wp:posOffset>
            </wp:positionV>
            <wp:extent cx="6519545" cy="990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519545" cy="9906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2720" w:space="480"/>
            <w:col w:w="7800"/>
          </w:cols>
          <w:pgMar w:left="220" w:top="13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334885" cy="393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type w:val="continuous"/>
        </w:sectPr>
      </w:pPr>
    </w:p>
    <w:bookmarkStart w:id="126" w:name="page127"/>
    <w:bookmarkEnd w:id="12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2"/>
              </w:rPr>
              <w:t>Transfer from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79"/>
              </w:rPr>
              <w:t>Control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86"/>
              </w:rPr>
              <w:t>Interest, Fees,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4" w:lineRule="exact"/>
              <w:rPr>
                <w:sz w:val="20"/>
                <w:szCs w:val="20"/>
                <w:color w:val="auto"/>
              </w:rPr>
            </w:pPr>
            <w:r>
              <w:rPr>
                <w:rFonts w:ascii="Arial" w:cs="Arial" w:eastAsia="Arial" w:hAnsi="Arial"/>
                <w:sz w:val="12"/>
                <w:szCs w:val="12"/>
                <w:b w:val="1"/>
                <w:bCs w:val="1"/>
                <w:color w:val="auto"/>
                <w:w w:val="90"/>
              </w:rPr>
              <w:t>or Dividends</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78"/>
              </w:rPr>
              <w:t>Fair Value at</w:t>
            </w:r>
          </w:p>
        </w:tc>
        <w:tc>
          <w:tcPr>
            <w:tcW w:w="760" w:type="dxa"/>
            <w:vAlign w:val="bottom"/>
            <w:gridSpan w:val="4"/>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Non-Control/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78"/>
              </w:rPr>
              <w:t>Fair Value at</w:t>
            </w: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Principal/</w:t>
            </w: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0"/>
              </w:rPr>
              <w:t>Credited</w:t>
            </w: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7"/>
              </w:rPr>
              <w:t>December 31,</w:t>
            </w:r>
          </w:p>
        </w:tc>
        <w:tc>
          <w:tcPr>
            <w:tcW w:w="760" w:type="dxa"/>
            <w:vAlign w:val="bottom"/>
            <w:gridSpan w:val="4"/>
          </w:tcPr>
          <w:p>
            <w:pPr>
              <w:jc w:val="center"/>
              <w:ind w:right="60"/>
              <w:spacing w:after="0" w:line="134" w:lineRule="exact"/>
              <w:rPr>
                <w:sz w:val="20"/>
                <w:szCs w:val="20"/>
                <w:color w:val="auto"/>
              </w:rPr>
            </w:pPr>
            <w:r>
              <w:rPr>
                <w:rFonts w:ascii="Arial" w:cs="Arial" w:eastAsia="Arial" w:hAnsi="Arial"/>
                <w:sz w:val="12"/>
                <w:szCs w:val="12"/>
                <w:b w:val="1"/>
                <w:bCs w:val="1"/>
                <w:color w:val="auto"/>
                <w:w w:val="92"/>
              </w:rPr>
              <w:t>Non-Affiliate</w:t>
            </w:r>
          </w:p>
        </w:tc>
        <w:tc>
          <w:tcPr>
            <w:tcW w:w="7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Corporate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5"/>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6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Unrealized</w:t>
            </w: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87"/>
              </w:rPr>
              <w:t>December 31,</w:t>
            </w:r>
          </w:p>
        </w:tc>
        <w:tc>
          <w:tcPr>
            <w:tcW w:w="56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380" w:type="dxa"/>
            <w:vAlign w:val="bottom"/>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20" w:type="dxa"/>
            <w:vAlign w:val="bottom"/>
          </w:tcPr>
          <w:p>
            <w:pPr>
              <w:spacing w:after="0"/>
              <w:rPr>
                <w:sz w:val="13"/>
                <w:szCs w:val="13"/>
                <w:color w:val="auto"/>
              </w:rPr>
            </w:pP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Quantity</w:t>
            </w:r>
          </w:p>
        </w:tc>
        <w:tc>
          <w:tcPr>
            <w:tcW w:w="20" w:type="dxa"/>
            <w:vAlign w:val="bottom"/>
          </w:tcPr>
          <w:p>
            <w:pPr>
              <w:spacing w:after="0"/>
              <w:rPr>
                <w:sz w:val="13"/>
                <w:szCs w:val="13"/>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9"/>
              </w:rPr>
              <w:t>in Income</w:t>
            </w:r>
          </w:p>
        </w:tc>
        <w:tc>
          <w:tcPr>
            <w:tcW w:w="160" w:type="dxa"/>
            <w:vAlign w:val="bottom"/>
          </w:tcPr>
          <w:p>
            <w:pPr>
              <w:spacing w:after="0"/>
              <w:rPr>
                <w:sz w:val="13"/>
                <w:szCs w:val="13"/>
                <w:color w:val="auto"/>
              </w:rPr>
            </w:pPr>
          </w:p>
        </w:tc>
        <w:tc>
          <w:tcPr>
            <w:tcW w:w="620" w:type="dxa"/>
            <w:vAlign w:val="bottom"/>
          </w:tcPr>
          <w:p>
            <w:pPr>
              <w:jc w:val="center"/>
              <w:ind w:right="117"/>
              <w:spacing w:after="0"/>
              <w:rPr>
                <w:sz w:val="20"/>
                <w:szCs w:val="20"/>
                <w:color w:val="auto"/>
              </w:rPr>
            </w:pPr>
            <w:r>
              <w:rPr>
                <w:rFonts w:ascii="Arial" w:cs="Arial" w:eastAsia="Arial" w:hAnsi="Arial"/>
                <w:sz w:val="12"/>
                <w:szCs w:val="12"/>
                <w:b w:val="1"/>
                <w:bCs w:val="1"/>
                <w:color w:val="auto"/>
                <w:w w:val="89"/>
              </w:rPr>
              <w:t>2015</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Investment</w:t>
            </w:r>
          </w:p>
        </w:tc>
        <w:tc>
          <w:tcPr>
            <w:tcW w:w="40" w:type="dxa"/>
            <w:vAlign w:val="bottom"/>
          </w:tcPr>
          <w:p>
            <w:pPr>
              <w:spacing w:after="0"/>
              <w:rPr>
                <w:sz w:val="13"/>
                <w:szCs w:val="1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Action</w:t>
            </w:r>
          </w:p>
        </w:tc>
        <w:tc>
          <w:tcPr>
            <w:tcW w:w="40" w:type="dxa"/>
            <w:vAlign w:val="bottom"/>
          </w:tcPr>
          <w:p>
            <w:pPr>
              <w:spacing w:after="0"/>
              <w:rPr>
                <w:sz w:val="13"/>
                <w:szCs w:val="13"/>
                <w:color w:val="auto"/>
              </w:rPr>
            </w:pPr>
          </w:p>
        </w:tc>
        <w:tc>
          <w:tcPr>
            <w:tcW w:w="760" w:type="dxa"/>
            <w:vAlign w:val="bottom"/>
            <w:gridSpan w:val="3"/>
          </w:tcPr>
          <w:p>
            <w:pPr>
              <w:ind w:left="120"/>
              <w:spacing w:after="0"/>
              <w:rPr>
                <w:sz w:val="20"/>
                <w:szCs w:val="20"/>
                <w:color w:val="auto"/>
              </w:rPr>
            </w:pPr>
            <w:r>
              <w:rPr>
                <w:rFonts w:ascii="Arial" w:cs="Arial" w:eastAsia="Arial" w:hAnsi="Arial"/>
                <w:sz w:val="12"/>
                <w:szCs w:val="12"/>
                <w:b w:val="1"/>
                <w:bCs w:val="1"/>
                <w:color w:val="auto"/>
              </w:rPr>
              <w:t>Purchases</w:t>
            </w:r>
          </w:p>
        </w:tc>
        <w:tc>
          <w:tcPr>
            <w:tcW w:w="40" w:type="dxa"/>
            <w:vAlign w:val="bottom"/>
          </w:tcPr>
          <w:p>
            <w:pPr>
              <w:spacing w:after="0"/>
              <w:rPr>
                <w:sz w:val="13"/>
                <w:szCs w:val="13"/>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Sales</w:t>
            </w:r>
          </w:p>
        </w:tc>
        <w:tc>
          <w:tcPr>
            <w:tcW w:w="40" w:type="dxa"/>
            <w:vAlign w:val="bottom"/>
          </w:tcPr>
          <w:p>
            <w:pPr>
              <w:spacing w:after="0"/>
              <w:rPr>
                <w:sz w:val="13"/>
                <w:szCs w:val="13"/>
                <w:color w:val="auto"/>
              </w:rPr>
            </w:pPr>
          </w:p>
        </w:tc>
        <w:tc>
          <w:tcPr>
            <w:tcW w:w="156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86"/>
              </w:rPr>
              <w:t>Gains/(Losses) Gains/(Losses)</w:t>
            </w:r>
          </w:p>
        </w:tc>
        <w:tc>
          <w:tcPr>
            <w:tcW w:w="160" w:type="dxa"/>
            <w:vAlign w:val="bottom"/>
          </w:tcPr>
          <w:p>
            <w:pPr>
              <w:spacing w:after="0"/>
              <w:rPr>
                <w:sz w:val="13"/>
                <w:szCs w:val="13"/>
                <w:color w:val="auto"/>
              </w:rPr>
            </w:pPr>
          </w:p>
        </w:tc>
        <w:tc>
          <w:tcPr>
            <w:tcW w:w="620" w:type="dxa"/>
            <w:vAlign w:val="bottom"/>
          </w:tcPr>
          <w:p>
            <w:pPr>
              <w:jc w:val="center"/>
              <w:ind w:right="117"/>
              <w:spacing w:after="0"/>
              <w:rPr>
                <w:sz w:val="20"/>
                <w:szCs w:val="20"/>
                <w:color w:val="auto"/>
              </w:rPr>
            </w:pPr>
            <w:r>
              <w:rPr>
                <w:rFonts w:ascii="Arial" w:cs="Arial" w:eastAsia="Arial" w:hAnsi="Arial"/>
                <w:sz w:val="12"/>
                <w:szCs w:val="12"/>
                <w:b w:val="1"/>
                <w:bCs w:val="1"/>
                <w:color w:val="auto"/>
                <w:w w:val="89"/>
              </w:rPr>
              <w:t>2016</w:t>
            </w:r>
          </w:p>
        </w:tc>
        <w:tc>
          <w:tcPr>
            <w:tcW w:w="560" w:type="dxa"/>
            <w:vAlign w:val="bottom"/>
          </w:tcPr>
          <w:p>
            <w:pPr>
              <w:jc w:val="right"/>
              <w:ind w:right="5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47"/>
        </w:trPr>
        <w:tc>
          <w:tcPr>
            <w:tcW w:w="2380" w:type="dxa"/>
            <w:vAlign w:val="bottom"/>
            <w:tcBorders>
              <w:top w:val="single" w:sz="8" w:color="auto"/>
            </w:tcBorders>
            <w:shd w:val="clear" w:color="auto" w:fill="CCEEFF"/>
          </w:tcPr>
          <w:p>
            <w:pPr>
              <w:ind w:left="140"/>
              <w:spacing w:after="0" w:line="148" w:lineRule="exact"/>
              <w:rPr>
                <w:sz w:val="20"/>
                <w:szCs w:val="20"/>
                <w:color w:val="auto"/>
              </w:rPr>
            </w:pPr>
            <w:r>
              <w:rPr>
                <w:rFonts w:ascii="Arial" w:cs="Arial" w:eastAsia="Arial" w:hAnsi="Arial"/>
                <w:sz w:val="13"/>
                <w:szCs w:val="13"/>
                <w:i w:val="1"/>
                <w:iCs w:val="1"/>
                <w:color w:val="auto"/>
              </w:rPr>
              <w:t>Consumer Health Technology</w:t>
            </w: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Orchestra One, Inc. (f/k/a Learnist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00" w:type="dxa"/>
            <w:vAlign w:val="bottom"/>
            <w:gridSpan w:val="2"/>
          </w:tcPr>
          <w:p>
            <w:pPr>
              <w:ind w:left="440"/>
              <w:spacing w:after="0" w:line="157" w:lineRule="exact"/>
              <w:rPr>
                <w:sz w:val="20"/>
                <w:szCs w:val="20"/>
                <w:color w:val="auto"/>
              </w:rPr>
            </w:pPr>
            <w:r>
              <w:rPr>
                <w:rFonts w:ascii="Arial" w:cs="Arial" w:eastAsia="Arial" w:hAnsi="Arial"/>
                <w:sz w:val="12"/>
                <w:szCs w:val="12"/>
                <w:color w:val="auto"/>
              </w:rPr>
              <w:t>Inc.) – Common shares</w:t>
            </w:r>
            <w:r>
              <w:rPr>
                <w:rFonts w:ascii="Arial" w:cs="Arial" w:eastAsia="Arial" w:hAnsi="Arial"/>
                <w:sz w:val="18"/>
                <w:szCs w:val="18"/>
                <w:color w:val="auto"/>
                <w:vertAlign w:val="superscript"/>
              </w:rPr>
              <w:t>(6)</w:t>
            </w:r>
          </w:p>
        </w:tc>
        <w:tc>
          <w:tcPr>
            <w:tcW w:w="600" w:type="dxa"/>
            <w:vAlign w:val="bottom"/>
          </w:tcPr>
          <w:p>
            <w:pPr>
              <w:jc w:val="right"/>
              <w:spacing w:after="0"/>
              <w:rPr>
                <w:sz w:val="20"/>
                <w:szCs w:val="20"/>
                <w:color w:val="auto"/>
              </w:rPr>
            </w:pPr>
            <w:r>
              <w:rPr>
                <w:rFonts w:ascii="Arial" w:cs="Arial" w:eastAsia="Arial" w:hAnsi="Arial"/>
                <w:sz w:val="13"/>
                <w:szCs w:val="13"/>
                <w:color w:val="auto"/>
              </w:rPr>
              <w:t>57,026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4,364</w:t>
            </w:r>
          </w:p>
        </w:tc>
        <w:tc>
          <w:tcPr>
            <w:tcW w:w="2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87"/>
              </w:rPr>
              <w:t>(4,364)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00" w:type="dxa"/>
            <w:vAlign w:val="bottom"/>
            <w:gridSpan w:val="4"/>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Stock</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8"/>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6"/>
              </w:rPr>
              <w:t>2,506,014</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7"/>
              </w:rPr>
              <w:t>(4,364)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w w:val="88"/>
              </w:rPr>
              <w:t>$—</w:t>
            </w:r>
          </w:p>
        </w:tc>
        <w:tc>
          <w:tcPr>
            <w:tcW w:w="2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88"/>
              </w:rPr>
              <w:t>$—</w:t>
            </w:r>
          </w:p>
        </w:tc>
        <w:tc>
          <w:tcPr>
            <w:tcW w:w="1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w w:val="88"/>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1,050,905</w:t>
            </w: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6"/>
              </w:rPr>
              <w:t>3,552,555</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46"/>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Warrants</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40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Sports Analytics</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0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2"/>
          </w:tcPr>
          <w:p>
            <w:pPr>
              <w:ind w:left="440"/>
              <w:spacing w:after="0" w:line="123" w:lineRule="exact"/>
              <w:rPr>
                <w:sz w:val="20"/>
                <w:szCs w:val="20"/>
                <w:color w:val="auto"/>
              </w:rPr>
            </w:pPr>
            <w:r>
              <w:rPr>
                <w:rFonts w:ascii="Arial" w:cs="Arial" w:eastAsia="Arial" w:hAnsi="Arial"/>
                <w:sz w:val="13"/>
                <w:szCs w:val="13"/>
                <w:color w:val="auto"/>
              </w:rPr>
              <w:t>(d/b/a S3i)) – Preferred warrants,</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0" w:type="dxa"/>
            <w:vAlign w:val="bottom"/>
            <w:gridSpan w:val="2"/>
          </w:tcPr>
          <w:p>
            <w:pPr>
              <w:ind w:left="440"/>
              <w:spacing w:after="0" w:line="123" w:lineRule="exact"/>
              <w:rPr>
                <w:sz w:val="20"/>
                <w:szCs w:val="20"/>
                <w:color w:val="auto"/>
              </w:rPr>
            </w:pPr>
            <w:r>
              <w:rPr>
                <w:rFonts w:ascii="Arial" w:cs="Arial" w:eastAsia="Arial" w:hAnsi="Arial"/>
                <w:sz w:val="13"/>
                <w:szCs w:val="13"/>
                <w:color w:val="auto"/>
                <w:w w:val="97"/>
              </w:rPr>
              <w:t>$1.17 Strike Price, Expiration Date</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  5,360</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w w:val="88"/>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429</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4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w w:val="88"/>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w w:val="88"/>
              </w:rPr>
              <w:t>$—</w:t>
            </w: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tcPr>
          <w:p>
            <w:pPr>
              <w:spacing w:after="0"/>
              <w:rPr>
                <w:sz w:val="10"/>
                <w:szCs w:val="10"/>
                <w:color w:val="auto"/>
              </w:rPr>
            </w:pPr>
          </w:p>
        </w:tc>
        <w:tc>
          <w:tcPr>
            <w:tcW w:w="60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w w:val="88"/>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(429)</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11/18/2022</w:t>
            </w: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gridSpan w:val="2"/>
            <w:shd w:val="clear" w:color="auto" w:fill="CCEEFF"/>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rPr>
              <w:t>(d/b/a S3i)) – Preferred warrants,</w:t>
            </w: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w w:val="97"/>
              </w:rPr>
              <w:t>$1.17 Strike Price, Expiration Date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175,815</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14,065</w:t>
            </w:r>
          </w:p>
        </w:tc>
        <w:tc>
          <w:tcPr>
            <w:tcW w:w="2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60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(14,065)</w:t>
            </w: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8/29/2021</w:t>
            </w:r>
          </w:p>
        </w:tc>
        <w:tc>
          <w:tcPr>
            <w:tcW w:w="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2"/>
          </w:tcPr>
          <w:p>
            <w:pPr>
              <w:ind w:left="440"/>
              <w:spacing w:after="0" w:line="123" w:lineRule="exact"/>
              <w:rPr>
                <w:sz w:val="20"/>
                <w:szCs w:val="20"/>
                <w:color w:val="auto"/>
              </w:rPr>
            </w:pPr>
            <w:r>
              <w:rPr>
                <w:rFonts w:ascii="Arial" w:cs="Arial" w:eastAsia="Arial" w:hAnsi="Arial"/>
                <w:sz w:val="13"/>
                <w:szCs w:val="13"/>
                <w:color w:val="auto"/>
              </w:rPr>
              <w:t>(d/b/a S3i)) – Preferred warrants,</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0" w:type="dxa"/>
            <w:vAlign w:val="bottom"/>
            <w:gridSpan w:val="2"/>
          </w:tcPr>
          <w:p>
            <w:pPr>
              <w:ind w:left="440"/>
              <w:spacing w:after="0" w:line="123" w:lineRule="exact"/>
              <w:rPr>
                <w:sz w:val="20"/>
                <w:szCs w:val="20"/>
                <w:color w:val="auto"/>
              </w:rPr>
            </w:pPr>
            <w:r>
              <w:rPr>
                <w:rFonts w:ascii="Arial" w:cs="Arial" w:eastAsia="Arial" w:hAnsi="Arial"/>
                <w:sz w:val="13"/>
                <w:szCs w:val="13"/>
                <w:color w:val="auto"/>
                <w:w w:val="97"/>
              </w:rPr>
              <w:t>$1.17 Strike Price, Expiration Date</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38,594</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3,088</w:t>
            </w:r>
          </w:p>
        </w:tc>
        <w:tc>
          <w:tcPr>
            <w:tcW w:w="220" w:type="dxa"/>
            <w:vAlign w:val="bottom"/>
          </w:tcPr>
          <w:p>
            <w:pPr>
              <w:spacing w:after="0"/>
              <w:rPr>
                <w:sz w:val="10"/>
                <w:szCs w:val="10"/>
                <w:color w:val="auto"/>
              </w:rPr>
            </w:pP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4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0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(3,088)</w:t>
            </w:r>
          </w:p>
        </w:tc>
        <w:tc>
          <w:tcPr>
            <w:tcW w:w="16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6/26/2021</w:t>
            </w: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gridSpan w:val="2"/>
            <w:shd w:val="clear" w:color="auto" w:fill="CCEEFF"/>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rPr>
              <w:t>(d/b/a S3i)) – Preferred warrants,</w:t>
            </w: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w w:val="97"/>
              </w:rPr>
              <w:t>$1.17 Strike Price, Expiration Date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160,806</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12,864</w:t>
            </w:r>
          </w:p>
        </w:tc>
        <w:tc>
          <w:tcPr>
            <w:tcW w:w="2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60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(12,864)</w:t>
            </w: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440"/>
              <w:spacing w:after="0" w:line="145" w:lineRule="exact"/>
              <w:rPr>
                <w:sz w:val="20"/>
                <w:szCs w:val="20"/>
                <w:color w:val="auto"/>
              </w:rPr>
            </w:pPr>
            <w:r>
              <w:rPr>
                <w:rFonts w:ascii="Arial" w:cs="Arial" w:eastAsia="Arial" w:hAnsi="Arial"/>
                <w:sz w:val="13"/>
                <w:szCs w:val="13"/>
                <w:color w:val="auto"/>
              </w:rPr>
              <w:t>9/30/2020</w:t>
            </w:r>
          </w:p>
        </w:tc>
        <w:tc>
          <w:tcPr>
            <w:tcW w:w="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Circle Media (f/k/a S3 Digital Corp.</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2"/>
          </w:tcPr>
          <w:p>
            <w:pPr>
              <w:ind w:left="440"/>
              <w:spacing w:after="0" w:line="123" w:lineRule="exact"/>
              <w:rPr>
                <w:sz w:val="20"/>
                <w:szCs w:val="20"/>
                <w:color w:val="auto"/>
              </w:rPr>
            </w:pPr>
            <w:r>
              <w:rPr>
                <w:rFonts w:ascii="Arial" w:cs="Arial" w:eastAsia="Arial" w:hAnsi="Arial"/>
                <w:sz w:val="13"/>
                <w:szCs w:val="13"/>
                <w:color w:val="auto"/>
              </w:rPr>
              <w:t>(d/b/a S3i)) – Preferred warrants,</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400" w:type="dxa"/>
            <w:vAlign w:val="bottom"/>
            <w:gridSpan w:val="2"/>
          </w:tcPr>
          <w:p>
            <w:pPr>
              <w:ind w:left="440"/>
              <w:spacing w:after="0" w:line="123" w:lineRule="exact"/>
              <w:rPr>
                <w:sz w:val="20"/>
                <w:szCs w:val="20"/>
                <w:color w:val="auto"/>
              </w:rPr>
            </w:pPr>
            <w:r>
              <w:rPr>
                <w:rFonts w:ascii="Arial" w:cs="Arial" w:eastAsia="Arial" w:hAnsi="Arial"/>
                <w:sz w:val="13"/>
                <w:szCs w:val="13"/>
                <w:color w:val="auto"/>
                <w:w w:val="97"/>
              </w:rPr>
              <w:t>$1.00 Strike Price, Expiration Date</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500,000</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55,000</w:t>
            </w:r>
          </w:p>
        </w:tc>
        <w:tc>
          <w:tcPr>
            <w:tcW w:w="2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2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0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(55,000)</w:t>
            </w:r>
          </w:p>
        </w:tc>
        <w:tc>
          <w:tcPr>
            <w:tcW w:w="160" w:type="dxa"/>
            <w:vAlign w:val="bottom"/>
          </w:tcPr>
          <w:p>
            <w:pPr>
              <w:spacing w:after="0"/>
              <w:rPr>
                <w:sz w:val="10"/>
                <w:szCs w:val="10"/>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380" w:type="dxa"/>
            <w:vAlign w:val="bottom"/>
          </w:tcPr>
          <w:p>
            <w:pPr>
              <w:ind w:left="440"/>
              <w:spacing w:after="0" w:line="145" w:lineRule="exact"/>
              <w:rPr>
                <w:sz w:val="20"/>
                <w:szCs w:val="20"/>
                <w:color w:val="auto"/>
              </w:rPr>
            </w:pPr>
            <w:r>
              <w:rPr>
                <w:rFonts w:ascii="Arial" w:cs="Arial" w:eastAsia="Arial" w:hAnsi="Arial"/>
                <w:sz w:val="13"/>
                <w:szCs w:val="13"/>
                <w:color w:val="auto"/>
              </w:rPr>
              <w:t>11/21/2017</w:t>
            </w: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i w:val="1"/>
                <w:iCs w:val="1"/>
                <w:color w:val="auto"/>
              </w:rPr>
              <w:t>Total Sports Analytics</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85,446</w:t>
            </w:r>
          </w:p>
        </w:tc>
        <w:tc>
          <w:tcPr>
            <w:tcW w:w="2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(85,446)</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6"/>
        </w:trPr>
        <w:tc>
          <w:tcPr>
            <w:tcW w:w="2400" w:type="dxa"/>
            <w:vAlign w:val="bottom"/>
            <w:gridSpan w:val="2"/>
          </w:tcPr>
          <w:p>
            <w:pPr>
              <w:ind w:left="140"/>
              <w:spacing w:after="0"/>
              <w:rPr>
                <w:sz w:val="20"/>
                <w:szCs w:val="20"/>
                <w:color w:val="auto"/>
              </w:rPr>
            </w:pPr>
            <w:r>
              <w:rPr>
                <w:rFonts w:ascii="Arial" w:cs="Arial" w:eastAsia="Arial" w:hAnsi="Arial"/>
                <w:sz w:val="13"/>
                <w:szCs w:val="13"/>
                <w:i w:val="1"/>
                <w:iCs w:val="1"/>
                <w:color w:val="auto"/>
              </w:rPr>
              <w:t>Corporate Education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400" w:type="dxa"/>
            <w:vAlign w:val="bottom"/>
            <w:gridSpan w:val="2"/>
            <w:shd w:val="clear" w:color="auto" w:fill="CCEEFF"/>
          </w:tcPr>
          <w:p>
            <w:pPr>
              <w:ind w:left="300"/>
              <w:spacing w:after="0" w:line="134" w:lineRule="exact"/>
              <w:rPr>
                <w:sz w:val="20"/>
                <w:szCs w:val="20"/>
                <w:color w:val="auto"/>
              </w:rPr>
            </w:pPr>
            <w:r>
              <w:rPr>
                <w:rFonts w:ascii="Arial" w:cs="Arial" w:eastAsia="Arial" w:hAnsi="Arial"/>
                <w:sz w:val="13"/>
                <w:szCs w:val="13"/>
                <w:color w:val="auto"/>
              </w:rPr>
              <w:t>CUX, Inc. (d/b/a CorpU) – Preferred</w:t>
            </w: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2"/>
            <w:shd w:val="clear" w:color="auto" w:fill="CCEEFF"/>
          </w:tcPr>
          <w:p>
            <w:pPr>
              <w:ind w:left="440"/>
              <w:spacing w:after="0" w:line="123" w:lineRule="exact"/>
              <w:rPr>
                <w:sz w:val="20"/>
                <w:szCs w:val="20"/>
                <w:color w:val="auto"/>
              </w:rPr>
            </w:pPr>
            <w:r>
              <w:rPr>
                <w:rFonts w:ascii="Arial" w:cs="Arial" w:eastAsia="Arial" w:hAnsi="Arial"/>
                <w:sz w:val="13"/>
                <w:szCs w:val="13"/>
                <w:color w:val="auto"/>
              </w:rPr>
              <w:t>warrants, $4.59 Strike Price,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16,903</w:t>
            </w: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10,142</w:t>
            </w:r>
          </w:p>
        </w:tc>
        <w:tc>
          <w:tcPr>
            <w:tcW w:w="2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60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(5,747)</w:t>
            </w: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4,395</w:t>
            </w:r>
          </w:p>
        </w:tc>
        <w:tc>
          <w:tcPr>
            <w:tcW w:w="5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5"/>
        </w:trPr>
        <w:tc>
          <w:tcPr>
            <w:tcW w:w="240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3"/>
                <w:szCs w:val="13"/>
                <w:color w:val="auto"/>
              </w:rPr>
              <w:t>Expiration Date 2/25/2018</w:t>
            </w:r>
          </w:p>
        </w:tc>
        <w:tc>
          <w:tcPr>
            <w:tcW w:w="60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6560820</wp:posOffset>
            </wp:positionH>
            <wp:positionV relativeFrom="paragraph">
              <wp:posOffset>-516890</wp:posOffset>
            </wp:positionV>
            <wp:extent cx="42545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25450" cy="698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-516890</wp:posOffset>
            </wp:positionV>
            <wp:extent cx="12065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065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-516890</wp:posOffset>
            </wp:positionV>
            <wp:extent cx="523684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236845" cy="698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-2827020</wp:posOffset>
            </wp:positionV>
            <wp:extent cx="2857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-2827020</wp:posOffset>
            </wp:positionV>
            <wp:extent cx="2857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-2827020</wp:posOffset>
            </wp:positionV>
            <wp:extent cx="2857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-2827020</wp:posOffset>
            </wp:positionV>
            <wp:extent cx="2857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-2827020</wp:posOffset>
            </wp:positionV>
            <wp:extent cx="28575"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-2827020</wp:posOffset>
            </wp:positionV>
            <wp:extent cx="2857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-2827020</wp:posOffset>
            </wp:positionV>
            <wp:extent cx="2857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-2827020</wp:posOffset>
            </wp:positionV>
            <wp:extent cx="2857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-2827020</wp:posOffset>
            </wp:positionV>
            <wp:extent cx="2857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-2827020</wp:posOffset>
            </wp:positionV>
            <wp:extent cx="13970"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-2827020</wp:posOffset>
            </wp:positionV>
            <wp:extent cx="1397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7" w:name="page128"/>
    <w:bookmarkEnd w:id="12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2"/>
              </w:rPr>
              <w:t>Transfer from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57"/>
              <w:spacing w:after="0" w:line="134" w:lineRule="exact"/>
              <w:rPr>
                <w:sz w:val="20"/>
                <w:szCs w:val="20"/>
                <w:color w:val="auto"/>
              </w:rPr>
            </w:pPr>
            <w:r>
              <w:rPr>
                <w:rFonts w:ascii="Arial" w:cs="Arial" w:eastAsia="Arial" w:hAnsi="Arial"/>
                <w:sz w:val="12"/>
                <w:szCs w:val="12"/>
                <w:b w:val="1"/>
                <w:bCs w:val="1"/>
                <w:color w:val="auto"/>
                <w:w w:val="93"/>
              </w:rPr>
              <w:t>Control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9"/>
              </w:rPr>
              <w:t>Interest, Fees,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89"/>
              </w:rPr>
              <w:t>Investment to</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87"/>
              </w:rPr>
              <w:t>or Dividends</w:t>
            </w:r>
          </w:p>
        </w:tc>
        <w:tc>
          <w:tcPr>
            <w:tcW w:w="120" w:type="dxa"/>
            <w:vAlign w:val="bottom"/>
          </w:tcPr>
          <w:p>
            <w:pPr>
              <w:spacing w:after="0"/>
              <w:rPr>
                <w:sz w:val="11"/>
                <w:szCs w:val="11"/>
                <w:color w:val="auto"/>
              </w:rPr>
            </w:pP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w w:val="86"/>
              </w:rPr>
              <w:t>Fair Value at</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5"/>
              </w:rPr>
              <w:t>Non-Control/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w w:val="89"/>
              </w:rPr>
              <w:t>Fair Value at</w:t>
            </w:r>
          </w:p>
        </w:tc>
        <w:tc>
          <w:tcPr>
            <w:tcW w:w="560" w:type="dxa"/>
            <w:vAlign w:val="bottom"/>
            <w:gridSpan w:val="3"/>
          </w:tcPr>
          <w:p>
            <w:pPr>
              <w:jc w:val="right"/>
              <w:spacing w:after="0" w:line="134" w:lineRule="exact"/>
              <w:rPr>
                <w:sz w:val="20"/>
                <w:szCs w:val="20"/>
                <w:color w:val="auto"/>
              </w:rPr>
            </w:pPr>
            <w:r>
              <w:rPr>
                <w:rFonts w:ascii="Arial" w:cs="Arial" w:eastAsia="Arial" w:hAnsi="Arial"/>
                <w:sz w:val="12"/>
                <w:szCs w:val="12"/>
                <w:b w:val="1"/>
                <w:bCs w:val="1"/>
                <w:color w:val="auto"/>
                <w:w w:val="83"/>
              </w:rPr>
              <w:t>Percentage</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6"/>
              </w:rPr>
              <w:t>Principal/</w:t>
            </w:r>
          </w:p>
        </w:tc>
        <w:tc>
          <w:tcPr>
            <w:tcW w:w="180" w:type="dxa"/>
            <w:vAlign w:val="bottom"/>
          </w:tcPr>
          <w:p>
            <w:pPr>
              <w:spacing w:after="0"/>
              <w:rPr>
                <w:sz w:val="11"/>
                <w:szCs w:val="11"/>
                <w:color w:val="auto"/>
              </w:rPr>
            </w:pPr>
          </w:p>
        </w:tc>
        <w:tc>
          <w:tcPr>
            <w:tcW w:w="5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82"/>
              </w:rPr>
              <w:t>Credited</w:t>
            </w:r>
          </w:p>
        </w:tc>
        <w:tc>
          <w:tcPr>
            <w:tcW w:w="78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w w:val="92"/>
              </w:rPr>
              <w:t>December 31,</w:t>
            </w: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5"/>
              </w:rPr>
              <w:t>Non-Affiliate</w:t>
            </w:r>
          </w:p>
        </w:tc>
        <w:tc>
          <w:tcPr>
            <w:tcW w:w="780" w:type="dxa"/>
            <w:vAlign w:val="bottom"/>
            <w:gridSpan w:val="5"/>
          </w:tcPr>
          <w:p>
            <w:pPr>
              <w:jc w:val="center"/>
              <w:ind w:right="120"/>
              <w:spacing w:after="0" w:line="134" w:lineRule="exact"/>
              <w:rPr>
                <w:sz w:val="20"/>
                <w:szCs w:val="20"/>
                <w:color w:val="auto"/>
              </w:rPr>
            </w:pPr>
            <w:r>
              <w:rPr>
                <w:rFonts w:ascii="Arial" w:cs="Arial" w:eastAsia="Arial" w:hAnsi="Arial"/>
                <w:sz w:val="12"/>
                <w:szCs w:val="12"/>
                <w:b w:val="1"/>
                <w:bCs w:val="1"/>
                <w:color w:val="auto"/>
                <w:w w:val="94"/>
              </w:rPr>
              <w:t>Corporate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Realized</w:t>
            </w:r>
          </w:p>
        </w:tc>
        <w:tc>
          <w:tcPr>
            <w:tcW w:w="1500" w:type="dxa"/>
            <w:vAlign w:val="bottom"/>
            <w:gridSpan w:val="4"/>
          </w:tcPr>
          <w:p>
            <w:pPr>
              <w:jc w:val="right"/>
              <w:spacing w:after="0" w:line="134" w:lineRule="exact"/>
              <w:rPr>
                <w:sz w:val="20"/>
                <w:szCs w:val="20"/>
                <w:color w:val="auto"/>
              </w:rPr>
            </w:pPr>
            <w:r>
              <w:rPr>
                <w:rFonts w:ascii="Arial" w:cs="Arial" w:eastAsia="Arial" w:hAnsi="Arial"/>
                <w:sz w:val="12"/>
                <w:szCs w:val="12"/>
                <w:b w:val="1"/>
                <w:bCs w:val="1"/>
                <w:color w:val="auto"/>
                <w:w w:val="97"/>
              </w:rPr>
              <w:t>Unrealized  December 31,</w:t>
            </w:r>
          </w:p>
        </w:tc>
        <w:tc>
          <w:tcPr>
            <w:tcW w:w="560" w:type="dxa"/>
            <w:vAlign w:val="bottom"/>
            <w:gridSpan w:val="3"/>
          </w:tcPr>
          <w:p>
            <w:pPr>
              <w:jc w:val="right"/>
              <w:ind w:right="140"/>
              <w:spacing w:after="0" w:line="134"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51"/>
        </w:trPr>
        <w:tc>
          <w:tcPr>
            <w:tcW w:w="2400" w:type="dxa"/>
            <w:vAlign w:val="bottom"/>
            <w:gridSpan w:val="3"/>
          </w:tcPr>
          <w:p>
            <w:pPr>
              <w:spacing w:after="0"/>
              <w:rPr>
                <w:sz w:val="20"/>
                <w:szCs w:val="20"/>
                <w:color w:val="auto"/>
              </w:rPr>
            </w:pPr>
            <w:r>
              <w:rPr>
                <w:rFonts w:ascii="Arial" w:cs="Arial" w:eastAsia="Arial" w:hAnsi="Arial"/>
                <w:sz w:val="12"/>
                <w:szCs w:val="12"/>
                <w:b w:val="1"/>
                <w:bCs w:val="1"/>
                <w:color w:val="auto"/>
                <w:w w:val="92"/>
              </w:rPr>
              <w:t>Type/Industry/Portfolio Company/Investment</w:t>
            </w:r>
          </w:p>
        </w:tc>
        <w:tc>
          <w:tcPr>
            <w:tcW w:w="6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0"/>
              </w:rPr>
              <w:t>Quantity</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in Income</w:t>
            </w:r>
          </w:p>
        </w:tc>
        <w:tc>
          <w:tcPr>
            <w:tcW w:w="120" w:type="dxa"/>
            <w:vAlign w:val="bottom"/>
          </w:tcPr>
          <w:p>
            <w:pPr>
              <w:spacing w:after="0"/>
              <w:rPr>
                <w:sz w:val="13"/>
                <w:szCs w:val="13"/>
                <w:color w:val="auto"/>
              </w:rPr>
            </w:pPr>
          </w:p>
        </w:tc>
        <w:tc>
          <w:tcPr>
            <w:tcW w:w="660" w:type="dxa"/>
            <w:vAlign w:val="bottom"/>
          </w:tcPr>
          <w:p>
            <w:pPr>
              <w:jc w:val="right"/>
              <w:ind w:right="217"/>
              <w:spacing w:after="0"/>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3"/>
                <w:szCs w:val="13"/>
                <w:color w:val="auto"/>
              </w:rPr>
            </w:pPr>
          </w:p>
        </w:tc>
        <w:tc>
          <w:tcPr>
            <w:tcW w:w="680" w:type="dxa"/>
            <w:vAlign w:val="bottom"/>
          </w:tcPr>
          <w:p>
            <w:pPr>
              <w:jc w:val="center"/>
              <w:ind w:right="57"/>
              <w:spacing w:after="0"/>
              <w:rPr>
                <w:sz w:val="20"/>
                <w:szCs w:val="20"/>
                <w:color w:val="auto"/>
              </w:rPr>
            </w:pPr>
            <w:r>
              <w:rPr>
                <w:rFonts w:ascii="Arial" w:cs="Arial" w:eastAsia="Arial" w:hAnsi="Arial"/>
                <w:sz w:val="12"/>
                <w:szCs w:val="12"/>
                <w:b w:val="1"/>
                <w:bCs w:val="1"/>
                <w:color w:val="auto"/>
                <w:w w:val="88"/>
              </w:rPr>
              <w:t>Investment</w:t>
            </w:r>
          </w:p>
        </w:tc>
        <w:tc>
          <w:tcPr>
            <w:tcW w:w="7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0"/>
              </w:rPr>
              <w:t>Action</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w w:val="85"/>
              </w:rPr>
              <w:t>Purchases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4"/>
          </w:tcPr>
          <w:p>
            <w:pPr>
              <w:ind w:left="140"/>
              <w:spacing w:after="0"/>
              <w:rPr>
                <w:sz w:val="20"/>
                <w:szCs w:val="20"/>
                <w:color w:val="auto"/>
              </w:rPr>
            </w:pPr>
            <w:r>
              <w:rPr>
                <w:rFonts w:ascii="Arial" w:cs="Arial" w:eastAsia="Arial" w:hAnsi="Arial"/>
                <w:sz w:val="12"/>
                <w:szCs w:val="12"/>
                <w:b w:val="1"/>
                <w:bCs w:val="1"/>
                <w:color w:val="auto"/>
              </w:rPr>
              <w:t>Sales</w:t>
            </w:r>
          </w:p>
        </w:tc>
        <w:tc>
          <w:tcPr>
            <w:tcW w:w="1680" w:type="dxa"/>
            <w:vAlign w:val="bottom"/>
            <w:gridSpan w:val="7"/>
          </w:tcPr>
          <w:p>
            <w:pPr>
              <w:jc w:val="right"/>
              <w:ind w:right="81"/>
              <w:spacing w:after="0"/>
              <w:rPr>
                <w:sz w:val="20"/>
                <w:szCs w:val="20"/>
                <w:color w:val="auto"/>
              </w:rPr>
            </w:pPr>
            <w:r>
              <w:rPr>
                <w:rFonts w:ascii="Arial" w:cs="Arial" w:eastAsia="Arial" w:hAnsi="Arial"/>
                <w:sz w:val="12"/>
                <w:szCs w:val="12"/>
                <w:b w:val="1"/>
                <w:bCs w:val="1"/>
                <w:color w:val="auto"/>
                <w:w w:val="86"/>
              </w:rPr>
              <w:t>Gains/(Losses) Gains/(Losses)</w:t>
            </w:r>
          </w:p>
        </w:tc>
        <w:tc>
          <w:tcPr>
            <w:tcW w:w="660" w:type="dxa"/>
            <w:vAlign w:val="bottom"/>
          </w:tcPr>
          <w:p>
            <w:pPr>
              <w:jc w:val="right"/>
              <w:ind w:right="217"/>
              <w:spacing w:after="0"/>
              <w:rPr>
                <w:sz w:val="20"/>
                <w:szCs w:val="20"/>
                <w:color w:val="auto"/>
              </w:rPr>
            </w:pPr>
            <w:r>
              <w:rPr>
                <w:rFonts w:ascii="Arial" w:cs="Arial" w:eastAsia="Arial" w:hAnsi="Arial"/>
                <w:sz w:val="12"/>
                <w:szCs w:val="12"/>
                <w:b w:val="1"/>
                <w:bCs w:val="1"/>
                <w:color w:val="auto"/>
              </w:rPr>
              <w:t>2016</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47"/>
        </w:trPr>
        <w:tc>
          <w:tcPr>
            <w:tcW w:w="1840" w:type="dxa"/>
            <w:vAlign w:val="bottom"/>
            <w:tcBorders>
              <w:top w:val="single" w:sz="8" w:color="auto"/>
            </w:tcBorders>
            <w:shd w:val="clear" w:color="auto" w:fill="CCEEFF"/>
          </w:tcPr>
          <w:p>
            <w:pPr>
              <w:ind w:left="140"/>
              <w:spacing w:after="0" w:line="148" w:lineRule="exact"/>
              <w:rPr>
                <w:sz w:val="20"/>
                <w:szCs w:val="20"/>
                <w:color w:val="auto"/>
              </w:rPr>
            </w:pPr>
            <w:r>
              <w:rPr>
                <w:rFonts w:ascii="Arial" w:cs="Arial" w:eastAsia="Arial" w:hAnsi="Arial"/>
                <w:sz w:val="13"/>
                <w:szCs w:val="13"/>
                <w:i w:val="1"/>
                <w:iCs w:val="1"/>
                <w:color w:val="auto"/>
              </w:rPr>
              <w:t>Social Media</w:t>
            </w: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gridSpan w:val="3"/>
          </w:tcPr>
          <w:p>
            <w:pPr>
              <w:ind w:left="300"/>
              <w:spacing w:after="0" w:line="134" w:lineRule="exact"/>
              <w:rPr>
                <w:sz w:val="20"/>
                <w:szCs w:val="20"/>
                <w:color w:val="auto"/>
              </w:rPr>
            </w:pPr>
            <w:r>
              <w:rPr>
                <w:rFonts w:ascii="Arial" w:cs="Arial" w:eastAsia="Arial" w:hAnsi="Arial"/>
                <w:sz w:val="13"/>
                <w:szCs w:val="13"/>
                <w:color w:val="auto"/>
                <w:w w:val="99"/>
              </w:rPr>
              <w:t>AlwaysOn, Inc. – Preferred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tcPr>
          <w:p>
            <w:pPr>
              <w:ind w:left="440"/>
              <w:spacing w:after="0" w:line="123" w:lineRule="exact"/>
              <w:rPr>
                <w:sz w:val="20"/>
                <w:szCs w:val="20"/>
                <w:color w:val="auto"/>
              </w:rPr>
            </w:pPr>
            <w:r>
              <w:rPr>
                <w:rFonts w:ascii="Arial" w:cs="Arial" w:eastAsia="Arial" w:hAnsi="Arial"/>
                <w:sz w:val="13"/>
                <w:szCs w:val="13"/>
                <w:color w:val="auto"/>
              </w:rPr>
              <w:t>Series A, $1.00 Strike Price,</w:t>
            </w:r>
          </w:p>
        </w:tc>
        <w:tc>
          <w:tcPr>
            <w:tcW w:w="600" w:type="dxa"/>
            <w:vAlign w:val="bottom"/>
            <w:vMerge w:val="restart"/>
          </w:tcPr>
          <w:p>
            <w:pPr>
              <w:jc w:val="right"/>
              <w:ind w:right="38"/>
              <w:spacing w:after="0"/>
              <w:rPr>
                <w:sz w:val="20"/>
                <w:szCs w:val="20"/>
                <w:color w:val="auto"/>
              </w:rPr>
            </w:pPr>
            <w:r>
              <w:rPr>
                <w:rFonts w:ascii="Arial" w:cs="Arial" w:eastAsia="Arial" w:hAnsi="Arial"/>
                <w:sz w:val="13"/>
                <w:szCs w:val="13"/>
                <w:color w:val="auto"/>
              </w:rPr>
              <w:t>109,375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560" w:type="dxa"/>
            <w:vAlign w:val="bottom"/>
            <w:gridSpan w:val="4"/>
            <w:vMerge w:val="restart"/>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560" w:type="dxa"/>
            <w:vAlign w:val="bottom"/>
            <w:gridSpan w:val="3"/>
            <w:vMerge w:val="restart"/>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80" w:type="dxa"/>
            <w:vAlign w:val="bottom"/>
            <w:gridSpan w:val="2"/>
            <w:vMerge w:val="restart"/>
          </w:tcPr>
          <w:p>
            <w:pPr>
              <w:jc w:val="right"/>
              <w:ind w:right="101"/>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840" w:type="dxa"/>
            <w:vAlign w:val="bottom"/>
          </w:tcPr>
          <w:p>
            <w:pPr>
              <w:ind w:left="440"/>
              <w:spacing w:after="0" w:line="145" w:lineRule="exact"/>
              <w:rPr>
                <w:sz w:val="20"/>
                <w:szCs w:val="20"/>
                <w:color w:val="auto"/>
              </w:rPr>
            </w:pPr>
            <w:r>
              <w:rPr>
                <w:rFonts w:ascii="Arial" w:cs="Arial" w:eastAsia="Arial" w:hAnsi="Arial"/>
                <w:sz w:val="13"/>
                <w:szCs w:val="13"/>
                <w:color w:val="auto"/>
                <w:w w:val="96"/>
              </w:rPr>
              <w:t>Expiration Date 1/9/2017</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Business Education</w:t>
            </w: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400" w:type="dxa"/>
            <w:vAlign w:val="bottom"/>
            <w:gridSpan w:val="3"/>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440"/>
              <w:spacing w:after="0" w:line="157" w:lineRule="exact"/>
              <w:rPr>
                <w:sz w:val="20"/>
                <w:szCs w:val="20"/>
                <w:color w:val="auto"/>
              </w:rPr>
            </w:pPr>
            <w:r>
              <w:rPr>
                <w:rFonts w:ascii="Arial" w:cs="Arial" w:eastAsia="Arial" w:hAnsi="Arial"/>
                <w:sz w:val="12"/>
                <w:szCs w:val="12"/>
                <w:color w:val="auto"/>
              </w:rPr>
              <w:t>3/2/2020</w:t>
            </w:r>
            <w:r>
              <w:rPr>
                <w:rFonts w:ascii="Arial" w:cs="Arial" w:eastAsia="Arial" w:hAnsi="Arial"/>
                <w:sz w:val="18"/>
                <w:szCs w:val="18"/>
                <w:color w:val="auto"/>
                <w:vertAlign w:val="superscript"/>
              </w:rPr>
              <w:t>(8)</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2,831</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(2,831)</w:t>
            </w:r>
          </w:p>
        </w:tc>
        <w:tc>
          <w:tcPr>
            <w:tcW w:w="6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400" w:type="dxa"/>
            <w:vAlign w:val="bottom"/>
            <w:gridSpan w:val="3"/>
            <w:shd w:val="clear" w:color="auto" w:fill="CCEEFF"/>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shd w:val="clear" w:color="auto" w:fill="CCEEFF"/>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440"/>
              <w:spacing w:after="0" w:line="157" w:lineRule="exact"/>
              <w:rPr>
                <w:sz w:val="20"/>
                <w:szCs w:val="20"/>
                <w:color w:val="auto"/>
              </w:rPr>
            </w:pPr>
            <w:r>
              <w:rPr>
                <w:rFonts w:ascii="Arial" w:cs="Arial" w:eastAsia="Arial" w:hAnsi="Arial"/>
                <w:sz w:val="12"/>
                <w:szCs w:val="12"/>
                <w:color w:val="auto"/>
              </w:rPr>
              <w:t>3/22/2020</w:t>
            </w:r>
            <w:r>
              <w:rPr>
                <w:rFonts w:ascii="Arial" w:cs="Arial" w:eastAsia="Arial" w:hAnsi="Arial"/>
                <w:sz w:val="18"/>
                <w:szCs w:val="18"/>
                <w:color w:val="auto"/>
                <w:vertAlign w:val="superscript"/>
              </w:rPr>
              <w:t>(8)</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1,862</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6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400" w:type="dxa"/>
            <w:vAlign w:val="bottom"/>
            <w:gridSpan w:val="3"/>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440"/>
              <w:spacing w:after="0" w:line="157" w:lineRule="exact"/>
              <w:rPr>
                <w:sz w:val="20"/>
                <w:szCs w:val="20"/>
                <w:color w:val="auto"/>
              </w:rPr>
            </w:pPr>
            <w:r>
              <w:rPr>
                <w:rFonts w:ascii="Arial" w:cs="Arial" w:eastAsia="Arial" w:hAnsi="Arial"/>
                <w:sz w:val="12"/>
                <w:szCs w:val="12"/>
                <w:color w:val="auto"/>
              </w:rPr>
              <w:t>5/16/2019</w:t>
            </w:r>
            <w:r>
              <w:rPr>
                <w:rFonts w:ascii="Arial" w:cs="Arial" w:eastAsia="Arial" w:hAnsi="Arial"/>
                <w:sz w:val="18"/>
                <w:szCs w:val="18"/>
                <w:color w:val="auto"/>
                <w:vertAlign w:val="superscript"/>
              </w:rPr>
              <w:t>(8)</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1,923</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(1,923)</w:t>
            </w:r>
          </w:p>
        </w:tc>
        <w:tc>
          <w:tcPr>
            <w:tcW w:w="6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400" w:type="dxa"/>
            <w:vAlign w:val="bottom"/>
            <w:gridSpan w:val="3"/>
            <w:shd w:val="clear" w:color="auto" w:fill="CCEEFF"/>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shd w:val="clear" w:color="auto" w:fill="CCEEFF"/>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440"/>
              <w:spacing w:after="0" w:line="157" w:lineRule="exact"/>
              <w:rPr>
                <w:sz w:val="20"/>
                <w:szCs w:val="20"/>
                <w:color w:val="auto"/>
              </w:rPr>
            </w:pPr>
            <w:r>
              <w:rPr>
                <w:rFonts w:ascii="Arial" w:cs="Arial" w:eastAsia="Arial" w:hAnsi="Arial"/>
                <w:sz w:val="12"/>
                <w:szCs w:val="12"/>
                <w:color w:val="auto"/>
              </w:rPr>
              <w:t>4/3/2019</w:t>
            </w:r>
            <w:r>
              <w:rPr>
                <w:rFonts w:ascii="Arial" w:cs="Arial" w:eastAsia="Arial" w:hAnsi="Arial"/>
                <w:sz w:val="18"/>
                <w:szCs w:val="18"/>
                <w:color w:val="auto"/>
                <w:vertAlign w:val="superscript"/>
              </w:rPr>
              <w:t>(8)</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4,121</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(4,121)</w:t>
            </w:r>
          </w:p>
        </w:tc>
        <w:tc>
          <w:tcPr>
            <w:tcW w:w="6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400" w:type="dxa"/>
            <w:vAlign w:val="bottom"/>
            <w:gridSpan w:val="3"/>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440"/>
              <w:spacing w:after="0" w:line="157" w:lineRule="exact"/>
              <w:rPr>
                <w:sz w:val="20"/>
                <w:szCs w:val="20"/>
                <w:color w:val="auto"/>
              </w:rPr>
            </w:pPr>
            <w:r>
              <w:rPr>
                <w:rFonts w:ascii="Arial" w:cs="Arial" w:eastAsia="Arial" w:hAnsi="Arial"/>
                <w:sz w:val="12"/>
                <w:szCs w:val="12"/>
                <w:color w:val="auto"/>
              </w:rPr>
              <w:t>10/10/2018</w:t>
            </w:r>
            <w:r>
              <w:rPr>
                <w:rFonts w:ascii="Arial" w:cs="Arial" w:eastAsia="Arial" w:hAnsi="Arial"/>
                <w:sz w:val="18"/>
                <w:szCs w:val="18"/>
                <w:color w:val="auto"/>
                <w:vertAlign w:val="superscript"/>
              </w:rPr>
              <w:t>(8)</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824</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(824)</w:t>
            </w:r>
          </w:p>
        </w:tc>
        <w:tc>
          <w:tcPr>
            <w:tcW w:w="6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400" w:type="dxa"/>
            <w:vAlign w:val="bottom"/>
            <w:gridSpan w:val="3"/>
            <w:shd w:val="clear" w:color="auto" w:fill="CCEEFF"/>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shd w:val="clear" w:color="auto" w:fill="CCEEFF"/>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440"/>
              <w:spacing w:after="0" w:line="157" w:lineRule="exact"/>
              <w:rPr>
                <w:sz w:val="20"/>
                <w:szCs w:val="20"/>
                <w:color w:val="auto"/>
              </w:rPr>
            </w:pPr>
            <w:r>
              <w:rPr>
                <w:rFonts w:ascii="Arial" w:cs="Arial" w:eastAsia="Arial" w:hAnsi="Arial"/>
                <w:sz w:val="12"/>
                <w:szCs w:val="12"/>
                <w:color w:val="auto"/>
              </w:rPr>
              <w:t>12/11/2018</w:t>
            </w:r>
            <w:r>
              <w:rPr>
                <w:rFonts w:ascii="Arial" w:cs="Arial" w:eastAsia="Arial" w:hAnsi="Arial"/>
                <w:sz w:val="18"/>
                <w:szCs w:val="18"/>
                <w:color w:val="auto"/>
                <w:vertAlign w:val="superscript"/>
              </w:rPr>
              <w:t>(8)</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6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400" w:type="dxa"/>
            <w:vAlign w:val="bottom"/>
            <w:gridSpan w:val="3"/>
          </w:tcPr>
          <w:p>
            <w:pPr>
              <w:ind w:left="300"/>
              <w:spacing w:after="0" w:line="134" w:lineRule="exact"/>
              <w:rPr>
                <w:sz w:val="20"/>
                <w:szCs w:val="20"/>
                <w:color w:val="auto"/>
              </w:rPr>
            </w:pPr>
            <w:r>
              <w:rPr>
                <w:rFonts w:ascii="Arial" w:cs="Arial" w:eastAsia="Arial" w:hAnsi="Arial"/>
                <w:sz w:val="13"/>
                <w:szCs w:val="13"/>
                <w:color w:val="auto"/>
                <w:w w:val="99"/>
              </w:rPr>
              <w:t>Fullbridge, Inc. – Common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00" w:type="dxa"/>
            <w:vAlign w:val="bottom"/>
            <w:gridSpan w:val="3"/>
          </w:tcPr>
          <w:p>
            <w:pPr>
              <w:ind w:left="440"/>
              <w:spacing w:after="0" w:line="123" w:lineRule="exact"/>
              <w:rPr>
                <w:sz w:val="20"/>
                <w:szCs w:val="20"/>
                <w:color w:val="auto"/>
              </w:rPr>
            </w:pPr>
            <w:r>
              <w:rPr>
                <w:rFonts w:ascii="Arial" w:cs="Arial" w:eastAsia="Arial" w:hAnsi="Arial"/>
                <w:sz w:val="13"/>
                <w:szCs w:val="13"/>
                <w:color w:val="auto"/>
                <w:w w:val="97"/>
              </w:rPr>
              <w:t>$0.91 Strike Price, Expiration Date</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440"/>
              <w:spacing w:after="0" w:line="167" w:lineRule="exact"/>
              <w:rPr>
                <w:sz w:val="20"/>
                <w:szCs w:val="20"/>
                <w:color w:val="auto"/>
              </w:rPr>
            </w:pPr>
            <w:r>
              <w:rPr>
                <w:rFonts w:ascii="Arial" w:cs="Arial" w:eastAsia="Arial" w:hAnsi="Arial"/>
                <w:sz w:val="13"/>
                <w:szCs w:val="13"/>
                <w:color w:val="auto"/>
              </w:rPr>
              <w:t>2/18/2019</w:t>
            </w:r>
            <w:r>
              <w:rPr>
                <w:rFonts w:ascii="Arial" w:cs="Arial" w:eastAsia="Arial" w:hAnsi="Arial"/>
                <w:sz w:val="19"/>
                <w:szCs w:val="19"/>
                <w:color w:val="auto"/>
                <w:vertAlign w:val="superscript"/>
              </w:rPr>
              <w:t>(8)</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7,143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(7,143)</w:t>
            </w:r>
          </w:p>
        </w:tc>
        <w:tc>
          <w:tcPr>
            <w:tcW w:w="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8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i w:val="1"/>
                <w:iCs w:val="1"/>
                <w:color w:val="auto"/>
              </w:rPr>
              <w:t>Total Business Education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19,528</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3"/>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3"/>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(19,528)</w:t>
            </w: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0"/>
                <w:szCs w:val="20"/>
                <w:color w:val="auto"/>
              </w:rPr>
            </w:pPr>
            <w:r>
              <w:rPr>
                <w:rFonts w:ascii="Arial" w:cs="Arial" w:eastAsia="Arial" w:hAnsi="Arial"/>
                <w:sz w:val="13"/>
                <w:szCs w:val="13"/>
                <w:b w:val="1"/>
                <w:bCs w:val="1"/>
                <w:color w:val="auto"/>
              </w:rPr>
              <w:t>Total Warrants</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115,116</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3"/>
                <w:szCs w:val="13"/>
                <w:color w:val="auto"/>
                <w:w w:val="88"/>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3"/>
                <w:szCs w:val="13"/>
                <w:color w:val="auto"/>
                <w:w w:val="88"/>
              </w:rPr>
              <w:t>$—</w:t>
            </w:r>
          </w:p>
        </w:tc>
        <w:tc>
          <w:tcPr>
            <w:tcW w:w="280" w:type="dxa"/>
            <w:vAlign w:val="bottom"/>
          </w:tcPr>
          <w:p>
            <w:pPr>
              <w:spacing w:after="0"/>
              <w:rPr>
                <w:sz w:val="22"/>
                <w:szCs w:val="22"/>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3"/>
                <w:szCs w:val="13"/>
                <w:color w:val="auto"/>
                <w:w w:val="88"/>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(110,721) $</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4,395</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
        </w:trPr>
        <w:tc>
          <w:tcPr>
            <w:tcW w:w="184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NON-CONTROLLED/</w:t>
            </w:r>
          </w:p>
        </w:tc>
        <w:tc>
          <w:tcPr>
            <w:tcW w:w="540" w:type="dxa"/>
            <w:vAlign w:val="bottom"/>
            <w:vMerge w:val="restart"/>
            <w:shd w:val="clear" w:color="auto" w:fill="CCEEFF"/>
          </w:tcPr>
          <w:p>
            <w:pPr>
              <w:jc w:val="right"/>
              <w:ind w:right="398"/>
              <w:spacing w:after="0"/>
              <w:rPr>
                <w:sz w:val="20"/>
                <w:szCs w:val="20"/>
                <w:color w:val="auto"/>
              </w:rPr>
            </w:pPr>
            <w:r>
              <w:rPr>
                <w:rFonts w:ascii="Arial" w:cs="Arial" w:eastAsia="Arial" w:hAnsi="Arial"/>
                <w:sz w:val="8"/>
                <w:szCs w:val="8"/>
                <w:b w:val="1"/>
                <w:bCs w:val="1"/>
                <w:color w:val="auto"/>
                <w:w w:val="81"/>
              </w:rPr>
              <w:t>(1)</w:t>
            </w: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159,016</w:t>
            </w:r>
          </w:p>
        </w:tc>
        <w:tc>
          <w:tcPr>
            <w:tcW w:w="120" w:type="dxa"/>
            <w:vAlign w:val="bottom"/>
            <w:shd w:val="clear" w:color="auto" w:fill="CCEEFF"/>
          </w:tcPr>
          <w:p>
            <w:pPr>
              <w:spacing w:after="0"/>
              <w:rPr>
                <w:sz w:val="19"/>
                <w:szCs w:val="19"/>
                <w:color w:val="auto"/>
              </w:rPr>
            </w:pP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5"/>
                <w:szCs w:val="5"/>
                <w:b w:val="1"/>
                <w:bCs w:val="1"/>
                <w:u w:val="single" w:color="auto"/>
                <w:color w:val="auto"/>
                <w:w w:val="70"/>
              </w:rPr>
              <w:t>$</w:t>
            </w:r>
          </w:p>
        </w:tc>
        <w:tc>
          <w:tcPr>
            <w:tcW w:w="66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6"/>
              </w:rPr>
              <w:t>66,075,585</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9"/>
                <w:szCs w:val="9"/>
                <w:b w:val="1"/>
                <w:bCs w:val="1"/>
                <w:u w:val="single" w:color="auto"/>
                <w:color w:val="auto"/>
                <w:w w:val="78"/>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(15,269,175)</w:t>
            </w:r>
          </w:p>
        </w:tc>
        <w:tc>
          <w:tcPr>
            <w:tcW w:w="220" w:type="dxa"/>
            <w:vAlign w:val="bottom"/>
            <w:shd w:val="clear" w:color="auto" w:fill="CCEEFF"/>
          </w:tcPr>
          <w:p>
            <w:pPr>
              <w:spacing w:after="0"/>
              <w:rPr>
                <w:sz w:val="19"/>
                <w:szCs w:val="19"/>
                <w:color w:val="auto"/>
              </w:rPr>
            </w:pPr>
          </w:p>
        </w:tc>
        <w:tc>
          <w:tcPr>
            <w:tcW w:w="560" w:type="dxa"/>
            <w:vAlign w:val="bottom"/>
            <w:gridSpan w:val="4"/>
            <w:vMerge w:val="restart"/>
            <w:shd w:val="clear" w:color="auto" w:fill="CCEEFF"/>
          </w:tcPr>
          <w:p>
            <w:pPr>
              <w:jc w:val="right"/>
              <w:ind w:right="360"/>
              <w:spacing w:after="0"/>
              <w:rPr>
                <w:sz w:val="20"/>
                <w:szCs w:val="20"/>
                <w:color w:val="auto"/>
              </w:rPr>
            </w:pPr>
            <w:r>
              <w:rPr>
                <w:rFonts w:ascii="Arial" w:cs="Arial" w:eastAsia="Arial" w:hAnsi="Arial"/>
                <w:sz w:val="13"/>
                <w:szCs w:val="13"/>
                <w:b w:val="1"/>
                <w:bCs w:val="1"/>
                <w:color w:val="auto"/>
                <w:w w:val="88"/>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u w:val="single" w:color="auto"/>
                <w:color w:val="auto"/>
                <w:w w:val="78"/>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5,209,757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w w:val="88"/>
              </w:rPr>
              <w:t>$—</w:t>
            </w:r>
          </w:p>
        </w:tc>
        <w:tc>
          <w:tcPr>
            <w:tcW w:w="2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vMerge w:val="restart"/>
            <w:shd w:val="clear" w:color="auto" w:fill="CCEEFF"/>
          </w:tcPr>
          <w:p>
            <w:pPr>
              <w:jc w:val="right"/>
              <w:ind w:right="360"/>
              <w:spacing w:after="0"/>
              <w:rPr>
                <w:sz w:val="20"/>
                <w:szCs w:val="20"/>
                <w:color w:val="auto"/>
              </w:rPr>
            </w:pPr>
            <w:r>
              <w:rPr>
                <w:rFonts w:ascii="Arial" w:cs="Arial" w:eastAsia="Arial" w:hAnsi="Arial"/>
                <w:sz w:val="13"/>
                <w:szCs w:val="13"/>
                <w:b w:val="1"/>
                <w:bCs w:val="1"/>
                <w:color w:val="auto"/>
                <w:w w:val="88"/>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u w:val="single" w:color="auto"/>
                <w:color w:val="auto"/>
                <w:w w:val="78"/>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 xml:space="preserve">(13,571,477) </w:t>
            </w:r>
            <w:r>
              <w:rPr>
                <w:rFonts w:ascii="Arial" w:cs="Arial" w:eastAsia="Arial" w:hAnsi="Arial"/>
                <w:sz w:val="13"/>
                <w:szCs w:val="13"/>
                <w:b w:val="1"/>
                <w:bCs w:val="1"/>
                <w:u w:val="single" w:color="auto"/>
                <w:color w:val="auto"/>
                <w:w w:val="89"/>
              </w:rPr>
              <w:t>$</w:t>
            </w:r>
          </w:p>
        </w:tc>
        <w:tc>
          <w:tcPr>
            <w:tcW w:w="66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6"/>
              </w:rPr>
              <w:t>42,444,690</w:t>
            </w: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22.</w:t>
            </w:r>
            <w:r>
              <w:rPr>
                <w:rFonts w:ascii="Arial" w:cs="Arial" w:eastAsia="Arial" w:hAnsi="Arial"/>
                <w:sz w:val="13"/>
                <w:szCs w:val="13"/>
                <w:b w:val="1"/>
                <w:bCs w:val="1"/>
                <w:u w:val="single" w:color="auto"/>
                <w:color w:val="auto"/>
              </w:rPr>
              <w:t>10</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AFFILIATE INVESTMENTS*</w:t>
            </w: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right w:val="single" w:sz="8" w:color="CCEEFF"/>
            </w:tcBorders>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4"/>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5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6893560</wp:posOffset>
            </wp:positionH>
            <wp:positionV relativeFrom="paragraph">
              <wp:posOffset>-282575</wp:posOffset>
            </wp:positionV>
            <wp:extent cx="9207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-282575</wp:posOffset>
            </wp:positionV>
            <wp:extent cx="13462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4620" cy="698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-282575</wp:posOffset>
            </wp:positionV>
            <wp:extent cx="6350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-282575</wp:posOffset>
            </wp:positionV>
            <wp:extent cx="520827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208270" cy="698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-551815</wp:posOffset>
            </wp:positionV>
            <wp:extent cx="41084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10845" cy="698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-551815</wp:posOffset>
            </wp:positionV>
            <wp:extent cx="6350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350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-551815</wp:posOffset>
            </wp:positionV>
            <wp:extent cx="5208270"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208270" cy="698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-2911475</wp:posOffset>
            </wp:positionV>
            <wp:extent cx="2857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-2911475</wp:posOffset>
            </wp:positionV>
            <wp:extent cx="2857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-2911475</wp:posOffset>
            </wp:positionV>
            <wp:extent cx="2857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-2911475</wp:posOffset>
            </wp:positionV>
            <wp:extent cx="2857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-2911475</wp:posOffset>
            </wp:positionV>
            <wp:extent cx="2857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-2911475</wp:posOffset>
            </wp:positionV>
            <wp:extent cx="2857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-2911475</wp:posOffset>
            </wp:positionV>
            <wp:extent cx="2857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-2911475</wp:posOffset>
            </wp:positionV>
            <wp:extent cx="2857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-2911475</wp:posOffset>
            </wp:positionV>
            <wp:extent cx="2857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-2911475</wp:posOffset>
            </wp:positionV>
            <wp:extent cx="2857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-2911475</wp:posOffset>
            </wp:positionV>
            <wp:extent cx="1397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7334885" cy="3937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1000"/>
          </w:cols>
          <w:pgMar w:left="220" w:top="134" w:right="679" w:bottom="1440" w:gutter="0" w:footer="0" w:header="0"/>
        </w:sectPr>
      </w:pPr>
    </w:p>
    <w:bookmarkStart w:id="128" w:name="page129"/>
    <w:bookmarkEnd w:id="12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180340</wp:posOffset>
            </wp:positionV>
            <wp:extent cx="102044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376" w:lineRule="exact"/>
        <w:rPr>
          <w:sz w:val="20"/>
          <w:szCs w:val="20"/>
          <w:color w:val="auto"/>
        </w:rPr>
      </w:pPr>
    </w:p>
    <w:p>
      <w:pPr>
        <w:ind w:left="1040" w:hanging="306"/>
        <w:spacing w:after="0" w:line="254" w:lineRule="auto"/>
        <w:tabs>
          <w:tab w:leader="none" w:pos="10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80" w:lineRule="exact"/>
        <w:rPr>
          <w:sz w:val="20"/>
          <w:szCs w:val="20"/>
          <w:color w:val="auto"/>
        </w:rPr>
      </w:pPr>
    </w:p>
    <w:p>
      <w:pPr>
        <w:ind w:left="1040" w:hanging="306"/>
        <w:spacing w:after="0"/>
        <w:tabs>
          <w:tab w:leader="none" w:pos="10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Indicates assets that GSV Capital Corp. believes do not represent “qualifying assets” under Section 55(a) of the 1940 Act.</w:t>
      </w:r>
    </w:p>
    <w:p>
      <w:pPr>
        <w:spacing w:after="0" w:line="95" w:lineRule="exact"/>
        <w:rPr>
          <w:rFonts w:ascii="Arial" w:cs="Arial" w:eastAsia="Arial" w:hAnsi="Arial"/>
          <w:sz w:val="15"/>
          <w:szCs w:val="15"/>
          <w:color w:val="auto"/>
        </w:rPr>
      </w:pPr>
    </w:p>
    <w:p>
      <w:pPr>
        <w:ind w:left="1040" w:hanging="306"/>
        <w:spacing w:after="0"/>
        <w:tabs>
          <w:tab w:leader="none" w:pos="10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Investment is income-producing.</w:t>
      </w:r>
    </w:p>
    <w:p>
      <w:pPr>
        <w:spacing w:after="0" w:line="95" w:lineRule="exact"/>
        <w:rPr>
          <w:sz w:val="20"/>
          <w:szCs w:val="20"/>
          <w:color w:val="auto"/>
        </w:rPr>
      </w:pPr>
    </w:p>
    <w:p>
      <w:pPr>
        <w:jc w:val="both"/>
        <w:ind w:left="1040" w:right="60" w:hanging="306"/>
        <w:spacing w:after="0" w:line="259" w:lineRule="auto"/>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5"/>
          <w:szCs w:val="15"/>
          <w:i w:val="1"/>
          <w:iCs w:val="1"/>
          <w:color w:val="auto"/>
        </w:rPr>
        <w:t>i.e.</w:t>
      </w:r>
      <w:r>
        <w:rPr>
          <w:rFonts w:ascii="Arial" w:cs="Arial" w:eastAsia="Arial" w:hAnsi="Arial"/>
          <w:sz w:val="15"/>
          <w:szCs w:val="15"/>
          <w:color w:val="auto"/>
        </w:rPr>
        <w:t>, securities with the right to elect directors) of such company.</w:t>
      </w:r>
    </w:p>
    <w:p>
      <w:pPr>
        <w:spacing w:after="0" w:line="77" w:lineRule="exact"/>
        <w:rPr>
          <w:rFonts w:ascii="Arial" w:cs="Arial" w:eastAsia="Arial" w:hAnsi="Arial"/>
          <w:sz w:val="15"/>
          <w:szCs w:val="15"/>
          <w:color w:val="auto"/>
        </w:rPr>
      </w:pPr>
    </w:p>
    <w:p>
      <w:pPr>
        <w:ind w:left="1040" w:right="160" w:hanging="306"/>
        <w:spacing w:after="0" w:line="317" w:lineRule="auto"/>
        <w:tabs>
          <w:tab w:leader="none" w:pos="10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32" w:lineRule="exact"/>
        <w:rPr>
          <w:rFonts w:ascii="Arial" w:cs="Arial" w:eastAsia="Arial" w:hAnsi="Arial"/>
          <w:sz w:val="13"/>
          <w:szCs w:val="13"/>
          <w:color w:val="auto"/>
        </w:rPr>
      </w:pPr>
    </w:p>
    <w:p>
      <w:pPr>
        <w:ind w:left="1040" w:right="440" w:hanging="306"/>
        <w:spacing w:after="0" w:line="259" w:lineRule="auto"/>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7" w:lineRule="exact"/>
        <w:rPr>
          <w:rFonts w:ascii="Arial" w:cs="Arial" w:eastAsia="Arial" w:hAnsi="Arial"/>
          <w:sz w:val="15"/>
          <w:szCs w:val="15"/>
          <w:color w:val="auto"/>
        </w:rPr>
      </w:pPr>
    </w:p>
    <w:p>
      <w:pPr>
        <w:ind w:left="1040" w:hanging="306"/>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GSV Capital Corp.’s investment in StormWind, LLC is held through its wholly owned subsidiary GSVC SW Holdings, Inc.</w:t>
      </w:r>
    </w:p>
    <w:p>
      <w:pPr>
        <w:spacing w:after="0" w:line="95" w:lineRule="exact"/>
        <w:rPr>
          <w:rFonts w:ascii="Arial" w:cs="Arial" w:eastAsia="Arial" w:hAnsi="Arial"/>
          <w:sz w:val="15"/>
          <w:szCs w:val="15"/>
          <w:color w:val="auto"/>
        </w:rPr>
      </w:pPr>
    </w:p>
    <w:p>
      <w:pPr>
        <w:ind w:left="1040" w:right="200" w:hanging="306"/>
        <w:spacing w:after="0" w:line="307" w:lineRule="auto"/>
        <w:tabs>
          <w:tab w:leader="none" w:pos="10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45" w:lineRule="exact"/>
        <w:rPr>
          <w:rFonts w:ascii="Arial" w:cs="Arial" w:eastAsia="Arial" w:hAnsi="Arial"/>
          <w:sz w:val="14"/>
          <w:szCs w:val="14"/>
          <w:color w:val="auto"/>
        </w:rPr>
      </w:pPr>
    </w:p>
    <w:p>
      <w:pPr>
        <w:ind w:left="1040" w:right="20" w:hanging="306"/>
        <w:spacing w:after="0" w:line="255" w:lineRule="auto"/>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GSV Capital Corp.’s ownership percentage in Orchestra One, Inc. (f/k/a Learnist Inc.) decreased to below 5% and, as such, Orchestra One, Inc. is no longer classified as an “affiliate investment” as of September 30, 2016. As such, the Company has reflected a “transfer out” of the “Affiliate Investment” category above as of September 30, 2016 to indicate that the investment in Orchestra One, Inc., while still held as of September 30, 2016, does not meet the criteria of an affiliate investment as defined in the Investment Company Act of 1940.</w:t>
      </w:r>
    </w:p>
    <w:p>
      <w:pPr>
        <w:spacing w:after="0" w:line="70" w:lineRule="exact"/>
        <w:rPr>
          <w:rFonts w:ascii="Arial" w:cs="Arial" w:eastAsia="Arial" w:hAnsi="Arial"/>
          <w:sz w:val="15"/>
          <w:szCs w:val="15"/>
          <w:color w:val="auto"/>
        </w:rPr>
      </w:pPr>
    </w:p>
    <w:p>
      <w:pPr>
        <w:ind w:left="1040" w:hanging="306"/>
        <w:spacing w:after="0"/>
        <w:tabs>
          <w:tab w:leader="none" w:pos="10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GSV Capital Corp.’s investment in Strategic Data Command, LLC is held through its wholly owned subsidiary GSVC SVDS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0920"/>
          </w:cols>
          <w:pgMar w:left="220" w:top="134" w:right="759" w:bottom="1440" w:gutter="0" w:footer="0" w:header="0"/>
        </w:sectPr>
      </w:pPr>
    </w:p>
    <w:bookmarkStart w:id="129" w:name="page130"/>
    <w:bookmarkEnd w:id="12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NOTES TO CONSOLIDATED FINANCIAL STATEMENTS</w:t>
      </w:r>
    </w:p>
    <w:p>
      <w:pPr>
        <w:ind w:left="526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p>
      <w:pPr>
        <w:ind w:left="1040" w:hanging="306"/>
        <w:spacing w:after="0" w:line="254" w:lineRule="auto"/>
        <w:tabs>
          <w:tab w:leader="none" w:pos="10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GSV Capital Corp.’s ownership percentage in Handle Financial, Inc. (f/k/a PayNearMe, Inc.) and Fullbridge, Inc. decreased to below 5% and, as such, Handle Financial, Inc. (f/k/a PayNearMe, Inc.) and Fullbridge, Inc. are no longer classified as “affiliate investments” as of December 31, 2016. As such, the Company has reflected a “transfer out” of the “Affiliate Investment” category above as of December 31, 2016 to indicate that the investment in Handle Financial, Inc. (f/k/a PayNearMe, Inc.) and Fullbridge, Inc., while still held as of December 31, 2016, does not meet the criteria of an affiliate investment as defined in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334885" cy="3937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334885" cy="39370"/>
                    </a:xfrm>
                    <a:prstGeom prst="rect">
                      <a:avLst/>
                    </a:prstGeom>
                    <a:noFill/>
                  </pic:spPr>
                </pic:pic>
              </a:graphicData>
            </a:graphic>
          </wp:anchor>
        </w:drawing>
      </w:r>
    </w:p>
    <w:p>
      <w:pPr>
        <w:sectPr>
          <w:pgSz w:w="11900" w:h="16838" w:orient="portrait"/>
          <w:cols w:equalWidth="0" w:num="1">
            <w:col w:w="10700"/>
          </w:cols>
          <w:pgMar w:left="220" w:top="134" w:right="979" w:bottom="1440" w:gutter="0" w:footer="0" w:header="0"/>
        </w:sectPr>
      </w:pPr>
    </w:p>
    <w:bookmarkStart w:id="130" w:name="page131"/>
    <w:bookmarkEnd w:id="13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5 — SHARE REPURCHASE PROGRAM, EQUITY OFFERINGS AND RELATED EXPENSES</w:t>
      </w:r>
    </w:p>
    <w:p>
      <w:pPr>
        <w:spacing w:after="0" w:line="88" w:lineRule="exact"/>
        <w:rPr>
          <w:sz w:val="20"/>
          <w:szCs w:val="20"/>
          <w:color w:val="auto"/>
        </w:rPr>
      </w:pPr>
    </w:p>
    <w:p>
      <w:pPr>
        <w:ind w:left="1060" w:right="2399" w:firstLine="297"/>
        <w:spacing w:after="0" w:line="293" w:lineRule="auto"/>
        <w:rPr>
          <w:sz w:val="20"/>
          <w:szCs w:val="20"/>
          <w:color w:val="auto"/>
        </w:rPr>
      </w:pPr>
      <w:r>
        <w:rPr>
          <w:rFonts w:ascii="Arial" w:cs="Arial" w:eastAsia="Arial" w:hAnsi="Arial"/>
          <w:sz w:val="13"/>
          <w:szCs w:val="13"/>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our common stock.</w:t>
      </w:r>
    </w:p>
    <w:p>
      <w:pPr>
        <w:spacing w:after="0" w:line="50" w:lineRule="exact"/>
        <w:rPr>
          <w:sz w:val="20"/>
          <w:szCs w:val="20"/>
          <w:color w:val="auto"/>
        </w:rPr>
      </w:pPr>
    </w:p>
    <w:p>
      <w:pPr>
        <w:ind w:left="1060" w:right="2699" w:firstLine="297"/>
        <w:spacing w:after="0" w:line="307" w:lineRule="auto"/>
        <w:rPr>
          <w:sz w:val="20"/>
          <w:szCs w:val="20"/>
          <w:color w:val="auto"/>
        </w:rPr>
      </w:pPr>
      <w:r>
        <w:rPr>
          <w:rFonts w:ascii="Arial" w:cs="Arial" w:eastAsia="Arial" w:hAnsi="Arial"/>
          <w:sz w:val="14"/>
          <w:szCs w:val="14"/>
          <w:color w:val="auto"/>
        </w:rPr>
        <w:t>During the year ended December 31, 2017, the Company repurchased 934,658 shares of the Company’s common stock pursuant to the Share Repurchase Program for an aggregate of $4,933,877.</w:t>
      </w:r>
    </w:p>
    <w:p>
      <w:pPr>
        <w:spacing w:after="0" w:line="34" w:lineRule="exact"/>
        <w:rPr>
          <w:sz w:val="20"/>
          <w:szCs w:val="20"/>
          <w:color w:val="auto"/>
        </w:rPr>
      </w:pPr>
    </w:p>
    <w:p>
      <w:pPr>
        <w:ind w:left="1060" w:right="2639" w:firstLine="297"/>
        <w:spacing w:after="0" w:line="270" w:lineRule="auto"/>
        <w:rPr>
          <w:sz w:val="20"/>
          <w:szCs w:val="20"/>
          <w:color w:val="auto"/>
        </w:rPr>
      </w:pPr>
      <w:r>
        <w:rPr>
          <w:rFonts w:ascii="Arial" w:cs="Arial" w:eastAsia="Arial" w:hAnsi="Arial"/>
          <w:sz w:val="15"/>
          <w:szCs w:val="15"/>
          <w:color w:val="auto"/>
        </w:rPr>
        <w:t>No new shares of the Company’s common stock were issued during the years ended December 31, 2017, 2016 and 2015.</w:t>
      </w:r>
    </w:p>
    <w:p>
      <w:pPr>
        <w:spacing w:after="0" w:line="132" w:lineRule="exact"/>
        <w:rPr>
          <w:sz w:val="20"/>
          <w:szCs w:val="20"/>
          <w:color w:val="auto"/>
        </w:rPr>
      </w:pPr>
    </w:p>
    <w:p>
      <w:pPr>
        <w:ind w:left="1060" w:right="2519"/>
        <w:spacing w:after="0" w:line="245" w:lineRule="auto"/>
        <w:rPr>
          <w:sz w:val="20"/>
          <w:szCs w:val="20"/>
          <w:color w:val="auto"/>
        </w:rPr>
      </w:pPr>
      <w:r>
        <w:rPr>
          <w:rFonts w:ascii="Arial" w:cs="Arial" w:eastAsia="Arial" w:hAnsi="Arial"/>
          <w:sz w:val="15"/>
          <w:szCs w:val="15"/>
          <w:b w:val="1"/>
          <w:bCs w:val="1"/>
          <w:color w:val="auto"/>
        </w:rPr>
        <w:t>NOTE 6 — NET INCREASE/(DECREASE) IN NET ASSETS RESULTING FROM OPERATIONS PER COMMON SHARE — BASIC AND DILUTED</w:t>
      </w:r>
    </w:p>
    <w:p>
      <w:pPr>
        <w:spacing w:after="0" w:line="65" w:lineRule="exact"/>
        <w:rPr>
          <w:sz w:val="20"/>
          <w:szCs w:val="20"/>
          <w:color w:val="auto"/>
        </w:rPr>
      </w:pPr>
    </w:p>
    <w:p>
      <w:pPr>
        <w:jc w:val="both"/>
        <w:ind w:left="1060" w:right="2739" w:firstLine="297"/>
        <w:spacing w:after="0" w:line="259" w:lineRule="auto"/>
        <w:rPr>
          <w:sz w:val="20"/>
          <w:szCs w:val="20"/>
          <w:color w:val="auto"/>
        </w:rPr>
      </w:pPr>
      <w:r>
        <w:rPr>
          <w:rFonts w:ascii="Arial" w:cs="Arial" w:eastAsia="Arial" w:hAnsi="Arial"/>
          <w:sz w:val="15"/>
          <w:szCs w:val="15"/>
          <w:color w:val="auto"/>
        </w:rPr>
        <w:t>The following information sets forth the computation of basic and diluted net increase/(decrease) in net assets resulting from operations per common share, pursuant to ASC 260, for the years ended December 31, 2017, 2016 and 2015.</w:t>
      </w:r>
    </w:p>
    <w:p>
      <w:pPr>
        <w:spacing w:after="0" w:line="104" w:lineRule="exact"/>
        <w:rPr>
          <w:sz w:val="20"/>
          <w:szCs w:val="20"/>
          <w:color w:val="auto"/>
        </w:rPr>
      </w:pPr>
    </w:p>
    <w:tbl>
      <w:tblPr>
        <w:tblLayout w:type="fixed"/>
        <w:tblInd w:w="1040" w:type="dxa"/>
        <w:tblCellMar>
          <w:top w:w="0" w:type="dxa"/>
          <w:left w:w="0" w:type="dxa"/>
          <w:bottom w:w="0" w:type="dxa"/>
          <w:right w:w="0" w:type="dxa"/>
        </w:tblCellMar>
      </w:tblPr>
      <w:tr>
        <w:trPr>
          <w:trHeight w:val="152"/>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680" w:type="dxa"/>
            <w:vAlign w:val="bottom"/>
          </w:tcPr>
          <w:p>
            <w:pPr>
              <w:spacing w:after="0"/>
              <w:rPr>
                <w:sz w:val="13"/>
                <w:szCs w:val="13"/>
                <w:color w:val="auto"/>
              </w:rPr>
            </w:pPr>
          </w:p>
        </w:tc>
      </w:tr>
      <w:tr>
        <w:trPr>
          <w:trHeight w:val="22"/>
        </w:trPr>
        <w:tc>
          <w:tcPr>
            <w:tcW w:w="4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3"/>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228"/>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88"/>
              <w:spacing w:after="0"/>
              <w:rPr>
                <w:sz w:val="20"/>
                <w:szCs w:val="20"/>
                <w:color w:val="auto"/>
              </w:rPr>
            </w:pPr>
            <w:r>
              <w:rPr>
                <w:rFonts w:ascii="Arial" w:cs="Arial" w:eastAsia="Arial" w:hAnsi="Arial"/>
                <w:sz w:val="12"/>
                <w:szCs w:val="12"/>
                <w:b w:val="1"/>
                <w:bCs w:val="1"/>
                <w:color w:val="auto"/>
              </w:rPr>
              <w:t>2015</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Earnings/(loss) per common share – basic:</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40"/>
        </w:trPr>
        <w:tc>
          <w:tcPr>
            <w:tcW w:w="4120" w:type="dxa"/>
            <w:vAlign w:val="bottom"/>
          </w:tcPr>
          <w:p>
            <w:pPr>
              <w:ind w:left="20"/>
              <w:spacing w:after="0"/>
              <w:rPr>
                <w:sz w:val="20"/>
                <w:szCs w:val="20"/>
                <w:color w:val="auto"/>
              </w:rPr>
            </w:pPr>
            <w:r>
              <w:rPr>
                <w:rFonts w:ascii="Arial" w:cs="Arial" w:eastAsia="Arial" w:hAnsi="Arial"/>
                <w:sz w:val="15"/>
                <w:szCs w:val="15"/>
                <w:color w:val="auto"/>
                <w:w w:val="97"/>
              </w:rPr>
              <w:t>Net increase/(decrease)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17,567,933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w w:val="86"/>
              </w:rPr>
              <w:t>(74,994,895)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8,466,157</w:t>
            </w:r>
          </w:p>
        </w:tc>
      </w:tr>
      <w:tr>
        <w:trPr>
          <w:trHeight w:val="257"/>
        </w:trPr>
        <w:tc>
          <w:tcPr>
            <w:tcW w:w="4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common shares – basic</w:t>
            </w:r>
          </w:p>
        </w:tc>
        <w:tc>
          <w:tcPr>
            <w:tcW w:w="8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21,924,490</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22,181,003</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19,327,938</w:t>
            </w:r>
          </w:p>
        </w:tc>
      </w:tr>
      <w:tr>
        <w:trPr>
          <w:trHeight w:val="20"/>
        </w:trPr>
        <w:tc>
          <w:tcPr>
            <w:tcW w:w="4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88"/>
        </w:trPr>
        <w:tc>
          <w:tcPr>
            <w:tcW w:w="4120" w:type="dxa"/>
            <w:vAlign w:val="bottom"/>
          </w:tcPr>
          <w:p>
            <w:pPr>
              <w:ind w:left="20"/>
              <w:spacing w:after="0"/>
              <w:rPr>
                <w:sz w:val="20"/>
                <w:szCs w:val="20"/>
                <w:color w:val="auto"/>
              </w:rPr>
            </w:pPr>
            <w:r>
              <w:rPr>
                <w:rFonts w:ascii="Arial" w:cs="Arial" w:eastAsia="Arial" w:hAnsi="Arial"/>
                <w:sz w:val="15"/>
                <w:szCs w:val="15"/>
                <w:b w:val="1"/>
                <w:bCs w:val="1"/>
                <w:color w:val="auto"/>
              </w:rPr>
              <w:t>Earnings/(loss) per common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0.80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0.44</w:t>
            </w:r>
          </w:p>
        </w:tc>
      </w:tr>
      <w:tr>
        <w:trPr>
          <w:trHeight w:val="281"/>
        </w:trPr>
        <w:tc>
          <w:tcPr>
            <w:tcW w:w="412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Earnings/(loss) per common share – diluted:</w:t>
            </w:r>
          </w:p>
        </w:tc>
        <w:tc>
          <w:tcPr>
            <w:tcW w:w="8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r>
      <w:tr>
        <w:trPr>
          <w:trHeight w:val="240"/>
        </w:trPr>
        <w:tc>
          <w:tcPr>
            <w:tcW w:w="4120" w:type="dxa"/>
            <w:vAlign w:val="bottom"/>
          </w:tcPr>
          <w:p>
            <w:pPr>
              <w:ind w:left="20"/>
              <w:spacing w:after="0"/>
              <w:rPr>
                <w:sz w:val="20"/>
                <w:szCs w:val="20"/>
                <w:color w:val="auto"/>
              </w:rPr>
            </w:pPr>
            <w:r>
              <w:rPr>
                <w:rFonts w:ascii="Arial" w:cs="Arial" w:eastAsia="Arial" w:hAnsi="Arial"/>
                <w:sz w:val="15"/>
                <w:szCs w:val="15"/>
                <w:color w:val="auto"/>
                <w:w w:val="97"/>
              </w:rPr>
              <w:t>Net increase/(decrease)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17,567,933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w w:val="86"/>
              </w:rPr>
              <w:t>(74,994,895)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8,466,157</w:t>
            </w:r>
          </w:p>
        </w:tc>
      </w:tr>
      <w:tr>
        <w:trPr>
          <w:trHeight w:val="274"/>
        </w:trPr>
        <w:tc>
          <w:tcPr>
            <w:tcW w:w="4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common shares outstanding – diluted</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3"/>
                <w:szCs w:val="23"/>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21,924,490</w:t>
            </w: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22,181,003</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19,327,938</w:t>
            </w:r>
          </w:p>
        </w:tc>
      </w:tr>
      <w:tr>
        <w:trPr>
          <w:trHeight w:val="20"/>
        </w:trPr>
        <w:tc>
          <w:tcPr>
            <w:tcW w:w="4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36"/>
        </w:trPr>
        <w:tc>
          <w:tcPr>
            <w:tcW w:w="4120" w:type="dxa"/>
            <w:vAlign w:val="bottom"/>
          </w:tcPr>
          <w:p>
            <w:pPr>
              <w:ind w:left="20"/>
              <w:spacing w:after="0"/>
              <w:rPr>
                <w:sz w:val="20"/>
                <w:szCs w:val="20"/>
                <w:color w:val="auto"/>
              </w:rPr>
            </w:pPr>
            <w:r>
              <w:rPr>
                <w:rFonts w:ascii="Arial" w:cs="Arial" w:eastAsia="Arial" w:hAnsi="Arial"/>
                <w:sz w:val="15"/>
                <w:szCs w:val="15"/>
                <w:b w:val="1"/>
                <w:bCs w:val="1"/>
                <w:color w:val="auto"/>
              </w:rPr>
              <w:t>Earnings/(loss) per common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0.80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0.44</w:t>
            </w:r>
          </w:p>
        </w:tc>
      </w:tr>
      <w:tr>
        <w:trPr>
          <w:trHeight w:val="20"/>
        </w:trPr>
        <w:tc>
          <w:tcPr>
            <w:tcW w:w="4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-1374140</wp:posOffset>
            </wp:positionV>
            <wp:extent cx="11366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-1374140</wp:posOffset>
            </wp:positionV>
            <wp:extent cx="319595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19595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120650</wp:posOffset>
            </wp:positionV>
            <wp:extent cx="102044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48" w:lineRule="exact"/>
        <w:rPr>
          <w:sz w:val="20"/>
          <w:szCs w:val="20"/>
          <w:color w:val="auto"/>
        </w:rPr>
      </w:pPr>
    </w:p>
    <w:p>
      <w:pPr>
        <w:ind w:left="1340" w:right="2419" w:hanging="289"/>
        <w:spacing w:after="0" w:line="255" w:lineRule="auto"/>
        <w:tabs>
          <w:tab w:leader="none" w:pos="13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For the years ended December 31, 2017, 2016 and 2015, 5,751,815, 5,751,815 and 5,710,212 potentially dilutive common shares, respectively, were excluded from the weighted-average common shares outstanding for diluted net increase/(decrease) in net assets resulting from operations per common share because the effect of these shares would have been anti-dilutive.</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7 — COMMITMENTS AND CONTINGENCIES</w:t>
      </w:r>
    </w:p>
    <w:p>
      <w:pPr>
        <w:spacing w:after="0" w:line="88" w:lineRule="exact"/>
        <w:rPr>
          <w:sz w:val="20"/>
          <w:szCs w:val="20"/>
          <w:color w:val="auto"/>
        </w:rPr>
      </w:pPr>
    </w:p>
    <w:p>
      <w:pPr>
        <w:ind w:left="1060" w:right="2419" w:firstLine="297"/>
        <w:spacing w:after="0" w:line="255" w:lineRule="auto"/>
        <w:rPr>
          <w:sz w:val="20"/>
          <w:szCs w:val="20"/>
          <w:color w:val="auto"/>
        </w:rPr>
      </w:pPr>
      <w:r>
        <w:rPr>
          <w:rFonts w:ascii="Arial" w:cs="Arial" w:eastAsia="Arial" w:hAnsi="Arial"/>
          <w:sz w:val="15"/>
          <w:szCs w:val="15"/>
          <w:color w:val="auto"/>
        </w:rPr>
        <w:t>In the normal course of business, the Company may enter into investment agreements under which it commits to make an investment in a portfolio company at some future date or over a specified period of time. At each of December 31, 2017 and 2016, the Company had not entered into any investment agreements that required it to make a future investment in a portfolio company.</w:t>
      </w:r>
    </w:p>
    <w:p>
      <w:pPr>
        <w:spacing w:after="0" w:line="20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1" w:name="page132"/>
    <w:bookmarkEnd w:id="13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99" w:firstLine="297"/>
        <w:spacing w:after="0" w:line="252" w:lineRule="auto"/>
        <w:rPr>
          <w:sz w:val="20"/>
          <w:szCs w:val="20"/>
          <w:color w:val="auto"/>
        </w:rPr>
      </w:pPr>
      <w:r>
        <w:rPr>
          <w:rFonts w:ascii="Arial" w:cs="Arial" w:eastAsia="Arial" w:hAnsi="Arial"/>
          <w:sz w:val="15"/>
          <w:szCs w:val="15"/>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8 — FINANCIAL HIGHLIGHTS</w:t>
      </w:r>
    </w:p>
    <w:p>
      <w:pPr>
        <w:spacing w:after="0" w:line="81" w:lineRule="exact"/>
        <w:rPr>
          <w:sz w:val="20"/>
          <w:szCs w:val="20"/>
          <w:color w:val="auto"/>
        </w:rPr>
      </w:pPr>
    </w:p>
    <w:tbl>
      <w:tblPr>
        <w:tblLayout w:type="fixed"/>
        <w:tblInd w:w="1040" w:type="dxa"/>
        <w:tblCellMar>
          <w:top w:w="0" w:type="dxa"/>
          <w:left w:w="0" w:type="dxa"/>
          <w:bottom w:w="0" w:type="dxa"/>
          <w:right w:w="0" w:type="dxa"/>
        </w:tblCellMar>
      </w:tblPr>
      <w:tr>
        <w:trPr>
          <w:trHeight w:val="157"/>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Per Basic Share Data</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asset value at beginning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14.80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14.91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20"/>
              <w:spacing w:after="0" w:line="179" w:lineRule="exact"/>
              <w:rPr>
                <w:sz w:val="20"/>
                <w:szCs w:val="20"/>
                <w:color w:val="auto"/>
              </w:rPr>
            </w:pPr>
            <w:r>
              <w:rPr>
                <w:rFonts w:ascii="Arial" w:cs="Arial" w:eastAsia="Arial" w:hAnsi="Arial"/>
                <w:sz w:val="13"/>
                <w:szCs w:val="13"/>
                <w:color w:val="auto"/>
              </w:rPr>
              <w:t>Net investment loss</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(0.95)</w:t>
            </w:r>
          </w:p>
        </w:tc>
        <w:tc>
          <w:tcPr>
            <w:tcW w:w="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c>
          <w:tcPr>
            <w:tcW w:w="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(2.52)</w:t>
            </w: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(0.66)</w:t>
            </w: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CCEEFF"/>
            </w:tcBorders>
            <w:gridSpan w:val="2"/>
            <w:shd w:val="clear" w:color="auto" w:fill="CCEEFF"/>
          </w:tcPr>
          <w:p>
            <w:pPr>
              <w:ind w:left="20"/>
              <w:spacing w:after="0" w:line="145" w:lineRule="exact"/>
              <w:rPr>
                <w:sz w:val="20"/>
                <w:szCs w:val="20"/>
                <w:color w:val="auto"/>
              </w:rPr>
            </w:pPr>
            <w:r>
              <w:rPr>
                <w:rFonts w:ascii="Arial" w:cs="Arial" w:eastAsia="Arial" w:hAnsi="Arial"/>
                <w:sz w:val="13"/>
                <w:szCs w:val="13"/>
                <w:color w:val="auto"/>
              </w:rPr>
              <w:t>Net realized gain/(loss) on</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400" w:type="dxa"/>
            <w:vAlign w:val="bottom"/>
            <w:tcBorders>
              <w:right w:val="single" w:sz="8" w:color="CCEEFF"/>
            </w:tcBorders>
            <w:gridSpan w:val="2"/>
            <w:shd w:val="clear" w:color="auto" w:fill="CCEEFF"/>
          </w:tcPr>
          <w:p>
            <w:pPr>
              <w:ind w:left="160"/>
              <w:spacing w:after="0" w:line="201" w:lineRule="exact"/>
              <w:rPr>
                <w:sz w:val="20"/>
                <w:szCs w:val="20"/>
                <w:color w:val="auto"/>
              </w:rPr>
            </w:pPr>
            <w:r>
              <w:rPr>
                <w:rFonts w:ascii="Arial" w:cs="Arial" w:eastAsia="Arial" w:hAnsi="Arial"/>
                <w:sz w:val="13"/>
                <w:szCs w:val="13"/>
                <w:color w:val="auto"/>
              </w:rPr>
              <w:t>investments</w:t>
            </w:r>
            <w:r>
              <w:rPr>
                <w:rFonts w:ascii="Arial" w:cs="Arial" w:eastAsia="Arial" w:hAnsi="Arial"/>
                <w:sz w:val="20"/>
                <w:szCs w:val="20"/>
                <w:color w:val="auto"/>
                <w:vertAlign w:val="superscript"/>
              </w:rPr>
              <w:t>(1)</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0.04</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(0.12)</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40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Benefit from/(Provision for) taxes on net</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400" w:type="dxa"/>
            <w:vAlign w:val="bottom"/>
            <w:gridSpan w:val="2"/>
          </w:tcPr>
          <w:p>
            <w:pPr>
              <w:ind w:left="160"/>
              <w:spacing w:after="0" w:line="201" w:lineRule="exact"/>
              <w:rPr>
                <w:sz w:val="20"/>
                <w:szCs w:val="20"/>
                <w:color w:val="auto"/>
              </w:rPr>
            </w:pPr>
            <w:r>
              <w:rPr>
                <w:rFonts w:ascii="Arial" w:cs="Arial" w:eastAsia="Arial" w:hAnsi="Arial"/>
                <w:sz w:val="13"/>
                <w:szCs w:val="13"/>
                <w:color w:val="auto"/>
                <w:w w:val="98"/>
              </w:rPr>
              <w:t>realized loss/gain on investments</w:t>
            </w:r>
            <w:r>
              <w:rPr>
                <w:rFonts w:ascii="Arial" w:cs="Arial" w:eastAsia="Arial" w:hAnsi="Arial"/>
                <w:sz w:val="20"/>
                <w:szCs w:val="20"/>
                <w:color w:val="auto"/>
                <w:w w:val="98"/>
                <w:vertAlign w:val="superscript"/>
              </w:rPr>
              <w:t>(1)(3)</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(0.51)</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0.49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400" w:type="dxa"/>
            <w:vAlign w:val="bottom"/>
            <w:tcBorders>
              <w:right w:val="single" w:sz="8" w:color="CCEEFF"/>
            </w:tcBorders>
            <w:gridSpan w:val="2"/>
            <w:shd w:val="clear" w:color="auto" w:fill="CCEEFF"/>
          </w:tcPr>
          <w:p>
            <w:pPr>
              <w:ind w:left="20"/>
              <w:spacing w:after="0" w:line="145" w:lineRule="exact"/>
              <w:rPr>
                <w:sz w:val="20"/>
                <w:szCs w:val="20"/>
                <w:color w:val="auto"/>
              </w:rPr>
            </w:pPr>
            <w:r>
              <w:rPr>
                <w:rFonts w:ascii="Arial" w:cs="Arial" w:eastAsia="Arial" w:hAnsi="Arial"/>
                <w:sz w:val="13"/>
                <w:szCs w:val="13"/>
                <w:color w:val="auto"/>
              </w:rPr>
              <w:t>Net change in unrealized appreciation/</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400" w:type="dxa"/>
            <w:vAlign w:val="bottom"/>
            <w:tcBorders>
              <w:right w:val="single" w:sz="8" w:color="CCEEFF"/>
            </w:tcBorders>
            <w:gridSpan w:val="2"/>
            <w:shd w:val="clear" w:color="auto" w:fill="CCEEFF"/>
          </w:tcPr>
          <w:p>
            <w:pPr>
              <w:ind w:left="160"/>
              <w:spacing w:after="0" w:line="201" w:lineRule="exact"/>
              <w:rPr>
                <w:sz w:val="20"/>
                <w:szCs w:val="20"/>
                <w:color w:val="auto"/>
              </w:rPr>
            </w:pPr>
            <w:r>
              <w:rPr>
                <w:rFonts w:ascii="Arial" w:cs="Arial" w:eastAsia="Arial" w:hAnsi="Arial"/>
                <w:sz w:val="13"/>
                <w:szCs w:val="13"/>
                <w:color w:val="auto"/>
              </w:rPr>
              <w:t>(depreciation) of investments</w:t>
            </w:r>
            <w:r>
              <w:rPr>
                <w:rFonts w:ascii="Arial" w:cs="Arial" w:eastAsia="Arial" w:hAnsi="Arial"/>
                <w:sz w:val="20"/>
                <w:szCs w:val="20"/>
                <w:color w:val="auto"/>
                <w:vertAlign w:val="superscript"/>
              </w:rPr>
              <w:t>(1)</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1.59</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Benefit from/(Provision for) taxes on</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40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unrealized depreciation/appreciation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400" w:type="dxa"/>
            <w:vAlign w:val="bottom"/>
            <w:gridSpan w:val="2"/>
          </w:tcPr>
          <w:p>
            <w:pPr>
              <w:ind w:left="160"/>
              <w:spacing w:after="0" w:line="201" w:lineRule="exact"/>
              <w:rPr>
                <w:sz w:val="20"/>
                <w:szCs w:val="20"/>
                <w:color w:val="auto"/>
              </w:rPr>
            </w:pPr>
            <w:r>
              <w:rPr>
                <w:rFonts w:ascii="Arial" w:cs="Arial" w:eastAsia="Arial" w:hAnsi="Arial"/>
                <w:sz w:val="13"/>
                <w:szCs w:val="13"/>
                <w:color w:val="auto"/>
              </w:rPr>
              <w:t>of investments</w:t>
            </w:r>
            <w:r>
              <w:rPr>
                <w:rFonts w:ascii="Arial" w:cs="Arial" w:eastAsia="Arial" w:hAnsi="Arial"/>
                <w:sz w:val="20"/>
                <w:szCs w:val="20"/>
                <w:color w:val="auto"/>
                <w:vertAlign w:val="superscript"/>
              </w:rPr>
              <w:t>(1)(3)(4)</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0.13</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0.10</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0.83</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Dividends from realized gain</w:t>
            </w:r>
          </w:p>
        </w:tc>
        <w:tc>
          <w:tcPr>
            <w:tcW w:w="6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(0.04)</w:t>
            </w:r>
          </w:p>
        </w:tc>
        <w:tc>
          <w:tcPr>
            <w:tcW w:w="6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20"/>
              <w:spacing w:after="0" w:line="179" w:lineRule="exact"/>
              <w:rPr>
                <w:sz w:val="20"/>
                <w:szCs w:val="20"/>
                <w:color w:val="auto"/>
              </w:rPr>
            </w:pPr>
            <w:r>
              <w:rPr>
                <w:rFonts w:ascii="Arial" w:cs="Arial" w:eastAsia="Arial" w:hAnsi="Arial"/>
                <w:sz w:val="13"/>
                <w:szCs w:val="13"/>
                <w:color w:val="auto"/>
              </w:rPr>
              <w:t>Repurchase of common stock</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0.18</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Dilution from shares issued</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Net asset value at end of year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9.64</w:t>
            </w:r>
          </w:p>
        </w:tc>
        <w:tc>
          <w:tcPr>
            <w:tcW w:w="1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8.66</w:t>
            </w:r>
          </w:p>
        </w:tc>
        <w:tc>
          <w:tcPr>
            <w:tcW w:w="1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12.08</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14.80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00" w:type="dxa"/>
            <w:vAlign w:val="bottom"/>
            <w:tcBorders>
              <w:right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3"/>
                <w:szCs w:val="13"/>
                <w:color w:val="auto"/>
              </w:rPr>
              <w:t>Per share market value at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5.45</w:t>
            </w: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5.03</w:t>
            </w: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9.37</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8.63</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12.09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Total return based on market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400" w:type="dxa"/>
            <w:vAlign w:val="bottom"/>
            <w:gridSpan w:val="2"/>
          </w:tcPr>
          <w:p>
            <w:pPr>
              <w:ind w:left="160"/>
              <w:spacing w:after="0" w:line="201" w:lineRule="exact"/>
              <w:rPr>
                <w:sz w:val="20"/>
                <w:szCs w:val="20"/>
                <w:color w:val="auto"/>
              </w:rPr>
            </w:pPr>
            <w:r>
              <w:rPr>
                <w:rFonts w:ascii="Arial" w:cs="Arial" w:eastAsia="Arial" w:hAnsi="Arial"/>
                <w:sz w:val="13"/>
                <w:szCs w:val="13"/>
                <w:color w:val="auto"/>
              </w:rPr>
              <w:t>value</w:t>
            </w:r>
            <w:r>
              <w:rPr>
                <w:rFonts w:ascii="Arial" w:cs="Arial" w:eastAsia="Arial" w:hAnsi="Arial"/>
                <w:sz w:val="20"/>
                <w:szCs w:val="20"/>
                <w:color w:val="auto"/>
                <w:vertAlign w:val="superscript"/>
              </w:rPr>
              <w:t>(2)</w:t>
            </w:r>
          </w:p>
        </w:tc>
        <w:tc>
          <w:tcPr>
            <w:tcW w:w="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8.35%</w:t>
            </w:r>
          </w:p>
        </w:tc>
        <w:tc>
          <w:tcPr>
            <w:tcW w:w="6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(23.29)%</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8.57%</w:t>
            </w:r>
          </w:p>
        </w:tc>
        <w:tc>
          <w:tcPr>
            <w:tcW w:w="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(28.62)%</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43.42%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return based on net asset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400" w:type="dxa"/>
            <w:vAlign w:val="bottom"/>
            <w:tcBorders>
              <w:right w:val="single" w:sz="8" w:color="CCEEFF"/>
            </w:tcBorders>
            <w:gridSpan w:val="2"/>
            <w:shd w:val="clear" w:color="auto" w:fill="CCEEFF"/>
          </w:tcPr>
          <w:p>
            <w:pPr>
              <w:ind w:left="160"/>
              <w:spacing w:after="0" w:line="201" w:lineRule="exact"/>
              <w:rPr>
                <w:sz w:val="20"/>
                <w:szCs w:val="20"/>
                <w:color w:val="auto"/>
              </w:rPr>
            </w:pPr>
            <w:r>
              <w:rPr>
                <w:rFonts w:ascii="Arial" w:cs="Arial" w:eastAsia="Arial" w:hAnsi="Arial"/>
                <w:sz w:val="13"/>
                <w:szCs w:val="13"/>
                <w:color w:val="auto"/>
              </w:rPr>
              <w:t>value</w:t>
            </w:r>
            <w:r>
              <w:rPr>
                <w:rFonts w:ascii="Arial" w:cs="Arial" w:eastAsia="Arial" w:hAnsi="Arial"/>
                <w:sz w:val="20"/>
                <w:szCs w:val="20"/>
                <w:color w:val="auto"/>
                <w:vertAlign w:val="superscript"/>
              </w:rPr>
              <w:t>(2)</w:t>
            </w: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11.32%</w:t>
            </w:r>
          </w:p>
        </w:tc>
        <w:tc>
          <w:tcPr>
            <w:tcW w:w="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Shares outstanding at end of year</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21,246,345</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22,181,003</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22,181,003</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19,320,100</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98"/>
              </w:rPr>
              <w:t>19,320,100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Ratios/Supplemental Data:</w:t>
            </w: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Net assets at end of year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204,762,866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192,128,810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268,010,945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285,903,673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287,966,444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Average net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199,457,678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243,577,514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296,560,393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284,953,811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250,121,052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Ratio of gross operating expenses to</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average net assets</w:t>
            </w:r>
          </w:p>
        </w:tc>
        <w:tc>
          <w:tcPr>
            <w:tcW w:w="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11.25%</w:t>
            </w:r>
          </w:p>
        </w:tc>
        <w:tc>
          <w:tcPr>
            <w:tcW w:w="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0.82%</w:t>
            </w:r>
          </w:p>
        </w:tc>
        <w:tc>
          <w:tcPr>
            <w:tcW w:w="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9.10%</w:t>
            </w:r>
          </w:p>
        </w:tc>
        <w:tc>
          <w:tcPr>
            <w:tcW w:w="8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8.83%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Ratio of net income tax provisions to</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average net assets</w:t>
            </w:r>
          </w:p>
        </w:tc>
        <w:tc>
          <w:tcPr>
            <w:tcW w:w="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(0.87)%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Ratio of management fee waiver to</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average net assets</w:t>
            </w:r>
          </w:p>
        </w:tc>
        <w:tc>
          <w:tcPr>
            <w:tcW w:w="6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(0.36)%</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40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Ratio of net operating expenses to</w:t>
            </w:r>
          </w:p>
        </w:tc>
        <w:tc>
          <w:tcPr>
            <w:tcW w:w="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average net assets</w:t>
            </w: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9.51%</w:t>
            </w:r>
          </w:p>
        </w:tc>
        <w:tc>
          <w:tcPr>
            <w:tcW w:w="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7.22%</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7.14%</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3"/>
                <w:szCs w:val="13"/>
                <w:color w:val="auto"/>
              </w:rPr>
              <w:t>Ratio of net investment loss to average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gridSpan w:val="2"/>
          </w:tcPr>
          <w:p>
            <w:pPr>
              <w:ind w:left="160"/>
              <w:spacing w:after="0"/>
              <w:rPr>
                <w:sz w:val="20"/>
                <w:szCs w:val="20"/>
                <w:color w:val="auto"/>
              </w:rPr>
            </w:pPr>
            <w:r>
              <w:rPr>
                <w:rFonts w:ascii="Arial" w:cs="Arial" w:eastAsia="Arial" w:hAnsi="Arial"/>
                <w:sz w:val="13"/>
                <w:szCs w:val="13"/>
                <w:color w:val="auto"/>
              </w:rPr>
              <w:t>net assets</w:t>
            </w:r>
          </w:p>
        </w:tc>
        <w:tc>
          <w:tcPr>
            <w:tcW w:w="6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(10.47)%</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(0.52)%</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(16.41)%</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(4.48)%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79"/>
        </w:trPr>
        <w:tc>
          <w:tcPr>
            <w:tcW w:w="2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Portfolio Turnover Ratio</w:t>
            </w: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0.07%</w:t>
            </w: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4.46%</w:t>
            </w: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8.30%</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19.45%</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-559435</wp:posOffset>
            </wp:positionV>
            <wp:extent cx="8509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-559435</wp:posOffset>
            </wp:positionV>
            <wp:extent cx="9207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-559435</wp:posOffset>
            </wp:positionV>
            <wp:extent cx="9207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-559435</wp:posOffset>
            </wp:positionV>
            <wp:extent cx="9207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-559435</wp:posOffset>
            </wp:positionV>
            <wp:extent cx="207645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076450" cy="698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-3989070</wp:posOffset>
            </wp:positionV>
            <wp:extent cx="8509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-3989070</wp:posOffset>
            </wp:positionV>
            <wp:extent cx="8509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-3989070</wp:posOffset>
            </wp:positionV>
            <wp:extent cx="8509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-3989070</wp:posOffset>
            </wp:positionV>
            <wp:extent cx="8509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-3989070</wp:posOffset>
            </wp:positionV>
            <wp:extent cx="8509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-3989070</wp:posOffset>
            </wp:positionV>
            <wp:extent cx="85090"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127635</wp:posOffset>
            </wp:positionV>
            <wp:extent cx="102044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96" w:lineRule="exact"/>
        <w:rPr>
          <w:sz w:val="20"/>
          <w:szCs w:val="20"/>
          <w:color w:val="auto"/>
        </w:rPr>
      </w:pPr>
    </w:p>
    <w:p>
      <w:pPr>
        <w:ind w:left="1340" w:hanging="289"/>
        <w:spacing w:after="0"/>
        <w:tabs>
          <w:tab w:leader="none" w:pos="1340" w:val="left"/>
        </w:tabs>
        <w:numPr>
          <w:ilvl w:val="0"/>
          <w:numId w:val="78"/>
        </w:numPr>
        <w:rPr>
          <w:rFonts w:ascii="Arial" w:cs="Arial" w:eastAsia="Arial" w:hAnsi="Arial"/>
          <w:sz w:val="22"/>
          <w:szCs w:val="22"/>
          <w:color w:val="auto"/>
          <w:vertAlign w:val="superscript"/>
        </w:rPr>
      </w:pPr>
      <w:r>
        <w:rPr>
          <w:rFonts w:ascii="Arial" w:cs="Arial" w:eastAsia="Arial" w:hAnsi="Arial"/>
          <w:sz w:val="15"/>
          <w:szCs w:val="15"/>
          <w:color w:val="auto"/>
        </w:rPr>
        <w:t>Based on weighted-average number of shares outstanding for the relevant period.</w:t>
      </w:r>
    </w:p>
    <w:p>
      <w:pPr>
        <w:spacing w:after="0" w:line="200" w:lineRule="exact"/>
        <w:rPr>
          <w:rFonts w:ascii="Arial" w:cs="Arial" w:eastAsia="Arial" w:hAnsi="Arial"/>
          <w:sz w:val="22"/>
          <w:szCs w:val="22"/>
          <w:color w:val="auto"/>
          <w:vertAlign w:val="superscript"/>
        </w:rPr>
      </w:pPr>
    </w:p>
    <w:p>
      <w:pPr>
        <w:spacing w:after="0" w:line="392" w:lineRule="exact"/>
        <w:rPr>
          <w:rFonts w:ascii="Arial" w:cs="Arial" w:eastAsia="Arial" w:hAnsi="Arial"/>
          <w:sz w:val="22"/>
          <w:szCs w:val="22"/>
          <w:color w:val="auto"/>
          <w:vertAlign w:val="superscript"/>
        </w:rPr>
      </w:pPr>
    </w:p>
    <w:p>
      <w:pPr>
        <w:ind w:left="4340"/>
        <w:spacing w:after="0"/>
        <w:rPr>
          <w:rFonts w:ascii="Arial" w:cs="Arial" w:eastAsia="Arial" w:hAnsi="Arial"/>
          <w:sz w:val="22"/>
          <w:szCs w:val="22"/>
          <w:color w:val="auto"/>
          <w:vertAlign w:val="superscript"/>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2" w:name="page133"/>
    <w:bookmarkEnd w:id="13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28" w:lineRule="exact"/>
        <w:rPr>
          <w:sz w:val="20"/>
          <w:szCs w:val="20"/>
          <w:color w:val="auto"/>
        </w:rPr>
      </w:pPr>
    </w:p>
    <w:p>
      <w:pPr>
        <w:ind w:left="1340" w:right="2419" w:hanging="289"/>
        <w:spacing w:after="0" w:line="239" w:lineRule="auto"/>
        <w:tabs>
          <w:tab w:leader="none" w:pos="134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Total return based on market value is based on the change in market price per share between the opening and ending market values per share in the year. The closing market price per share adjusted for dividends on December 31, 2015 is $6.61. Total return based on net asset value is based upon the change in net asset value per share between the opening and ending net asset values per share.</w:t>
      </w:r>
    </w:p>
    <w:p>
      <w:pPr>
        <w:spacing w:after="0" w:line="2" w:lineRule="exact"/>
        <w:rPr>
          <w:rFonts w:ascii="Arial" w:cs="Arial" w:eastAsia="Arial" w:hAnsi="Arial"/>
          <w:sz w:val="21"/>
          <w:szCs w:val="21"/>
          <w:color w:val="auto"/>
          <w:vertAlign w:val="superscript"/>
        </w:rPr>
      </w:pPr>
    </w:p>
    <w:p>
      <w:pPr>
        <w:ind w:left="1340" w:hanging="289"/>
        <w:spacing w:after="0" w:line="222" w:lineRule="auto"/>
        <w:tabs>
          <w:tab w:leader="none" w:pos="1340" w:val="left"/>
        </w:tabs>
        <w:numPr>
          <w:ilvl w:val="0"/>
          <w:numId w:val="79"/>
        </w:numPr>
        <w:rPr>
          <w:rFonts w:ascii="Arial" w:cs="Arial" w:eastAsia="Arial" w:hAnsi="Arial"/>
          <w:sz w:val="22"/>
          <w:szCs w:val="22"/>
          <w:color w:val="auto"/>
          <w:vertAlign w:val="superscript"/>
        </w:rPr>
      </w:pPr>
      <w:r>
        <w:rPr>
          <w:rFonts w:ascii="Arial" w:cs="Arial" w:eastAsia="Arial" w:hAnsi="Arial"/>
          <w:sz w:val="15"/>
          <w:szCs w:val="15"/>
          <w:color w:val="auto"/>
        </w:rPr>
        <w:t>Refer to “Note 9 — Income Taxes” for more detail.</w:t>
      </w:r>
    </w:p>
    <w:p>
      <w:pPr>
        <w:spacing w:after="0" w:line="46" w:lineRule="exact"/>
        <w:rPr>
          <w:rFonts w:ascii="Arial" w:cs="Arial" w:eastAsia="Arial" w:hAnsi="Arial"/>
          <w:sz w:val="22"/>
          <w:szCs w:val="22"/>
          <w:color w:val="auto"/>
          <w:vertAlign w:val="superscript"/>
        </w:rPr>
      </w:pPr>
    </w:p>
    <w:p>
      <w:pPr>
        <w:ind w:left="1340" w:right="2519" w:hanging="289"/>
        <w:spacing w:after="0" w:line="241" w:lineRule="auto"/>
        <w:tabs>
          <w:tab w:leader="none" w:pos="134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During the year ended December 31, 2017, we recognized a net benefit from taxes on unrealized depreciation despite recording a net change in unrealized appreciation of approximately $34.8 million. The net tax benefit was the result of a decrease in built-in gains tax liability due to the recently passed tax legislation, partially offset by an increase in the net deferred tax liability generated by the GSVC Holdings. Refer to “Note 9 — Income Taxes” for further detail.</w:t>
      </w:r>
    </w:p>
    <w:p>
      <w:pPr>
        <w:spacing w:after="0" w:line="15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9 — INCOME TAXES</w:t>
      </w:r>
    </w:p>
    <w:p>
      <w:pPr>
        <w:spacing w:after="0" w:line="88" w:lineRule="exact"/>
        <w:rPr>
          <w:sz w:val="20"/>
          <w:szCs w:val="20"/>
          <w:color w:val="auto"/>
        </w:rPr>
      </w:pPr>
    </w:p>
    <w:p>
      <w:pPr>
        <w:ind w:left="1060" w:right="2419" w:firstLine="297"/>
        <w:spacing w:after="0" w:line="286" w:lineRule="auto"/>
        <w:rPr>
          <w:sz w:val="20"/>
          <w:szCs w:val="20"/>
          <w:color w:val="auto"/>
        </w:rPr>
      </w:pPr>
      <w:r>
        <w:rPr>
          <w:rFonts w:ascii="Arial" w:cs="Arial" w:eastAsia="Arial" w:hAnsi="Arial"/>
          <w:sz w:val="14"/>
          <w:szCs w:val="14"/>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49" w:lineRule="exact"/>
        <w:rPr>
          <w:sz w:val="20"/>
          <w:szCs w:val="20"/>
          <w:color w:val="auto"/>
        </w:rPr>
      </w:pPr>
    </w:p>
    <w:p>
      <w:pPr>
        <w:ind w:left="1060" w:right="2419" w:firstLine="297"/>
        <w:spacing w:after="0" w:line="293" w:lineRule="auto"/>
        <w:rPr>
          <w:sz w:val="20"/>
          <w:szCs w:val="20"/>
          <w:color w:val="auto"/>
        </w:rPr>
      </w:pPr>
      <w:r>
        <w:rPr>
          <w:rFonts w:ascii="Arial" w:cs="Arial" w:eastAsia="Arial" w:hAnsi="Arial"/>
          <w:sz w:val="13"/>
          <w:szCs w:val="13"/>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50" w:lineRule="exact"/>
        <w:rPr>
          <w:sz w:val="20"/>
          <w:szCs w:val="20"/>
          <w:color w:val="auto"/>
        </w:rPr>
      </w:pPr>
    </w:p>
    <w:p>
      <w:pPr>
        <w:ind w:left="1060" w:right="2439" w:firstLine="297"/>
        <w:spacing w:after="0" w:line="273" w:lineRule="auto"/>
        <w:rPr>
          <w:sz w:val="20"/>
          <w:szCs w:val="20"/>
          <w:color w:val="auto"/>
        </w:rPr>
      </w:pPr>
      <w:r>
        <w:rPr>
          <w:rFonts w:ascii="Arial" w:cs="Arial" w:eastAsia="Arial" w:hAnsi="Arial"/>
          <w:sz w:val="14"/>
          <w:szCs w:val="14"/>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4"/>
          <w:szCs w:val="14"/>
          <w:i w:val="1"/>
          <w:iCs w:val="1"/>
          <w:color w:val="auto"/>
        </w:rPr>
        <w:t>i.e.</w:t>
      </w:r>
      <w:r>
        <w:rPr>
          <w:rFonts w:ascii="Arial" w:cs="Arial" w:eastAsia="Arial" w:hAnsi="Arial"/>
          <w:sz w:val="14"/>
          <w:szCs w:val="14"/>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57" w:lineRule="exact"/>
        <w:rPr>
          <w:sz w:val="20"/>
          <w:szCs w:val="20"/>
          <w:color w:val="auto"/>
        </w:rPr>
      </w:pPr>
    </w:p>
    <w:p>
      <w:pPr>
        <w:ind w:left="1060" w:right="2419" w:firstLine="297"/>
        <w:spacing w:after="0" w:line="292" w:lineRule="auto"/>
        <w:rPr>
          <w:sz w:val="20"/>
          <w:szCs w:val="20"/>
          <w:color w:val="auto"/>
        </w:rPr>
      </w:pPr>
      <w:r>
        <w:rPr>
          <w:rFonts w:ascii="Arial" w:cs="Arial" w:eastAsia="Arial" w:hAnsi="Arial"/>
          <w:sz w:val="13"/>
          <w:szCs w:val="13"/>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53" w:lineRule="exact"/>
        <w:rPr>
          <w:sz w:val="20"/>
          <w:szCs w:val="20"/>
          <w:color w:val="auto"/>
        </w:rPr>
      </w:pPr>
    </w:p>
    <w:p>
      <w:pPr>
        <w:jc w:val="both"/>
        <w:ind w:left="1060" w:right="2439" w:firstLine="297"/>
        <w:spacing w:after="0" w:line="286" w:lineRule="auto"/>
        <w:rPr>
          <w:sz w:val="20"/>
          <w:szCs w:val="20"/>
          <w:color w:val="auto"/>
        </w:rPr>
      </w:pPr>
      <w:r>
        <w:rPr>
          <w:rFonts w:ascii="Arial" w:cs="Arial" w:eastAsia="Arial" w:hAnsi="Arial"/>
          <w:sz w:val="14"/>
          <w:szCs w:val="14"/>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w:t>
      </w:r>
    </w:p>
    <w:p>
      <w:pPr>
        <w:spacing w:after="0" w:line="19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3" w:name="page134"/>
    <w:bookmarkEnd w:id="133"/>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39"/>
        <w:spacing w:after="0" w:line="254" w:lineRule="auto"/>
        <w:rPr>
          <w:sz w:val="20"/>
          <w:szCs w:val="20"/>
          <w:color w:val="auto"/>
        </w:rPr>
      </w:pPr>
      <w:r>
        <w:rPr>
          <w:rFonts w:ascii="Arial" w:cs="Arial" w:eastAsia="Arial" w:hAnsi="Arial"/>
          <w:sz w:val="15"/>
          <w:szCs w:val="15"/>
          <w:color w:val="auto"/>
        </w:rPr>
        <w:t>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69" w:lineRule="exact"/>
        <w:rPr>
          <w:sz w:val="20"/>
          <w:szCs w:val="20"/>
          <w:color w:val="auto"/>
        </w:rPr>
      </w:pPr>
    </w:p>
    <w:p>
      <w:pPr>
        <w:ind w:left="1060" w:right="2439" w:firstLine="297"/>
        <w:spacing w:after="0" w:line="279" w:lineRule="auto"/>
        <w:rPr>
          <w:sz w:val="20"/>
          <w:szCs w:val="20"/>
          <w:color w:val="auto"/>
        </w:rPr>
      </w:pPr>
      <w:r>
        <w:rPr>
          <w:rFonts w:ascii="Arial" w:cs="Arial" w:eastAsia="Arial" w:hAnsi="Arial"/>
          <w:sz w:val="14"/>
          <w:szCs w:val="14"/>
          <w:color w:val="auto"/>
        </w:rPr>
        <w:t>As of December 31, 2017, the Company recorded a deferred tax liability of approximately $7.6 million, of which approximately $6.1 million has been recorded in the event that such gains are recognized by December 31, 2018, and approximately $1.5 million relates to the difference in the book and tax basis of certain equity investments and net tax operating losses held by the GSVC Holdings.</w:t>
      </w:r>
    </w:p>
    <w:p>
      <w:pPr>
        <w:spacing w:after="0" w:line="5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During the year ended December 31, 2017, we recognized a net benefit from taxes on unrealized</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depreciation of $2,757,070 despite recording a net change in unrealized appreciation of approximately</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$34.8 million. The net tax benefit from taxes on unrealized depreciation for the year ended December 31, 2017</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was the result of an approximately $4.1 million decrease in built-in gains tax liability due to the recently passed</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tax legislation that reduced the U.S. corporate federal income tax rate from 35% to 21%, partially offset by a $1.3</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million increase in the net deferred tax liability generated by the GSVC Holdings.</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As of December 31, 3016, the Company recorded a deferred tax liability of approximately $10.4 million, of</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which approximately $10.2 million has been recorded in the event that such gains are recognized by</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December 31, 2018, and approximately $0.2 million relates to the difference in the book and tax basis of certain</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equity investments and net tax operating losses held by the GSVC Holdings.</w:t>
      </w:r>
    </w:p>
    <w:p>
      <w:pPr>
        <w:spacing w:after="0" w:line="85" w:lineRule="exact"/>
        <w:rPr>
          <w:sz w:val="20"/>
          <w:szCs w:val="20"/>
          <w:color w:val="auto"/>
        </w:rPr>
      </w:pPr>
    </w:p>
    <w:p>
      <w:pPr>
        <w:ind w:left="1060" w:right="2499" w:firstLine="297"/>
        <w:spacing w:after="0" w:line="274" w:lineRule="auto"/>
        <w:rPr>
          <w:sz w:val="20"/>
          <w:szCs w:val="20"/>
          <w:color w:val="auto"/>
        </w:rPr>
      </w:pPr>
      <w:r>
        <w:rPr>
          <w:rFonts w:ascii="Arial" w:cs="Arial" w:eastAsia="Arial" w:hAnsi="Arial"/>
          <w:sz w:val="14"/>
          <w:szCs w:val="14"/>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 The Company had net capital loss carryforward of $3,454,061 and $2,634,471 for the tax years 2017 and 2016, respectively.</w:t>
      </w:r>
    </w:p>
    <w:p>
      <w:pPr>
        <w:spacing w:after="0" w:line="58" w:lineRule="exact"/>
        <w:rPr>
          <w:sz w:val="20"/>
          <w:szCs w:val="20"/>
          <w:color w:val="auto"/>
        </w:rPr>
      </w:pPr>
    </w:p>
    <w:p>
      <w:pPr>
        <w:ind w:left="1060" w:right="2459" w:firstLine="297"/>
        <w:spacing w:after="0" w:line="254" w:lineRule="auto"/>
        <w:rPr>
          <w:sz w:val="20"/>
          <w:szCs w:val="20"/>
          <w:color w:val="auto"/>
        </w:rPr>
      </w:pPr>
      <w:r>
        <w:rPr>
          <w:rFonts w:ascii="Arial" w:cs="Arial" w:eastAsia="Arial" w:hAnsi="Arial"/>
          <w:sz w:val="15"/>
          <w:szCs w:val="15"/>
          <w:color w:val="auto"/>
        </w:rPr>
        <w:t>The Company and the GSVC Holdings identified their major tax jurisdictions as U.S. federal and California and may be subject to the taxing authorities’ examination for the tax years 2014 – 2017 and 2013 – 2017, respectively. Further, the Company and the GSVC Holdings accrue all interest and penalties related to uncertain tax positions as incurred. As of December 31, 2017, there were no interest or penalties incurred related to uncertain tax positions.</w:t>
      </w:r>
    </w:p>
    <w:p>
      <w:pPr>
        <w:spacing w:after="0" w:line="69" w:lineRule="exact"/>
        <w:rPr>
          <w:sz w:val="20"/>
          <w:szCs w:val="20"/>
          <w:color w:val="auto"/>
        </w:rPr>
      </w:pPr>
    </w:p>
    <w:p>
      <w:pPr>
        <w:ind w:left="1060" w:right="2659" w:firstLine="297"/>
        <w:spacing w:after="0" w:line="276" w:lineRule="auto"/>
        <w:rPr>
          <w:sz w:val="20"/>
          <w:szCs w:val="20"/>
          <w:color w:val="auto"/>
        </w:rPr>
      </w:pPr>
      <w:r>
        <w:rPr>
          <w:rFonts w:ascii="Arial" w:cs="Arial" w:eastAsia="Arial" w:hAnsi="Arial"/>
          <w:sz w:val="14"/>
          <w:szCs w:val="14"/>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2017 and 2016, the Company reclassified for book purposes amounts arising from permanent book/tax differences related as follows:</w:t>
      </w:r>
    </w:p>
    <w:p>
      <w:pPr>
        <w:spacing w:after="0" w:line="61"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4280" w:type="dxa"/>
            <w:vAlign w:val="bottom"/>
          </w:tcPr>
          <w:p>
            <w:pPr>
              <w:spacing w:after="0"/>
              <w:rPr>
                <w:sz w:val="13"/>
                <w:szCs w:val="13"/>
                <w:color w:val="auto"/>
              </w:rPr>
            </w:pPr>
          </w:p>
        </w:tc>
        <w:tc>
          <w:tcPr>
            <w:tcW w:w="1920" w:type="dxa"/>
            <w:vAlign w:val="bottom"/>
            <w:gridSpan w:val="3"/>
          </w:tcPr>
          <w:p>
            <w:pPr>
              <w:ind w:left="300"/>
              <w:spacing w:after="0"/>
              <w:rPr>
                <w:sz w:val="20"/>
                <w:szCs w:val="20"/>
                <w:color w:val="auto"/>
              </w:rPr>
            </w:pPr>
            <w:r>
              <w:rPr>
                <w:rFonts w:ascii="Arial" w:cs="Arial" w:eastAsia="Arial" w:hAnsi="Arial"/>
                <w:sz w:val="12"/>
                <w:szCs w:val="12"/>
                <w:b w:val="1"/>
                <w:bCs w:val="1"/>
                <w:color w:val="auto"/>
              </w:rPr>
              <w:t>Year Ended December 31,</w:t>
            </w:r>
          </w:p>
        </w:tc>
      </w:tr>
      <w:tr>
        <w:trPr>
          <w:trHeight w:val="22"/>
        </w:trPr>
        <w:tc>
          <w:tcPr>
            <w:tcW w:w="4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9"/>
        </w:trPr>
        <w:tc>
          <w:tcPr>
            <w:tcW w:w="4280" w:type="dxa"/>
            <w:vAlign w:val="bottom"/>
          </w:tcPr>
          <w:p>
            <w:pPr>
              <w:spacing w:after="0"/>
              <w:rPr>
                <w:sz w:val="13"/>
                <w:szCs w:val="13"/>
                <w:color w:val="auto"/>
              </w:rPr>
            </w:pPr>
          </w:p>
        </w:tc>
        <w:tc>
          <w:tcPr>
            <w:tcW w:w="820" w:type="dxa"/>
            <w:vAlign w:val="bottom"/>
          </w:tcPr>
          <w:p>
            <w:pPr>
              <w:ind w:left="300"/>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920" w:type="dxa"/>
            <w:vAlign w:val="bottom"/>
          </w:tcPr>
          <w:p>
            <w:pPr>
              <w:jc w:val="right"/>
              <w:ind w:right="269"/>
              <w:spacing w:after="0"/>
              <w:rPr>
                <w:sz w:val="20"/>
                <w:szCs w:val="20"/>
                <w:color w:val="auto"/>
              </w:rPr>
            </w:pPr>
            <w:r>
              <w:rPr>
                <w:rFonts w:ascii="Arial" w:cs="Arial" w:eastAsia="Arial" w:hAnsi="Arial"/>
                <w:sz w:val="12"/>
                <w:szCs w:val="12"/>
                <w:b w:val="1"/>
                <w:bCs w:val="1"/>
                <w:color w:val="auto"/>
              </w:rPr>
              <w:t>2016</w:t>
            </w: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Capital in excess of par value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$(13,729,093)</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$(16,519,891)</w:t>
            </w:r>
          </w:p>
        </w:tc>
      </w:tr>
      <w:tr>
        <w:trPr>
          <w:trHeight w:val="212"/>
        </w:trPr>
        <w:tc>
          <w:tcPr>
            <w:tcW w:w="4280" w:type="dxa"/>
            <w:vAlign w:val="bottom"/>
          </w:tcPr>
          <w:p>
            <w:pPr>
              <w:spacing w:after="0"/>
              <w:rPr>
                <w:sz w:val="20"/>
                <w:szCs w:val="20"/>
                <w:color w:val="auto"/>
              </w:rPr>
            </w:pPr>
            <w:r>
              <w:rPr>
                <w:rFonts w:ascii="Arial" w:cs="Arial" w:eastAsia="Arial" w:hAnsi="Arial"/>
                <w:sz w:val="15"/>
                <w:szCs w:val="15"/>
                <w:color w:val="auto"/>
              </w:rPr>
              <w:t>Accumulated undistributed net investment loss</w:t>
            </w:r>
          </w:p>
        </w:tc>
        <w:tc>
          <w:tcPr>
            <w:tcW w:w="820" w:type="dxa"/>
            <w:vAlign w:val="bottom"/>
          </w:tcPr>
          <w:p>
            <w:pPr>
              <w:jc w:val="right"/>
              <w:spacing w:after="0"/>
              <w:rPr>
                <w:sz w:val="20"/>
                <w:szCs w:val="20"/>
                <w:color w:val="auto"/>
              </w:rPr>
            </w:pPr>
            <w:r>
              <w:rPr>
                <w:rFonts w:ascii="Arial" w:cs="Arial" w:eastAsia="Arial" w:hAnsi="Arial"/>
                <w:sz w:val="15"/>
                <w:szCs w:val="15"/>
                <w:color w:val="auto"/>
              </w:rPr>
              <w:t>13,729,093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16,453,404</w:t>
            </w:r>
          </w:p>
        </w:tc>
      </w:tr>
      <w:tr>
        <w:trPr>
          <w:trHeight w:val="212"/>
        </w:trPr>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Accumulated net realized gains from investments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-410210</wp:posOffset>
            </wp:positionV>
            <wp:extent cx="334454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3445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4" w:name="page135"/>
    <w:bookmarkEnd w:id="134"/>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739" w:firstLine="297"/>
        <w:spacing w:after="0" w:line="259" w:lineRule="auto"/>
        <w:rPr>
          <w:sz w:val="20"/>
          <w:szCs w:val="20"/>
          <w:color w:val="auto"/>
        </w:rPr>
      </w:pPr>
      <w:r>
        <w:rPr>
          <w:rFonts w:ascii="Arial" w:cs="Arial" w:eastAsia="Arial" w:hAnsi="Arial"/>
          <w:sz w:val="15"/>
          <w:szCs w:val="15"/>
          <w:color w:val="auto"/>
        </w:rPr>
        <w:t>For income tax purposes, distributions paid to stockholders are reported as ordinary income, return of capital, long term capital gains or a combination thereof. The tax character of distributions paid for the years ended December 31, 2017 and 2016 was as follows:</w:t>
      </w:r>
    </w:p>
    <w:p>
      <w:pPr>
        <w:spacing w:after="0" w:line="71"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3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80" w:type="dxa"/>
            <w:vAlign w:val="bottom"/>
            <w:gridSpan w:val="6"/>
          </w:tcPr>
          <w:p>
            <w:pPr>
              <w:jc w:val="right"/>
              <w:spacing w:after="0"/>
              <w:rPr>
                <w:sz w:val="20"/>
                <w:szCs w:val="20"/>
                <w:color w:val="auto"/>
              </w:rPr>
            </w:pPr>
            <w:r>
              <w:rPr>
                <w:rFonts w:ascii="Arial" w:cs="Arial" w:eastAsia="Arial" w:hAnsi="Arial"/>
                <w:sz w:val="12"/>
                <w:szCs w:val="12"/>
                <w:b w:val="1"/>
                <w:bCs w:val="1"/>
                <w:color w:val="auto"/>
                <w:w w:val="96"/>
              </w:rPr>
              <w:t>Year Ended December 31,</w:t>
            </w:r>
          </w:p>
        </w:tc>
        <w:tc>
          <w:tcPr>
            <w:tcW w:w="760" w:type="dxa"/>
            <w:vAlign w:val="bottom"/>
          </w:tcPr>
          <w:p>
            <w:pPr>
              <w:spacing w:after="0"/>
              <w:rPr>
                <w:sz w:val="13"/>
                <w:szCs w:val="13"/>
                <w:color w:val="auto"/>
              </w:rPr>
            </w:pPr>
          </w:p>
        </w:tc>
      </w:tr>
      <w:tr>
        <w:trPr>
          <w:trHeight w:val="22"/>
        </w:trPr>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9"/>
        </w:trPr>
        <w:tc>
          <w:tcPr>
            <w:tcW w:w="3300" w:type="dxa"/>
            <w:vAlign w:val="bottom"/>
          </w:tcPr>
          <w:p>
            <w:pPr>
              <w:spacing w:after="0"/>
              <w:rPr>
                <w:sz w:val="13"/>
                <w:szCs w:val="13"/>
                <w:color w:val="auto"/>
              </w:rPr>
            </w:pPr>
          </w:p>
        </w:tc>
        <w:tc>
          <w:tcPr>
            <w:tcW w:w="660" w:type="dxa"/>
            <w:vAlign w:val="bottom"/>
          </w:tcPr>
          <w:p>
            <w:pPr>
              <w:jc w:val="right"/>
              <w:ind w:right="69"/>
              <w:spacing w:after="0"/>
              <w:rPr>
                <w:sz w:val="20"/>
                <w:szCs w:val="20"/>
                <w:color w:val="auto"/>
              </w:rPr>
            </w:pPr>
            <w:r>
              <w:rPr>
                <w:rFonts w:ascii="Arial" w:cs="Arial" w:eastAsia="Arial" w:hAnsi="Arial"/>
                <w:sz w:val="12"/>
                <w:szCs w:val="12"/>
                <w:b w:val="1"/>
                <w:bCs w:val="1"/>
                <w:color w:val="auto"/>
              </w:rPr>
              <w:t>2017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69"/>
              <w:spacing w:after="0"/>
              <w:rPr>
                <w:sz w:val="20"/>
                <w:szCs w:val="20"/>
                <w:color w:val="auto"/>
              </w:rPr>
            </w:pPr>
            <w:r>
              <w:rPr>
                <w:rFonts w:ascii="Arial" w:cs="Arial" w:eastAsia="Arial" w:hAnsi="Arial"/>
                <w:sz w:val="12"/>
                <w:szCs w:val="12"/>
                <w:b w:val="1"/>
                <w:bCs w:val="1"/>
                <w:color w:val="auto"/>
              </w:rPr>
              <w:t>2015</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Ordinary income</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r>
      <w:tr>
        <w:trPr>
          <w:trHeight w:val="212"/>
        </w:trPr>
        <w:tc>
          <w:tcPr>
            <w:tcW w:w="3300" w:type="dxa"/>
            <w:vAlign w:val="bottom"/>
          </w:tcPr>
          <w:p>
            <w:pPr>
              <w:spacing w:after="0"/>
              <w:rPr>
                <w:sz w:val="20"/>
                <w:szCs w:val="20"/>
                <w:color w:val="auto"/>
              </w:rPr>
            </w:pPr>
            <w:r>
              <w:rPr>
                <w:rFonts w:ascii="Arial" w:cs="Arial" w:eastAsia="Arial" w:hAnsi="Arial"/>
                <w:sz w:val="15"/>
                <w:szCs w:val="15"/>
                <w:color w:val="auto"/>
              </w:rPr>
              <w:t>Long-term capital gain</w:t>
            </w:r>
          </w:p>
        </w:tc>
        <w:tc>
          <w:tcPr>
            <w:tcW w:w="66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9"/>
              <w:spacing w:after="0"/>
              <w:rPr>
                <w:sz w:val="20"/>
                <w:szCs w:val="20"/>
                <w:color w:val="auto"/>
              </w:rPr>
            </w:pPr>
            <w:r>
              <w:rPr>
                <w:rFonts w:ascii="Arial" w:cs="Arial" w:eastAsia="Arial" w:hAnsi="Arial"/>
                <w:sz w:val="15"/>
                <w:szCs w:val="15"/>
                <w:color w:val="auto"/>
                <w:w w:val="84"/>
              </w:rPr>
              <w:t>820,753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5"/>
                <w:szCs w:val="15"/>
                <w:color w:val="auto"/>
                <w:w w:val="87"/>
              </w:rPr>
              <w:t>53,323,476</w:t>
            </w:r>
          </w:p>
        </w:tc>
      </w:tr>
      <w:tr>
        <w:trPr>
          <w:trHeight w:val="212"/>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Return of capital</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66,487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r>
      <w:tr>
        <w:trPr>
          <w:trHeight w:val="223"/>
        </w:trPr>
        <w:tc>
          <w:tcPr>
            <w:tcW w:w="3300" w:type="dxa"/>
            <w:vAlign w:val="bottom"/>
          </w:tcPr>
          <w:p>
            <w:pPr>
              <w:spacing w:after="0"/>
              <w:rPr>
                <w:sz w:val="20"/>
                <w:szCs w:val="20"/>
                <w:color w:val="auto"/>
              </w:rPr>
            </w:pPr>
            <w:r>
              <w:rPr>
                <w:rFonts w:ascii="Arial" w:cs="Arial" w:eastAsia="Arial" w:hAnsi="Arial"/>
                <w:sz w:val="15"/>
                <w:szCs w:val="15"/>
                <w:color w:val="auto"/>
              </w:rPr>
              <w:t>Distributions on a tax basis</w:t>
            </w:r>
          </w:p>
        </w:tc>
        <w:tc>
          <w:tcPr>
            <w:tcW w:w="66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-551815</wp:posOffset>
            </wp:positionV>
            <wp:extent cx="11366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-551815</wp:posOffset>
            </wp:positionV>
            <wp:extent cx="272097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20975" cy="6985"/>
                    </a:xfrm>
                    <a:prstGeom prst="rect">
                      <a:avLst/>
                    </a:prstGeom>
                    <a:noFill/>
                  </pic:spPr>
                </pic:pic>
              </a:graphicData>
            </a:graphic>
          </wp:anchor>
        </w:drawing>
      </w:r>
    </w:p>
    <w:p>
      <w:pPr>
        <w:spacing w:after="0" w:line="227" w:lineRule="exact"/>
        <w:rPr>
          <w:sz w:val="20"/>
          <w:szCs w:val="20"/>
          <w:color w:val="auto"/>
        </w:rPr>
      </w:pPr>
    </w:p>
    <w:p>
      <w:pPr>
        <w:ind w:left="1060" w:right="2639" w:firstLine="297"/>
        <w:spacing w:after="0" w:line="317" w:lineRule="auto"/>
        <w:rPr>
          <w:sz w:val="20"/>
          <w:szCs w:val="20"/>
          <w:color w:val="auto"/>
        </w:rPr>
      </w:pPr>
      <w:r>
        <w:rPr>
          <w:rFonts w:ascii="Arial" w:cs="Arial" w:eastAsia="Arial" w:hAnsi="Arial"/>
          <w:sz w:val="13"/>
          <w:szCs w:val="13"/>
          <w:color w:val="auto"/>
        </w:rPr>
        <w:t>For federal income tax purposes, the tax cost of investments owned at December 31, 2017 and 2016, was $301,600,495 and $306,906,435, respectively. The net unrealized appreciation/(depreciation) on investments owned at December 31, 2017 and 2016, was $18,981,998 and ($14,892,799), respectively.</w:t>
      </w:r>
    </w:p>
    <w:p>
      <w:pPr>
        <w:spacing w:after="0" w:line="33" w:lineRule="exact"/>
        <w:rPr>
          <w:sz w:val="20"/>
          <w:szCs w:val="20"/>
          <w:color w:val="auto"/>
        </w:rPr>
      </w:pPr>
    </w:p>
    <w:p>
      <w:pPr>
        <w:ind w:left="1060" w:right="2699" w:firstLine="297"/>
        <w:spacing w:after="0" w:line="307" w:lineRule="auto"/>
        <w:rPr>
          <w:sz w:val="20"/>
          <w:szCs w:val="20"/>
          <w:color w:val="auto"/>
        </w:rPr>
      </w:pPr>
      <w:r>
        <w:rPr>
          <w:rFonts w:ascii="Arial" w:cs="Arial" w:eastAsia="Arial" w:hAnsi="Arial"/>
          <w:sz w:val="13"/>
          <w:szCs w:val="13"/>
          <w:color w:val="auto"/>
        </w:rPr>
        <w:t>At December 31, 2017, and 2016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54" w:lineRule="exact"/>
        <w:rPr>
          <w:sz w:val="20"/>
          <w:szCs w:val="20"/>
          <w:color w:val="auto"/>
        </w:rPr>
      </w:pPr>
    </w:p>
    <w:tbl>
      <w:tblPr>
        <w:tblLayout w:type="fixed"/>
        <w:tblInd w:w="1340" w:type="dxa"/>
        <w:tblCellMar>
          <w:top w:w="0" w:type="dxa"/>
          <w:left w:w="0" w:type="dxa"/>
          <w:bottom w:w="0" w:type="dxa"/>
          <w:right w:w="0" w:type="dxa"/>
        </w:tblCellMar>
      </w:tblPr>
      <w:tr>
        <w:trPr>
          <w:trHeight w:val="152"/>
        </w:trPr>
        <w:tc>
          <w:tcPr>
            <w:tcW w:w="4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w w:val="96"/>
              </w:rPr>
              <w:t>Year Ended December 31,</w:t>
            </w:r>
          </w:p>
        </w:tc>
      </w:tr>
      <w:tr>
        <w:trPr>
          <w:trHeight w:val="22"/>
        </w:trPr>
        <w:tc>
          <w:tcPr>
            <w:tcW w:w="4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4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92"/>
              <w:spacing w:after="0"/>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09"/>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3"/>
                <w:szCs w:val="13"/>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Accumulated net realized losses on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(819,590)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(2,634,471)</w:t>
            </w:r>
          </w:p>
        </w:tc>
      </w:tr>
      <w:tr>
        <w:trPr>
          <w:trHeight w:val="217"/>
        </w:trPr>
        <w:tc>
          <w:tcPr>
            <w:tcW w:w="4360" w:type="dxa"/>
            <w:vAlign w:val="bottom"/>
          </w:tcPr>
          <w:p>
            <w:pPr>
              <w:spacing w:after="0"/>
              <w:rPr>
                <w:sz w:val="20"/>
                <w:szCs w:val="20"/>
                <w:color w:val="auto"/>
              </w:rPr>
            </w:pPr>
            <w:r>
              <w:rPr>
                <w:rFonts w:ascii="Arial" w:cs="Arial" w:eastAsia="Arial" w:hAnsi="Arial"/>
                <w:sz w:val="15"/>
                <w:szCs w:val="15"/>
                <w:color w:val="auto"/>
              </w:rPr>
              <w:t>Unrealized appreciation/(depreciation)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11,379,697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(25,252,169)</w:t>
            </w:r>
          </w:p>
        </w:tc>
      </w:tr>
      <w:tr>
        <w:trPr>
          <w:trHeight w:val="20"/>
        </w:trPr>
        <w:tc>
          <w:tcPr>
            <w:tcW w:w="43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Components of distributable earnings/(loss) at year end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10,560,107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(27,886,640)</w:t>
            </w:r>
          </w:p>
        </w:tc>
      </w:tr>
      <w:tr>
        <w:trPr>
          <w:trHeight w:val="20"/>
        </w:trPr>
        <w:tc>
          <w:tcPr>
            <w:tcW w:w="43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-140970</wp:posOffset>
            </wp:positionV>
            <wp:extent cx="5651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-140970</wp:posOffset>
            </wp:positionV>
            <wp:extent cx="335915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59150" cy="698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-424815</wp:posOffset>
            </wp:positionV>
            <wp:extent cx="5651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6515" cy="698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-424815</wp:posOffset>
            </wp:positionV>
            <wp:extent cx="335153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51530" cy="6985"/>
                    </a:xfrm>
                    <a:prstGeom prst="rect">
                      <a:avLst/>
                    </a:prstGeom>
                    <a:noFill/>
                  </pic:spPr>
                </pic:pic>
              </a:graphicData>
            </a:graphic>
          </wp:anchor>
        </w:drawing>
      </w:r>
    </w:p>
    <w:p>
      <w:pPr>
        <w:spacing w:after="0" w:line="23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10 — DEBT CAPITAL ACTIVITIES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Convertible Senior Notes Payable</w:t>
      </w:r>
    </w:p>
    <w:p>
      <w:pPr>
        <w:spacing w:after="0" w:line="88" w:lineRule="exact"/>
        <w:rPr>
          <w:sz w:val="20"/>
          <w:szCs w:val="20"/>
          <w:color w:val="auto"/>
        </w:rPr>
      </w:pPr>
    </w:p>
    <w:p>
      <w:pPr>
        <w:ind w:left="1060" w:right="2439" w:firstLine="297"/>
        <w:spacing w:after="0" w:line="269" w:lineRule="auto"/>
        <w:rPr>
          <w:sz w:val="20"/>
          <w:szCs w:val="20"/>
          <w:color w:val="auto"/>
        </w:rPr>
      </w:pPr>
      <w:r>
        <w:rPr>
          <w:rFonts w:ascii="Arial" w:cs="Arial" w:eastAsia="Arial" w:hAnsi="Arial"/>
          <w:sz w:val="14"/>
          <w:szCs w:val="14"/>
          <w:color w:val="auto"/>
        </w:rPr>
        <w:t>On September 17, 2013, the Company issued $69.0 million aggregate principal amount of Convertible Senior Notes, which bear interest at a fixed rate of 5.25% per year, payable semi-annually in arrears on March 15 and September 15 of each year, commencing on March 15, 2014 (the “Convertible Senior Notes”). The Convertible Senior Notes mature on September 15, 2018, unless previously repurchased or converted in accordance with their terms. The Company does not have the right to redeem the Convertible Senior Notes prior to maturity. The indenture governing the Convertible Senior Notes contains customary financial reporting requirements and contains certain restrictions on mergers, consolidations, and asset sales. The indenture also contains certain events of default, the occurrence of which may lead to the Convertible Senior Notes being due and payable before their maturity or immediately. The Convertible Senior Notes are convertible into shares of the Company’s common stock based on a conversion rate of 83.3596 shares of the Company’s common stock per $1,000 of principal amount of the Convertible Senior Notes, which is equivalent to a conversion price of approximately $12.00 per share of common stock.</w:t>
      </w:r>
    </w:p>
    <w:p>
      <w:pPr>
        <w:spacing w:after="0" w:line="66" w:lineRule="exact"/>
        <w:rPr>
          <w:sz w:val="20"/>
          <w:szCs w:val="20"/>
          <w:color w:val="auto"/>
        </w:rPr>
      </w:pPr>
    </w:p>
    <w:p>
      <w:pPr>
        <w:ind w:left="1060" w:right="2439" w:firstLine="297"/>
        <w:spacing w:after="0" w:line="255" w:lineRule="auto"/>
        <w:rPr>
          <w:sz w:val="20"/>
          <w:szCs w:val="20"/>
          <w:color w:val="auto"/>
        </w:rPr>
      </w:pPr>
      <w:r>
        <w:rPr>
          <w:rFonts w:ascii="Arial" w:cs="Arial" w:eastAsia="Arial" w:hAnsi="Arial"/>
          <w:sz w:val="15"/>
          <w:szCs w:val="15"/>
          <w:color w:val="auto"/>
        </w:rPr>
        <w:t>On December 15, 2017, the Company announced the commencement of a cash tender offer (the “Tender Offer”) to purchase any and all of its $69.0 million aggregate principal amount of outstanding Convertible Senior Notes. Refer to “Note 11 — Subsequent Events” for more information regarding the expiration and results of the Tender Offer.</w:t>
      </w:r>
    </w:p>
    <w:p>
      <w:pPr>
        <w:spacing w:after="0" w:line="70" w:lineRule="exact"/>
        <w:rPr>
          <w:sz w:val="20"/>
          <w:szCs w:val="20"/>
          <w:color w:val="auto"/>
        </w:rPr>
      </w:pPr>
    </w:p>
    <w:p>
      <w:pPr>
        <w:ind w:left="1060" w:right="2499" w:firstLine="297"/>
        <w:spacing w:after="0" w:line="270" w:lineRule="auto"/>
        <w:rPr>
          <w:sz w:val="20"/>
          <w:szCs w:val="20"/>
          <w:color w:val="auto"/>
        </w:rPr>
      </w:pPr>
      <w:r>
        <w:rPr>
          <w:rFonts w:ascii="Arial" w:cs="Arial" w:eastAsia="Arial" w:hAnsi="Arial"/>
          <w:sz w:val="15"/>
          <w:szCs w:val="15"/>
          <w:color w:val="auto"/>
        </w:rPr>
        <w:t>The table below shows a reconciliation from the aggregate principal amount of Convertible Senior Notes to the balance shown on the Consolidated Statements of Assets and Liabilities.</w:t>
      </w:r>
    </w:p>
    <w:p>
      <w:pPr>
        <w:spacing w:after="0" w:line="203"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5" w:name="page136"/>
    <w:bookmarkEnd w:id="135"/>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50"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9"/>
              </w:rPr>
              <w:t>December 31,</w:t>
            </w:r>
          </w:p>
        </w:tc>
      </w:tr>
      <w:tr>
        <w:trPr>
          <w:trHeight w:val="152"/>
        </w:trPr>
        <w:tc>
          <w:tcPr>
            <w:tcW w:w="4500" w:type="dxa"/>
            <w:vAlign w:val="bottom"/>
          </w:tcPr>
          <w:p>
            <w:pPr>
              <w:spacing w:after="0"/>
              <w:rPr>
                <w:sz w:val="13"/>
                <w:szCs w:val="13"/>
                <w:color w:val="auto"/>
              </w:rPr>
            </w:pPr>
          </w:p>
        </w:tc>
        <w:tc>
          <w:tcPr>
            <w:tcW w:w="760" w:type="dxa"/>
            <w:vAlign w:val="bottom"/>
          </w:tcPr>
          <w:p>
            <w:pPr>
              <w:jc w:val="right"/>
              <w:ind w:right="191"/>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760" w:type="dxa"/>
            <w:vAlign w:val="bottom"/>
          </w:tcPr>
          <w:p>
            <w:pPr>
              <w:jc w:val="right"/>
              <w:ind w:right="191"/>
              <w:spacing w:after="0"/>
              <w:rPr>
                <w:sz w:val="20"/>
                <w:szCs w:val="20"/>
                <w:color w:val="auto"/>
              </w:rPr>
            </w:pPr>
            <w:r>
              <w:rPr>
                <w:rFonts w:ascii="Arial" w:cs="Arial" w:eastAsia="Arial" w:hAnsi="Arial"/>
                <w:sz w:val="12"/>
                <w:szCs w:val="12"/>
                <w:b w:val="1"/>
                <w:bCs w:val="1"/>
                <w:color w:val="auto"/>
              </w:rPr>
              <w:t>2016</w:t>
            </w:r>
          </w:p>
        </w:tc>
        <w:tc>
          <w:tcPr>
            <w:tcW w:w="40" w:type="dxa"/>
            <w:vAlign w:val="bottom"/>
          </w:tcPr>
          <w:p>
            <w:pPr>
              <w:spacing w:after="0"/>
              <w:rPr>
                <w:sz w:val="13"/>
                <w:szCs w:val="13"/>
                <w:color w:val="auto"/>
              </w:rPr>
            </w:pP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Aggregate principal amount of Convertible Senior Notes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$69,000,000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$69,000,000</w:t>
            </w:r>
          </w:p>
        </w:tc>
        <w:tc>
          <w:tcPr>
            <w:tcW w:w="40" w:type="dxa"/>
            <w:vAlign w:val="bottom"/>
          </w:tcPr>
          <w:p>
            <w:pPr>
              <w:spacing w:after="0"/>
              <w:rPr>
                <w:sz w:val="17"/>
                <w:szCs w:val="17"/>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5"/>
                <w:szCs w:val="15"/>
                <w:color w:val="auto"/>
              </w:rPr>
              <w:t>Unamortized embedded derivative discount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(111,143)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(261,099)</w:t>
            </w: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Direct deduction of deferred debt issuance costs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(506,308)</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(1,226,103)</w:t>
            </w:r>
          </w:p>
        </w:tc>
        <w:tc>
          <w:tcPr>
            <w:tcW w:w="40" w:type="dxa"/>
            <w:vAlign w:val="bottom"/>
          </w:tcPr>
          <w:p>
            <w:pPr>
              <w:spacing w:after="0"/>
              <w:rPr>
                <w:sz w:val="18"/>
                <w:szCs w:val="18"/>
                <w:color w:val="auto"/>
              </w:rPr>
            </w:pPr>
          </w:p>
        </w:tc>
      </w:tr>
      <w:tr>
        <w:trPr>
          <w:trHeight w:val="198"/>
        </w:trPr>
        <w:tc>
          <w:tcPr>
            <w:tcW w:w="450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Convertible Senior Notes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68,382,549</w:t>
            </w:r>
          </w:p>
        </w:tc>
        <w:tc>
          <w:tcPr>
            <w:tcW w:w="180" w:type="dxa"/>
            <w:vAlign w:val="bottom"/>
            <w:tcBorders>
              <w:top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67,512,798</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-559435</wp:posOffset>
            </wp:positionV>
            <wp:extent cx="344360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170" w:lineRule="exact"/>
        <w:rPr>
          <w:sz w:val="20"/>
          <w:szCs w:val="20"/>
          <w:color w:val="auto"/>
        </w:rPr>
      </w:pPr>
    </w:p>
    <w:p>
      <w:pPr>
        <w:ind w:left="1060" w:right="2719" w:firstLine="297"/>
        <w:spacing w:after="0" w:line="349" w:lineRule="auto"/>
        <w:rPr>
          <w:sz w:val="20"/>
          <w:szCs w:val="20"/>
          <w:color w:val="auto"/>
        </w:rPr>
      </w:pPr>
      <w:r>
        <w:rPr>
          <w:rFonts w:ascii="Arial" w:cs="Arial" w:eastAsia="Arial" w:hAnsi="Arial"/>
          <w:sz w:val="13"/>
          <w:szCs w:val="13"/>
          <w:color w:val="auto"/>
        </w:rPr>
        <w:t>As of December 31, 2017 and 2016, the principal amount of the Convertible Senior Notes exceeded the value of the underlying shares multiplied by the per share closing price of the Company’s common stock.</w:t>
      </w:r>
    </w:p>
    <w:p>
      <w:pPr>
        <w:spacing w:after="0" w:line="12" w:lineRule="exact"/>
        <w:rPr>
          <w:sz w:val="20"/>
          <w:szCs w:val="20"/>
          <w:color w:val="auto"/>
        </w:rPr>
      </w:pPr>
    </w:p>
    <w:p>
      <w:pPr>
        <w:ind w:left="1060" w:right="2559" w:firstLine="297"/>
        <w:spacing w:after="0" w:line="274" w:lineRule="auto"/>
        <w:rPr>
          <w:sz w:val="20"/>
          <w:szCs w:val="20"/>
          <w:color w:val="auto"/>
        </w:rPr>
      </w:pPr>
      <w:r>
        <w:rPr>
          <w:rFonts w:ascii="Arial" w:cs="Arial" w:eastAsia="Arial" w:hAnsi="Arial"/>
          <w:sz w:val="14"/>
          <w:szCs w:val="14"/>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effectively junior to any future secured indebtedness to the extent of the value of the assets securing such indebtedness, and structurally junior to all future indebtedness (including trade payables) incurred by the Company’s subsidiaries.</w:t>
      </w:r>
    </w:p>
    <w:p>
      <w:pPr>
        <w:spacing w:after="0" w:line="58" w:lineRule="exact"/>
        <w:rPr>
          <w:sz w:val="20"/>
          <w:szCs w:val="20"/>
          <w:color w:val="auto"/>
        </w:rPr>
      </w:pPr>
    </w:p>
    <w:p>
      <w:pPr>
        <w:ind w:left="1060" w:right="2439" w:firstLine="297"/>
        <w:spacing w:after="0" w:line="293" w:lineRule="auto"/>
        <w:rPr>
          <w:sz w:val="20"/>
          <w:szCs w:val="20"/>
          <w:color w:val="auto"/>
        </w:rPr>
      </w:pPr>
      <w:r>
        <w:rPr>
          <w:rFonts w:ascii="Arial" w:cs="Arial" w:eastAsia="Arial" w:hAnsi="Arial"/>
          <w:sz w:val="13"/>
          <w:szCs w:val="13"/>
          <w:color w:val="auto"/>
        </w:rPr>
        <w:t>The Convertible Senior Notes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Convertible Senior Notes being converted, the cash proceeds from the sale by the escrow agent of the portion of the U.S. Treasury strips in the escrow account that were remaining with respect to any of the first six interest payments that had not been made on the Convertible Senior Notes being converted. Under FASB ASC 815-10-15-74(a), the interest make-whole payment was considered an embedded derivative and was separated from the host contract, the Convertible Senior Notes, and carried at fair value. The interest make-whole payment provision expired on September 15, 2016 rendering the embedded derivative with no value; however the original value of the embedded derivative of $0.7 million continues to be amortized over the life of the Convertible Senior Notes.</w:t>
      </w:r>
    </w:p>
    <w:p>
      <w:pPr>
        <w:spacing w:after="0" w:line="12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Credit Facility</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Western Alliance Bank Credit Facility</w:t>
      </w:r>
    </w:p>
    <w:p>
      <w:pPr>
        <w:spacing w:after="0" w:line="84" w:lineRule="exact"/>
        <w:rPr>
          <w:sz w:val="20"/>
          <w:szCs w:val="20"/>
          <w:color w:val="auto"/>
        </w:rPr>
      </w:pPr>
    </w:p>
    <w:p>
      <w:pPr>
        <w:ind w:left="1060" w:right="2439" w:firstLine="297"/>
        <w:spacing w:after="0" w:line="254" w:lineRule="auto"/>
        <w:rPr>
          <w:sz w:val="20"/>
          <w:szCs w:val="20"/>
          <w:color w:val="auto"/>
        </w:rPr>
      </w:pPr>
      <w:r>
        <w:rPr>
          <w:rFonts w:ascii="Arial" w:cs="Arial" w:eastAsia="Arial" w:hAnsi="Arial"/>
          <w:sz w:val="15"/>
          <w:szCs w:val="15"/>
          <w:color w:val="auto"/>
        </w:rPr>
        <w:t>The Company entered into a Loan and Security Agreement, effective May 31, 2017 (the “Loan Agreement”), with Western Alliance Bank, pursuant to which Western Alliance Bank agreed to provide the Company with a $12.0 million senior secured revolving credit facility (the “Credit Facility”). The Credit Facility, among other things, matures on the later of (i) August 15, 2018 or (ii) thirty days prior to the due date of the Convertible Senior Notes, which mature on September 15, 2018.</w:t>
      </w:r>
    </w:p>
    <w:p>
      <w:pPr>
        <w:spacing w:after="0" w:line="69" w:lineRule="exact"/>
        <w:rPr>
          <w:sz w:val="20"/>
          <w:szCs w:val="20"/>
          <w:color w:val="auto"/>
        </w:rPr>
      </w:pPr>
    </w:p>
    <w:p>
      <w:pPr>
        <w:ind w:left="1060" w:right="2519" w:firstLine="297"/>
        <w:spacing w:after="0" w:line="279" w:lineRule="auto"/>
        <w:rPr>
          <w:sz w:val="20"/>
          <w:szCs w:val="20"/>
          <w:color w:val="auto"/>
        </w:rPr>
      </w:pPr>
      <w:r>
        <w:rPr>
          <w:rFonts w:ascii="Arial" w:cs="Arial" w:eastAsia="Arial" w:hAnsi="Arial"/>
          <w:sz w:val="14"/>
          <w:szCs w:val="14"/>
          <w:color w:val="auto"/>
        </w:rPr>
        <w:t>The Credit Facility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55" w:lineRule="exact"/>
        <w:rPr>
          <w:sz w:val="20"/>
          <w:szCs w:val="20"/>
          <w:color w:val="auto"/>
        </w:rPr>
      </w:pPr>
    </w:p>
    <w:p>
      <w:pPr>
        <w:ind w:left="1060" w:right="2439" w:firstLine="297"/>
        <w:spacing w:after="0" w:line="271" w:lineRule="auto"/>
        <w:rPr>
          <w:sz w:val="20"/>
          <w:szCs w:val="20"/>
          <w:color w:val="auto"/>
        </w:rPr>
      </w:pPr>
      <w:r>
        <w:rPr>
          <w:rFonts w:ascii="Arial" w:cs="Arial" w:eastAsia="Arial" w:hAnsi="Arial"/>
          <w:sz w:val="14"/>
          <w:szCs w:val="14"/>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w:t>
      </w:r>
    </w:p>
    <w:p>
      <w:pPr>
        <w:spacing w:after="0" w:line="19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6" w:name="page137"/>
    <w:bookmarkEnd w:id="136"/>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3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59"/>
        <w:spacing w:after="0" w:line="255" w:lineRule="auto"/>
        <w:rPr>
          <w:sz w:val="20"/>
          <w:szCs w:val="20"/>
          <w:color w:val="auto"/>
        </w:rPr>
      </w:pPr>
      <w:r>
        <w:rPr>
          <w:rFonts w:ascii="Arial" w:cs="Arial" w:eastAsia="Arial" w:hAnsi="Arial"/>
          <w:sz w:val="15"/>
          <w:szCs w:val="15"/>
          <w:color w:val="auto"/>
        </w:rPr>
        <w:t>without limitation, nonpayment, misrepresentation of representations and warranties in a material respect, breach of covenant, cross-default to certain other indebtedness, bankruptcy, the cessation of the Investment Advisory Agreement, and the occurrence of a material adverse effect. As of December 31, 2017, the Company was in compliance with all covenants of the Credit Facility.</w:t>
      </w:r>
    </w:p>
    <w:p>
      <w:pPr>
        <w:spacing w:after="0" w:line="70" w:lineRule="exact"/>
        <w:rPr>
          <w:sz w:val="20"/>
          <w:szCs w:val="20"/>
          <w:color w:val="auto"/>
        </w:rPr>
      </w:pPr>
    </w:p>
    <w:p>
      <w:pPr>
        <w:ind w:left="1060" w:right="2459" w:firstLine="297"/>
        <w:spacing w:after="0" w:line="254" w:lineRule="auto"/>
        <w:rPr>
          <w:sz w:val="20"/>
          <w:szCs w:val="20"/>
          <w:color w:val="auto"/>
        </w:rPr>
      </w:pPr>
      <w:r>
        <w:rPr>
          <w:rFonts w:ascii="Arial" w:cs="Arial" w:eastAsia="Arial" w:hAnsi="Arial"/>
          <w:sz w:val="15"/>
          <w:szCs w:val="15"/>
          <w:color w:val="auto"/>
        </w:rPr>
        <w:t>The Credit Facility is secured by all of the Company’s property and assets, except for the Company’s assets pledged to secure certain obligations in connection with the Company’s issuance of the Convertible Senior Notes and as may be pledged in connection with any future issuance by the Company of Convertible Senior Notes on substantially similar terms. As of December 31, 2017, the Company had no borrowings outstanding under the Credit Facility.</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Silicon Valley Bank Credit Facility</w:t>
      </w:r>
    </w:p>
    <w:p>
      <w:pPr>
        <w:spacing w:after="0" w:line="84" w:lineRule="exact"/>
        <w:rPr>
          <w:sz w:val="20"/>
          <w:szCs w:val="20"/>
          <w:color w:val="auto"/>
        </w:rPr>
      </w:pPr>
    </w:p>
    <w:p>
      <w:pPr>
        <w:ind w:left="1060" w:right="2439" w:firstLine="297"/>
        <w:spacing w:after="0" w:line="302" w:lineRule="auto"/>
        <w:rPr>
          <w:sz w:val="20"/>
          <w:szCs w:val="20"/>
          <w:color w:val="auto"/>
        </w:rPr>
      </w:pPr>
      <w:r>
        <w:rPr>
          <w:rFonts w:ascii="Arial" w:cs="Arial" w:eastAsia="Arial" w:hAnsi="Arial"/>
          <w:sz w:val="13"/>
          <w:szCs w:val="13"/>
          <w:color w:val="auto"/>
        </w:rPr>
        <w:t>The Company entered into a Loan and Security Agreement, effective December 31, 2013 (the “SVB Loan Agreement”), with Silicon Valley Bank, pursuant to which Silicon Valley Bank agreed to provide the Company with an $18 million credit facility (the “SVB Credit Facility”). The SVB Credit Facility expired on December 31, 2016 in accordance with its terms. Under the SVB Credit Facility, the Company was permitted to borrow an amount equal to the lesser of $18.0 million or 20% of the Company’s then-current net asset value.</w:t>
      </w:r>
    </w:p>
    <w:p>
      <w:pPr>
        <w:spacing w:after="0" w:line="4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SVB Credit Facility bore interest at a per annum rate equal to the greater of (i) the prime rate plus</w:t>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4.75% or (ii) 8.0% on amounts drawn under the SVB Credit Facility based on a 360-day year. In addition, a fee</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of $180,000 per annum (1.0% of the $18.0 million revolving line of credit) was charged under the SVB Loan</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Agreement. Under the terms of the SVB Credit Facility, the Company was required to repay all outstanding</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borrowings on the SVB Credit Facility so that there is at least one 30-day period every 12 months during which</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the Company has no balance outstanding. The Company made certain customary representations and warranties</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under the SVB Loan Agreement and was required to comply with various covenants, reporting requirements, and</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other customary requirements for similar credit facilities. The SVB Loan Agreement included usual and</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customary events of default for credit facilities of a similar nature, including, without limitation, nonpayment,</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misrepresentation of representations and warranties in a material respect, breach of covenant, cross-default to</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certain other indebtedness, bankruptcy, change of control, and the occurrence of a material adverse effect.</w:t>
      </w:r>
    </w:p>
    <w:p>
      <w:pPr>
        <w:spacing w:after="0" w:line="97" w:lineRule="exact"/>
        <w:rPr>
          <w:sz w:val="20"/>
          <w:szCs w:val="20"/>
          <w:color w:val="auto"/>
        </w:rPr>
      </w:pPr>
    </w:p>
    <w:p>
      <w:pPr>
        <w:ind w:left="1060" w:right="2419" w:firstLine="297"/>
        <w:spacing w:after="0" w:line="302" w:lineRule="auto"/>
        <w:rPr>
          <w:sz w:val="20"/>
          <w:szCs w:val="20"/>
          <w:color w:val="auto"/>
        </w:rPr>
      </w:pPr>
      <w:r>
        <w:rPr>
          <w:rFonts w:ascii="Arial" w:cs="Arial" w:eastAsia="Arial" w:hAnsi="Arial"/>
          <w:sz w:val="13"/>
          <w:szCs w:val="13"/>
          <w:color w:val="auto"/>
        </w:rPr>
        <w:t>The SVB Credit Facility was secured by all of the Company’s property and assets, except for the Company’s assets pledged to secure certain obligations in connection with the Company’s issuance of the Convertible Senior Notes. Borrowing under the SVB Credit Facility was subject to the leverage restrictions contained in the 1940 Act. In addition, under the SVB Loan Agreement, the Company agreed not to incur certain additional permitted indebtedness in an aggregate amount exceeding 50% of the Company’s then-applicable net asset value.</w:t>
      </w:r>
    </w:p>
    <w:p>
      <w:pPr>
        <w:spacing w:after="0" w:line="41" w:lineRule="exact"/>
        <w:rPr>
          <w:sz w:val="20"/>
          <w:szCs w:val="20"/>
          <w:color w:val="auto"/>
        </w:rPr>
      </w:pPr>
    </w:p>
    <w:p>
      <w:pPr>
        <w:ind w:left="1060" w:right="2499" w:firstLine="297"/>
        <w:spacing w:after="0" w:line="286" w:lineRule="auto"/>
        <w:rPr>
          <w:sz w:val="20"/>
          <w:szCs w:val="20"/>
          <w:color w:val="auto"/>
        </w:rPr>
      </w:pPr>
      <w:r>
        <w:rPr>
          <w:rFonts w:ascii="Arial" w:cs="Arial" w:eastAsia="Arial" w:hAnsi="Arial"/>
          <w:sz w:val="14"/>
          <w:szCs w:val="14"/>
          <w:color w:val="auto"/>
        </w:rPr>
        <w:t>For the year ended December 31, 2017, the Company had average borrowings outstanding under the Credit Facility of $460,274. For the years ended December 31, 2016 and 2015 the Company had average borrowings outstanding under the SVB Credit Facility of $106,061 and $3,712,329,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7" w:name="page138"/>
    <w:bookmarkEnd w:id="137"/>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11 — SUBSEQUENT EVENTS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Portfolio Activity</w:t>
      </w:r>
    </w:p>
    <w:p>
      <w:pPr>
        <w:spacing w:after="0" w:line="88" w:lineRule="exact"/>
        <w:rPr>
          <w:sz w:val="20"/>
          <w:szCs w:val="20"/>
          <w:color w:val="auto"/>
        </w:rPr>
      </w:pPr>
    </w:p>
    <w:p>
      <w:pPr>
        <w:ind w:left="1060" w:right="2559" w:firstLine="297"/>
        <w:spacing w:after="0" w:line="270" w:lineRule="auto"/>
        <w:rPr>
          <w:sz w:val="20"/>
          <w:szCs w:val="20"/>
          <w:color w:val="auto"/>
        </w:rPr>
      </w:pPr>
      <w:r>
        <w:rPr>
          <w:rFonts w:ascii="Arial" w:cs="Arial" w:eastAsia="Arial" w:hAnsi="Arial"/>
          <w:sz w:val="15"/>
          <w:szCs w:val="15"/>
          <w:color w:val="auto"/>
        </w:rPr>
        <w:t>From January 1, 2018 through March 16, 2018, the Company closed on investment purchases of $100,000 (not including capitalized transaction costs) as shown in the following table.</w:t>
      </w:r>
    </w:p>
    <w:p>
      <w:pPr>
        <w:spacing w:after="0" w:line="70" w:lineRule="exact"/>
        <w:rPr>
          <w:sz w:val="20"/>
          <w:szCs w:val="20"/>
          <w:color w:val="auto"/>
        </w:rPr>
      </w:pPr>
    </w:p>
    <w:tbl>
      <w:tblPr>
        <w:tblLayout w:type="fixed"/>
        <w:tblInd w:w="134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Transaction</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Gross</w:t>
            </w:r>
          </w:p>
        </w:tc>
      </w:tr>
      <w:tr>
        <w:trPr>
          <w:trHeight w:val="152"/>
        </w:trPr>
        <w:tc>
          <w:tcPr>
            <w:tcW w:w="2120" w:type="dxa"/>
            <w:vAlign w:val="bottom"/>
          </w:tcPr>
          <w:p>
            <w:pPr>
              <w:spacing w:after="0"/>
              <w:rPr>
                <w:sz w:val="20"/>
                <w:szCs w:val="20"/>
                <w:color w:val="auto"/>
              </w:rPr>
            </w:pPr>
            <w:r>
              <w:rPr>
                <w:rFonts w:ascii="Arial" w:cs="Arial" w:eastAsia="Arial" w:hAnsi="Arial"/>
                <w:sz w:val="12"/>
                <w:szCs w:val="12"/>
                <w:b w:val="1"/>
                <w:bCs w:val="1"/>
                <w:color w:val="auto"/>
              </w:rPr>
              <w:t>Portfolio Company</w:t>
            </w:r>
          </w:p>
        </w:tc>
        <w:tc>
          <w:tcPr>
            <w:tcW w:w="180" w:type="dxa"/>
            <w:vAlign w:val="bottom"/>
          </w:tcPr>
          <w:p>
            <w:pPr>
              <w:spacing w:after="0"/>
              <w:rPr>
                <w:sz w:val="13"/>
                <w:szCs w:val="13"/>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Investment</w:t>
            </w: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Date</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4"/>
              </w:rPr>
              <w:t>Payments</w:t>
            </w:r>
          </w:p>
        </w:tc>
      </w:tr>
      <w:tr>
        <w:trPr>
          <w:trHeight w:val="22"/>
        </w:trPr>
        <w:tc>
          <w:tcPr>
            <w:tcW w:w="2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6"/>
        </w:trPr>
        <w:tc>
          <w:tcPr>
            <w:tcW w:w="2120" w:type="dxa"/>
            <w:vAlign w:val="bottom"/>
            <w:tcBorders>
              <w:bottom w:val="single" w:sz="8" w:color="CCEEFF"/>
            </w:tcBorders>
            <w:shd w:val="clear" w:color="auto" w:fill="CCEEFF"/>
          </w:tcPr>
          <w:p>
            <w:pPr>
              <w:spacing w:after="0" w:line="225" w:lineRule="exact"/>
              <w:rPr>
                <w:sz w:val="20"/>
                <w:szCs w:val="20"/>
                <w:color w:val="auto"/>
              </w:rPr>
            </w:pPr>
            <w:r>
              <w:rPr>
                <w:rFonts w:ascii="Arial" w:cs="Arial" w:eastAsia="Arial" w:hAnsi="Arial"/>
                <w:sz w:val="15"/>
                <w:szCs w:val="15"/>
                <w:color w:val="auto"/>
              </w:rPr>
              <w:t>Ozy Media, Inc.</w:t>
            </w:r>
            <w:r>
              <w:rPr>
                <w:rFonts w:ascii="Arial" w:cs="Arial" w:eastAsia="Arial" w:hAnsi="Arial"/>
                <w:sz w:val="22"/>
                <w:szCs w:val="22"/>
                <w:color w:val="auto"/>
                <w:vertAlign w:val="superscript"/>
              </w:rPr>
              <w:t>(1)</w:t>
            </w:r>
          </w:p>
        </w:tc>
        <w:tc>
          <w:tcPr>
            <w:tcW w:w="18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0"/>
              </w:rPr>
              <w:t>Promissory Note 10% Due 2/12/2018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1/12/2018</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$100,000</w:t>
            </w:r>
          </w:p>
        </w:tc>
      </w:tr>
      <w:tr>
        <w:trPr>
          <w:trHeight w:val="203"/>
        </w:trPr>
        <w:tc>
          <w:tcPr>
            <w:tcW w:w="2120" w:type="dxa"/>
            <w:vAlign w:val="bottom"/>
          </w:tcPr>
          <w:p>
            <w:pPr>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100,000</w:t>
            </w: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-318135</wp:posOffset>
            </wp:positionV>
            <wp:extent cx="11366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-318135</wp:posOffset>
            </wp:positionV>
            <wp:extent cx="11366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-318135</wp:posOffset>
            </wp:positionV>
            <wp:extent cx="11366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127635</wp:posOffset>
            </wp:positionV>
            <wp:extent cx="102044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82" w:lineRule="exact"/>
        <w:rPr>
          <w:sz w:val="20"/>
          <w:szCs w:val="20"/>
          <w:color w:val="auto"/>
        </w:rPr>
      </w:pPr>
    </w:p>
    <w:p>
      <w:pPr>
        <w:ind w:left="1340" w:right="2619" w:hanging="289"/>
        <w:spacing w:after="0" w:line="259" w:lineRule="auto"/>
        <w:tabs>
          <w:tab w:leader="none" w:pos="13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Subsequent to period-end, Ozy Media, Inc.’s obligations under its financing arrangements with the Company became past due. The Company and Ozy Media are in the process of renegotiating the terms of the Company’s investment.</w:t>
      </w:r>
    </w:p>
    <w:p>
      <w:pPr>
        <w:spacing w:after="0" w:line="67" w:lineRule="exact"/>
        <w:rPr>
          <w:sz w:val="20"/>
          <w:szCs w:val="20"/>
          <w:color w:val="auto"/>
        </w:rPr>
      </w:pPr>
    </w:p>
    <w:p>
      <w:pPr>
        <w:ind w:left="1060" w:right="2819" w:firstLine="297"/>
        <w:spacing w:after="0" w:line="270" w:lineRule="auto"/>
        <w:rPr>
          <w:sz w:val="20"/>
          <w:szCs w:val="20"/>
          <w:color w:val="auto"/>
        </w:rPr>
      </w:pPr>
      <w:r>
        <w:rPr>
          <w:rFonts w:ascii="Arial" w:cs="Arial" w:eastAsia="Arial" w:hAnsi="Arial"/>
          <w:sz w:val="15"/>
          <w:szCs w:val="15"/>
          <w:color w:val="auto"/>
        </w:rPr>
        <w:t>From January 1, 2018 through March 16, 2018, the Company sold investments of $15,973,903, net of transaction costs, as shown in following table:</w:t>
      </w:r>
    </w:p>
    <w:p>
      <w:pPr>
        <w:spacing w:after="0" w:line="65"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Transaction</w:t>
            </w: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Average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Realized</w:t>
            </w:r>
          </w:p>
        </w:tc>
        <w:tc>
          <w:tcPr>
            <w:tcW w:w="0" w:type="dxa"/>
            <w:vAlign w:val="bottom"/>
          </w:tcPr>
          <w:p>
            <w:pPr>
              <w:spacing w:after="0"/>
              <w:rPr>
                <w:sz w:val="1"/>
                <w:szCs w:val="1"/>
                <w:color w:val="auto"/>
              </w:rPr>
            </w:pPr>
          </w:p>
        </w:tc>
      </w:tr>
      <w:tr>
        <w:trPr>
          <w:trHeight w:val="190"/>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Portfolio Investment</w:t>
            </w: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Sold</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2"/>
                <w:szCs w:val="12"/>
                <w:b w:val="1"/>
                <w:bCs w:val="1"/>
                <w:color w:val="auto"/>
                <w:w w:val="85"/>
              </w:rPr>
              <w:t>Share Price</w:t>
            </w:r>
            <w:r>
              <w:rPr>
                <w:rFonts w:ascii="Arial" w:cs="Arial" w:eastAsia="Arial" w:hAnsi="Arial"/>
                <w:sz w:val="17"/>
                <w:szCs w:val="17"/>
                <w:b w:val="1"/>
                <w:bCs w:val="1"/>
                <w:color w:val="auto"/>
                <w:w w:val="85"/>
                <w:vertAlign w:val="superscript"/>
              </w:rPr>
              <w:t>(1)</w:t>
            </w: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8"/>
              </w:rPr>
              <w:t>Net Proceeds</w:t>
            </w:r>
          </w:p>
        </w:tc>
        <w:tc>
          <w:tcPr>
            <w:tcW w:w="1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Gain/(Loss)</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Chegg, Inc.</w:t>
            </w:r>
          </w:p>
        </w:tc>
        <w:tc>
          <w:tcPr>
            <w:tcW w:w="82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88"/>
              </w:rPr>
              <w:t>1/3/2018</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1,897</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$16.78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31,831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9,018</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5"/>
                <w:szCs w:val="15"/>
                <w:color w:val="auto"/>
              </w:rPr>
              <w:t>Chegg, Inc.</w:t>
            </w:r>
          </w:p>
        </w:tc>
        <w:tc>
          <w:tcPr>
            <w:tcW w:w="820" w:type="dxa"/>
            <w:vAlign w:val="bottom"/>
            <w:gridSpan w:val="2"/>
          </w:tcPr>
          <w:p>
            <w:pPr>
              <w:jc w:val="center"/>
              <w:ind w:left="106"/>
              <w:spacing w:after="0"/>
              <w:rPr>
                <w:sz w:val="20"/>
                <w:szCs w:val="20"/>
                <w:color w:val="auto"/>
              </w:rPr>
            </w:pPr>
            <w:r>
              <w:rPr>
                <w:rFonts w:ascii="Arial" w:cs="Arial" w:eastAsia="Arial" w:hAnsi="Arial"/>
                <w:sz w:val="15"/>
                <w:szCs w:val="15"/>
                <w:color w:val="auto"/>
                <w:w w:val="88"/>
              </w:rPr>
              <w:t>1/4/2018</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9,103</w:t>
            </w: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16.79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152,799</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43,327</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Chegg, Inc.</w:t>
            </w:r>
          </w:p>
        </w:tc>
        <w:tc>
          <w:tcPr>
            <w:tcW w:w="82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88"/>
              </w:rPr>
              <w:t>1/5/2018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36,212</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607,623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172,139</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5"/>
                <w:szCs w:val="15"/>
                <w:color w:val="auto"/>
              </w:rPr>
              <w:t>Chegg, Inc.</w:t>
            </w:r>
          </w:p>
        </w:tc>
        <w:tc>
          <w:tcPr>
            <w:tcW w:w="820" w:type="dxa"/>
            <w:vAlign w:val="bottom"/>
            <w:gridSpan w:val="2"/>
          </w:tcPr>
          <w:p>
            <w:pPr>
              <w:jc w:val="center"/>
              <w:ind w:left="106"/>
              <w:spacing w:after="0"/>
              <w:rPr>
                <w:sz w:val="20"/>
                <w:szCs w:val="20"/>
                <w:color w:val="auto"/>
              </w:rPr>
            </w:pPr>
            <w:r>
              <w:rPr>
                <w:rFonts w:ascii="Arial" w:cs="Arial" w:eastAsia="Arial" w:hAnsi="Arial"/>
                <w:sz w:val="15"/>
                <w:szCs w:val="15"/>
                <w:color w:val="auto"/>
                <w:w w:val="88"/>
              </w:rPr>
              <w:t>1/8/2018</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15,888</w:t>
            </w: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16.86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267,905</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76,837</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Chegg, Inc.</w:t>
            </w:r>
          </w:p>
        </w:tc>
        <w:tc>
          <w:tcPr>
            <w:tcW w:w="82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88"/>
              </w:rPr>
              <w:t>1/9/2018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36,900</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619,356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175,598</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5"/>
                <w:szCs w:val="15"/>
                <w:color w:val="auto"/>
              </w:rPr>
              <w:t>Chegg, Inc.</w:t>
            </w:r>
          </w:p>
        </w:tc>
        <w:tc>
          <w:tcPr>
            <w:tcW w:w="820" w:type="dxa"/>
            <w:vAlign w:val="bottom"/>
            <w:gridSpan w:val="2"/>
          </w:tcPr>
          <w:p>
            <w:pPr>
              <w:jc w:val="center"/>
              <w:ind w:left="106"/>
              <w:spacing w:after="0"/>
              <w:rPr>
                <w:sz w:val="20"/>
                <w:szCs w:val="20"/>
                <w:color w:val="auto"/>
              </w:rPr>
            </w:pPr>
            <w:r>
              <w:rPr>
                <w:rFonts w:ascii="Arial" w:cs="Arial" w:eastAsia="Arial" w:hAnsi="Arial"/>
                <w:sz w:val="15"/>
                <w:szCs w:val="15"/>
                <w:color w:val="auto"/>
                <w:w w:val="89"/>
              </w:rPr>
              <w:t>2/13/2018</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200,000</w:t>
            </w: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19.31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3,861,271</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1,457,883</w:t>
            </w:r>
          </w:p>
        </w:tc>
        <w:tc>
          <w:tcPr>
            <w:tcW w:w="0" w:type="dxa"/>
            <w:vAlign w:val="bottom"/>
          </w:tcPr>
          <w:p>
            <w:pPr>
              <w:spacing w:after="0"/>
              <w:rPr>
                <w:sz w:val="1"/>
                <w:szCs w:val="1"/>
                <w:color w:val="auto"/>
              </w:rPr>
            </w:pPr>
          </w:p>
        </w:tc>
      </w:tr>
      <w:tr>
        <w:trPr>
          <w:trHeight w:val="235"/>
        </w:trPr>
        <w:tc>
          <w:tcPr>
            <w:tcW w:w="2340" w:type="dxa"/>
            <w:vAlign w:val="bottom"/>
            <w:shd w:val="clear" w:color="auto" w:fill="CCEEFF"/>
          </w:tcPr>
          <w:p>
            <w:pPr>
              <w:ind w:left="20"/>
              <w:spacing w:after="0" w:line="234" w:lineRule="exact"/>
              <w:rPr>
                <w:sz w:val="20"/>
                <w:szCs w:val="20"/>
                <w:color w:val="auto"/>
              </w:rPr>
            </w:pPr>
            <w:r>
              <w:rPr>
                <w:rFonts w:ascii="Arial" w:cs="Arial" w:eastAsia="Arial" w:hAnsi="Arial"/>
                <w:sz w:val="15"/>
                <w:szCs w:val="15"/>
                <w:color w:val="auto"/>
              </w:rPr>
              <w:t xml:space="preserve">Chegg, Inc. </w:t>
            </w:r>
            <w:r>
              <w:rPr>
                <w:rFonts w:ascii="Arial" w:cs="Arial" w:eastAsia="Arial" w:hAnsi="Arial"/>
                <w:sz w:val="22"/>
                <w:szCs w:val="22"/>
                <w:color w:val="auto"/>
                <w:vertAlign w:val="superscript"/>
              </w:rPr>
              <w:t>(2)</w:t>
            </w:r>
          </w:p>
        </w:tc>
        <w:tc>
          <w:tcPr>
            <w:tcW w:w="82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89"/>
              </w:rPr>
              <w:t>2/20/2018</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3,905,530</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1,503,045</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18.89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9,446,315</w:t>
            </w: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3,437,847</w:t>
            </w:r>
          </w:p>
        </w:tc>
        <w:tc>
          <w:tcPr>
            <w:tcW w:w="0" w:type="dxa"/>
            <w:vAlign w:val="bottom"/>
          </w:tcPr>
          <w:p>
            <w:pPr>
              <w:spacing w:after="0"/>
              <w:rPr>
                <w:sz w:val="1"/>
                <w:szCs w:val="1"/>
                <w:color w:val="auto"/>
              </w:rPr>
            </w:pPr>
          </w:p>
        </w:tc>
      </w:tr>
      <w:tr>
        <w:trPr>
          <w:trHeight w:val="159"/>
        </w:trPr>
        <w:tc>
          <w:tcPr>
            <w:tcW w:w="23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2"/>
              </w:rPr>
              <w:t>NestGSV, Inc. (d/b/a GSV Labs, Inc.)</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(3)</w:t>
            </w:r>
          </w:p>
        </w:tc>
        <w:tc>
          <w:tcPr>
            <w:tcW w:w="820" w:type="dxa"/>
            <w:vAlign w:val="bottom"/>
            <w:gridSpan w:val="2"/>
            <w:vMerge w:val="restart"/>
            <w:shd w:val="clear" w:color="auto" w:fill="CCEEFF"/>
          </w:tcPr>
          <w:p>
            <w:pPr>
              <w:jc w:val="center"/>
              <w:ind w:left="106"/>
              <w:spacing w:after="0"/>
              <w:rPr>
                <w:sz w:val="20"/>
                <w:szCs w:val="20"/>
                <w:color w:val="auto"/>
              </w:rPr>
            </w:pPr>
            <w:r>
              <w:rPr>
                <w:rFonts w:ascii="Arial" w:cs="Arial" w:eastAsia="Arial" w:hAnsi="Arial"/>
                <w:sz w:val="15"/>
                <w:szCs w:val="15"/>
                <w:color w:val="auto"/>
                <w:w w:val="89"/>
              </w:rPr>
              <w:t>1/12/2018</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420"/>
              <w:spacing w:after="0"/>
              <w:rPr>
                <w:sz w:val="20"/>
                <w:szCs w:val="20"/>
                <w:color w:val="auto"/>
              </w:rPr>
            </w:pPr>
            <w:r>
              <w:rPr>
                <w:rFonts w:ascii="Arial" w:cs="Arial" w:eastAsia="Arial" w:hAnsi="Arial"/>
                <w:sz w:val="15"/>
                <w:szCs w:val="15"/>
                <w:color w:val="auto"/>
              </w:rPr>
              <w:t>N/A</w:t>
            </w:r>
          </w:p>
        </w:tc>
        <w:tc>
          <w:tcPr>
            <w:tcW w:w="14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ind w:left="160"/>
              <w:spacing w:after="0"/>
              <w:rPr>
                <w:sz w:val="20"/>
                <w:szCs w:val="20"/>
                <w:color w:val="auto"/>
              </w:rPr>
            </w:pPr>
            <w:r>
              <w:rPr>
                <w:rFonts w:ascii="Arial" w:cs="Arial" w:eastAsia="Arial" w:hAnsi="Arial"/>
                <w:sz w:val="15"/>
                <w:szCs w:val="15"/>
                <w:color w:val="auto"/>
              </w:rPr>
              <w:t>N/A</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592,129</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91"/>
        </w:trPr>
        <w:tc>
          <w:tcPr>
            <w:tcW w:w="234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340" w:type="dxa"/>
            <w:vAlign w:val="bottom"/>
          </w:tcPr>
          <w:p>
            <w:pPr>
              <w:ind w:left="20"/>
              <w:spacing w:after="0"/>
              <w:rPr>
                <w:sz w:val="20"/>
                <w:szCs w:val="20"/>
                <w:color w:val="auto"/>
              </w:rPr>
            </w:pPr>
            <w:r>
              <w:rPr>
                <w:rFonts w:ascii="Arial" w:cs="Arial" w:eastAsia="Arial" w:hAnsi="Arial"/>
                <w:sz w:val="15"/>
                <w:szCs w:val="15"/>
                <w:color w:val="auto"/>
              </w:rPr>
              <w:t>Avenues Global Holdings, LLC</w:t>
            </w:r>
          </w:p>
        </w:tc>
        <w:tc>
          <w:tcPr>
            <w:tcW w:w="820" w:type="dxa"/>
            <w:vAlign w:val="bottom"/>
            <w:gridSpan w:val="2"/>
          </w:tcPr>
          <w:p>
            <w:pPr>
              <w:jc w:val="center"/>
              <w:ind w:left="106"/>
              <w:spacing w:after="0"/>
              <w:rPr>
                <w:sz w:val="20"/>
                <w:szCs w:val="20"/>
                <w:color w:val="auto"/>
              </w:rPr>
            </w:pPr>
            <w:r>
              <w:rPr>
                <w:rFonts w:ascii="Arial" w:cs="Arial" w:eastAsia="Arial" w:hAnsi="Arial"/>
                <w:sz w:val="15"/>
                <w:szCs w:val="15"/>
                <w:color w:val="auto"/>
                <w:w w:val="89"/>
              </w:rPr>
              <w:t>1/22/2018</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10,014,270</w:t>
            </w:r>
          </w:p>
        </w:tc>
        <w:tc>
          <w:tcPr>
            <w:tcW w:w="700" w:type="dxa"/>
            <w:vAlign w:val="bottom"/>
            <w:gridSpan w:val="3"/>
          </w:tcPr>
          <w:p>
            <w:pPr>
              <w:jc w:val="right"/>
              <w:ind w:right="140"/>
              <w:spacing w:after="0"/>
              <w:rPr>
                <w:sz w:val="20"/>
                <w:szCs w:val="20"/>
                <w:color w:val="auto"/>
              </w:rPr>
            </w:pPr>
            <w:r>
              <w:rPr>
                <w:rFonts w:ascii="Arial" w:cs="Arial" w:eastAsia="Arial" w:hAnsi="Arial"/>
                <w:sz w:val="15"/>
                <w:szCs w:val="15"/>
                <w:color w:val="auto"/>
              </w:rPr>
              <w:t>0.59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5,935,459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w w:val="88"/>
              </w:rPr>
              <w:t>(4,216,395)</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15,973,903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(779,228)</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-162560</wp:posOffset>
            </wp:positionV>
            <wp:extent cx="430847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3084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-694055</wp:posOffset>
            </wp:positionV>
            <wp:extent cx="2857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-1657350</wp:posOffset>
            </wp:positionV>
            <wp:extent cx="2857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4363720</wp:posOffset>
            </wp:positionH>
            <wp:positionV relativeFrom="paragraph">
              <wp:posOffset>-1657350</wp:posOffset>
            </wp:positionV>
            <wp:extent cx="11366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-1657350</wp:posOffset>
            </wp:positionV>
            <wp:extent cx="11366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-1657350</wp:posOffset>
            </wp:positionV>
            <wp:extent cx="11366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-1657350</wp:posOffset>
            </wp:positionV>
            <wp:extent cx="113665"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-1657350</wp:posOffset>
            </wp:positionV>
            <wp:extent cx="11366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127635</wp:posOffset>
            </wp:positionV>
            <wp:extent cx="1020445"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82" w:lineRule="exact"/>
        <w:rPr>
          <w:sz w:val="20"/>
          <w:szCs w:val="20"/>
          <w:color w:val="auto"/>
        </w:rPr>
      </w:pPr>
    </w:p>
    <w:p>
      <w:pPr>
        <w:ind w:left="1340" w:right="2619" w:hanging="289"/>
        <w:spacing w:after="0" w:line="270" w:lineRule="auto"/>
        <w:tabs>
          <w:tab w:leader="none" w:pos="13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average net share price is the net share price realized after deducting all commissions and fees on the sale(s), if applicable.</w:t>
      </w:r>
    </w:p>
    <w:p>
      <w:pPr>
        <w:spacing w:after="0" w:line="35" w:lineRule="exact"/>
        <w:rPr>
          <w:rFonts w:ascii="Arial" w:cs="Arial" w:eastAsia="Arial" w:hAnsi="Arial"/>
          <w:sz w:val="15"/>
          <w:szCs w:val="15"/>
          <w:color w:val="auto"/>
        </w:rPr>
      </w:pPr>
    </w:p>
    <w:p>
      <w:pPr>
        <w:ind w:left="1340" w:hanging="289"/>
        <w:spacing w:after="0"/>
        <w:tabs>
          <w:tab w:leader="none" w:pos="13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As of February 22, 2018, all remaining shares of Chegg, Inc. held by the Company had been sold.</w:t>
      </w:r>
    </w:p>
    <w:p>
      <w:pPr>
        <w:spacing w:after="0" w:line="73" w:lineRule="exact"/>
        <w:rPr>
          <w:rFonts w:ascii="Arial" w:cs="Arial" w:eastAsia="Arial" w:hAnsi="Arial"/>
          <w:sz w:val="15"/>
          <w:szCs w:val="15"/>
          <w:color w:val="auto"/>
        </w:rPr>
      </w:pPr>
    </w:p>
    <w:p>
      <w:pPr>
        <w:ind w:left="1340" w:hanging="289"/>
        <w:spacing w:after="0"/>
        <w:tabs>
          <w:tab w:leader="none" w:pos="13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Represents repayment of the 12% Unsecured Promissory Note Due 1/15/2018</w:t>
      </w:r>
    </w:p>
    <w:p>
      <w:pPr>
        <w:spacing w:after="0" w:line="95" w:lineRule="exact"/>
        <w:rPr>
          <w:sz w:val="20"/>
          <w:szCs w:val="20"/>
          <w:color w:val="auto"/>
        </w:rPr>
      </w:pPr>
    </w:p>
    <w:p>
      <w:pPr>
        <w:ind w:left="1060" w:right="2599" w:firstLine="297"/>
        <w:spacing w:after="0" w:line="270" w:lineRule="auto"/>
        <w:rPr>
          <w:sz w:val="20"/>
          <w:szCs w:val="20"/>
          <w:color w:val="auto"/>
        </w:rPr>
      </w:pPr>
      <w:r>
        <w:rPr>
          <w:rFonts w:ascii="Arial" w:cs="Arial" w:eastAsia="Arial" w:hAnsi="Arial"/>
          <w:sz w:val="15"/>
          <w:szCs w:val="15"/>
          <w:color w:val="auto"/>
        </w:rPr>
        <w:t>On February 23, 2018, CUX, Inc. (d/b/a CorpU) agreed to extend the maturity of the Company’s Series D warrants until August 1, 2018.</w:t>
      </w:r>
    </w:p>
    <w:p>
      <w:pPr>
        <w:spacing w:after="0" w:line="58" w:lineRule="exact"/>
        <w:rPr>
          <w:sz w:val="20"/>
          <w:szCs w:val="20"/>
          <w:color w:val="auto"/>
        </w:rPr>
      </w:pPr>
    </w:p>
    <w:p>
      <w:pPr>
        <w:ind w:left="1060" w:right="2559" w:firstLine="297"/>
        <w:spacing w:after="0" w:line="279" w:lineRule="auto"/>
        <w:rPr>
          <w:sz w:val="20"/>
          <w:szCs w:val="20"/>
          <w:color w:val="auto"/>
        </w:rPr>
      </w:pPr>
      <w:r>
        <w:rPr>
          <w:rFonts w:ascii="Arial" w:cs="Arial" w:eastAsia="Arial" w:hAnsi="Arial"/>
          <w:sz w:val="14"/>
          <w:szCs w:val="14"/>
          <w:color w:val="auto"/>
        </w:rPr>
        <w:t>The Declara, Inc. convertible promissory note due December 31, 2017, was extended to January 31, 2018. The maturity date of the convertible promissory note to Declara, Inc. was subsequently further extended an additional three months to April 30, 2018. On January 31, 2018 the interest rate on the convertible promissory note increased to 12% per annum (including 365 days for the purposes of accrual).</w:t>
      </w:r>
    </w:p>
    <w:p>
      <w:pPr>
        <w:spacing w:after="0" w:line="55" w:lineRule="exact"/>
        <w:rPr>
          <w:sz w:val="20"/>
          <w:szCs w:val="20"/>
          <w:color w:val="auto"/>
        </w:rPr>
      </w:pPr>
    </w:p>
    <w:p>
      <w:pPr>
        <w:jc w:val="center"/>
        <w:ind w:right="1399"/>
        <w:spacing w:after="0"/>
        <w:rPr>
          <w:sz w:val="20"/>
          <w:szCs w:val="20"/>
          <w:color w:val="auto"/>
        </w:rPr>
      </w:pPr>
      <w:r>
        <w:rPr>
          <w:rFonts w:ascii="Arial" w:cs="Arial" w:eastAsia="Arial" w:hAnsi="Arial"/>
          <w:sz w:val="15"/>
          <w:szCs w:val="15"/>
          <w:color w:val="auto"/>
        </w:rPr>
        <w:t>On March 7, 2018, as disclosed in its Amendment No. 1 to its Form S-1 Registration Statement filed in</w:t>
      </w:r>
    </w:p>
    <w:p>
      <w:pPr>
        <w:spacing w:after="0" w:line="16" w:lineRule="exact"/>
        <w:rPr>
          <w:sz w:val="20"/>
          <w:szCs w:val="20"/>
          <w:color w:val="auto"/>
        </w:rPr>
      </w:pPr>
    </w:p>
    <w:p>
      <w:pPr>
        <w:jc w:val="center"/>
        <w:ind w:right="1379"/>
        <w:spacing w:after="0"/>
        <w:rPr>
          <w:sz w:val="20"/>
          <w:szCs w:val="20"/>
          <w:color w:val="auto"/>
        </w:rPr>
      </w:pPr>
      <w:r>
        <w:rPr>
          <w:rFonts w:ascii="Arial" w:cs="Arial" w:eastAsia="Arial" w:hAnsi="Arial"/>
          <w:sz w:val="13"/>
          <w:szCs w:val="13"/>
          <w:color w:val="auto"/>
        </w:rPr>
        <w:t>connection with its initial public offering, Dropbox, Inc. effectuated a 1:1.5 reverse stock split of its capital stock.</w:t>
      </w:r>
    </w:p>
    <w:p>
      <w:pPr>
        <w:spacing w:after="0" w:line="24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8" w:name="page139"/>
    <w:bookmarkEnd w:id="138"/>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jc w:val="both"/>
        <w:ind w:left="1060" w:right="2659" w:firstLine="297"/>
        <w:spacing w:after="0" w:line="259" w:lineRule="auto"/>
        <w:rPr>
          <w:sz w:val="20"/>
          <w:szCs w:val="20"/>
          <w:color w:val="auto"/>
        </w:rPr>
      </w:pPr>
      <w:r>
        <w:rPr>
          <w:rFonts w:ascii="Arial" w:cs="Arial" w:eastAsia="Arial" w:hAnsi="Arial"/>
          <w:sz w:val="15"/>
          <w:szCs w:val="15"/>
          <w:color w:val="auto"/>
        </w:rPr>
        <w:t>On March 14, 2018, as disclosed in its Amendment No.1 to its Form F-1 Registration Statement filed in connection with its direct listing, Spotify Technology S.A. effectuated a 40:1 stock split of its ordinary shares, beneficiary certificates and any other of its outstanding securities.</w:t>
      </w:r>
    </w:p>
    <w:p>
      <w:pPr>
        <w:spacing w:after="0" w:line="67" w:lineRule="exact"/>
        <w:rPr>
          <w:sz w:val="20"/>
          <w:szCs w:val="20"/>
          <w:color w:val="auto"/>
        </w:rPr>
      </w:pPr>
    </w:p>
    <w:p>
      <w:pPr>
        <w:ind w:left="1060" w:right="2459" w:firstLine="297"/>
        <w:spacing w:after="0" w:line="273" w:lineRule="auto"/>
        <w:rPr>
          <w:sz w:val="20"/>
          <w:szCs w:val="20"/>
          <w:color w:val="auto"/>
        </w:rPr>
      </w:pPr>
      <w:r>
        <w:rPr>
          <w:rFonts w:ascii="Arial" w:cs="Arial" w:eastAsia="Arial" w:hAnsi="Arial"/>
          <w:sz w:val="14"/>
          <w:szCs w:val="14"/>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Share Repurchase Program</w:t>
      </w:r>
    </w:p>
    <w:p>
      <w:pPr>
        <w:spacing w:after="0" w:line="88" w:lineRule="exact"/>
        <w:rPr>
          <w:sz w:val="20"/>
          <w:szCs w:val="20"/>
          <w:color w:val="auto"/>
        </w:rPr>
      </w:pPr>
    </w:p>
    <w:p>
      <w:pPr>
        <w:ind w:left="1060" w:right="2659" w:firstLine="297"/>
        <w:spacing w:after="0" w:line="307" w:lineRule="auto"/>
        <w:rPr>
          <w:sz w:val="20"/>
          <w:szCs w:val="20"/>
          <w:color w:val="auto"/>
        </w:rPr>
      </w:pPr>
      <w:r>
        <w:rPr>
          <w:rFonts w:ascii="Arial" w:cs="Arial" w:eastAsia="Arial" w:hAnsi="Arial"/>
          <w:sz w:val="14"/>
          <w:szCs w:val="14"/>
          <w:color w:val="auto"/>
        </w:rPr>
        <w:t>From January 1, 2018 through March 16, 2018, the Company repurchased 179,807 shares of its common stock pursuant to the Share Repurchase Program at an average price of $6.90 per share.</w:t>
      </w:r>
    </w:p>
    <w:p>
      <w:pPr>
        <w:spacing w:after="0" w:line="10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Tender Offer</w:t>
      </w:r>
    </w:p>
    <w:p>
      <w:pPr>
        <w:spacing w:after="0" w:line="88" w:lineRule="exact"/>
        <w:rPr>
          <w:sz w:val="20"/>
          <w:szCs w:val="20"/>
          <w:color w:val="auto"/>
        </w:rPr>
      </w:pPr>
    </w:p>
    <w:p>
      <w:pPr>
        <w:ind w:left="1060" w:right="2419" w:firstLine="297"/>
        <w:spacing w:after="0" w:line="276" w:lineRule="auto"/>
        <w:rPr>
          <w:sz w:val="20"/>
          <w:szCs w:val="20"/>
          <w:color w:val="auto"/>
        </w:rPr>
      </w:pPr>
      <w:r>
        <w:rPr>
          <w:rFonts w:ascii="Arial" w:cs="Arial" w:eastAsia="Arial" w:hAnsi="Arial"/>
          <w:sz w:val="14"/>
          <w:szCs w:val="14"/>
          <w:color w:val="auto"/>
        </w:rPr>
        <w:t>On December 15, 2017, the Company announced the commencement of the Tender Offer to purchase any and all of its $69.0 million aggregate principal amount of outstanding Convertible Senior Notes. As of the expiration of the Tender Offer on January 17, 2018, approximately $4.8 million aggregate principal amount of the Convertible Senior Notes, representing approximately 7.0% of the outstanding Convertible Senior Notes, were validly tendered and not validly withdrawn pursuant to the Tender Offer.</w:t>
      </w:r>
    </w:p>
    <w:p>
      <w:pPr>
        <w:spacing w:after="0" w:line="130"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Management and Incentive Fee Waiver Agreement</w:t>
      </w:r>
    </w:p>
    <w:p>
      <w:pPr>
        <w:spacing w:after="0" w:line="88" w:lineRule="exact"/>
        <w:rPr>
          <w:sz w:val="20"/>
          <w:szCs w:val="20"/>
          <w:color w:val="auto"/>
        </w:rPr>
      </w:pPr>
    </w:p>
    <w:p>
      <w:pPr>
        <w:ind w:left="1060" w:right="2459" w:firstLine="297"/>
        <w:spacing w:after="0" w:line="291" w:lineRule="auto"/>
        <w:rPr>
          <w:sz w:val="20"/>
          <w:szCs w:val="20"/>
          <w:color w:val="auto"/>
        </w:rPr>
      </w:pPr>
      <w:r>
        <w:rPr>
          <w:rFonts w:ascii="Arial" w:cs="Arial" w:eastAsia="Arial" w:hAnsi="Arial"/>
          <w:sz w:val="13"/>
          <w:szCs w:val="13"/>
          <w:color w:val="auto"/>
        </w:rPr>
        <w:t>On February 5, 2018, the Company announced that GSV Asset Management had agreed to reduce the fees payable under the Investment Advisory Agreement pursuant to the Waiver Agreement. The Waiver Agreement is effective February 1, 2018 and changes the fee structure set forth in the Investment Advisory Agreement by:</w:t>
      </w:r>
    </w:p>
    <w:p>
      <w:pPr>
        <w:spacing w:after="0" w:line="2" w:lineRule="exact"/>
        <w:rPr>
          <w:sz w:val="20"/>
          <w:szCs w:val="20"/>
          <w:color w:val="auto"/>
        </w:rPr>
      </w:pPr>
    </w:p>
    <w:p>
      <w:pPr>
        <w:ind w:left="1060" w:right="2759" w:hanging="9"/>
        <w:spacing w:after="0" w:line="292" w:lineRule="auto"/>
        <w:tabs>
          <w:tab w:leader="none" w:pos="12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reducing the Company’s base management fee from 2.00% to 1.75%; and (ii) creating certain high-water marks that must be reached before any incentive fee is paid to GSV Asset Management.</w:t>
      </w:r>
    </w:p>
    <w:p>
      <w:pPr>
        <w:spacing w:after="0" w:line="45"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4"/>
          <w:szCs w:val="14"/>
          <w:color w:val="auto"/>
        </w:rPr>
        <w:t>Pursuant to the Waiver Agreement, effective February 1, 2018, the base management fee will be reduced to 1.75% of the Company’s gross assets. The base management fee will be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Convertible Senior Notes mature on September 15, 2018, the Company is currently carrying a larger cash balance than it would in the ordinary course of its business. As a result, under the Waiver Agreement, GSV Asset Management has agreed to waive its base management fee on any cash balances effective as of February 1, 2018 until the Convertible Senior Notes mature, or the date that all the Convertible Senior Notes have been repurchased or redeemed, whichever is earlier.</w:t>
      </w:r>
    </w:p>
    <w:p>
      <w:pPr>
        <w:spacing w:after="0" w:line="64" w:lineRule="exact"/>
        <w:rPr>
          <w:sz w:val="20"/>
          <w:szCs w:val="20"/>
          <w:color w:val="auto"/>
        </w:rPr>
      </w:pPr>
    </w:p>
    <w:p>
      <w:pPr>
        <w:ind w:left="1060" w:right="2419" w:firstLine="297"/>
        <w:spacing w:after="0" w:line="271" w:lineRule="auto"/>
        <w:rPr>
          <w:sz w:val="20"/>
          <w:szCs w:val="20"/>
          <w:color w:val="auto"/>
        </w:rPr>
      </w:pPr>
      <w:r>
        <w:rPr>
          <w:rFonts w:ascii="Arial" w:cs="Arial" w:eastAsia="Arial" w:hAnsi="Arial"/>
          <w:sz w:val="14"/>
          <w:szCs w:val="14"/>
          <w:color w:val="auto"/>
        </w:rPr>
        <w:t>Pursuant to the Waiver Agreement, in addition to the “hurdle” feature in the incentive fee, GSV Asset Management has agreed to additional conditions on its ability to receive an incentive fee. Specifically, the Waiver Agreement provides that an incentive fee earned by GSV Asset Management under the Investment Advisory Agreement shall be payable to GSV Asset Management only if, at the time that such incentive fee becomes payable under the Investment Advisory Agreement, both the Company’s stock price and its last reported net asset value per share are equal to or greater than $12.55 (the “High-Water Mark”). The High-Water Mark is based upon the volume weighted average price (VWAP) of all the Company’s equity offerings since its initial public offering, less the dollar amount of all dividends paid by the Company since inception. Upon such time that the High-Water Mark is achieved, and GSV Asset Management is paid an</w:t>
      </w:r>
    </w:p>
    <w:p>
      <w:pPr>
        <w:spacing w:after="0" w:line="19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39" w:name="page140"/>
    <w:bookmarkEnd w:id="139"/>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359"/>
        <w:spacing w:after="0"/>
        <w:rPr>
          <w:sz w:val="20"/>
          <w:szCs w:val="20"/>
          <w:color w:val="auto"/>
        </w:rPr>
      </w:pPr>
      <w:r>
        <w:rPr>
          <w:rFonts w:ascii="Arial" w:cs="Arial" w:eastAsia="Arial" w:hAnsi="Arial"/>
          <w:sz w:val="15"/>
          <w:szCs w:val="15"/>
          <w:b w:val="1"/>
          <w:bCs w:val="1"/>
          <w:color w:val="auto"/>
        </w:rPr>
        <w:t>December 31, 2017</w:t>
      </w:r>
    </w:p>
    <w:p>
      <w:pPr>
        <w:spacing w:after="0" w:line="161" w:lineRule="exact"/>
        <w:rPr>
          <w:sz w:val="20"/>
          <w:szCs w:val="20"/>
          <w:color w:val="auto"/>
        </w:rPr>
      </w:pPr>
    </w:p>
    <w:p>
      <w:pPr>
        <w:ind w:left="1060" w:right="2499"/>
        <w:spacing w:after="0" w:line="259" w:lineRule="auto"/>
        <w:rPr>
          <w:sz w:val="20"/>
          <w:szCs w:val="20"/>
          <w:color w:val="auto"/>
        </w:rPr>
      </w:pPr>
      <w:r>
        <w:rPr>
          <w:rFonts w:ascii="Arial" w:cs="Arial" w:eastAsia="Arial" w:hAnsi="Arial"/>
          <w:sz w:val="15"/>
          <w:szCs w:val="15"/>
          <w:color w:val="auto"/>
        </w:rPr>
        <w:t>incentive fee, a new High-Water Mark will be established. Each new High-Water Mark will be equal to the most recent High-Water Mark, plus 10.0%. Any High-Water Mark then in effect will be adjusted to reflect any dividends paid by the Company or any stock split effected by the Company.</w:t>
      </w:r>
    </w:p>
    <w:p>
      <w:pPr>
        <w:spacing w:after="0" w:line="67" w:lineRule="exact"/>
        <w:rPr>
          <w:sz w:val="20"/>
          <w:szCs w:val="20"/>
          <w:color w:val="auto"/>
        </w:rPr>
      </w:pPr>
    </w:p>
    <w:p>
      <w:pPr>
        <w:jc w:val="both"/>
        <w:ind w:left="1060" w:right="2459" w:firstLine="297"/>
        <w:spacing w:after="0" w:line="259" w:lineRule="auto"/>
        <w:rPr>
          <w:sz w:val="20"/>
          <w:szCs w:val="20"/>
          <w:color w:val="auto"/>
        </w:rPr>
      </w:pPr>
      <w:r>
        <w:rPr>
          <w:rFonts w:ascii="Arial" w:cs="Arial" w:eastAsia="Arial" w:hAnsi="Arial"/>
          <w:sz w:val="15"/>
          <w:szCs w:val="15"/>
          <w:color w:val="auto"/>
        </w:rPr>
        <w:t>As of December 31, 2017 the Company has accrued $9,278,085 in incentive fees that have not yet become payable under the Investment Advisory Agreement. Pursuant to the Waiver Agreement, GSV Asset Management has agreed to forfeit $5.0 million of such amount.</w:t>
      </w:r>
    </w:p>
    <w:p>
      <w:pPr>
        <w:spacing w:after="0" w:line="67" w:lineRule="exact"/>
        <w:rPr>
          <w:sz w:val="20"/>
          <w:szCs w:val="20"/>
          <w:color w:val="auto"/>
        </w:rPr>
      </w:pPr>
    </w:p>
    <w:p>
      <w:pPr>
        <w:jc w:val="both"/>
        <w:ind w:left="1060" w:right="2559" w:firstLine="297"/>
        <w:spacing w:after="0" w:line="259" w:lineRule="auto"/>
        <w:rPr>
          <w:sz w:val="20"/>
          <w:szCs w:val="20"/>
          <w:color w:val="auto"/>
        </w:rPr>
      </w:pPr>
      <w:r>
        <w:rPr>
          <w:rFonts w:ascii="Arial" w:cs="Arial" w:eastAsia="Arial" w:hAnsi="Arial"/>
          <w:sz w:val="15"/>
          <w:szCs w:val="15"/>
          <w:color w:val="auto"/>
        </w:rPr>
        <w:t>For the avoidance of doubt, after these changes take effect, under no circumstances will the aggregate fees earned by GSV Asset Management in any quarterly period be higher than those aggregate fees that would have been earned prior to the effectiveness of the Waiver Agreement.</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12 — SELECTED QUARTERLY FINANCIAL DATA</w:t>
      </w:r>
    </w:p>
    <w:p>
      <w:pPr>
        <w:spacing w:after="0" w:line="92" w:lineRule="exact"/>
        <w:rPr>
          <w:sz w:val="20"/>
          <w:szCs w:val="20"/>
          <w:color w:val="auto"/>
        </w:rPr>
      </w:pPr>
    </w:p>
    <w:tbl>
      <w:tblPr>
        <w:tblLayout w:type="fixed"/>
        <w:tblInd w:w="1040" w:type="dxa"/>
        <w:tblCellMar>
          <w:top w:w="0" w:type="dxa"/>
          <w:left w:w="0" w:type="dxa"/>
          <w:bottom w:w="0" w:type="dxa"/>
          <w:right w:w="0" w:type="dxa"/>
        </w:tblCellMar>
      </w:tblPr>
      <w:tr>
        <w:trPr>
          <w:trHeight w:val="151"/>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2"/>
                <w:szCs w:val="12"/>
                <w:b w:val="1"/>
                <w:bCs w:val="1"/>
                <w:color w:val="auto"/>
              </w:rPr>
              <w:t>Quarter Ended</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7"/>
        </w:trPr>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spacing w:after="0"/>
              <w:rPr>
                <w:sz w:val="20"/>
                <w:szCs w:val="20"/>
                <w:color w:val="auto"/>
              </w:rPr>
            </w:pPr>
            <w:r>
              <w:rPr>
                <w:rFonts w:ascii="Arial" w:cs="Arial" w:eastAsia="Arial" w:hAnsi="Arial"/>
                <w:sz w:val="12"/>
                <w:szCs w:val="12"/>
                <w:b w:val="1"/>
                <w:bCs w:val="1"/>
                <w:color w:val="auto"/>
              </w:rPr>
              <w:t>December 31, 2017</w:t>
            </w:r>
          </w:p>
        </w:tc>
        <w:tc>
          <w:tcPr>
            <w:tcW w:w="1180" w:type="dxa"/>
            <w:vAlign w:val="bottom"/>
            <w:gridSpan w:val="5"/>
          </w:tcPr>
          <w:p>
            <w:pPr>
              <w:spacing w:after="0"/>
              <w:rPr>
                <w:sz w:val="20"/>
                <w:szCs w:val="20"/>
                <w:color w:val="auto"/>
              </w:rPr>
            </w:pPr>
            <w:r>
              <w:rPr>
                <w:rFonts w:ascii="Arial" w:cs="Arial" w:eastAsia="Arial" w:hAnsi="Arial"/>
                <w:sz w:val="12"/>
                <w:szCs w:val="12"/>
                <w:b w:val="1"/>
                <w:bCs w:val="1"/>
                <w:color w:val="auto"/>
              </w:rPr>
              <w:t>September 30, 2017</w:t>
            </w:r>
          </w:p>
        </w:tc>
        <w:tc>
          <w:tcPr>
            <w:tcW w:w="9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9"/>
              </w:rPr>
              <w:t>June 30, 2017</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March 31, 2017</w:t>
            </w:r>
          </w:p>
        </w:tc>
      </w:tr>
      <w:tr>
        <w:trPr>
          <w:trHeight w:val="170"/>
        </w:trPr>
        <w:tc>
          <w:tcPr>
            <w:tcW w:w="254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Total Investment Income/(Reversal of</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 Income)</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(31,196)</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174,912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370,593</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338,459</w:t>
            </w:r>
          </w:p>
        </w:tc>
      </w:tr>
      <w:tr>
        <w:trPr>
          <w:trHeight w:val="190"/>
        </w:trPr>
        <w:tc>
          <w:tcPr>
            <w:tcW w:w="254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3,712,391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98"/>
              </w:rPr>
              <w:t>6,975,539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6,423,452</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5,328,473</w:t>
            </w:r>
          </w:p>
        </w:tc>
      </w:tr>
      <w:tr>
        <w:trPr>
          <w:trHeight w:val="201"/>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Management fee waiver</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(181,906)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(174,666)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(169,898)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(181,802)</w:t>
            </w: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2540" w:type="dxa"/>
            <w:vAlign w:val="bottom"/>
          </w:tcPr>
          <w:p>
            <w:pPr>
              <w:ind w:left="20"/>
              <w:spacing w:after="0" w:line="170" w:lineRule="exact"/>
              <w:rPr>
                <w:sz w:val="20"/>
                <w:szCs w:val="20"/>
                <w:color w:val="auto"/>
              </w:rPr>
            </w:pPr>
            <w:r>
              <w:rPr>
                <w:rFonts w:ascii="Arial" w:cs="Arial" w:eastAsia="Arial" w:hAnsi="Arial"/>
                <w:sz w:val="15"/>
                <w:szCs w:val="15"/>
                <w:color w:val="auto"/>
              </w:rPr>
              <w:t>Net Investment Loss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w w:val="99"/>
              </w:rPr>
              <w:t>(3,561,681)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line="170" w:lineRule="exact"/>
              <w:rPr>
                <w:sz w:val="20"/>
                <w:szCs w:val="20"/>
                <w:color w:val="auto"/>
              </w:rPr>
            </w:pPr>
            <w:r>
              <w:rPr>
                <w:rFonts w:ascii="Arial" w:cs="Arial" w:eastAsia="Arial" w:hAnsi="Arial"/>
                <w:sz w:val="15"/>
                <w:szCs w:val="15"/>
                <w:color w:val="auto"/>
                <w:w w:val="91"/>
              </w:rPr>
              <w:t>(6,625,961)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line="170" w:lineRule="exact"/>
              <w:rPr>
                <w:sz w:val="20"/>
                <w:szCs w:val="20"/>
                <w:color w:val="auto"/>
              </w:rPr>
            </w:pPr>
            <w:r>
              <w:rPr>
                <w:rFonts w:ascii="Arial" w:cs="Arial" w:eastAsia="Arial" w:hAnsi="Arial"/>
                <w:sz w:val="15"/>
                <w:szCs w:val="15"/>
                <w:color w:val="auto"/>
                <w:w w:val="91"/>
              </w:rPr>
              <w:t>(5,882,961)</w:t>
            </w:r>
          </w:p>
        </w:tc>
        <w:tc>
          <w:tcPr>
            <w:tcW w:w="80" w:type="dxa"/>
            <w:vAlign w:val="bottom"/>
          </w:tcPr>
          <w:p>
            <w:pPr>
              <w:spacing w:after="0"/>
              <w:rPr>
                <w:sz w:val="14"/>
                <w:szCs w:val="14"/>
                <w:color w:val="auto"/>
              </w:rPr>
            </w:pPr>
          </w:p>
        </w:tc>
        <w:tc>
          <w:tcPr>
            <w:tcW w:w="780" w:type="dxa"/>
            <w:vAlign w:val="bottom"/>
            <w:gridSpan w:val="2"/>
          </w:tcPr>
          <w:p>
            <w:pPr>
              <w:jc w:val="right"/>
              <w:spacing w:after="0" w:line="170" w:lineRule="exact"/>
              <w:rPr>
                <w:sz w:val="20"/>
                <w:szCs w:val="20"/>
                <w:color w:val="auto"/>
              </w:rPr>
            </w:pPr>
            <w:r>
              <w:rPr>
                <w:rFonts w:ascii="Arial" w:cs="Arial" w:eastAsia="Arial" w:hAnsi="Arial"/>
                <w:sz w:val="15"/>
                <w:szCs w:val="15"/>
                <w:color w:val="auto"/>
                <w:w w:val="99"/>
              </w:rPr>
              <w:t>(4,808,212)</w:t>
            </w:r>
          </w:p>
        </w:tc>
      </w:tr>
      <w:tr>
        <w:trPr>
          <w:trHeight w:val="29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Net Realized Gain/(Loss) on Investments</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25,241,064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8"/>
              </w:rPr>
              <w:t>1,033,577</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(671,492)</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9"/>
              </w:rPr>
              <w:t>(24,689,167)</w:t>
            </w:r>
          </w:p>
        </w:tc>
      </w:tr>
      <w:tr>
        <w:trPr>
          <w:trHeight w:val="190"/>
        </w:trPr>
        <w:tc>
          <w:tcPr>
            <w:tcW w:w="2540" w:type="dxa"/>
            <w:vAlign w:val="bottom"/>
          </w:tcPr>
          <w:p>
            <w:pPr>
              <w:ind w:left="20"/>
              <w:spacing w:after="0"/>
              <w:rPr>
                <w:sz w:val="20"/>
                <w:szCs w:val="20"/>
                <w:color w:val="auto"/>
              </w:rPr>
            </w:pPr>
            <w:r>
              <w:rPr>
                <w:rFonts w:ascii="Arial" w:cs="Arial" w:eastAsia="Arial" w:hAnsi="Arial"/>
                <w:sz w:val="15"/>
                <w:szCs w:val="15"/>
                <w:color w:val="auto"/>
                <w:w w:val="94"/>
              </w:rPr>
              <w:t>Net Change in Unrealized Appreciation/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5"/>
                <w:szCs w:val="15"/>
                <w:color w:val="auto"/>
              </w:rPr>
              <w:t>(Depreciation)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(26,893,780)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15,636,683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12,752,528</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33,280,265</w:t>
            </w:r>
          </w:p>
        </w:tc>
      </w:tr>
      <w:tr>
        <w:trPr>
          <w:trHeight w:val="191"/>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Benefit from Taxes on Unrealized</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 of Investments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2,730,365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26,705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r>
        <w:trPr>
          <w:trHeight w:val="171"/>
        </w:trPr>
        <w:tc>
          <w:tcPr>
            <w:tcW w:w="2540" w:type="dxa"/>
            <w:vAlign w:val="bottom"/>
            <w:tcBorders>
              <w:top w:val="single" w:sz="8" w:color="CCEEFF"/>
            </w:tcBorders>
          </w:tcPr>
          <w:p>
            <w:pPr>
              <w:ind w:left="20"/>
              <w:spacing w:after="0" w:line="171" w:lineRule="exact"/>
              <w:rPr>
                <w:sz w:val="20"/>
                <w:szCs w:val="20"/>
                <w:color w:val="auto"/>
              </w:rPr>
            </w:pPr>
            <w:r>
              <w:rPr>
                <w:rFonts w:ascii="Arial" w:cs="Arial" w:eastAsia="Arial" w:hAnsi="Arial"/>
                <w:sz w:val="15"/>
                <w:szCs w:val="15"/>
                <w:color w:val="auto"/>
                <w:w w:val="97"/>
              </w:rPr>
              <w:t>Net Increase (Decrease) in Net Assets</w:t>
            </w: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9"/>
        </w:trPr>
        <w:tc>
          <w:tcPr>
            <w:tcW w:w="2540" w:type="dxa"/>
            <w:vAlign w:val="bottom"/>
          </w:tcPr>
          <w:p>
            <w:pPr>
              <w:ind w:left="160"/>
              <w:spacing w:after="0"/>
              <w:rPr>
                <w:sz w:val="20"/>
                <w:szCs w:val="20"/>
                <w:color w:val="auto"/>
              </w:rPr>
            </w:pPr>
            <w:r>
              <w:rPr>
                <w:rFonts w:ascii="Arial" w:cs="Arial" w:eastAsia="Arial" w:hAnsi="Arial"/>
                <w:sz w:val="15"/>
                <w:szCs w:val="15"/>
                <w:color w:val="auto"/>
              </w:rPr>
              <w:t>Resulting from Operations</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w w:val="99"/>
              </w:rPr>
              <w:t>(2,484,032)</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10,071,004</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6,198,075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3,782,886</w:t>
            </w:r>
          </w:p>
        </w:tc>
      </w:tr>
      <w:tr>
        <w:trPr>
          <w:trHeight w:val="231"/>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7"/>
              </w:rPr>
              <w:t>Net Increase (Decrease) in Net Assets</w:t>
            </w: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r>
      <w:tr>
        <w:trPr>
          <w:trHeight w:val="189"/>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from Operations per Common Share: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2540" w:type="dxa"/>
            <w:vAlign w:val="bottom"/>
          </w:tcPr>
          <w:p>
            <w:pPr>
              <w:ind w:left="160"/>
              <w:spacing w:after="0"/>
              <w:rPr>
                <w:sz w:val="20"/>
                <w:szCs w:val="20"/>
                <w:color w:val="auto"/>
              </w:rPr>
            </w:pPr>
            <w:r>
              <w:rPr>
                <w:rFonts w:ascii="Arial" w:cs="Arial" w:eastAsia="Arial" w:hAnsi="Arial"/>
                <w:sz w:val="15"/>
                <w:szCs w:val="15"/>
                <w:color w:val="auto"/>
              </w:rPr>
              <w:t>Basic</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(0.11)</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0.46</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0.28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0.17</w:t>
            </w:r>
          </w:p>
        </w:tc>
      </w:tr>
      <w:tr>
        <w:trPr>
          <w:trHeight w:val="201"/>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(0.11)</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0.17</w:t>
            </w:r>
          </w:p>
        </w:tc>
      </w:tr>
      <w:tr>
        <w:trPr>
          <w:trHeight w:val="291"/>
        </w:trPr>
        <w:tc>
          <w:tcPr>
            <w:tcW w:w="2540" w:type="dxa"/>
            <w:vAlign w:val="bottom"/>
          </w:tcPr>
          <w:p>
            <w:pPr>
              <w:ind w:left="20"/>
              <w:spacing w:after="0"/>
              <w:rPr>
                <w:sz w:val="20"/>
                <w:szCs w:val="20"/>
                <w:color w:val="auto"/>
              </w:rPr>
            </w:pPr>
            <w:r>
              <w:rPr>
                <w:rFonts w:ascii="Arial" w:cs="Arial" w:eastAsia="Arial" w:hAnsi="Arial"/>
                <w:sz w:val="15"/>
                <w:szCs w:val="15"/>
                <w:color w:val="auto"/>
              </w:rPr>
              <w:t>Weighted Average Common Shares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5"/>
                <w:szCs w:val="15"/>
                <w:color w:val="auto"/>
              </w:rPr>
              <w:t>Outstanding – Basic</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21,343,746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22,000,571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22,181,003</w:t>
            </w: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22,181,003</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9"/>
        </w:trPr>
        <w:tc>
          <w:tcPr>
            <w:tcW w:w="25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Outstanding – Diluted</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21,343,746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7"/>
              </w:rPr>
              <w:t>27,752,386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27,932,818</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22,181,003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-1352550</wp:posOffset>
            </wp:positionV>
            <wp:extent cx="28575"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-2139315</wp:posOffset>
            </wp:positionV>
            <wp:extent cx="28575"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-2628265</wp:posOffset>
            </wp:positionV>
            <wp:extent cx="2857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-2628265</wp:posOffset>
            </wp:positionV>
            <wp:extent cx="113665"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-2628265</wp:posOffset>
            </wp:positionV>
            <wp:extent cx="11366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-2628265</wp:posOffset>
            </wp:positionV>
            <wp:extent cx="242316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4231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0" w:name="page141"/>
    <w:bookmarkEnd w:id="140"/>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55" w:lineRule="exact"/>
        <w:rPr>
          <w:sz w:val="20"/>
          <w:szCs w:val="20"/>
          <w:color w:val="auto"/>
        </w:rPr>
      </w:pPr>
    </w:p>
    <w:tbl>
      <w:tblPr>
        <w:tblLayout w:type="fixed"/>
        <w:tblInd w:w="1040" w:type="dxa"/>
        <w:tblCellMar>
          <w:top w:w="0" w:type="dxa"/>
          <w:left w:w="0" w:type="dxa"/>
          <w:bottom w:w="0" w:type="dxa"/>
          <w:right w:w="0" w:type="dxa"/>
        </w:tblCellMar>
      </w:tblPr>
      <w:tr>
        <w:trPr>
          <w:trHeight w:val="151"/>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2"/>
                <w:szCs w:val="12"/>
                <w:b w:val="1"/>
                <w:bCs w:val="1"/>
                <w:color w:val="auto"/>
              </w:rPr>
              <w:t>Quarter Ended</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680" w:type="dxa"/>
            <w:vAlign w:val="bottom"/>
          </w:tcPr>
          <w:p>
            <w:pPr>
              <w:spacing w:after="0"/>
              <w:rPr>
                <w:sz w:val="12"/>
                <w:szCs w:val="12"/>
                <w:color w:val="auto"/>
              </w:rPr>
            </w:pPr>
          </w:p>
        </w:tc>
        <w:tc>
          <w:tcPr>
            <w:tcW w:w="1140" w:type="dxa"/>
            <w:vAlign w:val="bottom"/>
            <w:gridSpan w:val="5"/>
          </w:tcPr>
          <w:p>
            <w:pPr>
              <w:spacing w:after="0"/>
              <w:rPr>
                <w:sz w:val="20"/>
                <w:szCs w:val="20"/>
                <w:color w:val="auto"/>
              </w:rPr>
            </w:pPr>
            <w:r>
              <w:rPr>
                <w:rFonts w:ascii="Arial" w:cs="Arial" w:eastAsia="Arial" w:hAnsi="Arial"/>
                <w:sz w:val="12"/>
                <w:szCs w:val="12"/>
                <w:b w:val="1"/>
                <w:bCs w:val="1"/>
                <w:color w:val="auto"/>
              </w:rPr>
              <w:t>December 31, 2016</w:t>
            </w:r>
          </w:p>
        </w:tc>
        <w:tc>
          <w:tcPr>
            <w:tcW w:w="1180" w:type="dxa"/>
            <w:vAlign w:val="bottom"/>
            <w:gridSpan w:val="5"/>
          </w:tcPr>
          <w:p>
            <w:pPr>
              <w:spacing w:after="0"/>
              <w:rPr>
                <w:sz w:val="20"/>
                <w:szCs w:val="20"/>
                <w:color w:val="auto"/>
              </w:rPr>
            </w:pPr>
            <w:r>
              <w:rPr>
                <w:rFonts w:ascii="Arial" w:cs="Arial" w:eastAsia="Arial" w:hAnsi="Arial"/>
                <w:sz w:val="12"/>
                <w:szCs w:val="12"/>
                <w:b w:val="1"/>
                <w:bCs w:val="1"/>
                <w:color w:val="auto"/>
              </w:rPr>
              <w:t>September 30, 2016</w:t>
            </w:r>
          </w:p>
        </w:tc>
        <w:tc>
          <w:tcPr>
            <w:tcW w:w="98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92"/>
              </w:rPr>
              <w:t>June 30, 2016</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March 31, 2016</w:t>
            </w:r>
          </w:p>
        </w:tc>
        <w:tc>
          <w:tcPr>
            <w:tcW w:w="0" w:type="dxa"/>
            <w:vAlign w:val="bottom"/>
          </w:tcPr>
          <w:p>
            <w:pPr>
              <w:spacing w:after="0"/>
              <w:rPr>
                <w:sz w:val="1"/>
                <w:szCs w:val="1"/>
                <w:color w:val="auto"/>
              </w:rPr>
            </w:pPr>
          </w:p>
        </w:tc>
      </w:tr>
      <w:tr>
        <w:trPr>
          <w:trHeight w:val="170"/>
        </w:trPr>
        <w:tc>
          <w:tcPr>
            <w:tcW w:w="26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Total Investment Income/(Reversal of</w:t>
            </w: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601,102</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86,648</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(54,119)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w w:val="99"/>
              </w:rPr>
              <w:t>(3,262,224)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4,308,303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1,397,922</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(444,355)</w:t>
            </w:r>
          </w:p>
        </w:tc>
        <w:tc>
          <w:tcPr>
            <w:tcW w:w="0" w:type="dxa"/>
            <w:vAlign w:val="bottom"/>
          </w:tcPr>
          <w:p>
            <w:pPr>
              <w:spacing w:after="0"/>
              <w:rPr>
                <w:sz w:val="1"/>
                <w:szCs w:val="1"/>
                <w:color w:val="auto"/>
              </w:rPr>
            </w:pPr>
          </w:p>
        </w:tc>
      </w:tr>
      <w:tr>
        <w:trPr>
          <w:trHeight w:val="20"/>
        </w:trPr>
        <w:tc>
          <w:tcPr>
            <w:tcW w:w="2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8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Net Investment Income/(Loss)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3,863,326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w w:val="91"/>
              </w:rPr>
              <w:t>(4,221,655)</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w w:val="99"/>
              </w:rPr>
              <w:t>(1,452,041)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547,007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680" w:type="dxa"/>
            <w:vAlign w:val="bottom"/>
          </w:tcPr>
          <w:p>
            <w:pPr>
              <w:ind w:left="20"/>
              <w:spacing w:after="0"/>
              <w:rPr>
                <w:sz w:val="20"/>
                <w:szCs w:val="20"/>
                <w:color w:val="auto"/>
              </w:rPr>
            </w:pPr>
            <w:r>
              <w:rPr>
                <w:rFonts w:ascii="Arial" w:cs="Arial" w:eastAsia="Arial" w:hAnsi="Arial"/>
                <w:sz w:val="15"/>
                <w:szCs w:val="15"/>
                <w:color w:val="auto"/>
                <w:w w:val="96"/>
              </w:rPr>
              <w:t>Net Realized Gain/(Loss) on Investments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(322,477)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2,658,715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1,104,361</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96"/>
              </w:rPr>
              <w:t>(6,075,070)</w:t>
            </w:r>
          </w:p>
        </w:tc>
        <w:tc>
          <w:tcPr>
            <w:tcW w:w="0" w:type="dxa"/>
            <w:vAlign w:val="bottom"/>
          </w:tcPr>
          <w:p>
            <w:pPr>
              <w:spacing w:after="0"/>
              <w:rPr>
                <w:sz w:val="1"/>
                <w:szCs w:val="1"/>
                <w:color w:val="auto"/>
              </w:rPr>
            </w:pPr>
          </w:p>
        </w:tc>
      </w:tr>
      <w:tr>
        <w:trPr>
          <w:trHeight w:val="191"/>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Unrealized Depreciation</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of Investments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9"/>
              </w:rPr>
              <w:t>(36,597,249)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(1,261,709)</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(15,933,886)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(19,421,001)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80" w:type="dxa"/>
            <w:vAlign w:val="bottom"/>
          </w:tcPr>
          <w:p>
            <w:pPr>
              <w:ind w:left="20"/>
              <w:spacing w:after="0"/>
              <w:rPr>
                <w:sz w:val="20"/>
                <w:szCs w:val="20"/>
                <w:color w:val="auto"/>
              </w:rPr>
            </w:pPr>
            <w:r>
              <w:rPr>
                <w:rFonts w:ascii="Arial" w:cs="Arial" w:eastAsia="Arial" w:hAnsi="Arial"/>
                <w:sz w:val="15"/>
                <w:szCs w:val="15"/>
                <w:color w:val="auto"/>
              </w:rPr>
              <w:t>Benefit from Taxes on Unrealized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60"/>
              <w:spacing w:after="0"/>
              <w:rPr>
                <w:sz w:val="20"/>
                <w:szCs w:val="20"/>
                <w:color w:val="auto"/>
              </w:rPr>
            </w:pPr>
            <w:r>
              <w:rPr>
                <w:rFonts w:ascii="Arial" w:cs="Arial" w:eastAsia="Arial" w:hAnsi="Arial"/>
                <w:sz w:val="15"/>
                <w:szCs w:val="15"/>
                <w:color w:val="auto"/>
              </w:rPr>
              <w:t>Depreciation of Investments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1,565,474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551,310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Decrease in Net Assets Resulting</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from Operations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9"/>
              </w:rPr>
              <w:t>(31,490,926)</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(2,273,339)</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(16,281,566)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(24,949,064</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Decrease in Net Assets from</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60"/>
              <w:spacing w:after="0"/>
              <w:rPr>
                <w:sz w:val="20"/>
                <w:szCs w:val="20"/>
                <w:color w:val="auto"/>
              </w:rPr>
            </w:pPr>
            <w:r>
              <w:rPr>
                <w:rFonts w:ascii="Arial" w:cs="Arial" w:eastAsia="Arial" w:hAnsi="Arial"/>
                <w:sz w:val="15"/>
                <w:szCs w:val="15"/>
                <w:color w:val="auto"/>
              </w:rPr>
              <w:t>Operations per Common Share: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60"/>
              <w:spacing w:after="0"/>
              <w:rPr>
                <w:sz w:val="20"/>
                <w:szCs w:val="20"/>
                <w:color w:val="auto"/>
              </w:rPr>
            </w:pPr>
            <w:r>
              <w:rPr>
                <w:rFonts w:ascii="Arial" w:cs="Arial" w:eastAsia="Arial" w:hAnsi="Arial"/>
                <w:sz w:val="15"/>
                <w:szCs w:val="15"/>
                <w:color w:val="auto"/>
              </w:rPr>
              <w:t>Basic</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(1.42)</w:t>
            </w:r>
          </w:p>
        </w:tc>
        <w:tc>
          <w:tcPr>
            <w:tcW w:w="1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(0.10)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(0.74)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1"/>
        </w:trPr>
        <w:tc>
          <w:tcPr>
            <w:tcW w:w="2680" w:type="dxa"/>
            <w:vAlign w:val="bottom"/>
          </w:tcPr>
          <w:p>
            <w:pPr>
              <w:ind w:left="160"/>
              <w:spacing w:after="0"/>
              <w:rPr>
                <w:sz w:val="20"/>
                <w:szCs w:val="20"/>
                <w:color w:val="auto"/>
              </w:rPr>
            </w:pPr>
            <w:r>
              <w:rPr>
                <w:rFonts w:ascii="Arial" w:cs="Arial" w:eastAsia="Arial" w:hAnsi="Arial"/>
                <w:sz w:val="15"/>
                <w:szCs w:val="15"/>
                <w:color w:val="auto"/>
              </w:rPr>
              <w:t>Diluted</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(1.42)</w:t>
            </w:r>
          </w:p>
        </w:tc>
        <w:tc>
          <w:tcPr>
            <w:tcW w:w="1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(0.10)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(0.74)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91"/>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Outstanding – Basic</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22,181,003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5"/>
              </w:rPr>
              <w:t>22,181,003</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22,181,003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22,181,003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5"/>
                <w:szCs w:val="15"/>
                <w:color w:val="auto"/>
              </w:rPr>
              <w:t>Weighted Average Common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60"/>
              <w:spacing w:after="0"/>
              <w:rPr>
                <w:sz w:val="20"/>
                <w:szCs w:val="20"/>
                <w:color w:val="auto"/>
              </w:rPr>
            </w:pPr>
            <w:r>
              <w:rPr>
                <w:rFonts w:ascii="Arial" w:cs="Arial" w:eastAsia="Arial" w:hAnsi="Arial"/>
                <w:sz w:val="15"/>
                <w:szCs w:val="15"/>
                <w:color w:val="auto"/>
              </w:rPr>
              <w:t>Outstanding – Diluted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22,181,003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5"/>
              </w:rPr>
              <w:t>22,181,003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22,181,003</w:t>
            </w:r>
          </w:p>
        </w:tc>
        <w:tc>
          <w:tcPr>
            <w:tcW w:w="100" w:type="dxa"/>
            <w:vAlign w:val="bottom"/>
          </w:tcPr>
          <w:p>
            <w:pPr>
              <w:spacing w:after="0"/>
              <w:rPr>
                <w:sz w:val="16"/>
                <w:szCs w:val="16"/>
                <w:color w:val="auto"/>
              </w:rPr>
            </w:pPr>
          </w:p>
        </w:tc>
        <w:tc>
          <w:tcPr>
            <w:tcW w:w="760" w:type="dxa"/>
            <w:vAlign w:val="bottom"/>
            <w:gridSpan w:val="2"/>
          </w:tcPr>
          <w:p>
            <w:pPr>
              <w:jc w:val="right"/>
              <w:ind w:right="3"/>
              <w:spacing w:after="0"/>
              <w:rPr>
                <w:sz w:val="20"/>
                <w:szCs w:val="20"/>
                <w:color w:val="auto"/>
              </w:rPr>
            </w:pPr>
            <w:r>
              <w:rPr>
                <w:rFonts w:ascii="Arial" w:cs="Arial" w:eastAsia="Arial" w:hAnsi="Arial"/>
                <w:sz w:val="15"/>
                <w:szCs w:val="15"/>
                <w:color w:val="auto"/>
                <w:w w:val="93"/>
              </w:rPr>
              <w:t>22,181,003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-807085</wp:posOffset>
            </wp:positionV>
            <wp:extent cx="4308475" cy="1276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308475" cy="12763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-1359535</wp:posOffset>
            </wp:positionV>
            <wp:extent cx="12065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0650" cy="698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-1359535</wp:posOffset>
            </wp:positionV>
            <wp:extent cx="19812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9812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-1359535</wp:posOffset>
            </wp:positionV>
            <wp:extent cx="2487295"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487295"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-2146300</wp:posOffset>
            </wp:positionV>
            <wp:extent cx="12065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0650" cy="698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-2146300</wp:posOffset>
            </wp:positionV>
            <wp:extent cx="198120"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9812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-2146300</wp:posOffset>
            </wp:positionV>
            <wp:extent cx="2487295"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487295" cy="69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-2514600</wp:posOffset>
            </wp:positionV>
            <wp:extent cx="11366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-2514600</wp:posOffset>
            </wp:positionV>
            <wp:extent cx="113665"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-2514600</wp:posOffset>
            </wp:positionV>
            <wp:extent cx="241617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4161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1" w:name="page142"/>
    <w:bookmarkEnd w:id="141"/>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55" w:lineRule="exact"/>
        <w:rPr>
          <w:sz w:val="20"/>
          <w:szCs w:val="20"/>
          <w:color w:val="auto"/>
        </w:rPr>
      </w:pPr>
    </w:p>
    <w:tbl>
      <w:tblPr>
        <w:tblLayout w:type="fixed"/>
        <w:tblInd w:w="1040" w:type="dxa"/>
        <w:tblCellMar>
          <w:top w:w="0" w:type="dxa"/>
          <w:left w:w="0" w:type="dxa"/>
          <w:bottom w:w="0" w:type="dxa"/>
          <w:right w:w="0" w:type="dxa"/>
        </w:tblCellMar>
      </w:tblPr>
      <w:tr>
        <w:trPr>
          <w:trHeight w:val="151"/>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2"/>
                <w:szCs w:val="12"/>
                <w:b w:val="1"/>
                <w:bCs w:val="1"/>
                <w:color w:val="auto"/>
              </w:rPr>
              <w:t>Quarter Ended</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spacing w:after="0"/>
              <w:rPr>
                <w:sz w:val="20"/>
                <w:szCs w:val="20"/>
                <w:color w:val="auto"/>
              </w:rPr>
            </w:pPr>
            <w:r>
              <w:rPr>
                <w:rFonts w:ascii="Arial" w:cs="Arial" w:eastAsia="Arial" w:hAnsi="Arial"/>
                <w:sz w:val="12"/>
                <w:szCs w:val="12"/>
                <w:b w:val="1"/>
                <w:bCs w:val="1"/>
                <w:color w:val="auto"/>
              </w:rPr>
              <w:t>December 31, 2015</w:t>
            </w:r>
          </w:p>
        </w:tc>
        <w:tc>
          <w:tcPr>
            <w:tcW w:w="1180" w:type="dxa"/>
            <w:vAlign w:val="bottom"/>
            <w:gridSpan w:val="5"/>
          </w:tcPr>
          <w:p>
            <w:pPr>
              <w:spacing w:after="0"/>
              <w:rPr>
                <w:sz w:val="20"/>
                <w:szCs w:val="20"/>
                <w:color w:val="auto"/>
              </w:rPr>
            </w:pPr>
            <w:r>
              <w:rPr>
                <w:rFonts w:ascii="Arial" w:cs="Arial" w:eastAsia="Arial" w:hAnsi="Arial"/>
                <w:sz w:val="12"/>
                <w:szCs w:val="12"/>
                <w:b w:val="1"/>
                <w:bCs w:val="1"/>
                <w:color w:val="auto"/>
              </w:rPr>
              <w:t>September 30, 2015</w:t>
            </w:r>
          </w:p>
        </w:tc>
        <w:tc>
          <w:tcPr>
            <w:tcW w:w="9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9"/>
              </w:rPr>
              <w:t>June 30, 2015</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w w:val="95"/>
              </w:rPr>
              <w:t>March 31, 2015</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8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Total Investment Income</w:t>
            </w:r>
          </w:p>
        </w:tc>
        <w:tc>
          <w:tcPr>
            <w:tcW w:w="1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5"/>
                <w:szCs w:val="15"/>
                <w:color w:val="auto"/>
              </w:rPr>
              <w:t>68,618</w:t>
            </w:r>
          </w:p>
        </w:tc>
        <w:tc>
          <w:tcPr>
            <w:tcW w:w="1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39,363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80"/>
              <w:spacing w:after="0" w:line="170" w:lineRule="exact"/>
              <w:rPr>
                <w:sz w:val="20"/>
                <w:szCs w:val="20"/>
                <w:color w:val="auto"/>
              </w:rPr>
            </w:pPr>
            <w:r>
              <w:rPr>
                <w:rFonts w:ascii="Arial" w:cs="Arial" w:eastAsia="Arial" w:hAnsi="Arial"/>
                <w:sz w:val="15"/>
                <w:szCs w:val="15"/>
                <w:color w:val="auto"/>
              </w:rPr>
              <w:t>123,891</w:t>
            </w:r>
          </w:p>
        </w:tc>
        <w:tc>
          <w:tcPr>
            <w:tcW w:w="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59,024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1,653,104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6,239,277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6,233,424</w:t>
            </w: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12,852,430</w:t>
            </w: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Benefit from/(Provision for) Taxes on Net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 Loss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9"/>
              </w:rPr>
              <w:t>(3,103,505)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(26,583,935)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2,494,459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5,223,611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80" w:type="dxa"/>
            <w:vAlign w:val="bottom"/>
          </w:tcPr>
          <w:p>
            <w:pPr>
              <w:ind w:left="20"/>
              <w:spacing w:after="0" w:line="170" w:lineRule="exact"/>
              <w:rPr>
                <w:sz w:val="20"/>
                <w:szCs w:val="20"/>
                <w:color w:val="auto"/>
              </w:rPr>
            </w:pPr>
            <w:r>
              <w:rPr>
                <w:rFonts w:ascii="Arial" w:cs="Arial" w:eastAsia="Arial" w:hAnsi="Arial"/>
                <w:sz w:val="15"/>
                <w:szCs w:val="15"/>
                <w:color w:val="auto"/>
              </w:rPr>
              <w:t>Net Investment Loss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w w:val="99"/>
              </w:rPr>
              <w:t>(4,687,991)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w w:val="86"/>
              </w:rPr>
              <w:t>(32,783,849)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line="170" w:lineRule="exact"/>
              <w:rPr>
                <w:sz w:val="20"/>
                <w:szCs w:val="20"/>
                <w:color w:val="auto"/>
              </w:rPr>
            </w:pPr>
            <w:r>
              <w:rPr>
                <w:rFonts w:ascii="Arial" w:cs="Arial" w:eastAsia="Arial" w:hAnsi="Arial"/>
                <w:sz w:val="15"/>
                <w:szCs w:val="15"/>
                <w:color w:val="auto"/>
                <w:w w:val="91"/>
              </w:rPr>
              <w:t>(3,615,074)</w:t>
            </w:r>
          </w:p>
        </w:tc>
        <w:tc>
          <w:tcPr>
            <w:tcW w:w="80" w:type="dxa"/>
            <w:vAlign w:val="bottom"/>
          </w:tcPr>
          <w:p>
            <w:pPr>
              <w:spacing w:after="0"/>
              <w:rPr>
                <w:sz w:val="14"/>
                <w:szCs w:val="14"/>
                <w:color w:val="auto"/>
              </w:rPr>
            </w:pPr>
          </w:p>
        </w:tc>
        <w:tc>
          <w:tcPr>
            <w:tcW w:w="760" w:type="dxa"/>
            <w:vAlign w:val="bottom"/>
            <w:gridSpan w:val="2"/>
          </w:tcPr>
          <w:p>
            <w:pPr>
              <w:jc w:val="right"/>
              <w:spacing w:after="0" w:line="170" w:lineRule="exact"/>
              <w:rPr>
                <w:sz w:val="20"/>
                <w:szCs w:val="20"/>
                <w:color w:val="auto"/>
              </w:rPr>
            </w:pPr>
            <w:r>
              <w:rPr>
                <w:rFonts w:ascii="Arial" w:cs="Arial" w:eastAsia="Arial" w:hAnsi="Arial"/>
                <w:sz w:val="15"/>
                <w:szCs w:val="15"/>
                <w:color w:val="auto"/>
                <w:w w:val="96"/>
              </w:rPr>
              <w:t>(7,569,795)</w:t>
            </w:r>
          </w:p>
        </w:tc>
        <w:tc>
          <w:tcPr>
            <w:tcW w:w="0" w:type="dxa"/>
            <w:vAlign w:val="bottom"/>
          </w:tcPr>
          <w:p>
            <w:pPr>
              <w:spacing w:after="0"/>
              <w:rPr>
                <w:sz w:val="1"/>
                <w:szCs w:val="1"/>
                <w:color w:val="auto"/>
              </w:rPr>
            </w:pPr>
          </w:p>
        </w:tc>
      </w:tr>
      <w:tr>
        <w:trPr>
          <w:trHeight w:val="290"/>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Net Realized Gain/(Loss) on Investments</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(604)</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27,289,816</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13,636,614</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13,218,403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5"/>
                <w:szCs w:val="15"/>
                <w:color w:val="auto"/>
                <w:w w:val="93"/>
              </w:rPr>
              <w:t>Benefit from/(Provision for) Taxes on Net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5"/>
                <w:szCs w:val="15"/>
                <w:color w:val="auto"/>
              </w:rPr>
              <w:t>Realized Capital Gain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11,307,706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w w:val="91"/>
              </w:rPr>
              <w:t>(5,567,830)</w:t>
            </w: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96"/>
              </w:rPr>
              <w:t>(5,397,074)</w:t>
            </w: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Net Change in Unrealized Appreciation/</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 of Investments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9"/>
              </w:rPr>
              <w:t>(13,480,259)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6"/>
              </w:rPr>
              <w:t>(21,981,668)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1"/>
              </w:rPr>
              <w:t>(5,744,399)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27,784,081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5"/>
                <w:szCs w:val="15"/>
                <w:color w:val="auto"/>
              </w:rPr>
              <w:t>Benefit from/(Provision for) Taxes 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80" w:type="dxa"/>
            <w:vAlign w:val="bottom"/>
          </w:tcPr>
          <w:p>
            <w:pPr>
              <w:ind w:left="160"/>
              <w:spacing w:after="0"/>
              <w:rPr>
                <w:sz w:val="20"/>
                <w:szCs w:val="20"/>
                <w:color w:val="auto"/>
              </w:rPr>
            </w:pPr>
            <w:r>
              <w:rPr>
                <w:rFonts w:ascii="Arial" w:cs="Arial" w:eastAsia="Arial" w:hAnsi="Arial"/>
                <w:sz w:val="15"/>
                <w:szCs w:val="15"/>
                <w:color w:val="auto"/>
                <w:w w:val="96"/>
              </w:rPr>
              <w:t>Unrealized Depreciation/Appreciation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5"/>
                <w:szCs w:val="15"/>
                <w:color w:val="auto"/>
              </w:rPr>
              <w:t>of Investments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36,197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25,020,686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2,372,190</w:t>
            </w: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w w:val="86"/>
              </w:rPr>
              <w:t>(11,370,993)</w:t>
            </w:r>
          </w:p>
        </w:tc>
        <w:tc>
          <w:tcPr>
            <w:tcW w:w="0" w:type="dxa"/>
            <w:vAlign w:val="bottom"/>
          </w:tcPr>
          <w:p>
            <w:pPr>
              <w:spacing w:after="0"/>
              <w:rPr>
                <w:sz w:val="1"/>
                <w:szCs w:val="1"/>
                <w:color w:val="auto"/>
              </w:rPr>
            </w:pPr>
          </w:p>
        </w:tc>
      </w:tr>
      <w:tr>
        <w:trPr>
          <w:trHeight w:val="171"/>
        </w:trPr>
        <w:tc>
          <w:tcPr>
            <w:tcW w:w="258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5"/>
                <w:szCs w:val="15"/>
                <w:color w:val="auto"/>
                <w:w w:val="99"/>
              </w:rPr>
              <w:t>Net Increase (Decrease) in Net Assets</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Resulting from Operations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9"/>
              </w:rPr>
              <w:t>(18,132,657)</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8,852,691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8"/>
              </w:rPr>
              <w:t>1,081,501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16,664,622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w w:val="99"/>
              </w:rPr>
              <w:t>Net Increase (Decrease) in Net Assets</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5"/>
                <w:szCs w:val="15"/>
                <w:color w:val="auto"/>
                <w:w w:val="97"/>
              </w:rPr>
              <w:t>from Operations per Common Share: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(0.94)</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80" w:type="dxa"/>
            <w:vAlign w:val="bottom"/>
          </w:tcPr>
          <w:p>
            <w:pPr>
              <w:ind w:left="160"/>
              <w:spacing w:after="0"/>
              <w:rPr>
                <w:sz w:val="20"/>
                <w:szCs w:val="20"/>
                <w:color w:val="auto"/>
              </w:rPr>
            </w:pPr>
            <w:r>
              <w:rPr>
                <w:rFonts w:ascii="Arial" w:cs="Arial" w:eastAsia="Arial" w:hAnsi="Arial"/>
                <w:sz w:val="15"/>
                <w:szCs w:val="15"/>
                <w:color w:val="auto"/>
              </w:rPr>
              <w:t>Diluted</w:t>
            </w:r>
          </w:p>
        </w:tc>
        <w:tc>
          <w:tcPr>
            <w:tcW w:w="3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(0.94)</w:t>
            </w:r>
          </w:p>
        </w:tc>
        <w:tc>
          <w:tcPr>
            <w:tcW w:w="1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0.38</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0.71</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Outstanding – Basic</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19,351,197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19,320,100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19,320,100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19,320,100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80" w:type="dxa"/>
            <w:vAlign w:val="bottom"/>
          </w:tcPr>
          <w:p>
            <w:pPr>
              <w:ind w:left="20"/>
              <w:spacing w:after="0"/>
              <w:rPr>
                <w:sz w:val="20"/>
                <w:szCs w:val="20"/>
                <w:color w:val="auto"/>
              </w:rPr>
            </w:pPr>
            <w:r>
              <w:rPr>
                <w:rFonts w:ascii="Arial" w:cs="Arial" w:eastAsia="Arial" w:hAnsi="Arial"/>
                <w:sz w:val="15"/>
                <w:szCs w:val="15"/>
                <w:color w:val="auto"/>
              </w:rPr>
              <w:t>Weighted Average Common Shares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5"/>
                <w:szCs w:val="15"/>
                <w:color w:val="auto"/>
              </w:rPr>
              <w:t>Outstanding – Diluted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19,351,197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23,564,228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19,320,100</w:t>
            </w: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23,564,228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-1296035</wp:posOffset>
            </wp:positionV>
            <wp:extent cx="12065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0650" cy="698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-1296035</wp:posOffset>
            </wp:positionV>
            <wp:extent cx="18415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84150"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-1296035</wp:posOffset>
            </wp:positionV>
            <wp:extent cx="251587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15870" cy="698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-2918460</wp:posOffset>
            </wp:positionV>
            <wp:extent cx="11366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-2918460</wp:posOffset>
            </wp:positionV>
            <wp:extent cx="11366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-2918460</wp:posOffset>
            </wp:positionV>
            <wp:extent cx="245872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458720" cy="6985"/>
                    </a:xfrm>
                    <a:prstGeom prst="rect">
                      <a:avLst/>
                    </a:prstGeom>
                    <a:noFill/>
                  </pic:spPr>
                </pic:pic>
              </a:graphicData>
            </a:graphic>
          </wp:anchor>
        </w:drawing>
      </w:r>
    </w:p>
    <w:p>
      <w:pPr>
        <w:spacing w:after="0" w:line="22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NOTE 13 — SUPPLEMENTAL FINANCIAL DATA</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Summarized Financial Information of Unconsolidated Subsidiaries</w:t>
      </w:r>
    </w:p>
    <w:p>
      <w:pPr>
        <w:spacing w:after="0" w:line="55" w:lineRule="exact"/>
        <w:rPr>
          <w:sz w:val="20"/>
          <w:szCs w:val="20"/>
          <w:color w:val="auto"/>
        </w:rPr>
      </w:pPr>
    </w:p>
    <w:p>
      <w:pPr>
        <w:ind w:left="1060" w:right="2439" w:firstLine="297"/>
        <w:spacing w:after="0" w:line="307" w:lineRule="auto"/>
        <w:rPr>
          <w:sz w:val="20"/>
          <w:szCs w:val="20"/>
          <w:color w:val="auto"/>
        </w:rPr>
      </w:pPr>
      <w:r>
        <w:rPr>
          <w:rFonts w:ascii="Arial" w:cs="Arial" w:eastAsia="Arial" w:hAnsi="Arial"/>
          <w:sz w:val="13"/>
          <w:szCs w:val="13"/>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27" w:lineRule="exact"/>
        <w:rPr>
          <w:sz w:val="20"/>
          <w:szCs w:val="20"/>
          <w:color w:val="auto"/>
        </w:rPr>
      </w:pPr>
    </w:p>
    <w:p>
      <w:pPr>
        <w:ind w:left="1060" w:right="2439" w:firstLine="297"/>
        <w:spacing w:after="0" w:line="254" w:lineRule="auto"/>
        <w:rPr>
          <w:sz w:val="20"/>
          <w:szCs w:val="20"/>
          <w:color w:val="auto"/>
        </w:rPr>
      </w:pPr>
      <w:r>
        <w:rPr>
          <w:rFonts w:ascii="Arial" w:cs="Arial" w:eastAsia="Arial" w:hAnsi="Arial"/>
          <w:sz w:val="15"/>
          <w:szCs w:val="15"/>
          <w:color w:val="auto"/>
        </w:rPr>
        <w:t>The Company holds a control interest, as defined by the 1940 Act, in certain subsidiaries that are considered significant subsidiaries under the guidance of Regulation S-X, but are not consolidated in the Company’s consolidated financial statements. Below is summarized, comparative financial information for the Company’s unconsolidated significant subsidiaries as of December 31, 2017 and 2016 and for the three years ended December 31, 2017.</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December 31,</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w w:val="87"/>
              </w:rPr>
              <w:t>December 31,</w:t>
            </w:r>
          </w:p>
        </w:tc>
        <w:tc>
          <w:tcPr>
            <w:tcW w:w="1020" w:type="dxa"/>
            <w:vAlign w:val="bottom"/>
          </w:tcPr>
          <w:p>
            <w:pPr>
              <w:spacing w:after="0"/>
              <w:rPr>
                <w:sz w:val="12"/>
                <w:szCs w:val="12"/>
                <w:color w:val="auto"/>
              </w:rPr>
            </w:pPr>
          </w:p>
        </w:tc>
      </w:tr>
      <w:tr>
        <w:trPr>
          <w:trHeight w:val="152"/>
        </w:trPr>
        <w:tc>
          <w:tcPr>
            <w:tcW w:w="104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Arial" w:cs="Arial" w:eastAsia="Arial" w:hAnsi="Arial"/>
                <w:sz w:val="12"/>
                <w:szCs w:val="12"/>
                <w:b w:val="1"/>
                <w:bCs w:val="1"/>
                <w:color w:val="auto"/>
              </w:rPr>
              <w:t>Balance Sheet Data as of:</w:t>
            </w:r>
          </w:p>
        </w:tc>
        <w:tc>
          <w:tcPr>
            <w:tcW w:w="3520" w:type="dxa"/>
            <w:vAlign w:val="bottom"/>
            <w:gridSpan w:val="3"/>
          </w:tcPr>
          <w:p>
            <w:pPr>
              <w:jc w:val="right"/>
              <w:ind w:right="173"/>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740" w:type="dxa"/>
            <w:vAlign w:val="bottom"/>
          </w:tcPr>
          <w:p>
            <w:pPr>
              <w:jc w:val="right"/>
              <w:ind w:right="170"/>
              <w:spacing w:after="0"/>
              <w:rPr>
                <w:sz w:val="20"/>
                <w:szCs w:val="20"/>
                <w:color w:val="auto"/>
              </w:rPr>
            </w:pPr>
            <w:r>
              <w:rPr>
                <w:rFonts w:ascii="Arial" w:cs="Arial" w:eastAsia="Arial" w:hAnsi="Arial"/>
                <w:sz w:val="12"/>
                <w:szCs w:val="12"/>
                <w:b w:val="1"/>
                <w:bCs w:val="1"/>
                <w:color w:val="auto"/>
              </w:rPr>
              <w:t>2016</w:t>
            </w:r>
          </w:p>
        </w:tc>
        <w:tc>
          <w:tcPr>
            <w:tcW w:w="1020" w:type="dxa"/>
            <w:vAlign w:val="bottom"/>
          </w:tcPr>
          <w:p>
            <w:pPr>
              <w:spacing w:after="0"/>
              <w:rPr>
                <w:sz w:val="13"/>
                <w:szCs w:val="13"/>
                <w:color w:val="auto"/>
              </w:rPr>
            </w:pPr>
          </w:p>
        </w:tc>
      </w:tr>
      <w:tr>
        <w:trPr>
          <w:trHeight w:val="22"/>
        </w:trPr>
        <w:tc>
          <w:tcPr>
            <w:tcW w:w="10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1040" w:type="dxa"/>
            <w:vAlign w:val="bottom"/>
          </w:tcPr>
          <w:p>
            <w:pPr>
              <w:spacing w:after="0"/>
              <w:rPr>
                <w:sz w:val="17"/>
                <w:szCs w:val="17"/>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37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$ 9,539,621</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$ 5,473,860</w:t>
            </w:r>
          </w:p>
        </w:tc>
        <w:tc>
          <w:tcPr>
            <w:tcW w:w="102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5"/>
                <w:szCs w:val="15"/>
                <w:color w:val="auto"/>
              </w:rPr>
              <w:t>Noncurrent assets</w:t>
            </w:r>
          </w:p>
        </w:tc>
        <w:tc>
          <w:tcPr>
            <w:tcW w:w="3700" w:type="dxa"/>
            <w:vAlign w:val="bottom"/>
            <w:gridSpan w:val="4"/>
          </w:tcPr>
          <w:p>
            <w:pPr>
              <w:jc w:val="right"/>
              <w:ind w:right="160"/>
              <w:spacing w:after="0"/>
              <w:rPr>
                <w:sz w:val="20"/>
                <w:szCs w:val="20"/>
                <w:color w:val="auto"/>
              </w:rPr>
            </w:pPr>
            <w:r>
              <w:rPr>
                <w:rFonts w:ascii="Arial" w:cs="Arial" w:eastAsia="Arial" w:hAnsi="Arial"/>
                <w:sz w:val="15"/>
                <w:szCs w:val="15"/>
                <w:color w:val="auto"/>
              </w:rPr>
              <w:t>4,152,428</w:t>
            </w:r>
          </w:p>
        </w:tc>
        <w:tc>
          <w:tcPr>
            <w:tcW w:w="740" w:type="dxa"/>
            <w:vAlign w:val="bottom"/>
          </w:tcPr>
          <w:p>
            <w:pPr>
              <w:jc w:val="right"/>
              <w:spacing w:after="0"/>
              <w:rPr>
                <w:sz w:val="20"/>
                <w:szCs w:val="20"/>
                <w:color w:val="auto"/>
              </w:rPr>
            </w:pPr>
            <w:r>
              <w:rPr>
                <w:rFonts w:ascii="Arial" w:cs="Arial" w:eastAsia="Arial" w:hAnsi="Arial"/>
                <w:sz w:val="15"/>
                <w:szCs w:val="15"/>
                <w:color w:val="auto"/>
              </w:rPr>
              <w:t>1,886,163</w:t>
            </w:r>
          </w:p>
        </w:tc>
        <w:tc>
          <w:tcPr>
            <w:tcW w:w="1020" w:type="dxa"/>
            <w:vAlign w:val="bottom"/>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70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18,898,899</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5,249,784</w:t>
            </w:r>
          </w:p>
        </w:tc>
        <w:tc>
          <w:tcPr>
            <w:tcW w:w="1020" w:type="dxa"/>
            <w:vAlign w:val="bottom"/>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3700" w:type="dxa"/>
            <w:vAlign w:val="bottom"/>
            <w:gridSpan w:val="4"/>
          </w:tcPr>
          <w:p>
            <w:pPr>
              <w:jc w:val="right"/>
              <w:ind w:right="160"/>
              <w:spacing w:after="0"/>
              <w:rPr>
                <w:sz w:val="20"/>
                <w:szCs w:val="20"/>
                <w:color w:val="auto"/>
              </w:rPr>
            </w:pPr>
            <w:r>
              <w:rPr>
                <w:rFonts w:ascii="Arial" w:cs="Arial" w:eastAsia="Arial" w:hAnsi="Arial"/>
                <w:sz w:val="15"/>
                <w:szCs w:val="15"/>
                <w:color w:val="auto"/>
              </w:rPr>
              <w:t>7,975,651</w:t>
            </w:r>
          </w:p>
        </w:tc>
        <w:tc>
          <w:tcPr>
            <w:tcW w:w="740" w:type="dxa"/>
            <w:vAlign w:val="bottom"/>
          </w:tcPr>
          <w:p>
            <w:pPr>
              <w:jc w:val="right"/>
              <w:spacing w:after="0"/>
              <w:rPr>
                <w:sz w:val="20"/>
                <w:szCs w:val="20"/>
                <w:color w:val="auto"/>
              </w:rPr>
            </w:pPr>
            <w:r>
              <w:rPr>
                <w:rFonts w:ascii="Arial" w:cs="Arial" w:eastAsia="Arial" w:hAnsi="Arial"/>
                <w:sz w:val="15"/>
                <w:szCs w:val="15"/>
                <w:color w:val="auto"/>
              </w:rPr>
              <w:t>7,670,558</w:t>
            </w:r>
          </w:p>
        </w:tc>
        <w:tc>
          <w:tcPr>
            <w:tcW w:w="1020" w:type="dxa"/>
            <w:vAlign w:val="bottom"/>
          </w:tcPr>
          <w:p>
            <w:pPr>
              <w:spacing w:after="0"/>
              <w:rPr>
                <w:sz w:val="18"/>
                <w:szCs w:val="18"/>
                <w:color w:val="auto"/>
              </w:rPr>
            </w:pPr>
          </w:p>
        </w:tc>
      </w:tr>
      <w:tr>
        <w:trPr>
          <w:trHeight w:val="212"/>
        </w:trPr>
        <w:tc>
          <w:tcPr>
            <w:tcW w:w="104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8"/>
                <w:szCs w:val="18"/>
                <w:color w:val="auto"/>
              </w:rPr>
            </w:pPr>
          </w:p>
        </w:tc>
      </w:tr>
      <w:tr>
        <w:trPr>
          <w:trHeight w:val="412"/>
        </w:trPr>
        <w:tc>
          <w:tcPr>
            <w:tcW w:w="1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0" w:type="dxa"/>
            <w:vAlign w:val="bottom"/>
          </w:tcPr>
          <w:p>
            <w:pPr>
              <w:jc w:val="right"/>
              <w:ind w:right="1368"/>
              <w:spacing w:after="0"/>
              <w:rPr>
                <w:sz w:val="20"/>
                <w:szCs w:val="20"/>
                <w:color w:val="auto"/>
              </w:rPr>
            </w:pPr>
            <w:r>
              <w:rPr>
                <w:rFonts w:ascii="Arial" w:cs="Arial" w:eastAsia="Arial" w:hAnsi="Arial"/>
                <w:sz w:val="15"/>
                <w:szCs w:val="15"/>
                <w:color w:val="auto"/>
              </w:rPr>
              <w:t>140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5"/>
        </w:trPr>
        <w:tc>
          <w:tcPr>
            <w:tcW w:w="10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-1154430</wp:posOffset>
            </wp:positionV>
            <wp:extent cx="113665"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-1154430</wp:posOffset>
            </wp:positionV>
            <wp:extent cx="11366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-26035</wp:posOffset>
            </wp:positionV>
            <wp:extent cx="32385" cy="3937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2" w:name="page143"/>
    <w:bookmarkEnd w:id="142"/>
    <w:p>
      <w:pPr>
        <w:spacing w:after="0"/>
        <w:rPr>
          <w:rFonts w:ascii="Arial" w:cs="Arial" w:eastAsia="Arial" w:hAnsi="Arial"/>
          <w:sz w:val="12"/>
          <w:szCs w:val="12"/>
          <w:color w:val="003366"/>
        </w:rPr>
      </w:pPr>
      <w:hyperlink w:anchor="page7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GSV CAPITAL CORP. AND SUBSIDIARIES</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NOTES TO CONSOLIDATED FINANCIAL STATEMENTS</w:t>
      </w:r>
    </w:p>
    <w:p>
      <w:pPr>
        <w:ind w:left="3840"/>
        <w:spacing w:after="0"/>
        <w:rPr>
          <w:sz w:val="20"/>
          <w:szCs w:val="20"/>
          <w:color w:val="auto"/>
        </w:rPr>
      </w:pPr>
      <w:r>
        <w:rPr>
          <w:rFonts w:ascii="Arial" w:cs="Arial" w:eastAsia="Arial" w:hAnsi="Arial"/>
          <w:sz w:val="15"/>
          <w:szCs w:val="15"/>
          <w:b w:val="1"/>
          <w:bCs w:val="1"/>
          <w:color w:val="auto"/>
        </w:rPr>
        <w:t>December 31, 2017</w:t>
      </w:r>
    </w:p>
    <w:p>
      <w:pPr>
        <w:spacing w:after="0" w:line="150"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December 31,</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December 31,</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7"/>
              </w:rPr>
              <w:t>December 31,</w:t>
            </w:r>
          </w:p>
        </w:tc>
      </w:tr>
      <w:tr>
        <w:trPr>
          <w:trHeight w:val="152"/>
        </w:trPr>
        <w:tc>
          <w:tcPr>
            <w:tcW w:w="4160" w:type="dxa"/>
            <w:vAlign w:val="bottom"/>
            <w:gridSpan w:val="2"/>
          </w:tcPr>
          <w:p>
            <w:pPr>
              <w:ind w:left="20"/>
              <w:spacing w:after="0"/>
              <w:rPr>
                <w:sz w:val="20"/>
                <w:szCs w:val="20"/>
                <w:color w:val="auto"/>
              </w:rPr>
            </w:pPr>
            <w:r>
              <w:rPr>
                <w:rFonts w:ascii="Arial" w:cs="Arial" w:eastAsia="Arial" w:hAnsi="Arial"/>
                <w:sz w:val="12"/>
                <w:szCs w:val="12"/>
                <w:b w:val="1"/>
                <w:bCs w:val="1"/>
                <w:color w:val="auto"/>
              </w:rPr>
              <w:t>Income Statement Data For the years ended:</w:t>
            </w:r>
          </w:p>
        </w:tc>
        <w:tc>
          <w:tcPr>
            <w:tcW w:w="7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7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3"/>
                <w:szCs w:val="13"/>
                <w:color w:val="auto"/>
              </w:rPr>
            </w:pPr>
          </w:p>
        </w:tc>
        <w:tc>
          <w:tcPr>
            <w:tcW w:w="7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2015</w:t>
            </w:r>
          </w:p>
        </w:tc>
        <w:tc>
          <w:tcPr>
            <w:tcW w:w="40" w:type="dxa"/>
            <w:vAlign w:val="bottom"/>
          </w:tcPr>
          <w:p>
            <w:pPr>
              <w:spacing w:after="0"/>
              <w:rPr>
                <w:sz w:val="13"/>
                <w:szCs w:val="13"/>
                <w:color w:val="auto"/>
              </w:rPr>
            </w:pP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$23,668,762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$21,585,521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$21,319,861</w:t>
            </w:r>
          </w:p>
        </w:tc>
        <w:tc>
          <w:tcPr>
            <w:tcW w:w="40" w:type="dxa"/>
            <w:vAlign w:val="bottom"/>
          </w:tcPr>
          <w:p>
            <w:pPr>
              <w:spacing w:after="0"/>
              <w:rPr>
                <w:sz w:val="17"/>
                <w:szCs w:val="17"/>
                <w:color w:val="auto"/>
              </w:rPr>
            </w:pPr>
          </w:p>
        </w:tc>
      </w:tr>
      <w:tr>
        <w:trPr>
          <w:trHeight w:val="212"/>
        </w:trPr>
        <w:tc>
          <w:tcPr>
            <w:tcW w:w="4160" w:type="dxa"/>
            <w:vAlign w:val="bottom"/>
            <w:gridSpan w:val="2"/>
          </w:tcPr>
          <w:p>
            <w:pPr>
              <w:ind w:left="20"/>
              <w:spacing w:after="0"/>
              <w:rPr>
                <w:sz w:val="20"/>
                <w:szCs w:val="20"/>
                <w:color w:val="auto"/>
              </w:rPr>
            </w:pPr>
            <w:r>
              <w:rPr>
                <w:rFonts w:ascii="Arial" w:cs="Arial" w:eastAsia="Arial" w:hAnsi="Arial"/>
                <w:sz w:val="15"/>
                <w:szCs w:val="15"/>
                <w:color w:val="auto"/>
              </w:rPr>
              <w:t>Gross profit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19,176,169</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17,652,505</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16,248,769</w:t>
            </w: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Income/(loss) from operations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(4,258,110)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(4,727,446)</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(5,057,815)</w:t>
            </w:r>
          </w:p>
        </w:tc>
        <w:tc>
          <w:tcPr>
            <w:tcW w:w="40" w:type="dxa"/>
            <w:vAlign w:val="bottom"/>
          </w:tcPr>
          <w:p>
            <w:pPr>
              <w:spacing w:after="0"/>
              <w:rPr>
                <w:sz w:val="18"/>
                <w:szCs w:val="18"/>
                <w:color w:val="auto"/>
              </w:rPr>
            </w:pPr>
          </w:p>
        </w:tc>
      </w:tr>
      <w:tr>
        <w:trPr>
          <w:trHeight w:val="201"/>
        </w:trPr>
        <w:tc>
          <w:tcPr>
            <w:tcW w:w="4160" w:type="dxa"/>
            <w:vAlign w:val="bottom"/>
            <w:gridSpan w:val="2"/>
          </w:tcPr>
          <w:p>
            <w:pPr>
              <w:ind w:left="20"/>
              <w:spacing w:after="0"/>
              <w:rPr>
                <w:sz w:val="20"/>
                <w:szCs w:val="20"/>
                <w:color w:val="auto"/>
              </w:rPr>
            </w:pPr>
            <w:r>
              <w:rPr>
                <w:rFonts w:ascii="Arial" w:cs="Arial" w:eastAsia="Arial" w:hAnsi="Arial"/>
                <w:sz w:val="15"/>
                <w:szCs w:val="15"/>
                <w:color w:val="auto"/>
              </w:rPr>
              <w:t>Total net income/(loss) including net income/(loss) attributable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4160" w:type="dxa"/>
            <w:vAlign w:val="bottom"/>
            <w:gridSpan w:val="2"/>
          </w:tcPr>
          <w:p>
            <w:pPr>
              <w:ind w:left="160"/>
              <w:spacing w:after="0"/>
              <w:rPr>
                <w:sz w:val="20"/>
                <w:szCs w:val="20"/>
                <w:color w:val="auto"/>
              </w:rPr>
            </w:pPr>
            <w:r>
              <w:rPr>
                <w:rFonts w:ascii="Arial" w:cs="Arial" w:eastAsia="Arial" w:hAnsi="Arial"/>
                <w:sz w:val="15"/>
                <w:szCs w:val="15"/>
                <w:color w:val="auto"/>
              </w:rPr>
              <w:t>to non-controlling interest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(4,258,110)</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(5,301,605)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(5,306,836)</w:t>
            </w:r>
          </w:p>
        </w:tc>
      </w:tr>
      <w:tr>
        <w:trPr>
          <w:trHeight w:val="218"/>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income/(loss) attributable to non-controlling interest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-800100</wp:posOffset>
            </wp:positionV>
            <wp:extent cx="11366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-800100</wp:posOffset>
            </wp:positionV>
            <wp:extent cx="113665"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-800100</wp:posOffset>
            </wp:positionV>
            <wp:extent cx="113665"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3" w:name="page144"/>
    <w:bookmarkEnd w:id="143"/>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0"/>
        <w:spacing w:after="0"/>
        <w:tabs>
          <w:tab w:leader="none" w:pos="162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Not applicable.</w:t>
      </w:r>
    </w:p>
    <w:p>
      <w:pPr>
        <w:spacing w:after="0" w:line="19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9A. Controls and Procedures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 Evaluation of Disclosure Controls and Procedures</w:t>
      </w:r>
    </w:p>
    <w:p>
      <w:pPr>
        <w:spacing w:after="0" w:line="88" w:lineRule="exact"/>
        <w:rPr>
          <w:sz w:val="20"/>
          <w:szCs w:val="20"/>
          <w:color w:val="auto"/>
        </w:rPr>
      </w:pPr>
    </w:p>
    <w:p>
      <w:pPr>
        <w:ind w:left="1060" w:right="2399" w:firstLine="297"/>
        <w:spacing w:after="0" w:line="269" w:lineRule="auto"/>
        <w:rPr>
          <w:sz w:val="20"/>
          <w:szCs w:val="20"/>
          <w:color w:val="auto"/>
        </w:rPr>
      </w:pPr>
      <w:r>
        <w:rPr>
          <w:rFonts w:ascii="Arial" w:cs="Arial" w:eastAsia="Arial" w:hAnsi="Arial"/>
          <w:sz w:val="14"/>
          <w:szCs w:val="14"/>
          <w:color w:val="auto"/>
        </w:rPr>
        <w:t>As of December 31, 2017,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(b) Management’s Report on Internal Control Over Financial Reporting</w:t>
      </w:r>
    </w:p>
    <w:p>
      <w:pPr>
        <w:spacing w:after="0" w:line="88" w:lineRule="exact"/>
        <w:rPr>
          <w:sz w:val="20"/>
          <w:szCs w:val="20"/>
          <w:color w:val="auto"/>
        </w:rPr>
      </w:pPr>
    </w:p>
    <w:p>
      <w:pPr>
        <w:ind w:left="1060" w:right="2419" w:firstLine="297"/>
        <w:spacing w:after="0" w:line="269"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2017.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63" w:lineRule="exact"/>
        <w:rPr>
          <w:sz w:val="20"/>
          <w:szCs w:val="20"/>
          <w:color w:val="auto"/>
        </w:rPr>
      </w:pPr>
    </w:p>
    <w:p>
      <w:pPr>
        <w:ind w:left="1060" w:right="2559" w:firstLine="297"/>
        <w:spacing w:after="0" w:line="259"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67" w:lineRule="exact"/>
        <w:rPr>
          <w:sz w:val="20"/>
          <w:szCs w:val="20"/>
          <w:color w:val="auto"/>
        </w:rPr>
      </w:pPr>
    </w:p>
    <w:p>
      <w:pPr>
        <w:ind w:left="1060" w:right="2439" w:firstLine="297"/>
        <w:spacing w:after="0" w:line="307" w:lineRule="auto"/>
        <w:rPr>
          <w:sz w:val="20"/>
          <w:szCs w:val="20"/>
          <w:color w:val="auto"/>
        </w:rPr>
      </w:pPr>
      <w:r>
        <w:rPr>
          <w:rFonts w:ascii="Arial" w:cs="Arial" w:eastAsia="Arial" w:hAnsi="Arial"/>
          <w:sz w:val="13"/>
          <w:szCs w:val="13"/>
          <w:color w:val="auto"/>
        </w:rPr>
        <w:t xml:space="preserve">Management performed an assessment of the effectiveness of our internal control over financial reporting as of December 31, 2017 based upon criteria in Internal Control — </w:t>
      </w:r>
      <w:r>
        <w:rPr>
          <w:rFonts w:ascii="Arial" w:cs="Arial" w:eastAsia="Arial" w:hAnsi="Arial"/>
          <w:sz w:val="13"/>
          <w:szCs w:val="13"/>
          <w:i w:val="1"/>
          <w:iCs w:val="1"/>
          <w:color w:val="auto"/>
        </w:rPr>
        <w:t>Integrated Framework (2013)</w:t>
      </w:r>
      <w:r>
        <w:rPr>
          <w:rFonts w:ascii="Arial" w:cs="Arial" w:eastAsia="Arial" w:hAnsi="Arial"/>
          <w:sz w:val="13"/>
          <w:szCs w:val="13"/>
          <w:color w:val="auto"/>
        </w:rPr>
        <w:t xml:space="preserve"> issued by the Committee of Sponsoring Organizations of the Treadway Commission (“COSO”). Based on this assessment, management determined that our internal control over financial reporting was effective as of December 31, 2017.</w:t>
      </w:r>
    </w:p>
    <w:p>
      <w:pPr>
        <w:spacing w:after="0" w:line="39" w:lineRule="exact"/>
        <w:rPr>
          <w:sz w:val="20"/>
          <w:szCs w:val="20"/>
          <w:color w:val="auto"/>
        </w:rPr>
      </w:pPr>
    </w:p>
    <w:p>
      <w:pPr>
        <w:ind w:left="1060" w:right="2499" w:firstLine="297"/>
        <w:spacing w:after="0" w:line="259" w:lineRule="auto"/>
        <w:rPr>
          <w:sz w:val="20"/>
          <w:szCs w:val="20"/>
          <w:color w:val="auto"/>
        </w:rPr>
      </w:pPr>
      <w:r>
        <w:rPr>
          <w:rFonts w:ascii="Arial" w:cs="Arial" w:eastAsia="Arial" w:hAnsi="Arial"/>
          <w:sz w:val="15"/>
          <w:szCs w:val="15"/>
          <w:color w:val="auto"/>
        </w:rPr>
        <w:t>The effectiveness of our internal control over financial reporting as of December 31, 2017 has been audited by Deloitte &amp; Touche LLP, an independent registered public accounting firm, as stated in their report which appears herein.</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(c) Report of the Independent Registered Public Accounting Firm</w:t>
      </w:r>
    </w:p>
    <w:p>
      <w:pPr>
        <w:spacing w:after="0" w:line="88" w:lineRule="exact"/>
        <w:rPr>
          <w:sz w:val="20"/>
          <w:szCs w:val="20"/>
          <w:color w:val="auto"/>
        </w:rPr>
      </w:pPr>
    </w:p>
    <w:p>
      <w:pPr>
        <w:ind w:left="1060" w:right="2579" w:firstLine="297"/>
        <w:spacing w:after="0" w:line="259" w:lineRule="auto"/>
        <w:rPr>
          <w:rFonts w:ascii="Arial" w:cs="Arial" w:eastAsia="Arial" w:hAnsi="Arial"/>
          <w:sz w:val="15"/>
          <w:szCs w:val="15"/>
          <w:color w:val="auto"/>
        </w:rPr>
      </w:pPr>
      <w:r>
        <w:rPr>
          <w:rFonts w:ascii="Arial" w:cs="Arial" w:eastAsia="Arial" w:hAnsi="Arial"/>
          <w:sz w:val="15"/>
          <w:szCs w:val="15"/>
          <w:color w:val="auto"/>
        </w:rPr>
        <w:t xml:space="preserve">Deloitte &amp; Touche LLP, our independent registered public accounting firm, has issued a report on the effectiveness of our internal control over financial reporting, which appears on page </w:t>
      </w:r>
      <w:hyperlink w:anchor="page75">
        <w:r>
          <w:rPr>
            <w:rFonts w:ascii="Arial" w:cs="Arial" w:eastAsia="Arial" w:hAnsi="Arial"/>
            <w:sz w:val="15"/>
            <w:szCs w:val="15"/>
            <w:u w:val="single" w:color="auto"/>
            <w:color w:val="0000EE"/>
          </w:rPr>
          <w:t>74</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this annual report on Form 10-K.</w:t>
      </w:r>
    </w:p>
    <w:p>
      <w:pPr>
        <w:spacing w:after="0" w:line="20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4" w:name="page145"/>
    <w:bookmarkEnd w:id="144"/>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 Changes in Internal Control Over Financial Reporting</w:t>
      </w:r>
    </w:p>
    <w:p>
      <w:pPr>
        <w:spacing w:after="0" w:line="88" w:lineRule="exact"/>
        <w:rPr>
          <w:sz w:val="20"/>
          <w:szCs w:val="20"/>
          <w:color w:val="auto"/>
        </w:rPr>
      </w:pPr>
    </w:p>
    <w:p>
      <w:pPr>
        <w:ind w:left="1060" w:right="2419" w:firstLine="297"/>
        <w:spacing w:after="0" w:line="317" w:lineRule="auto"/>
        <w:rPr>
          <w:sz w:val="20"/>
          <w:szCs w:val="20"/>
          <w:color w:val="auto"/>
        </w:rPr>
      </w:pPr>
      <w:r>
        <w:rPr>
          <w:rFonts w:ascii="Arial" w:cs="Arial" w:eastAsia="Arial" w:hAnsi="Arial"/>
          <w:sz w:val="13"/>
          <w:szCs w:val="13"/>
          <w:color w:val="auto"/>
        </w:rPr>
        <w:t>There have been no changes in our internal control over financial reporting (as defined in Rule 13a-15(f) and 15d-15(f) under the Exchange Act) that occurred during the fiscal quarter ended December 31, 2017 that have materially affected, or are reasonably likely to materially affect, our internal control over financial reporting.</w:t>
      </w:r>
    </w:p>
    <w:p>
      <w:pPr>
        <w:spacing w:after="0" w:line="174"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9B. Other Information</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5" w:name="page146"/>
    <w:bookmarkEnd w:id="145"/>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PART III</w:t>
      </w:r>
    </w:p>
    <w:p>
      <w:pPr>
        <w:spacing w:after="0" w:line="207"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88" w:lineRule="exact"/>
        <w:rPr>
          <w:sz w:val="20"/>
          <w:szCs w:val="20"/>
          <w:color w:val="auto"/>
        </w:rPr>
      </w:pPr>
    </w:p>
    <w:p>
      <w:pPr>
        <w:ind w:left="1060" w:right="2399" w:firstLine="297"/>
        <w:spacing w:after="0" w:line="317" w:lineRule="auto"/>
        <w:rPr>
          <w:sz w:val="20"/>
          <w:szCs w:val="20"/>
          <w:color w:val="auto"/>
        </w:rPr>
      </w:pPr>
      <w:r>
        <w:rPr>
          <w:rFonts w:ascii="Arial" w:cs="Arial" w:eastAsia="Arial" w:hAnsi="Arial"/>
          <w:sz w:val="13"/>
          <w:szCs w:val="13"/>
          <w:color w:val="auto"/>
        </w:rPr>
        <w:t>The information required by Item 10 will be contained in the 2018 Proxy Statement, to be filed with the SEC within 120 days after December 31, 2017, and is incorporated herein by reference. There have been no material changes to the procedures by which stockholders may recommend nominees to our board of directors.</w:t>
      </w:r>
    </w:p>
    <w:p>
      <w:pPr>
        <w:spacing w:after="0" w:line="33" w:lineRule="exact"/>
        <w:rPr>
          <w:sz w:val="20"/>
          <w:szCs w:val="20"/>
          <w:color w:val="auto"/>
        </w:rPr>
      </w:pPr>
    </w:p>
    <w:p>
      <w:pPr>
        <w:ind w:left="1060" w:right="2459" w:firstLine="297"/>
        <w:spacing w:after="0" w:line="273" w:lineRule="auto"/>
        <w:rPr>
          <w:sz w:val="20"/>
          <w:szCs w:val="20"/>
          <w:color w:val="auto"/>
        </w:rPr>
      </w:pPr>
      <w:r>
        <w:rPr>
          <w:rFonts w:ascii="Arial" w:cs="Arial" w:eastAsia="Arial" w:hAnsi="Arial"/>
          <w:sz w:val="14"/>
          <w:szCs w:val="14"/>
          <w:color w:val="auto"/>
        </w:rPr>
        <w:t xml:space="preserve">We have adopted a Code of Business Conduct and Ethics for our employees and directors, including, specifically, our Chief Executive Officer, our Chief Financial Officer, our chief accounting officer, and our other executive officers. Our Code of Business Conduct and Ethics satisfies the requirements for a “code of ethics” within the meaning of SEC rules. A copy of the Code of Business Conduct and Ethics is posted on our website at </w:t>
      </w:r>
      <w:r>
        <w:rPr>
          <w:rFonts w:ascii="Arial" w:cs="Arial" w:eastAsia="Arial" w:hAnsi="Arial"/>
          <w:sz w:val="14"/>
          <w:szCs w:val="14"/>
          <w:i w:val="1"/>
          <w:iCs w:val="1"/>
          <w:color w:val="auto"/>
        </w:rPr>
        <w:t>http://investors.gsvcap.com/governance</w:t>
      </w:r>
      <w:r>
        <w:rPr>
          <w:rFonts w:ascii="Arial" w:cs="Arial" w:eastAsia="Arial" w:hAnsi="Arial"/>
          <w:sz w:val="14"/>
          <w:szCs w:val="14"/>
          <w:color w:val="auto"/>
        </w:rPr>
        <w:t>. We intend to disclose any changes in, or waivers from, the Code of</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Conduct and Ethics by posting such information on the same website or by filing a Form 8-K, in each case to the extent such disclosure is required by rules of the SEC or NASDAQ.</w:t>
      </w:r>
    </w:p>
    <w:p>
      <w:pPr>
        <w:spacing w:after="0" w:line="19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11. Executive Compensation</w:t>
      </w:r>
    </w:p>
    <w:p>
      <w:pPr>
        <w:spacing w:after="0" w:line="88" w:lineRule="exact"/>
        <w:rPr>
          <w:sz w:val="20"/>
          <w:szCs w:val="20"/>
          <w:color w:val="auto"/>
        </w:rPr>
      </w:pPr>
    </w:p>
    <w:p>
      <w:pPr>
        <w:ind w:left="1060" w:right="2419" w:firstLine="297"/>
        <w:spacing w:after="0" w:line="270" w:lineRule="auto"/>
        <w:rPr>
          <w:sz w:val="20"/>
          <w:szCs w:val="20"/>
          <w:color w:val="auto"/>
        </w:rPr>
      </w:pPr>
      <w:r>
        <w:rPr>
          <w:rFonts w:ascii="Arial" w:cs="Arial" w:eastAsia="Arial" w:hAnsi="Arial"/>
          <w:sz w:val="15"/>
          <w:szCs w:val="15"/>
          <w:color w:val="auto"/>
        </w:rPr>
        <w:t>The information required by Item 11 will be contained in the 2018 Proxy Statement, to be filed with the SEC within 120 days after December 31, 2017, and is incorporated herein by reference.</w:t>
      </w:r>
    </w:p>
    <w:p>
      <w:pPr>
        <w:spacing w:after="0" w:line="188" w:lineRule="exact"/>
        <w:rPr>
          <w:sz w:val="20"/>
          <w:szCs w:val="20"/>
          <w:color w:val="auto"/>
        </w:rPr>
      </w:pPr>
    </w:p>
    <w:p>
      <w:pPr>
        <w:ind w:left="1640" w:right="2679" w:hanging="594"/>
        <w:spacing w:after="0" w:line="245" w:lineRule="auto"/>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65" w:lineRule="exact"/>
        <w:rPr>
          <w:sz w:val="20"/>
          <w:szCs w:val="20"/>
          <w:color w:val="auto"/>
        </w:rPr>
      </w:pPr>
    </w:p>
    <w:p>
      <w:pPr>
        <w:ind w:left="1060" w:right="2399" w:firstLine="297"/>
        <w:spacing w:after="0" w:line="270" w:lineRule="auto"/>
        <w:rPr>
          <w:sz w:val="20"/>
          <w:szCs w:val="20"/>
          <w:color w:val="auto"/>
        </w:rPr>
      </w:pPr>
      <w:r>
        <w:rPr>
          <w:rFonts w:ascii="Arial" w:cs="Arial" w:eastAsia="Arial" w:hAnsi="Arial"/>
          <w:sz w:val="15"/>
          <w:szCs w:val="15"/>
          <w:color w:val="auto"/>
        </w:rPr>
        <w:t>The information required by Item 12 will be contained in the 2018 Proxy Statement, to be filed with the SEC within 120 days after December 31, 2017, and is incorporated herein by reference.</w:t>
      </w:r>
    </w:p>
    <w:p>
      <w:pPr>
        <w:spacing w:after="0" w:line="188"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88" w:lineRule="exact"/>
        <w:rPr>
          <w:sz w:val="20"/>
          <w:szCs w:val="20"/>
          <w:color w:val="auto"/>
        </w:rPr>
      </w:pPr>
    </w:p>
    <w:p>
      <w:pPr>
        <w:ind w:left="1060" w:right="2399" w:firstLine="297"/>
        <w:spacing w:after="0" w:line="270" w:lineRule="auto"/>
        <w:rPr>
          <w:sz w:val="20"/>
          <w:szCs w:val="20"/>
          <w:color w:val="auto"/>
        </w:rPr>
      </w:pPr>
      <w:r>
        <w:rPr>
          <w:rFonts w:ascii="Arial" w:cs="Arial" w:eastAsia="Arial" w:hAnsi="Arial"/>
          <w:sz w:val="15"/>
          <w:szCs w:val="15"/>
          <w:color w:val="auto"/>
        </w:rPr>
        <w:t>The information required by Item 13 will be contained in the 2018 Proxy Statement, to be filed with the SEC within 120 days after December 31, 2017, and is incorporated herein by reference.</w:t>
      </w:r>
    </w:p>
    <w:p>
      <w:pPr>
        <w:spacing w:after="0" w:line="19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88" w:lineRule="exact"/>
        <w:rPr>
          <w:sz w:val="20"/>
          <w:szCs w:val="20"/>
          <w:color w:val="auto"/>
        </w:rPr>
      </w:pPr>
    </w:p>
    <w:p>
      <w:pPr>
        <w:ind w:left="1060" w:right="2399" w:firstLine="297"/>
        <w:spacing w:after="0" w:line="270" w:lineRule="auto"/>
        <w:rPr>
          <w:sz w:val="20"/>
          <w:szCs w:val="20"/>
          <w:color w:val="auto"/>
        </w:rPr>
      </w:pPr>
      <w:r>
        <w:rPr>
          <w:rFonts w:ascii="Arial" w:cs="Arial" w:eastAsia="Arial" w:hAnsi="Arial"/>
          <w:sz w:val="15"/>
          <w:szCs w:val="15"/>
          <w:color w:val="auto"/>
        </w:rPr>
        <w:t>The information required by Item 14 will be contained in the 2018 Proxy Statement, to be filed with the SEC within 120 days after December 31, 2017,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6" w:name="page147"/>
    <w:bookmarkEnd w:id="146"/>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PART IV</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8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The following documents are filed or incorporated by reference as part of this annual report on Form 10-K:</w:t>
      </w:r>
    </w:p>
    <w:p>
      <w:pPr>
        <w:spacing w:after="0" w:line="129" w:lineRule="exact"/>
        <w:rPr>
          <w:sz w:val="20"/>
          <w:szCs w:val="20"/>
          <w:color w:val="auto"/>
        </w:rPr>
      </w:pPr>
    </w:p>
    <w:p>
      <w:pPr>
        <w:ind w:left="1640" w:right="2639" w:hanging="292"/>
        <w:spacing w:after="0" w:line="259" w:lineRule="auto"/>
        <w:tabs>
          <w:tab w:leader="none" w:pos="16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Financial Statements — Refer to Part II, Item 8 of this Form 10-K, which are incorporated herein by reference.</w:t>
      </w:r>
    </w:p>
    <w:tbl>
      <w:tblPr>
        <w:tblLayout w:type="fixed"/>
        <w:tblInd w:w="10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Page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80" w:type="dxa"/>
            <w:vAlign w:val="bottom"/>
            <w:gridSpan w:val="5"/>
            <w:shd w:val="clear" w:color="auto" w:fill="CCEEFF"/>
          </w:tcPr>
          <w:p>
            <w:pPr>
              <w:spacing w:after="0" w:line="170" w:lineRule="exact"/>
              <w:rPr>
                <w:rFonts w:ascii="Arial" w:cs="Arial" w:eastAsia="Arial" w:hAnsi="Arial"/>
                <w:sz w:val="15"/>
                <w:szCs w:val="15"/>
                <w:color w:val="0000EE"/>
                <w:w w:val="90"/>
              </w:rPr>
            </w:pPr>
            <w:hyperlink w:anchor="page74">
              <w:r>
                <w:rPr>
                  <w:rFonts w:ascii="Arial" w:cs="Arial" w:eastAsia="Arial" w:hAnsi="Arial"/>
                  <w:sz w:val="15"/>
                  <w:szCs w:val="15"/>
                  <w:color w:val="0000EE"/>
                  <w:w w:val="90"/>
                </w:rPr>
                <w:t>Report of Independent Registered Public Accounting Firm</w:t>
              </w:r>
            </w:hyperlink>
          </w:p>
        </w:tc>
        <w:tc>
          <w:tcPr>
            <w:tcW w:w="2820" w:type="dxa"/>
            <w:vAlign w:val="bottom"/>
            <w:gridSpan w:val="6"/>
            <w:shd w:val="clear" w:color="auto" w:fill="CCEEFF"/>
          </w:tcPr>
          <w:p>
            <w:pPr>
              <w:spacing w:after="0"/>
              <w:rPr>
                <w:sz w:val="14"/>
                <w:szCs w:val="14"/>
                <w:color w:val="auto"/>
              </w:rPr>
            </w:pPr>
          </w:p>
        </w:tc>
        <w:tc>
          <w:tcPr>
            <w:tcW w:w="480" w:type="dxa"/>
            <w:vAlign w:val="bottom"/>
            <w:gridSpan w:val="3"/>
            <w:shd w:val="clear" w:color="auto" w:fill="CCEEFF"/>
          </w:tcPr>
          <w:p>
            <w:pPr>
              <w:jc w:val="center"/>
              <w:spacing w:after="0" w:line="170" w:lineRule="exact"/>
              <w:rPr>
                <w:rFonts w:ascii="Arial" w:cs="Arial" w:eastAsia="Arial" w:hAnsi="Arial"/>
                <w:sz w:val="15"/>
                <w:szCs w:val="15"/>
                <w:color w:val="0000EE"/>
                <w:w w:val="83"/>
              </w:rPr>
            </w:pPr>
            <w:hyperlink w:anchor="page74">
              <w:r>
                <w:rPr>
                  <w:rFonts w:ascii="Arial" w:cs="Arial" w:eastAsia="Arial" w:hAnsi="Arial"/>
                  <w:sz w:val="15"/>
                  <w:szCs w:val="15"/>
                  <w:color w:val="0000EE"/>
                  <w:w w:val="83"/>
                </w:rPr>
                <w:t>73</w:t>
              </w:r>
            </w:hyperlink>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6300" w:type="dxa"/>
            <w:vAlign w:val="bottom"/>
            <w:gridSpan w:val="11"/>
          </w:tcPr>
          <w:p>
            <w:pPr>
              <w:spacing w:after="0" w:line="167" w:lineRule="exact"/>
              <w:rPr>
                <w:rFonts w:ascii="Arial" w:cs="Arial" w:eastAsia="Arial" w:hAnsi="Arial"/>
                <w:sz w:val="15"/>
                <w:szCs w:val="15"/>
                <w:color w:val="0000EE"/>
              </w:rPr>
            </w:pPr>
            <w:hyperlink w:anchor="page75">
              <w:r>
                <w:rPr>
                  <w:rFonts w:ascii="Arial" w:cs="Arial" w:eastAsia="Arial" w:hAnsi="Arial"/>
                  <w:sz w:val="15"/>
                  <w:szCs w:val="15"/>
                  <w:color w:val="0000EE"/>
                </w:rPr>
                <w:t>Report of Independent Registered Public Accounting Firm on Internal Control over Financial</w:t>
              </w:r>
            </w:hyperlink>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540" w:type="dxa"/>
            <w:vAlign w:val="bottom"/>
            <w:tcBorders>
              <w:top w:val="single" w:sz="8" w:color="0000EE"/>
            </w:tcBorders>
            <w:gridSpan w:val="8"/>
          </w:tcPr>
          <w:p>
            <w:pPr>
              <w:ind w:left="140"/>
              <w:spacing w:after="0" w:line="159" w:lineRule="exact"/>
              <w:rPr>
                <w:rFonts w:ascii="Arial" w:cs="Arial" w:eastAsia="Arial" w:hAnsi="Arial"/>
                <w:sz w:val="15"/>
                <w:szCs w:val="15"/>
                <w:color w:val="0000EE"/>
              </w:rPr>
            </w:pPr>
            <w:hyperlink w:anchor="page75">
              <w:r>
                <w:rPr>
                  <w:rFonts w:ascii="Arial" w:cs="Arial" w:eastAsia="Arial" w:hAnsi="Arial"/>
                  <w:sz w:val="15"/>
                  <w:szCs w:val="15"/>
                  <w:color w:val="0000EE"/>
                </w:rPr>
                <w:t>Reporting</w:t>
              </w:r>
            </w:hyperlink>
          </w:p>
        </w:tc>
        <w:tc>
          <w:tcPr>
            <w:tcW w:w="760" w:type="dxa"/>
            <w:vAlign w:val="bottom"/>
            <w:gridSpan w:val="3"/>
          </w:tcPr>
          <w:p>
            <w:pPr>
              <w:spacing w:after="0"/>
              <w:rPr>
                <w:sz w:val="13"/>
                <w:szCs w:val="13"/>
                <w:color w:val="auto"/>
              </w:rPr>
            </w:pPr>
          </w:p>
        </w:tc>
        <w:tc>
          <w:tcPr>
            <w:tcW w:w="480" w:type="dxa"/>
            <w:vAlign w:val="bottom"/>
            <w:gridSpan w:val="3"/>
          </w:tcPr>
          <w:p>
            <w:pPr>
              <w:jc w:val="center"/>
              <w:spacing w:after="0" w:line="159" w:lineRule="exact"/>
              <w:rPr>
                <w:rFonts w:ascii="Arial" w:cs="Arial" w:eastAsia="Arial" w:hAnsi="Arial"/>
                <w:sz w:val="15"/>
                <w:szCs w:val="15"/>
                <w:color w:val="0000EE"/>
                <w:w w:val="83"/>
              </w:rPr>
            </w:pPr>
            <w:hyperlink w:anchor="page75">
              <w:r>
                <w:rPr>
                  <w:rFonts w:ascii="Arial" w:cs="Arial" w:eastAsia="Arial" w:hAnsi="Arial"/>
                  <w:sz w:val="15"/>
                  <w:szCs w:val="15"/>
                  <w:color w:val="0000EE"/>
                  <w:w w:val="83"/>
                </w:rPr>
                <w:t>74</w:t>
              </w:r>
            </w:hyperlink>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5060" w:type="dxa"/>
            <w:vAlign w:val="bottom"/>
            <w:gridSpan w:val="7"/>
            <w:shd w:val="clear" w:color="auto" w:fill="CCEEFF"/>
          </w:tcPr>
          <w:p>
            <w:pPr>
              <w:spacing w:after="0"/>
              <w:rPr>
                <w:rFonts w:ascii="Arial" w:cs="Arial" w:eastAsia="Arial" w:hAnsi="Arial"/>
                <w:sz w:val="15"/>
                <w:szCs w:val="15"/>
                <w:color w:val="0000EE"/>
                <w:w w:val="88"/>
              </w:rPr>
            </w:pPr>
            <w:hyperlink w:anchor="page76">
              <w:r>
                <w:rPr>
                  <w:rFonts w:ascii="Arial" w:cs="Arial" w:eastAsia="Arial" w:hAnsi="Arial"/>
                  <w:sz w:val="15"/>
                  <w:szCs w:val="15"/>
                  <w:color w:val="0000EE"/>
                  <w:w w:val="88"/>
                </w:rPr>
                <w:t>Consolidated Statements of Assets and Liabilities as of December 31, 2017 and 2016</w:t>
              </w:r>
            </w:hyperlink>
          </w:p>
        </w:tc>
        <w:tc>
          <w:tcPr>
            <w:tcW w:w="1240" w:type="dxa"/>
            <w:vAlign w:val="bottom"/>
            <w:gridSpan w:val="4"/>
            <w:shd w:val="clear" w:color="auto" w:fill="CCEEFF"/>
          </w:tcPr>
          <w:p>
            <w:pPr>
              <w:spacing w:after="0"/>
              <w:rPr>
                <w:sz w:val="15"/>
                <w:szCs w:val="15"/>
                <w:color w:val="auto"/>
              </w:rPr>
            </w:pPr>
          </w:p>
        </w:tc>
        <w:tc>
          <w:tcPr>
            <w:tcW w:w="480" w:type="dxa"/>
            <w:vAlign w:val="bottom"/>
            <w:gridSpan w:val="3"/>
            <w:shd w:val="clear" w:color="auto" w:fill="CCEEFF"/>
          </w:tcPr>
          <w:p>
            <w:pPr>
              <w:jc w:val="center"/>
              <w:spacing w:after="0"/>
              <w:rPr>
                <w:rFonts w:ascii="Arial" w:cs="Arial" w:eastAsia="Arial" w:hAnsi="Arial"/>
                <w:sz w:val="15"/>
                <w:szCs w:val="15"/>
                <w:color w:val="0000EE"/>
                <w:w w:val="83"/>
              </w:rPr>
            </w:pPr>
            <w:hyperlink w:anchor="page76">
              <w:r>
                <w:rPr>
                  <w:rFonts w:ascii="Arial" w:cs="Arial" w:eastAsia="Arial" w:hAnsi="Arial"/>
                  <w:sz w:val="15"/>
                  <w:szCs w:val="15"/>
                  <w:color w:val="0000EE"/>
                  <w:w w:val="83"/>
                </w:rPr>
                <w:t>75</w:t>
              </w:r>
            </w:hyperlink>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660" w:type="dxa"/>
            <w:vAlign w:val="bottom"/>
            <w:gridSpan w:val="9"/>
          </w:tcPr>
          <w:p>
            <w:pPr>
              <w:spacing w:after="0"/>
              <w:rPr>
                <w:rFonts w:ascii="Arial" w:cs="Arial" w:eastAsia="Arial" w:hAnsi="Arial"/>
                <w:sz w:val="15"/>
                <w:szCs w:val="15"/>
                <w:color w:val="0000EE"/>
                <w:w w:val="87"/>
              </w:rPr>
            </w:pPr>
            <w:hyperlink w:anchor="page77">
              <w:r>
                <w:rPr>
                  <w:rFonts w:ascii="Arial" w:cs="Arial" w:eastAsia="Arial" w:hAnsi="Arial"/>
                  <w:sz w:val="15"/>
                  <w:szCs w:val="15"/>
                  <w:color w:val="0000EE"/>
                  <w:w w:val="87"/>
                </w:rPr>
                <w:t>Consolidated Statements of Operations for the years ended December 31, 2017, 2016 and 2015</w:t>
              </w:r>
            </w:hyperlink>
          </w:p>
        </w:tc>
        <w:tc>
          <w:tcPr>
            <w:tcW w:w="640" w:type="dxa"/>
            <w:vAlign w:val="bottom"/>
            <w:gridSpan w:val="2"/>
          </w:tcPr>
          <w:p>
            <w:pPr>
              <w:spacing w:after="0"/>
              <w:rPr>
                <w:sz w:val="16"/>
                <w:szCs w:val="16"/>
                <w:color w:val="auto"/>
              </w:rPr>
            </w:pPr>
          </w:p>
        </w:tc>
        <w:tc>
          <w:tcPr>
            <w:tcW w:w="480" w:type="dxa"/>
            <w:vAlign w:val="bottom"/>
            <w:gridSpan w:val="3"/>
          </w:tcPr>
          <w:p>
            <w:pPr>
              <w:jc w:val="center"/>
              <w:spacing w:after="0"/>
              <w:rPr>
                <w:rFonts w:ascii="Arial" w:cs="Arial" w:eastAsia="Arial" w:hAnsi="Arial"/>
                <w:sz w:val="15"/>
                <w:szCs w:val="15"/>
                <w:color w:val="0000EE"/>
                <w:w w:val="83"/>
              </w:rPr>
            </w:pPr>
            <w:hyperlink w:anchor="page77">
              <w:r>
                <w:rPr>
                  <w:rFonts w:ascii="Arial" w:cs="Arial" w:eastAsia="Arial" w:hAnsi="Arial"/>
                  <w:sz w:val="15"/>
                  <w:szCs w:val="15"/>
                  <w:color w:val="0000EE"/>
                  <w:w w:val="83"/>
                </w:rPr>
                <w:t>76</w:t>
              </w:r>
            </w:hyperlink>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6300" w:type="dxa"/>
            <w:vAlign w:val="bottom"/>
            <w:gridSpan w:val="11"/>
            <w:shd w:val="clear" w:color="auto" w:fill="CCEEFF"/>
          </w:tcPr>
          <w:p>
            <w:pPr>
              <w:spacing w:after="0"/>
              <w:rPr>
                <w:rFonts w:ascii="Arial" w:cs="Arial" w:eastAsia="Arial" w:hAnsi="Arial"/>
                <w:sz w:val="15"/>
                <w:szCs w:val="15"/>
                <w:color w:val="0000EE"/>
                <w:w w:val="92"/>
              </w:rPr>
            </w:pPr>
            <w:hyperlink w:anchor="page79">
              <w:r>
                <w:rPr>
                  <w:rFonts w:ascii="Arial" w:cs="Arial" w:eastAsia="Arial" w:hAnsi="Arial"/>
                  <w:sz w:val="15"/>
                  <w:szCs w:val="15"/>
                  <w:color w:val="0000EE"/>
                  <w:w w:val="92"/>
                </w:rPr>
                <w:t>Consolidated Statements of Changes in Net Assets for the years ended December 31, 2017, 2016 and</w:t>
              </w:r>
            </w:hyperlink>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0000EE"/>
            </w:tcBorders>
            <w:gridSpan w:val="3"/>
            <w:shd w:val="clear" w:color="auto" w:fill="CCEEFF"/>
          </w:tcPr>
          <w:p>
            <w:pPr>
              <w:ind w:left="140"/>
              <w:spacing w:after="0" w:line="159" w:lineRule="exact"/>
              <w:rPr>
                <w:rFonts w:ascii="Arial" w:cs="Arial" w:eastAsia="Arial" w:hAnsi="Arial"/>
                <w:sz w:val="15"/>
                <w:szCs w:val="15"/>
                <w:color w:val="0000EE"/>
              </w:rPr>
            </w:pPr>
            <w:hyperlink w:anchor="page79">
              <w:r>
                <w:rPr>
                  <w:rFonts w:ascii="Arial" w:cs="Arial" w:eastAsia="Arial" w:hAnsi="Arial"/>
                  <w:sz w:val="15"/>
                  <w:szCs w:val="15"/>
                  <w:color w:val="0000EE"/>
                </w:rPr>
                <w:t>2015</w:t>
              </w:r>
            </w:hyperlink>
          </w:p>
        </w:tc>
        <w:tc>
          <w:tcPr>
            <w:tcW w:w="1860" w:type="dxa"/>
            <w:vAlign w:val="bottom"/>
            <w:tcBorders>
              <w:top w:val="single" w:sz="8" w:color="0000EE"/>
            </w:tcBorders>
            <w:shd w:val="clear" w:color="auto" w:fill="CCEEFF"/>
          </w:tcPr>
          <w:p>
            <w:pPr>
              <w:spacing w:after="0"/>
              <w:rPr>
                <w:sz w:val="13"/>
                <w:szCs w:val="13"/>
                <w:color w:val="auto"/>
              </w:rPr>
            </w:pPr>
          </w:p>
        </w:tc>
        <w:tc>
          <w:tcPr>
            <w:tcW w:w="88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260" w:type="dxa"/>
            <w:vAlign w:val="bottom"/>
            <w:tcBorders>
              <w:top w:val="single" w:sz="8" w:color="0000EE"/>
            </w:tcBorders>
            <w:shd w:val="clear" w:color="auto" w:fill="CCEEFF"/>
          </w:tcPr>
          <w:p>
            <w:pPr>
              <w:spacing w:after="0"/>
              <w:rPr>
                <w:sz w:val="13"/>
                <w:szCs w:val="13"/>
                <w:color w:val="auto"/>
              </w:rPr>
            </w:pPr>
          </w:p>
        </w:tc>
        <w:tc>
          <w:tcPr>
            <w:tcW w:w="480" w:type="dxa"/>
            <w:vAlign w:val="bottom"/>
            <w:tcBorders>
              <w:top w:val="single" w:sz="8" w:color="0000EE"/>
            </w:tcBorders>
            <w:shd w:val="clear" w:color="auto" w:fill="CCEEFF"/>
          </w:tcPr>
          <w:p>
            <w:pPr>
              <w:spacing w:after="0"/>
              <w:rPr>
                <w:sz w:val="13"/>
                <w:szCs w:val="13"/>
                <w:color w:val="auto"/>
              </w:rPr>
            </w:pPr>
          </w:p>
        </w:tc>
        <w:tc>
          <w:tcPr>
            <w:tcW w:w="120" w:type="dxa"/>
            <w:vAlign w:val="bottom"/>
            <w:tcBorders>
              <w:top w:val="single" w:sz="8" w:color="0000EE"/>
            </w:tcBorders>
            <w:shd w:val="clear" w:color="auto" w:fill="CCEEFF"/>
          </w:tcPr>
          <w:p>
            <w:pPr>
              <w:spacing w:after="0"/>
              <w:rPr>
                <w:sz w:val="13"/>
                <w:szCs w:val="13"/>
                <w:color w:val="auto"/>
              </w:rPr>
            </w:pPr>
          </w:p>
        </w:tc>
        <w:tc>
          <w:tcPr>
            <w:tcW w:w="340" w:type="dxa"/>
            <w:vAlign w:val="bottom"/>
            <w:tcBorders>
              <w:top w:val="single" w:sz="8" w:color="0000EE"/>
              <w:lef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gridSpan w:val="3"/>
            <w:shd w:val="clear" w:color="auto" w:fill="CCEEFF"/>
          </w:tcPr>
          <w:p>
            <w:pPr>
              <w:jc w:val="center"/>
              <w:spacing w:after="0" w:line="159" w:lineRule="exact"/>
              <w:rPr>
                <w:rFonts w:ascii="Arial" w:cs="Arial" w:eastAsia="Arial" w:hAnsi="Arial"/>
                <w:sz w:val="15"/>
                <w:szCs w:val="15"/>
                <w:color w:val="0000EE"/>
                <w:w w:val="83"/>
              </w:rPr>
            </w:pPr>
            <w:hyperlink w:anchor="page79">
              <w:r>
                <w:rPr>
                  <w:rFonts w:ascii="Arial" w:cs="Arial" w:eastAsia="Arial" w:hAnsi="Arial"/>
                  <w:sz w:val="15"/>
                  <w:szCs w:val="15"/>
                  <w:color w:val="0000EE"/>
                  <w:w w:val="83"/>
                </w:rPr>
                <w:t>78</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lef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660" w:type="dxa"/>
            <w:vAlign w:val="bottom"/>
            <w:gridSpan w:val="9"/>
          </w:tcPr>
          <w:p>
            <w:pPr>
              <w:spacing w:after="0"/>
              <w:rPr>
                <w:rFonts w:ascii="Arial" w:cs="Arial" w:eastAsia="Arial" w:hAnsi="Arial"/>
                <w:sz w:val="15"/>
                <w:szCs w:val="15"/>
                <w:color w:val="0000EE"/>
                <w:w w:val="87"/>
              </w:rPr>
            </w:pPr>
            <w:hyperlink w:anchor="page80">
              <w:r>
                <w:rPr>
                  <w:rFonts w:ascii="Arial" w:cs="Arial" w:eastAsia="Arial" w:hAnsi="Arial"/>
                  <w:sz w:val="15"/>
                  <w:szCs w:val="15"/>
                  <w:color w:val="0000EE"/>
                  <w:w w:val="87"/>
                </w:rPr>
                <w:t>Consolidated Statements of Cash Flows for the years ended December 31, 2017, 2016 and 2015</w:t>
              </w:r>
            </w:hyperlink>
          </w:p>
        </w:tc>
        <w:tc>
          <w:tcPr>
            <w:tcW w:w="640" w:type="dxa"/>
            <w:vAlign w:val="bottom"/>
            <w:gridSpan w:val="2"/>
          </w:tcPr>
          <w:p>
            <w:pPr>
              <w:spacing w:after="0"/>
              <w:rPr>
                <w:sz w:val="16"/>
                <w:szCs w:val="16"/>
                <w:color w:val="auto"/>
              </w:rPr>
            </w:pPr>
          </w:p>
        </w:tc>
        <w:tc>
          <w:tcPr>
            <w:tcW w:w="480" w:type="dxa"/>
            <w:vAlign w:val="bottom"/>
            <w:gridSpan w:val="3"/>
          </w:tcPr>
          <w:p>
            <w:pPr>
              <w:jc w:val="center"/>
              <w:spacing w:after="0"/>
              <w:rPr>
                <w:rFonts w:ascii="Arial" w:cs="Arial" w:eastAsia="Arial" w:hAnsi="Arial"/>
                <w:sz w:val="15"/>
                <w:szCs w:val="15"/>
                <w:color w:val="0000EE"/>
                <w:w w:val="83"/>
              </w:rPr>
            </w:pPr>
            <w:hyperlink w:anchor="page80">
              <w:r>
                <w:rPr>
                  <w:rFonts w:ascii="Arial" w:cs="Arial" w:eastAsia="Arial" w:hAnsi="Arial"/>
                  <w:sz w:val="15"/>
                  <w:szCs w:val="15"/>
                  <w:color w:val="0000EE"/>
                  <w:w w:val="83"/>
                </w:rPr>
                <w:t>79</w:t>
              </w:r>
            </w:hyperlink>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tcBorders>
              <w:left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9"/>
            <w:shd w:val="clear" w:color="auto" w:fill="CCEEFF"/>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Consolidated Schedule of Investments as of December 31, 2017</w:t>
              </w:r>
            </w:hyperlink>
          </w:p>
        </w:tc>
        <w:tc>
          <w:tcPr>
            <w:tcW w:w="640" w:type="dxa"/>
            <w:vAlign w:val="bottom"/>
            <w:tcBorders>
              <w:left w:val="single" w:sz="8" w:color="CCEEFF"/>
            </w:tcBorders>
            <w:gridSpan w:val="2"/>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rFonts w:ascii="Arial" w:cs="Arial" w:eastAsia="Arial" w:hAnsi="Arial"/>
                <w:sz w:val="15"/>
                <w:szCs w:val="15"/>
                <w:color w:val="0000EE"/>
                <w:w w:val="83"/>
              </w:rPr>
            </w:pPr>
            <w:hyperlink w:anchor="page81">
              <w:r>
                <w:rPr>
                  <w:rFonts w:ascii="Arial" w:cs="Arial" w:eastAsia="Arial" w:hAnsi="Arial"/>
                  <w:sz w:val="15"/>
                  <w:szCs w:val="15"/>
                  <w:color w:val="0000EE"/>
                  <w:w w:val="83"/>
                </w:rPr>
                <w:t>80</w:t>
              </w:r>
            </w:hyperlink>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300" w:type="dxa"/>
            <w:vAlign w:val="bottom"/>
            <w:gridSpan w:val="11"/>
          </w:tcPr>
          <w:p>
            <w:pPr>
              <w:spacing w:after="0"/>
              <w:rPr>
                <w:rFonts w:ascii="Arial" w:cs="Arial" w:eastAsia="Arial" w:hAnsi="Arial"/>
                <w:sz w:val="15"/>
                <w:szCs w:val="15"/>
                <w:color w:val="0000EE"/>
              </w:rPr>
            </w:pPr>
            <w:hyperlink w:anchor="page86">
              <w:r>
                <w:rPr>
                  <w:rFonts w:ascii="Arial" w:cs="Arial" w:eastAsia="Arial" w:hAnsi="Arial"/>
                  <w:sz w:val="15"/>
                  <w:szCs w:val="15"/>
                  <w:color w:val="0000EE"/>
                </w:rPr>
                <w:t>Consolidated Schedule of Investments as of December 31, 2016</w:t>
              </w:r>
            </w:hyperlink>
          </w:p>
        </w:tc>
        <w:tc>
          <w:tcPr>
            <w:tcW w:w="480" w:type="dxa"/>
            <w:vAlign w:val="bottom"/>
            <w:gridSpan w:val="3"/>
          </w:tcPr>
          <w:p>
            <w:pPr>
              <w:jc w:val="center"/>
              <w:spacing w:after="0"/>
              <w:rPr>
                <w:rFonts w:ascii="Arial" w:cs="Arial" w:eastAsia="Arial" w:hAnsi="Arial"/>
                <w:sz w:val="15"/>
                <w:szCs w:val="15"/>
                <w:color w:val="0000EE"/>
                <w:w w:val="83"/>
              </w:rPr>
            </w:pPr>
            <w:hyperlink w:anchor="page86">
              <w:r>
                <w:rPr>
                  <w:rFonts w:ascii="Arial" w:cs="Arial" w:eastAsia="Arial" w:hAnsi="Arial"/>
                  <w:sz w:val="15"/>
                  <w:szCs w:val="15"/>
                  <w:color w:val="0000EE"/>
                  <w:w w:val="83"/>
                </w:rPr>
                <w:t>85</w:t>
              </w:r>
            </w:hyperlink>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600" w:type="dxa"/>
            <w:vAlign w:val="bottom"/>
            <w:gridSpan w:val="4"/>
            <w:shd w:val="clear" w:color="auto" w:fill="CCEEFF"/>
          </w:tcPr>
          <w:p>
            <w:pPr>
              <w:spacing w:after="0"/>
              <w:rPr>
                <w:rFonts w:ascii="Arial" w:cs="Arial" w:eastAsia="Arial" w:hAnsi="Arial"/>
                <w:sz w:val="15"/>
                <w:szCs w:val="15"/>
                <w:color w:val="0000EE"/>
                <w:w w:val="88"/>
              </w:rPr>
            </w:pPr>
            <w:hyperlink w:anchor="page92">
              <w:r>
                <w:rPr>
                  <w:rFonts w:ascii="Arial" w:cs="Arial" w:eastAsia="Arial" w:hAnsi="Arial"/>
                  <w:sz w:val="15"/>
                  <w:szCs w:val="15"/>
                  <w:color w:val="0000EE"/>
                  <w:w w:val="88"/>
                </w:rPr>
                <w:t>Notes to Consolidated Financial Statements</w:t>
              </w:r>
            </w:hyperlink>
          </w:p>
        </w:tc>
        <w:tc>
          <w:tcPr>
            <w:tcW w:w="1200" w:type="dxa"/>
            <w:vAlign w:val="bottom"/>
            <w:gridSpan w:val="2"/>
            <w:shd w:val="clear" w:color="auto" w:fill="CCEEFF"/>
          </w:tcPr>
          <w:p>
            <w:pPr>
              <w:spacing w:after="0"/>
              <w:rPr>
                <w:sz w:val="17"/>
                <w:szCs w:val="17"/>
                <w:color w:val="auto"/>
              </w:rPr>
            </w:pPr>
          </w:p>
        </w:tc>
        <w:tc>
          <w:tcPr>
            <w:tcW w:w="2500" w:type="dxa"/>
            <w:vAlign w:val="bottom"/>
            <w:gridSpan w:val="5"/>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rFonts w:ascii="Arial" w:cs="Arial" w:eastAsia="Arial" w:hAnsi="Arial"/>
                <w:sz w:val="15"/>
                <w:szCs w:val="15"/>
                <w:color w:val="0000EE"/>
                <w:w w:val="83"/>
              </w:rPr>
            </w:pPr>
            <w:hyperlink w:anchor="page92">
              <w:r>
                <w:rPr>
                  <w:rFonts w:ascii="Arial" w:cs="Arial" w:eastAsia="Arial" w:hAnsi="Arial"/>
                  <w:sz w:val="15"/>
                  <w:szCs w:val="15"/>
                  <w:color w:val="0000EE"/>
                  <w:w w:val="83"/>
                </w:rPr>
                <w:t>91</w:t>
              </w:r>
            </w:hyperlink>
          </w:p>
        </w:tc>
      </w:tr>
      <w:tr>
        <w:trPr>
          <w:trHeight w:val="33"/>
        </w:trPr>
        <w:tc>
          <w:tcPr>
            <w:tcW w:w="2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-1487170</wp:posOffset>
            </wp:positionV>
            <wp:extent cx="401066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010660" cy="6985"/>
                    </a:xfrm>
                    <a:prstGeom prst="rect">
                      <a:avLst/>
                    </a:prstGeom>
                    <a:noFill/>
                  </pic:spPr>
                </pic:pic>
              </a:graphicData>
            </a:graphic>
          </wp:anchor>
        </w:drawing>
      </w:r>
    </w:p>
    <w:p>
      <w:pPr>
        <w:spacing w:after="0" w:line="159" w:lineRule="exact"/>
        <w:rPr>
          <w:sz w:val="20"/>
          <w:szCs w:val="20"/>
          <w:color w:val="auto"/>
        </w:rPr>
      </w:pPr>
    </w:p>
    <w:p>
      <w:pPr>
        <w:jc w:val="both"/>
        <w:ind w:left="1640" w:right="2559" w:hanging="292"/>
        <w:spacing w:after="0" w:line="259" w:lineRule="auto"/>
        <w:tabs>
          <w:tab w:leader="none" w:pos="16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Financial Statement Schedules — None. We have omitted financial statement schedules because they are not required or are not applicable, or the required information is shown in the financial statements or notes to the financial statements.</w:t>
      </w:r>
    </w:p>
    <w:p>
      <w:pPr>
        <w:spacing w:after="0" w:line="77" w:lineRule="exact"/>
        <w:rPr>
          <w:rFonts w:ascii="Arial" w:cs="Arial" w:eastAsia="Arial" w:hAnsi="Arial"/>
          <w:sz w:val="15"/>
          <w:szCs w:val="15"/>
          <w:color w:val="auto"/>
        </w:rPr>
      </w:pPr>
    </w:p>
    <w:p>
      <w:pPr>
        <w:ind w:left="1640" w:hanging="292"/>
        <w:spacing w:after="0"/>
        <w:tabs>
          <w:tab w:leader="none" w:pos="16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Exhibits</w:t>
      </w:r>
    </w:p>
    <w:p>
      <w:pPr>
        <w:spacing w:after="0" w:line="95" w:lineRule="exact"/>
        <w:rPr>
          <w:sz w:val="20"/>
          <w:szCs w:val="20"/>
          <w:color w:val="auto"/>
        </w:rPr>
      </w:pPr>
    </w:p>
    <w:p>
      <w:pPr>
        <w:ind w:left="1060" w:right="2939" w:firstLine="297"/>
        <w:spacing w:after="0" w:line="270" w:lineRule="auto"/>
        <w:rPr>
          <w:sz w:val="20"/>
          <w:szCs w:val="20"/>
          <w:color w:val="auto"/>
        </w:rPr>
      </w:pPr>
      <w:r>
        <w:rPr>
          <w:rFonts w:ascii="Arial" w:cs="Arial" w:eastAsia="Arial" w:hAnsi="Arial"/>
          <w:sz w:val="15"/>
          <w:szCs w:val="15"/>
          <w:color w:val="auto"/>
        </w:rPr>
        <w:t>The following exhibits are filed as part of this report or hereby incorporated by reference to exhibits previously filed with the SEC:</w:t>
      </w:r>
    </w:p>
    <w:p>
      <w:pPr>
        <w:spacing w:after="0" w:line="49" w:lineRule="exact"/>
        <w:rPr>
          <w:sz w:val="20"/>
          <w:szCs w:val="20"/>
          <w:color w:val="auto"/>
        </w:rPr>
      </w:pPr>
    </w:p>
    <w:p>
      <w:pPr>
        <w:ind w:left="1200"/>
        <w:spacing w:after="0"/>
        <w:tabs>
          <w:tab w:leader="none" w:pos="1660" w:val="left"/>
        </w:tabs>
        <w:rPr>
          <w:rFonts w:ascii="Arial" w:cs="Arial" w:eastAsia="Arial" w:hAnsi="Arial"/>
          <w:sz w:val="13"/>
          <w:szCs w:val="13"/>
          <w:u w:val="single" w:color="auto"/>
          <w:color w:val="0000EE"/>
        </w:rPr>
      </w:pPr>
      <w:hyperlink r:id="rId748">
        <w:r>
          <w:rPr>
            <w:rFonts w:ascii="Arial" w:cs="Arial" w:eastAsia="Arial" w:hAnsi="Arial"/>
            <w:sz w:val="15"/>
            <w:szCs w:val="15"/>
            <w:color w:val="0000EE"/>
          </w:rPr>
          <w:t>3.1</w:t>
        </w:r>
      </w:hyperlink>
      <w:r>
        <w:rPr>
          <w:rFonts w:ascii="Arial" w:cs="Arial" w:eastAsia="Arial" w:hAnsi="Arial"/>
          <w:sz w:val="15"/>
          <w:szCs w:val="15"/>
          <w:color w:val="0000EE"/>
        </w:rPr>
        <w:tab/>
      </w:r>
      <w:hyperlink r:id="rId748">
        <w:r>
          <w:rPr>
            <w:rFonts w:ascii="Arial" w:cs="Arial" w:eastAsia="Arial" w:hAnsi="Arial"/>
            <w:sz w:val="13"/>
            <w:szCs w:val="13"/>
            <w:u w:val="single" w:color="auto"/>
            <w:color w:val="0000EE"/>
          </w:rPr>
          <w:t>Articles of Amendment and Restatement</w:t>
        </w:r>
        <w:r>
          <w:rPr>
            <w:rFonts w:ascii="Arial" w:cs="Arial" w:eastAsia="Arial" w:hAnsi="Arial"/>
            <w:sz w:val="19"/>
            <w:szCs w:val="1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-26035</wp:posOffset>
            </wp:positionV>
            <wp:extent cx="13716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137160" cy="6985"/>
                    </a:xfrm>
                    <a:prstGeom prst="rect">
                      <a:avLst/>
                    </a:prstGeom>
                    <a:noFill/>
                  </pic:spPr>
                </pic:pic>
              </a:graphicData>
            </a:graphic>
          </wp:anchor>
        </w:drawing>
      </w:r>
    </w:p>
    <w:p>
      <w:pPr>
        <w:ind w:left="1200"/>
        <w:spacing w:after="0" w:line="236" w:lineRule="auto"/>
        <w:tabs>
          <w:tab w:leader="none" w:pos="1660" w:val="left"/>
        </w:tabs>
        <w:rPr>
          <w:rFonts w:ascii="Arial" w:cs="Arial" w:eastAsia="Arial" w:hAnsi="Arial"/>
          <w:sz w:val="13"/>
          <w:szCs w:val="13"/>
          <w:u w:val="single" w:color="auto"/>
          <w:color w:val="0000EE"/>
        </w:rPr>
      </w:pPr>
      <w:hyperlink r:id="rId750">
        <w:r>
          <w:rPr>
            <w:rFonts w:ascii="Arial" w:cs="Arial" w:eastAsia="Arial" w:hAnsi="Arial"/>
            <w:sz w:val="15"/>
            <w:szCs w:val="15"/>
            <w:color w:val="0000EE"/>
          </w:rPr>
          <w:t>3.2</w:t>
        </w:r>
      </w:hyperlink>
      <w:r>
        <w:rPr>
          <w:rFonts w:ascii="Arial" w:cs="Arial" w:eastAsia="Arial" w:hAnsi="Arial"/>
          <w:sz w:val="15"/>
          <w:szCs w:val="15"/>
          <w:color w:val="0000EE"/>
        </w:rPr>
        <w:tab/>
      </w:r>
      <w:hyperlink r:id="rId750">
        <w:r>
          <w:rPr>
            <w:rFonts w:ascii="Arial" w:cs="Arial" w:eastAsia="Arial" w:hAnsi="Arial"/>
            <w:sz w:val="13"/>
            <w:szCs w:val="13"/>
            <w:u w:val="single" w:color="auto"/>
            <w:color w:val="0000EE"/>
          </w:rPr>
          <w:t>Articles of Amendment</w:t>
        </w:r>
        <w:r>
          <w:rPr>
            <w:rFonts w:ascii="Arial" w:cs="Arial" w:eastAsia="Arial" w:hAnsi="Arial"/>
            <w:sz w:val="19"/>
            <w:szCs w:val="1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-27940</wp:posOffset>
            </wp:positionV>
            <wp:extent cx="13716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137160" cy="6985"/>
                    </a:xfrm>
                    <a:prstGeom prst="rect">
                      <a:avLst/>
                    </a:prstGeom>
                    <a:noFill/>
                  </pic:spPr>
                </pic:pic>
              </a:graphicData>
            </a:graphic>
          </wp:anchor>
        </w:drawing>
      </w:r>
    </w:p>
    <w:p>
      <w:pPr>
        <w:ind w:left="1200"/>
        <w:spacing w:after="0" w:line="233" w:lineRule="auto"/>
        <w:tabs>
          <w:tab w:leader="none" w:pos="1660" w:val="left"/>
        </w:tabs>
        <w:rPr>
          <w:rFonts w:ascii="Arial" w:cs="Arial" w:eastAsia="Arial" w:hAnsi="Arial"/>
          <w:sz w:val="13"/>
          <w:szCs w:val="13"/>
          <w:u w:val="single" w:color="auto"/>
          <w:color w:val="0000EE"/>
        </w:rPr>
      </w:pPr>
      <w:hyperlink r:id="rId752">
        <w:r>
          <w:rPr>
            <w:rFonts w:ascii="Arial" w:cs="Arial" w:eastAsia="Arial" w:hAnsi="Arial"/>
            <w:sz w:val="15"/>
            <w:szCs w:val="15"/>
            <w:color w:val="0000EE"/>
          </w:rPr>
          <w:t>3.3</w:t>
        </w:r>
      </w:hyperlink>
      <w:r>
        <w:rPr>
          <w:rFonts w:ascii="Arial" w:cs="Arial" w:eastAsia="Arial" w:hAnsi="Arial"/>
          <w:sz w:val="15"/>
          <w:szCs w:val="15"/>
          <w:color w:val="0000EE"/>
        </w:rPr>
        <w:tab/>
      </w:r>
      <w:hyperlink r:id="rId752">
        <w:r>
          <w:rPr>
            <w:rFonts w:ascii="Arial" w:cs="Arial" w:eastAsia="Arial" w:hAnsi="Arial"/>
            <w:sz w:val="13"/>
            <w:szCs w:val="13"/>
            <w:u w:val="single" w:color="auto"/>
            <w:color w:val="0000EE"/>
          </w:rPr>
          <w:t>Bylaws</w:t>
        </w:r>
        <w:r>
          <w:rPr>
            <w:rFonts w:ascii="Arial" w:cs="Arial" w:eastAsia="Arial" w:hAnsi="Arial"/>
            <w:sz w:val="19"/>
            <w:szCs w:val="1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-27940</wp:posOffset>
            </wp:positionV>
            <wp:extent cx="13716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137160" cy="6985"/>
                    </a:xfrm>
                    <a:prstGeom prst="rect">
                      <a:avLst/>
                    </a:prstGeom>
                    <a:noFill/>
                  </pic:spPr>
                </pic:pic>
              </a:graphicData>
            </a:graphic>
          </wp:anchor>
        </w:drawing>
      </w:r>
    </w:p>
    <w:p>
      <w:pPr>
        <w:ind w:left="1200"/>
        <w:spacing w:after="0"/>
        <w:tabs>
          <w:tab w:leader="none" w:pos="1660" w:val="left"/>
        </w:tabs>
        <w:rPr>
          <w:rFonts w:ascii="Arial" w:cs="Arial" w:eastAsia="Arial" w:hAnsi="Arial"/>
          <w:sz w:val="13"/>
          <w:szCs w:val="13"/>
          <w:u w:val="single" w:color="auto"/>
          <w:color w:val="0000EE"/>
        </w:rPr>
      </w:pPr>
      <w:hyperlink r:id="rId754">
        <w:r>
          <w:rPr>
            <w:rFonts w:ascii="Arial" w:cs="Arial" w:eastAsia="Arial" w:hAnsi="Arial"/>
            <w:sz w:val="15"/>
            <w:szCs w:val="15"/>
            <w:color w:val="0000EE"/>
          </w:rPr>
          <w:t>4.1</w:t>
        </w:r>
      </w:hyperlink>
      <w:r>
        <w:rPr>
          <w:rFonts w:ascii="Arial" w:cs="Arial" w:eastAsia="Arial" w:hAnsi="Arial"/>
          <w:sz w:val="15"/>
          <w:szCs w:val="15"/>
          <w:color w:val="0000EE"/>
        </w:rPr>
        <w:tab/>
      </w:r>
      <w:hyperlink r:id="rId754">
        <w:r>
          <w:rPr>
            <w:rFonts w:ascii="Arial" w:cs="Arial" w:eastAsia="Arial" w:hAnsi="Arial"/>
            <w:sz w:val="13"/>
            <w:szCs w:val="13"/>
            <w:u w:val="single" w:color="auto"/>
            <w:color w:val="0000EE"/>
          </w:rPr>
          <w:t>Form of Common Stock Certificate</w:t>
        </w:r>
        <w:r>
          <w:rPr>
            <w:rFonts w:ascii="Arial" w:cs="Arial" w:eastAsia="Arial" w:hAnsi="Arial"/>
            <w:sz w:val="19"/>
            <w:szCs w:val="19"/>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-32385</wp:posOffset>
            </wp:positionV>
            <wp:extent cx="13716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137160" cy="6985"/>
                    </a:xfrm>
                    <a:prstGeom prst="rect">
                      <a:avLst/>
                    </a:prstGeom>
                    <a:noFill/>
                  </pic:spPr>
                </pic:pic>
              </a:graphicData>
            </a:graphic>
          </wp:anchor>
        </w:drawing>
      </w:r>
    </w:p>
    <w:p>
      <w:pPr>
        <w:ind w:left="1680" w:right="2439" w:hanging="479"/>
        <w:spacing w:after="0" w:line="220" w:lineRule="auto"/>
        <w:tabs>
          <w:tab w:leader="none" w:pos="1660" w:val="left"/>
        </w:tabs>
        <w:rPr>
          <w:rFonts w:ascii="Arial" w:cs="Arial" w:eastAsia="Arial" w:hAnsi="Arial"/>
          <w:sz w:val="15"/>
          <w:szCs w:val="15"/>
          <w:u w:val="single" w:color="auto"/>
          <w:color w:val="0000EE"/>
        </w:rPr>
      </w:pPr>
      <w:hyperlink r:id="rId756">
        <w:r>
          <w:rPr>
            <w:rFonts w:ascii="Arial" w:cs="Arial" w:eastAsia="Arial" w:hAnsi="Arial"/>
            <w:sz w:val="15"/>
            <w:szCs w:val="15"/>
            <w:color w:val="0000EE"/>
          </w:rPr>
          <w:t>4.2</w:t>
        </w:r>
      </w:hyperlink>
      <w:r>
        <w:rPr>
          <w:rFonts w:ascii="Arial" w:cs="Arial" w:eastAsia="Arial" w:hAnsi="Arial"/>
          <w:sz w:val="15"/>
          <w:szCs w:val="15"/>
          <w:color w:val="0000EE"/>
        </w:rPr>
        <w:tab/>
      </w:r>
      <w:hyperlink r:id="rId756">
        <w:r>
          <w:rPr>
            <w:rFonts w:ascii="Arial" w:cs="Arial" w:eastAsia="Arial" w:hAnsi="Arial"/>
            <w:sz w:val="15"/>
            <w:szCs w:val="15"/>
            <w:u w:val="single" w:color="auto"/>
            <w:color w:val="0000EE"/>
          </w:rPr>
          <w:t>Indenture, dated September 17, 2013, relating to the 5.25% Convertible Senior Notes due 2018, by and</w:t>
        </w:r>
      </w:hyperlink>
      <w:r>
        <w:rPr>
          <w:rFonts w:ascii="Arial" w:cs="Arial" w:eastAsia="Arial" w:hAnsi="Arial"/>
          <w:sz w:val="15"/>
          <w:szCs w:val="15"/>
          <w:u w:val="single" w:color="auto"/>
          <w:color w:val="0000EE"/>
        </w:rPr>
        <w:t xml:space="preserve"> </w:t>
      </w:r>
      <w:hyperlink r:id="rId756">
        <w:r>
          <w:rPr>
            <w:rFonts w:ascii="Arial" w:cs="Arial" w:eastAsia="Arial" w:hAnsi="Arial"/>
            <w:sz w:val="15"/>
            <w:szCs w:val="15"/>
            <w:u w:val="single" w:color="auto"/>
            <w:color w:val="0000EE"/>
          </w:rPr>
          <w:t>between the Company and the U.S. Bank National Association, as trustee</w:t>
        </w:r>
        <w:r>
          <w:rPr>
            <w:rFonts w:ascii="Arial" w:cs="Arial" w:eastAsia="Arial" w:hAnsi="Arial"/>
            <w:sz w:val="22"/>
            <w:szCs w:val="22"/>
            <w:u w:val="single" w:color="auto"/>
            <w:color w:val="0000EE"/>
            <w:vertAlign w:val="superscript"/>
          </w:rPr>
          <w:t>(4)</w:t>
        </w:r>
      </w:hyperlink>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740410</wp:posOffset>
            </wp:positionH>
            <wp:positionV relativeFrom="paragraph">
              <wp:posOffset>-155575</wp:posOffset>
            </wp:positionV>
            <wp:extent cx="13716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7">
                      <a:extLst>
                        <a:ext uri="{28A0092B-C50C-407E-A947-70E740481C1C}"/>
                      </a:extLst>
                    </a:blip>
                    <a:srcRect/>
                    <a:stretch>
                      <a:fillRect/>
                    </a:stretch>
                  </pic:blipFill>
                  <pic:spPr bwMode="auto">
                    <a:xfrm>
                      <a:off x="0" y="0"/>
                      <a:ext cx="137160" cy="6985"/>
                    </a:xfrm>
                    <a:prstGeom prst="rect">
                      <a:avLst/>
                    </a:prstGeom>
                    <a:noFill/>
                  </pic:spPr>
                </pic:pic>
              </a:graphicData>
            </a:graphic>
          </wp:anchor>
        </w:drawing>
      </w:r>
    </w:p>
    <w:p>
      <w:pPr>
        <w:ind w:left="1140"/>
        <w:spacing w:after="0"/>
        <w:tabs>
          <w:tab w:leader="none" w:pos="1660" w:val="left"/>
        </w:tabs>
        <w:rPr>
          <w:rFonts w:ascii="Arial" w:cs="Arial" w:eastAsia="Arial" w:hAnsi="Arial"/>
          <w:sz w:val="13"/>
          <w:szCs w:val="13"/>
          <w:u w:val="single" w:color="auto"/>
          <w:color w:val="0000EE"/>
        </w:rPr>
      </w:pPr>
      <w:hyperlink r:id="rId758">
        <w:r>
          <w:rPr>
            <w:rFonts w:ascii="Arial" w:cs="Arial" w:eastAsia="Arial" w:hAnsi="Arial"/>
            <w:sz w:val="15"/>
            <w:szCs w:val="15"/>
            <w:u w:val="single" w:color="auto"/>
            <w:color w:val="0000EE"/>
          </w:rPr>
          <w:t>10.1</w:t>
        </w:r>
      </w:hyperlink>
      <w:r>
        <w:rPr>
          <w:rFonts w:ascii="Arial" w:cs="Arial" w:eastAsia="Arial" w:hAnsi="Arial"/>
          <w:sz w:val="15"/>
          <w:szCs w:val="15"/>
          <w:u w:val="single" w:color="auto"/>
          <w:color w:val="0000EE"/>
        </w:rPr>
        <w:tab/>
      </w:r>
      <w:hyperlink r:id="rId758">
        <w:r>
          <w:rPr>
            <w:rFonts w:ascii="Arial" w:cs="Arial" w:eastAsia="Arial" w:hAnsi="Arial"/>
            <w:sz w:val="13"/>
            <w:szCs w:val="13"/>
            <w:u w:val="single" w:color="auto"/>
            <w:color w:val="0000EE"/>
          </w:rPr>
          <w:t>Dividend Reinvestment Plan</w:t>
        </w:r>
        <w:r>
          <w:rPr>
            <w:rFonts w:ascii="Arial" w:cs="Arial" w:eastAsia="Arial" w:hAnsi="Arial"/>
            <w:sz w:val="19"/>
            <w:szCs w:val="19"/>
            <w:u w:val="single" w:color="auto"/>
            <w:color w:val="0000EE"/>
            <w:vertAlign w:val="superscript"/>
          </w:rPr>
          <w:t>(1)</w:t>
        </w:r>
      </w:hyperlink>
    </w:p>
    <w:p>
      <w:pPr>
        <w:spacing w:after="0" w:line="5" w:lineRule="exact"/>
        <w:rPr>
          <w:sz w:val="20"/>
          <w:szCs w:val="20"/>
          <w:color w:val="auto"/>
        </w:rPr>
      </w:pPr>
    </w:p>
    <w:p>
      <w:pPr>
        <w:ind w:left="1680" w:right="2439" w:hanging="531"/>
        <w:spacing w:after="0" w:line="226" w:lineRule="auto"/>
        <w:tabs>
          <w:tab w:leader="none" w:pos="1660" w:val="left"/>
        </w:tabs>
        <w:rPr>
          <w:rFonts w:ascii="Arial" w:cs="Arial" w:eastAsia="Arial" w:hAnsi="Arial"/>
          <w:sz w:val="15"/>
          <w:szCs w:val="15"/>
          <w:u w:val="single" w:color="auto"/>
          <w:color w:val="0000EE"/>
        </w:rPr>
      </w:pPr>
      <w:hyperlink r:id="rId759">
        <w:r>
          <w:rPr>
            <w:rFonts w:ascii="Arial" w:cs="Arial" w:eastAsia="Arial" w:hAnsi="Arial"/>
            <w:sz w:val="15"/>
            <w:szCs w:val="15"/>
            <w:u w:val="single" w:color="auto"/>
            <w:color w:val="0000EE"/>
          </w:rPr>
          <w:t>10.2</w:t>
        </w:r>
      </w:hyperlink>
      <w:r>
        <w:rPr>
          <w:rFonts w:ascii="Arial" w:cs="Arial" w:eastAsia="Arial" w:hAnsi="Arial"/>
          <w:sz w:val="15"/>
          <w:szCs w:val="15"/>
          <w:u w:val="single" w:color="auto"/>
          <w:color w:val="0000EE"/>
        </w:rPr>
        <w:tab/>
      </w:r>
      <w:hyperlink r:id="rId759">
        <w:r>
          <w:rPr>
            <w:rFonts w:ascii="Arial" w:cs="Arial" w:eastAsia="Arial" w:hAnsi="Arial"/>
            <w:sz w:val="15"/>
            <w:szCs w:val="15"/>
            <w:u w:val="single" w:color="auto"/>
            <w:color w:val="0000EE"/>
          </w:rPr>
          <w:t>Amended and Restated Investment Advisory Agreement by and between the Company and GSV Asset</w:t>
        </w:r>
      </w:hyperlink>
      <w:r>
        <w:rPr>
          <w:rFonts w:ascii="Arial" w:cs="Arial" w:eastAsia="Arial" w:hAnsi="Arial"/>
          <w:sz w:val="15"/>
          <w:szCs w:val="15"/>
          <w:u w:val="single" w:color="auto"/>
          <w:color w:val="0000EE"/>
        </w:rPr>
        <w:t xml:space="preserve"> </w:t>
      </w:r>
      <w:hyperlink r:id="rId759">
        <w:r>
          <w:rPr>
            <w:rFonts w:ascii="Arial" w:cs="Arial" w:eastAsia="Arial" w:hAnsi="Arial"/>
            <w:sz w:val="15"/>
            <w:szCs w:val="15"/>
            <w:u w:val="single" w:color="auto"/>
            <w:color w:val="0000EE"/>
          </w:rPr>
          <w:t>Management, LLC</w:t>
        </w:r>
        <w:r>
          <w:rPr>
            <w:rFonts w:ascii="Arial" w:cs="Arial" w:eastAsia="Arial" w:hAnsi="Arial"/>
            <w:sz w:val="22"/>
            <w:szCs w:val="22"/>
            <w:u w:val="single" w:color="auto"/>
            <w:color w:val="0000EE"/>
            <w:vertAlign w:val="superscript"/>
          </w:rPr>
          <w:t>(3)</w:t>
        </w:r>
      </w:hyperlink>
    </w:p>
    <w:p>
      <w:pPr>
        <w:spacing w:after="0" w:line="1" w:lineRule="exact"/>
        <w:rPr>
          <w:rFonts w:ascii="Arial" w:cs="Arial" w:eastAsia="Arial" w:hAnsi="Arial"/>
          <w:sz w:val="15"/>
          <w:szCs w:val="15"/>
          <w:u w:val="single" w:color="auto"/>
          <w:color w:val="0000EE"/>
        </w:rPr>
      </w:pPr>
    </w:p>
    <w:p>
      <w:pPr>
        <w:ind w:left="1680" w:right="2679" w:hanging="531"/>
        <w:spacing w:after="0" w:line="220" w:lineRule="auto"/>
        <w:tabs>
          <w:tab w:leader="none" w:pos="1660" w:val="left"/>
        </w:tabs>
        <w:rPr>
          <w:rFonts w:ascii="Arial" w:cs="Arial" w:eastAsia="Arial" w:hAnsi="Arial"/>
          <w:sz w:val="15"/>
          <w:szCs w:val="15"/>
          <w:u w:val="single" w:color="auto"/>
          <w:color w:val="0000EE"/>
        </w:rPr>
      </w:pPr>
      <w:hyperlink r:id="rId760">
        <w:r>
          <w:rPr>
            <w:rFonts w:ascii="Arial" w:cs="Arial" w:eastAsia="Arial" w:hAnsi="Arial"/>
            <w:sz w:val="15"/>
            <w:szCs w:val="15"/>
            <w:u w:val="single" w:color="auto"/>
            <w:color w:val="0000EE"/>
          </w:rPr>
          <w:t>10.3</w:t>
        </w:r>
      </w:hyperlink>
      <w:r>
        <w:rPr>
          <w:rFonts w:ascii="Arial" w:cs="Arial" w:eastAsia="Arial" w:hAnsi="Arial"/>
          <w:sz w:val="15"/>
          <w:szCs w:val="15"/>
          <w:u w:val="single" w:color="auto"/>
          <w:color w:val="0000EE"/>
        </w:rPr>
        <w:tab/>
      </w:r>
      <w:hyperlink r:id="rId760">
        <w:r>
          <w:rPr>
            <w:rFonts w:ascii="Arial" w:cs="Arial" w:eastAsia="Arial" w:hAnsi="Arial"/>
            <w:sz w:val="15"/>
            <w:szCs w:val="15"/>
            <w:u w:val="single" w:color="auto"/>
            <w:color w:val="0000EE"/>
          </w:rPr>
          <w:t>Second Amended and Restated Administration Agreement by and between the Company and GSV</w:t>
        </w:r>
      </w:hyperlink>
      <w:r>
        <w:rPr>
          <w:rFonts w:ascii="Arial" w:cs="Arial" w:eastAsia="Arial" w:hAnsi="Arial"/>
          <w:sz w:val="15"/>
          <w:szCs w:val="15"/>
          <w:u w:val="single" w:color="auto"/>
          <w:color w:val="0000EE"/>
        </w:rPr>
        <w:t xml:space="preserve"> </w:t>
      </w:r>
      <w:hyperlink r:id="rId760">
        <w:r>
          <w:rPr>
            <w:rFonts w:ascii="Arial" w:cs="Arial" w:eastAsia="Arial" w:hAnsi="Arial"/>
            <w:sz w:val="15"/>
            <w:szCs w:val="15"/>
            <w:u w:val="single" w:color="auto"/>
            <w:color w:val="0000EE"/>
          </w:rPr>
          <w:t>Capital Service Company, LLC</w:t>
        </w:r>
        <w:r>
          <w:rPr>
            <w:rFonts w:ascii="Arial" w:cs="Arial" w:eastAsia="Arial" w:hAnsi="Arial"/>
            <w:sz w:val="22"/>
            <w:szCs w:val="22"/>
            <w:u w:val="single" w:color="auto"/>
            <w:color w:val="0000EE"/>
            <w:vertAlign w:val="superscript"/>
          </w:rPr>
          <w:t>(8)</w:t>
        </w:r>
      </w:hyperlink>
    </w:p>
    <w:p>
      <w:pPr>
        <w:ind w:left="1140"/>
        <w:spacing w:after="0" w:line="233" w:lineRule="auto"/>
        <w:tabs>
          <w:tab w:leader="none" w:pos="1660" w:val="left"/>
        </w:tabs>
        <w:rPr>
          <w:rFonts w:ascii="Arial" w:cs="Arial" w:eastAsia="Arial" w:hAnsi="Arial"/>
          <w:sz w:val="13"/>
          <w:szCs w:val="13"/>
          <w:u w:val="single" w:color="auto"/>
          <w:color w:val="0000EE"/>
        </w:rPr>
      </w:pPr>
      <w:hyperlink r:id="rId761">
        <w:r>
          <w:rPr>
            <w:rFonts w:ascii="Arial" w:cs="Arial" w:eastAsia="Arial" w:hAnsi="Arial"/>
            <w:sz w:val="15"/>
            <w:szCs w:val="15"/>
            <w:u w:val="single" w:color="auto"/>
            <w:color w:val="0000EE"/>
          </w:rPr>
          <w:t>10.4</w:t>
        </w:r>
      </w:hyperlink>
      <w:r>
        <w:rPr>
          <w:rFonts w:ascii="Arial" w:cs="Arial" w:eastAsia="Arial" w:hAnsi="Arial"/>
          <w:sz w:val="15"/>
          <w:szCs w:val="15"/>
          <w:u w:val="single" w:color="auto"/>
          <w:color w:val="0000EE"/>
        </w:rPr>
        <w:tab/>
      </w:r>
      <w:hyperlink r:id="rId761">
        <w:r>
          <w:rPr>
            <w:rFonts w:ascii="Arial" w:cs="Arial" w:eastAsia="Arial" w:hAnsi="Arial"/>
            <w:sz w:val="13"/>
            <w:szCs w:val="13"/>
            <w:u w:val="single" w:color="auto"/>
            <w:color w:val="0000EE"/>
          </w:rPr>
          <w:t>Form of Indemnification Agreement by and between the Company and each of its directors</w:t>
        </w:r>
        <w:r>
          <w:rPr>
            <w:rFonts w:ascii="Arial" w:cs="Arial" w:eastAsia="Arial" w:hAnsi="Arial"/>
            <w:sz w:val="19"/>
            <w:szCs w:val="19"/>
            <w:u w:val="single" w:color="auto"/>
            <w:color w:val="0000EE"/>
            <w:vertAlign w:val="superscript"/>
          </w:rPr>
          <w:t>(1)</w:t>
        </w:r>
      </w:hyperlink>
    </w:p>
    <w:p>
      <w:pPr>
        <w:ind w:left="1140"/>
        <w:spacing w:after="0"/>
        <w:tabs>
          <w:tab w:leader="none" w:pos="1660" w:val="left"/>
        </w:tabs>
        <w:rPr>
          <w:rFonts w:ascii="Arial" w:cs="Arial" w:eastAsia="Arial" w:hAnsi="Arial"/>
          <w:sz w:val="13"/>
          <w:szCs w:val="13"/>
          <w:u w:val="single" w:color="auto"/>
          <w:color w:val="0000EE"/>
        </w:rPr>
      </w:pPr>
      <w:hyperlink r:id="rId762">
        <w:r>
          <w:rPr>
            <w:rFonts w:ascii="Arial" w:cs="Arial" w:eastAsia="Arial" w:hAnsi="Arial"/>
            <w:sz w:val="15"/>
            <w:szCs w:val="15"/>
            <w:u w:val="single" w:color="auto"/>
            <w:color w:val="0000EE"/>
          </w:rPr>
          <w:t>10.5</w:t>
        </w:r>
      </w:hyperlink>
      <w:r>
        <w:rPr>
          <w:rFonts w:ascii="Arial" w:cs="Arial" w:eastAsia="Arial" w:hAnsi="Arial"/>
          <w:sz w:val="15"/>
          <w:szCs w:val="15"/>
          <w:u w:val="single" w:color="auto"/>
          <w:color w:val="0000EE"/>
        </w:rPr>
        <w:tab/>
      </w:r>
      <w:hyperlink r:id="rId762">
        <w:r>
          <w:rPr>
            <w:rFonts w:ascii="Arial" w:cs="Arial" w:eastAsia="Arial" w:hAnsi="Arial"/>
            <w:sz w:val="13"/>
            <w:szCs w:val="13"/>
            <w:u w:val="single" w:color="auto"/>
            <w:color w:val="0000EE"/>
          </w:rPr>
          <w:t>Custody Agreement by and between the Company and U.S. Bank National Association</w:t>
        </w:r>
        <w:r>
          <w:rPr>
            <w:rFonts w:ascii="Arial" w:cs="Arial" w:eastAsia="Arial" w:hAnsi="Arial"/>
            <w:sz w:val="19"/>
            <w:szCs w:val="19"/>
            <w:u w:val="single" w:color="auto"/>
            <w:color w:val="0000EE"/>
            <w:vertAlign w:val="superscript"/>
          </w:rPr>
          <w:t>(7)</w:t>
        </w:r>
      </w:hyperlink>
    </w:p>
    <w:p>
      <w:pPr>
        <w:spacing w:after="0" w:line="16" w:lineRule="exact"/>
        <w:rPr>
          <w:sz w:val="20"/>
          <w:szCs w:val="20"/>
          <w:color w:val="auto"/>
        </w:rPr>
      </w:pPr>
    </w:p>
    <w:p>
      <w:pPr>
        <w:ind w:left="1680" w:right="2579" w:hanging="531"/>
        <w:spacing w:after="0" w:line="232" w:lineRule="auto"/>
        <w:tabs>
          <w:tab w:leader="none" w:pos="1660" w:val="left"/>
        </w:tabs>
        <w:rPr>
          <w:rFonts w:ascii="Arial" w:cs="Arial" w:eastAsia="Arial" w:hAnsi="Arial"/>
          <w:sz w:val="15"/>
          <w:szCs w:val="15"/>
          <w:u w:val="single" w:color="auto"/>
          <w:color w:val="0000EE"/>
        </w:rPr>
      </w:pPr>
      <w:hyperlink r:id="rId763">
        <w:r>
          <w:rPr>
            <w:rFonts w:ascii="Arial" w:cs="Arial" w:eastAsia="Arial" w:hAnsi="Arial"/>
            <w:sz w:val="15"/>
            <w:szCs w:val="15"/>
            <w:u w:val="single" w:color="auto"/>
            <w:color w:val="0000EE"/>
          </w:rPr>
          <w:t>10.6</w:t>
        </w:r>
      </w:hyperlink>
      <w:r>
        <w:rPr>
          <w:rFonts w:ascii="Arial" w:cs="Arial" w:eastAsia="Arial" w:hAnsi="Arial"/>
          <w:sz w:val="15"/>
          <w:szCs w:val="15"/>
          <w:u w:val="single" w:color="auto"/>
          <w:color w:val="0000EE"/>
        </w:rPr>
        <w:tab/>
      </w:r>
      <w:hyperlink r:id="rId763">
        <w:r>
          <w:rPr>
            <w:rFonts w:ascii="Arial" w:cs="Arial" w:eastAsia="Arial" w:hAnsi="Arial"/>
            <w:sz w:val="15"/>
            <w:szCs w:val="15"/>
            <w:u w:val="single" w:color="auto"/>
            <w:color w:val="0000EE"/>
          </w:rPr>
          <w:t>Form of Trademark License Agreement by and between the Company and GSV Asset Management,</w:t>
        </w:r>
      </w:hyperlink>
      <w:r>
        <w:rPr>
          <w:rFonts w:ascii="Arial" w:cs="Arial" w:eastAsia="Arial" w:hAnsi="Arial"/>
          <w:sz w:val="15"/>
          <w:szCs w:val="15"/>
          <w:u w:val="single" w:color="auto"/>
          <w:color w:val="0000EE"/>
        </w:rPr>
        <w:t xml:space="preserve"> </w:t>
      </w:r>
      <w:hyperlink r:id="rId763">
        <w:r>
          <w:rPr>
            <w:rFonts w:ascii="Arial" w:cs="Arial" w:eastAsia="Arial" w:hAnsi="Arial"/>
            <w:sz w:val="15"/>
            <w:szCs w:val="15"/>
            <w:u w:val="single" w:color="auto"/>
            <w:color w:val="0000EE"/>
          </w:rPr>
          <w:t>LLC</w:t>
        </w:r>
        <w:r>
          <w:rPr>
            <w:rFonts w:ascii="Arial" w:cs="Arial" w:eastAsia="Arial" w:hAnsi="Arial"/>
            <w:sz w:val="22"/>
            <w:szCs w:val="22"/>
            <w:u w:val="single" w:color="auto"/>
            <w:color w:val="0000EE"/>
            <w:vertAlign w:val="superscript"/>
          </w:rPr>
          <w:t>(2)</w:t>
        </w:r>
      </w:hyperlink>
    </w:p>
    <w:p>
      <w:pPr>
        <w:spacing w:after="0" w:line="2" w:lineRule="exact"/>
        <w:rPr>
          <w:rFonts w:ascii="Arial" w:cs="Arial" w:eastAsia="Arial" w:hAnsi="Arial"/>
          <w:sz w:val="15"/>
          <w:szCs w:val="15"/>
          <w:u w:val="single" w:color="auto"/>
          <w:color w:val="0000EE"/>
        </w:rPr>
      </w:pPr>
    </w:p>
    <w:p>
      <w:pPr>
        <w:ind w:left="1680" w:right="2679" w:hanging="531"/>
        <w:spacing w:after="0" w:line="232" w:lineRule="auto"/>
        <w:tabs>
          <w:tab w:leader="none" w:pos="1660" w:val="left"/>
        </w:tabs>
        <w:rPr>
          <w:rFonts w:ascii="Arial" w:cs="Arial" w:eastAsia="Arial" w:hAnsi="Arial"/>
          <w:sz w:val="15"/>
          <w:szCs w:val="15"/>
          <w:u w:val="single" w:color="auto"/>
          <w:color w:val="0000EE"/>
        </w:rPr>
      </w:pPr>
      <w:hyperlink r:id="rId764">
        <w:r>
          <w:rPr>
            <w:rFonts w:ascii="Arial" w:cs="Arial" w:eastAsia="Arial" w:hAnsi="Arial"/>
            <w:sz w:val="15"/>
            <w:szCs w:val="15"/>
            <w:u w:val="single" w:color="auto"/>
            <w:color w:val="0000EE"/>
          </w:rPr>
          <w:t>10.7</w:t>
        </w:r>
      </w:hyperlink>
      <w:r>
        <w:rPr>
          <w:rFonts w:ascii="Arial" w:cs="Arial" w:eastAsia="Arial" w:hAnsi="Arial"/>
          <w:sz w:val="15"/>
          <w:szCs w:val="15"/>
          <w:u w:val="single" w:color="auto"/>
          <w:color w:val="0000EE"/>
        </w:rPr>
        <w:tab/>
      </w:r>
      <w:hyperlink r:id="rId764">
        <w:r>
          <w:rPr>
            <w:rFonts w:ascii="Arial" w:cs="Arial" w:eastAsia="Arial" w:hAnsi="Arial"/>
            <w:sz w:val="15"/>
            <w:szCs w:val="15"/>
            <w:u w:val="single" w:color="auto"/>
            <w:color w:val="0000EE"/>
          </w:rPr>
          <w:t>Loan and Security Agreement between GSV Capital Corp. and Western Alliance Bank, dated as of</w:t>
        </w:r>
      </w:hyperlink>
      <w:r>
        <w:rPr>
          <w:rFonts w:ascii="Arial" w:cs="Arial" w:eastAsia="Arial" w:hAnsi="Arial"/>
          <w:sz w:val="15"/>
          <w:szCs w:val="15"/>
          <w:u w:val="single" w:color="auto"/>
          <w:color w:val="0000EE"/>
        </w:rPr>
        <w:t xml:space="preserve"> </w:t>
      </w:r>
      <w:hyperlink r:id="rId764">
        <w:r>
          <w:rPr>
            <w:rFonts w:ascii="Arial" w:cs="Arial" w:eastAsia="Arial" w:hAnsi="Arial"/>
            <w:sz w:val="15"/>
            <w:szCs w:val="15"/>
            <w:u w:val="single" w:color="auto"/>
            <w:color w:val="0000EE"/>
          </w:rPr>
          <w:t>May 31, 2017</w:t>
        </w:r>
        <w:r>
          <w:rPr>
            <w:rFonts w:ascii="Arial" w:cs="Arial" w:eastAsia="Arial" w:hAnsi="Arial"/>
            <w:sz w:val="22"/>
            <w:szCs w:val="22"/>
            <w:u w:val="single" w:color="auto"/>
            <w:color w:val="0000EE"/>
            <w:vertAlign w:val="superscript"/>
          </w:rPr>
          <w:t>(5)</w:t>
        </w:r>
      </w:hyperlink>
    </w:p>
    <w:p>
      <w:pPr>
        <w:ind w:left="1140"/>
        <w:spacing w:after="0"/>
        <w:tabs>
          <w:tab w:leader="none" w:pos="1660" w:val="left"/>
        </w:tabs>
        <w:rPr>
          <w:rFonts w:ascii="Arial" w:cs="Arial" w:eastAsia="Arial" w:hAnsi="Arial"/>
          <w:sz w:val="13"/>
          <w:szCs w:val="13"/>
          <w:u w:val="single" w:color="auto"/>
          <w:color w:val="0000EE"/>
        </w:rPr>
      </w:pPr>
      <w:hyperlink r:id="rId765">
        <w:r>
          <w:rPr>
            <w:rFonts w:ascii="Arial" w:cs="Arial" w:eastAsia="Arial" w:hAnsi="Arial"/>
            <w:sz w:val="15"/>
            <w:szCs w:val="15"/>
            <w:u w:val="single" w:color="auto"/>
            <w:color w:val="0000EE"/>
          </w:rPr>
          <w:t>10.8</w:t>
        </w:r>
      </w:hyperlink>
      <w:r>
        <w:rPr>
          <w:rFonts w:ascii="Arial" w:cs="Arial" w:eastAsia="Arial" w:hAnsi="Arial"/>
          <w:sz w:val="15"/>
          <w:szCs w:val="15"/>
          <w:u w:val="single" w:color="auto"/>
          <w:color w:val="0000EE"/>
        </w:rPr>
        <w:tab/>
      </w:r>
      <w:hyperlink r:id="rId765">
        <w:r>
          <w:rPr>
            <w:rFonts w:ascii="Arial" w:cs="Arial" w:eastAsia="Arial" w:hAnsi="Arial"/>
            <w:sz w:val="13"/>
            <w:szCs w:val="13"/>
            <w:u w:val="single" w:color="auto"/>
            <w:color w:val="0000EE"/>
          </w:rPr>
          <w:t>Waiver Agreement Letter from GSV Asset Management, LLC to the Registrant, dated February 2,</w:t>
        </w:r>
      </w:hyperlink>
    </w:p>
    <w:p>
      <w:pPr>
        <w:ind w:left="1680"/>
        <w:spacing w:after="0"/>
        <w:rPr>
          <w:rFonts w:ascii="Arial" w:cs="Arial" w:eastAsia="Arial" w:hAnsi="Arial"/>
          <w:sz w:val="15"/>
          <w:szCs w:val="15"/>
          <w:u w:val="single" w:color="auto"/>
          <w:color w:val="0000EE"/>
        </w:rPr>
      </w:pPr>
      <w:hyperlink r:id="rId765">
        <w:r>
          <w:rPr>
            <w:rFonts w:ascii="Arial" w:cs="Arial" w:eastAsia="Arial" w:hAnsi="Arial"/>
            <w:sz w:val="15"/>
            <w:szCs w:val="15"/>
            <w:u w:val="single" w:color="auto"/>
            <w:color w:val="0000EE"/>
          </w:rPr>
          <w:t>2018</w:t>
        </w:r>
        <w:r>
          <w:rPr>
            <w:rFonts w:ascii="Arial" w:cs="Arial" w:eastAsia="Arial" w:hAnsi="Arial"/>
            <w:sz w:val="22"/>
            <w:szCs w:val="22"/>
            <w:u w:val="single" w:color="auto"/>
            <w:color w:val="0000EE"/>
            <w:vertAlign w:val="superscript"/>
          </w:rPr>
          <w:t>(9)</w:t>
        </w:r>
      </w:hyperlink>
    </w:p>
    <w:p>
      <w:pPr>
        <w:spacing w:after="0" w:line="4" w:lineRule="exact"/>
        <w:rPr>
          <w:sz w:val="20"/>
          <w:szCs w:val="20"/>
          <w:color w:val="auto"/>
        </w:rPr>
      </w:pPr>
    </w:p>
    <w:p>
      <w:pPr>
        <w:ind w:left="1680" w:right="2619" w:hanging="528"/>
        <w:spacing w:after="0" w:line="254" w:lineRule="auto"/>
        <w:tabs>
          <w:tab w:leader="none" w:pos="1660" w:val="left"/>
        </w:tabs>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11.1</w:t>
        </w:r>
      </w:hyperlink>
      <w:r>
        <w:rPr>
          <w:rFonts w:ascii="Arial" w:cs="Arial" w:eastAsia="Arial" w:hAnsi="Arial"/>
          <w:sz w:val="15"/>
          <w:szCs w:val="15"/>
          <w:u w:val="single" w:color="auto"/>
          <w:color w:val="0000EE"/>
        </w:rPr>
        <w:tab/>
      </w:r>
      <w:hyperlink w:anchor="page99">
        <w:r>
          <w:rPr>
            <w:rFonts w:ascii="Arial" w:cs="Arial" w:eastAsia="Arial" w:hAnsi="Arial"/>
            <w:sz w:val="15"/>
            <w:szCs w:val="15"/>
            <w:u w:val="single" w:color="auto"/>
            <w:color w:val="0000EE"/>
          </w:rPr>
          <w:t>Statement re Computation of Per Share Earnings (Included in the notes to the consolidated financial</w:t>
        </w:r>
      </w:hyperlink>
      <w:r>
        <w:rPr>
          <w:rFonts w:ascii="Arial" w:cs="Arial" w:eastAsia="Arial" w:hAnsi="Arial"/>
          <w:sz w:val="15"/>
          <w:szCs w:val="15"/>
          <w:u w:val="single" w:color="auto"/>
          <w:color w:val="0000EE"/>
        </w:rPr>
        <w:t xml:space="preserve"> </w:t>
      </w:r>
      <w:hyperlink w:anchor="page99">
        <w:r>
          <w:rPr>
            <w:rFonts w:ascii="Arial" w:cs="Arial" w:eastAsia="Arial" w:hAnsi="Arial"/>
            <w:sz w:val="15"/>
            <w:szCs w:val="15"/>
            <w:u w:val="single" w:color="auto"/>
            <w:color w:val="0000EE"/>
          </w:rPr>
          <w:t>statements contained in this report)*</w:t>
        </w:r>
      </w:hyperlink>
    </w:p>
    <w:p>
      <w:pPr>
        <w:spacing w:after="0" w:line="237" w:lineRule="exact"/>
        <w:rPr>
          <w:rFonts w:ascii="Arial" w:cs="Arial" w:eastAsia="Arial" w:hAnsi="Arial"/>
          <w:sz w:val="15"/>
          <w:szCs w:val="15"/>
          <w:u w:val="single" w:color="auto"/>
          <w:color w:val="0000EE"/>
        </w:rPr>
      </w:pPr>
    </w:p>
    <w:p>
      <w:pPr>
        <w:ind w:left="4340"/>
        <w:spacing w:after="0"/>
        <w:rPr>
          <w:sz w:val="20"/>
          <w:szCs w:val="20"/>
          <w:color w:val="auto"/>
        </w:rPr>
      </w:pPr>
      <w:r>
        <w:rPr>
          <w:rFonts w:ascii="Arial" w:cs="Arial" w:eastAsia="Arial" w:hAnsi="Arial"/>
          <w:sz w:val="15"/>
          <w:szCs w:val="15"/>
          <w:color w:val="auto"/>
        </w:rPr>
        <w:t>145</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7" w:name="page148"/>
    <w:bookmarkEnd w:id="147"/>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right="2679" w:hanging="531"/>
        <w:spacing w:after="0" w:line="270" w:lineRule="auto"/>
        <w:tabs>
          <w:tab w:leader="none" w:pos="1660" w:val="left"/>
        </w:tabs>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21.1</w:t>
        </w:r>
      </w:hyperlink>
      <w:r>
        <w:rPr>
          <w:rFonts w:ascii="Arial" w:cs="Arial" w:eastAsia="Arial" w:hAnsi="Arial"/>
          <w:sz w:val="15"/>
          <w:szCs w:val="15"/>
          <w:u w:val="single" w:color="auto"/>
          <w:color w:val="0000EE"/>
        </w:rPr>
        <w:tab/>
      </w:r>
      <w:hyperlink w:anchor="page92">
        <w:r>
          <w:rPr>
            <w:rFonts w:ascii="Arial" w:cs="Arial" w:eastAsia="Arial" w:hAnsi="Arial"/>
            <w:sz w:val="15"/>
            <w:szCs w:val="15"/>
            <w:u w:val="single" w:color="auto"/>
            <w:color w:val="0000EE"/>
          </w:rPr>
          <w:t>List of Subsidiaries (Included in the notes to the consolidated financial statements contained in this</w:t>
        </w:r>
      </w:hyperlink>
      <w:r>
        <w:rPr>
          <w:rFonts w:ascii="Arial" w:cs="Arial" w:eastAsia="Arial" w:hAnsi="Arial"/>
          <w:sz w:val="15"/>
          <w:szCs w:val="15"/>
          <w:u w:val="single" w:color="auto"/>
          <w:color w:val="0000EE"/>
        </w:rPr>
        <w:t xml:space="preserve"> </w:t>
      </w:r>
      <w:hyperlink w:anchor="page92">
        <w:r>
          <w:rPr>
            <w:rFonts w:ascii="Arial" w:cs="Arial" w:eastAsia="Arial" w:hAnsi="Arial"/>
            <w:sz w:val="15"/>
            <w:szCs w:val="15"/>
            <w:u w:val="single" w:color="auto"/>
            <w:color w:val="0000EE"/>
          </w:rPr>
          <w:t>report)*</w:t>
        </w:r>
      </w:hyperlink>
    </w:p>
    <w:p>
      <w:pPr>
        <w:spacing w:after="0" w:line="58" w:lineRule="exact"/>
        <w:rPr>
          <w:rFonts w:ascii="Arial" w:cs="Arial" w:eastAsia="Arial" w:hAnsi="Arial"/>
          <w:sz w:val="15"/>
          <w:szCs w:val="15"/>
          <w:u w:val="single" w:color="auto"/>
          <w:color w:val="0000EE"/>
        </w:rPr>
      </w:pPr>
    </w:p>
    <w:p>
      <w:pPr>
        <w:ind w:left="1140"/>
        <w:spacing w:after="0"/>
        <w:tabs>
          <w:tab w:leader="none" w:pos="1660" w:val="left"/>
        </w:tabs>
        <w:rPr>
          <w:rFonts w:ascii="Arial" w:cs="Arial" w:eastAsia="Arial" w:hAnsi="Arial"/>
          <w:sz w:val="13"/>
          <w:szCs w:val="13"/>
          <w:u w:val="single" w:color="auto"/>
          <w:color w:val="0000EE"/>
        </w:rPr>
      </w:pPr>
      <w:hyperlink w:anchor="page150">
        <w:r>
          <w:rPr>
            <w:rFonts w:ascii="Arial" w:cs="Arial" w:eastAsia="Arial" w:hAnsi="Arial"/>
            <w:sz w:val="15"/>
            <w:szCs w:val="15"/>
            <w:u w:val="single" w:color="auto"/>
            <w:color w:val="0000EE"/>
          </w:rPr>
          <w:t>31.1</w:t>
        </w:r>
      </w:hyperlink>
      <w:r>
        <w:rPr>
          <w:rFonts w:ascii="Arial" w:cs="Arial" w:eastAsia="Arial" w:hAnsi="Arial"/>
          <w:sz w:val="15"/>
          <w:szCs w:val="15"/>
          <w:u w:val="single" w:color="auto"/>
          <w:color w:val="0000EE"/>
        </w:rPr>
        <w:tab/>
      </w:r>
      <w:hyperlink w:anchor="page150">
        <w:r>
          <w:rPr>
            <w:rFonts w:ascii="Arial" w:cs="Arial" w:eastAsia="Arial" w:hAnsi="Arial"/>
            <w:sz w:val="13"/>
            <w:szCs w:val="13"/>
            <w:u w:val="single" w:color="auto"/>
            <w:color w:val="0000EE"/>
          </w:rPr>
          <w:t>Certification of Chief Executive Officer pursuant to Rule 13a-14 of the Securities Exchange Act of</w:t>
        </w:r>
      </w:hyperlink>
    </w:p>
    <w:p>
      <w:pPr>
        <w:spacing w:after="0" w:line="16" w:lineRule="exact"/>
        <w:rPr>
          <w:sz w:val="20"/>
          <w:szCs w:val="20"/>
          <w:color w:val="auto"/>
        </w:rPr>
      </w:pPr>
    </w:p>
    <w:p>
      <w:pPr>
        <w:ind w:left="1680"/>
        <w:spacing w:after="0"/>
        <w:rPr>
          <w:rFonts w:ascii="Arial" w:cs="Arial" w:eastAsia="Arial" w:hAnsi="Arial"/>
          <w:sz w:val="15"/>
          <w:szCs w:val="15"/>
          <w:u w:val="single" w:color="auto"/>
          <w:color w:val="0000EE"/>
        </w:rPr>
      </w:pPr>
      <w:hyperlink w:anchor="page150">
        <w:r>
          <w:rPr>
            <w:rFonts w:ascii="Arial" w:cs="Arial" w:eastAsia="Arial" w:hAnsi="Arial"/>
            <w:sz w:val="15"/>
            <w:szCs w:val="15"/>
            <w:u w:val="single" w:color="auto"/>
            <w:color w:val="0000EE"/>
          </w:rPr>
          <w:t>1934, as amended*</w:t>
        </w:r>
      </w:hyperlink>
    </w:p>
    <w:p>
      <w:pPr>
        <w:spacing w:after="0" w:line="97" w:lineRule="exact"/>
        <w:rPr>
          <w:sz w:val="20"/>
          <w:szCs w:val="20"/>
          <w:color w:val="auto"/>
        </w:rPr>
      </w:pPr>
    </w:p>
    <w:p>
      <w:pPr>
        <w:ind w:left="1140"/>
        <w:spacing w:after="0"/>
        <w:tabs>
          <w:tab w:leader="none" w:pos="1660" w:val="left"/>
        </w:tabs>
        <w:rPr>
          <w:rFonts w:ascii="Arial" w:cs="Arial" w:eastAsia="Arial" w:hAnsi="Arial"/>
          <w:sz w:val="13"/>
          <w:szCs w:val="13"/>
          <w:u w:val="single" w:color="auto"/>
          <w:color w:val="0000EE"/>
        </w:rPr>
      </w:pPr>
      <w:hyperlink w:anchor="page151">
        <w:r>
          <w:rPr>
            <w:rFonts w:ascii="Arial" w:cs="Arial" w:eastAsia="Arial" w:hAnsi="Arial"/>
            <w:sz w:val="15"/>
            <w:szCs w:val="15"/>
            <w:u w:val="single" w:color="auto"/>
            <w:color w:val="0000EE"/>
          </w:rPr>
          <w:t>31.2</w:t>
        </w:r>
      </w:hyperlink>
      <w:r>
        <w:rPr>
          <w:rFonts w:ascii="Arial" w:cs="Arial" w:eastAsia="Arial" w:hAnsi="Arial"/>
          <w:sz w:val="15"/>
          <w:szCs w:val="15"/>
          <w:u w:val="single" w:color="auto"/>
          <w:color w:val="0000EE"/>
        </w:rPr>
        <w:tab/>
      </w:r>
      <w:hyperlink w:anchor="page151">
        <w:r>
          <w:rPr>
            <w:rFonts w:ascii="Arial" w:cs="Arial" w:eastAsia="Arial" w:hAnsi="Arial"/>
            <w:sz w:val="13"/>
            <w:szCs w:val="13"/>
            <w:u w:val="single" w:color="auto"/>
            <w:color w:val="0000EE"/>
          </w:rPr>
          <w:t>Certification of Chief Financial Officer pursuant to Rule 13a-14 of the Securities Exchange Act of</w:t>
        </w:r>
      </w:hyperlink>
    </w:p>
    <w:p>
      <w:pPr>
        <w:spacing w:after="0" w:line="16" w:lineRule="exact"/>
        <w:rPr>
          <w:sz w:val="20"/>
          <w:szCs w:val="20"/>
          <w:color w:val="auto"/>
        </w:rPr>
      </w:pPr>
    </w:p>
    <w:p>
      <w:pPr>
        <w:ind w:left="1680"/>
        <w:spacing w:after="0"/>
        <w:rPr>
          <w:rFonts w:ascii="Arial" w:cs="Arial" w:eastAsia="Arial" w:hAnsi="Arial"/>
          <w:sz w:val="15"/>
          <w:szCs w:val="15"/>
          <w:u w:val="single" w:color="auto"/>
          <w:color w:val="0000EE"/>
        </w:rPr>
      </w:pPr>
      <w:hyperlink w:anchor="page151">
        <w:r>
          <w:rPr>
            <w:rFonts w:ascii="Arial" w:cs="Arial" w:eastAsia="Arial" w:hAnsi="Arial"/>
            <w:sz w:val="15"/>
            <w:szCs w:val="15"/>
            <w:u w:val="single" w:color="auto"/>
            <w:color w:val="0000EE"/>
          </w:rPr>
          <w:t>1934, as amended*</w:t>
        </w:r>
      </w:hyperlink>
    </w:p>
    <w:p>
      <w:pPr>
        <w:spacing w:after="0" w:line="108" w:lineRule="exact"/>
        <w:rPr>
          <w:sz w:val="20"/>
          <w:szCs w:val="20"/>
          <w:color w:val="auto"/>
        </w:rPr>
      </w:pPr>
    </w:p>
    <w:p>
      <w:pPr>
        <w:ind w:left="1140"/>
        <w:spacing w:after="0"/>
        <w:tabs>
          <w:tab w:leader="none" w:pos="1660" w:val="left"/>
        </w:tabs>
        <w:rPr>
          <w:rFonts w:ascii="Arial" w:cs="Arial" w:eastAsia="Arial" w:hAnsi="Arial"/>
          <w:sz w:val="13"/>
          <w:szCs w:val="13"/>
          <w:u w:val="single" w:color="auto"/>
          <w:color w:val="0000EE"/>
        </w:rPr>
      </w:pPr>
      <w:hyperlink w:anchor="page152">
        <w:r>
          <w:rPr>
            <w:rFonts w:ascii="Arial" w:cs="Arial" w:eastAsia="Arial" w:hAnsi="Arial"/>
            <w:sz w:val="15"/>
            <w:szCs w:val="15"/>
            <w:u w:val="single" w:color="auto"/>
            <w:color w:val="0000EE"/>
          </w:rPr>
          <w:t>32.1</w:t>
        </w:r>
      </w:hyperlink>
      <w:r>
        <w:rPr>
          <w:rFonts w:ascii="Arial" w:cs="Arial" w:eastAsia="Arial" w:hAnsi="Arial"/>
          <w:sz w:val="15"/>
          <w:szCs w:val="15"/>
          <w:u w:val="single" w:color="auto"/>
          <w:color w:val="0000EE"/>
        </w:rPr>
        <w:tab/>
      </w:r>
      <w:hyperlink w:anchor="page152">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18" w:lineRule="exact"/>
        <w:rPr>
          <w:sz w:val="20"/>
          <w:szCs w:val="20"/>
          <w:color w:val="auto"/>
        </w:rPr>
      </w:pPr>
    </w:p>
    <w:p>
      <w:pPr>
        <w:ind w:left="1140"/>
        <w:spacing w:after="0"/>
        <w:tabs>
          <w:tab w:leader="none" w:pos="1660" w:val="left"/>
        </w:tabs>
        <w:rPr>
          <w:rFonts w:ascii="Arial" w:cs="Arial" w:eastAsia="Arial" w:hAnsi="Arial"/>
          <w:sz w:val="13"/>
          <w:szCs w:val="13"/>
          <w:u w:val="single" w:color="auto"/>
          <w:color w:val="0000EE"/>
        </w:rPr>
      </w:pPr>
      <w:hyperlink w:anchor="page153">
        <w:r>
          <w:rPr>
            <w:rFonts w:ascii="Arial" w:cs="Arial" w:eastAsia="Arial" w:hAnsi="Arial"/>
            <w:sz w:val="15"/>
            <w:szCs w:val="15"/>
            <w:u w:val="single" w:color="auto"/>
            <w:color w:val="0000EE"/>
          </w:rPr>
          <w:t>32.2</w:t>
        </w:r>
      </w:hyperlink>
      <w:r>
        <w:rPr>
          <w:rFonts w:ascii="Arial" w:cs="Arial" w:eastAsia="Arial" w:hAnsi="Arial"/>
          <w:sz w:val="15"/>
          <w:szCs w:val="15"/>
          <w:u w:val="single" w:color="auto"/>
          <w:color w:val="0000EE"/>
        </w:rPr>
        <w:tab/>
      </w:r>
      <w:hyperlink w:anchor="page153">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208915</wp:posOffset>
            </wp:positionV>
            <wp:extent cx="1020445"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7">
                      <a:extLst>
                        <a:ext uri="{28A0092B-C50C-407E-A947-70E740481C1C}"/>
                      </a:extLst>
                    </a:blip>
                    <a:srcRect/>
                    <a:stretch>
                      <a:fillRect/>
                    </a:stretch>
                  </pic:blipFill>
                  <pic:spPr bwMode="auto">
                    <a:xfrm>
                      <a:off x="0" y="0"/>
                      <a:ext cx="1020445" cy="698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340" w:right="2779" w:hanging="289"/>
        <w:spacing w:after="0" w:line="259"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2 to the Registrant’s Registration Statement on Form N-2 (File No. 333-171578) filed on March 30, 2011, and incorporated by reference herein.</w:t>
      </w:r>
    </w:p>
    <w:p>
      <w:pPr>
        <w:spacing w:after="0" w:line="122" w:lineRule="exact"/>
        <w:rPr>
          <w:rFonts w:ascii="Arial" w:cs="Arial" w:eastAsia="Arial" w:hAnsi="Arial"/>
          <w:sz w:val="15"/>
          <w:szCs w:val="15"/>
          <w:color w:val="auto"/>
        </w:rPr>
      </w:pPr>
    </w:p>
    <w:p>
      <w:pPr>
        <w:ind w:left="1340" w:right="2479" w:hanging="289"/>
        <w:spacing w:after="0" w:line="270"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Current Report on Form 8-K (File No. 814-00852) filed on June 1, 2011, and incorporated by reference herein.</w:t>
      </w:r>
    </w:p>
    <w:p>
      <w:pPr>
        <w:spacing w:after="0" w:line="125" w:lineRule="exact"/>
        <w:rPr>
          <w:rFonts w:ascii="Arial" w:cs="Arial" w:eastAsia="Arial" w:hAnsi="Arial"/>
          <w:sz w:val="15"/>
          <w:szCs w:val="15"/>
          <w:color w:val="auto"/>
        </w:rPr>
      </w:pPr>
    </w:p>
    <w:p>
      <w:pPr>
        <w:ind w:left="1340" w:right="2419" w:hanging="289"/>
        <w:spacing w:after="0" w:line="270"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Annual Report on Form 10-K (File No. 814-00852) filed on March 15, 2013, and incorporated by reference herein.</w:t>
      </w:r>
    </w:p>
    <w:p>
      <w:pPr>
        <w:spacing w:after="0" w:line="114" w:lineRule="exact"/>
        <w:rPr>
          <w:rFonts w:ascii="Arial" w:cs="Arial" w:eastAsia="Arial" w:hAnsi="Arial"/>
          <w:sz w:val="15"/>
          <w:szCs w:val="15"/>
          <w:color w:val="auto"/>
        </w:rPr>
      </w:pPr>
    </w:p>
    <w:p>
      <w:pPr>
        <w:ind w:left="1340" w:right="2439" w:hanging="289"/>
        <w:spacing w:after="0" w:line="270"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Current Report on Form 8-K (File No. 814-00852), filed on September 18, 2013, and incorporated by reference herein.</w:t>
      </w:r>
    </w:p>
    <w:p>
      <w:pPr>
        <w:spacing w:after="0" w:line="114" w:lineRule="exact"/>
        <w:rPr>
          <w:rFonts w:ascii="Arial" w:cs="Arial" w:eastAsia="Arial" w:hAnsi="Arial"/>
          <w:sz w:val="15"/>
          <w:szCs w:val="15"/>
          <w:color w:val="auto"/>
        </w:rPr>
      </w:pPr>
    </w:p>
    <w:p>
      <w:pPr>
        <w:ind w:left="1340" w:right="2479" w:hanging="289"/>
        <w:spacing w:after="0" w:line="270"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Current Report on Form 8-K (File No. 814-00852) filed on June 1, 2017, and incorporated by reference herein.</w:t>
      </w:r>
    </w:p>
    <w:p>
      <w:pPr>
        <w:spacing w:after="0" w:line="114" w:lineRule="exact"/>
        <w:rPr>
          <w:rFonts w:ascii="Arial" w:cs="Arial" w:eastAsia="Arial" w:hAnsi="Arial"/>
          <w:sz w:val="15"/>
          <w:szCs w:val="15"/>
          <w:color w:val="auto"/>
        </w:rPr>
      </w:pPr>
    </w:p>
    <w:p>
      <w:pPr>
        <w:ind w:left="1340" w:right="2519" w:hanging="289"/>
        <w:spacing w:after="0" w:line="259"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3 to the Registrant’s Registration Statement on Form N-2 (File No. 333-175655) filed on September 20, 2011, and incorporated by reference herein.</w:t>
      </w:r>
    </w:p>
    <w:p>
      <w:pPr>
        <w:spacing w:after="0" w:line="133" w:lineRule="exact"/>
        <w:rPr>
          <w:rFonts w:ascii="Arial" w:cs="Arial" w:eastAsia="Arial" w:hAnsi="Arial"/>
          <w:sz w:val="15"/>
          <w:szCs w:val="15"/>
          <w:color w:val="auto"/>
        </w:rPr>
      </w:pPr>
    </w:p>
    <w:p>
      <w:pPr>
        <w:ind w:left="1340" w:right="2819" w:hanging="289"/>
        <w:spacing w:after="0" w:line="259"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3 to the Registrant’s Registration Statement on Form N-2 (File No. 333-171578), filed on April 15, 2011, and incorporated by reference herein.</w:t>
      </w:r>
    </w:p>
    <w:p>
      <w:pPr>
        <w:spacing w:after="0" w:line="122" w:lineRule="exact"/>
        <w:rPr>
          <w:rFonts w:ascii="Arial" w:cs="Arial" w:eastAsia="Arial" w:hAnsi="Arial"/>
          <w:sz w:val="15"/>
          <w:szCs w:val="15"/>
          <w:color w:val="auto"/>
        </w:rPr>
      </w:pPr>
    </w:p>
    <w:p>
      <w:pPr>
        <w:ind w:left="1340" w:right="2599" w:hanging="289"/>
        <w:spacing w:after="0" w:line="270"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Quarterly Report on Form 10-Q (File No. 814-00852) filed on August 9, 2017, and incorporated by reference herein.</w:t>
      </w:r>
    </w:p>
    <w:p>
      <w:pPr>
        <w:spacing w:after="0" w:line="114" w:lineRule="exact"/>
        <w:rPr>
          <w:rFonts w:ascii="Arial" w:cs="Arial" w:eastAsia="Arial" w:hAnsi="Arial"/>
          <w:sz w:val="15"/>
          <w:szCs w:val="15"/>
          <w:color w:val="auto"/>
        </w:rPr>
      </w:pPr>
    </w:p>
    <w:p>
      <w:pPr>
        <w:ind w:left="1340" w:right="2479" w:hanging="289"/>
        <w:spacing w:after="0" w:line="270" w:lineRule="auto"/>
        <w:tabs>
          <w:tab w:leader="none" w:pos="13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Current Report on Form 8-K (File No. 814-00852) filed on February 5, 2018, and incorporated by reference herein.</w:t>
      </w:r>
    </w:p>
    <w:p>
      <w:pPr>
        <w:spacing w:after="0" w:line="125" w:lineRule="exact"/>
        <w:rPr>
          <w:sz w:val="20"/>
          <w:szCs w:val="20"/>
          <w:color w:val="auto"/>
        </w:rPr>
      </w:pPr>
    </w:p>
    <w:p>
      <w:pPr>
        <w:ind w:left="1340" w:hanging="289"/>
        <w:spacing w:after="0"/>
        <w:tabs>
          <w:tab w:leader="none" w:pos="13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8" w:name="page149"/>
    <w:bookmarkEnd w:id="148"/>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59"/>
        <w:spacing w:after="0"/>
        <w:rPr>
          <w:sz w:val="20"/>
          <w:szCs w:val="20"/>
          <w:color w:val="auto"/>
        </w:rPr>
      </w:pPr>
      <w:r>
        <w:rPr>
          <w:rFonts w:ascii="Arial" w:cs="Arial" w:eastAsia="Arial" w:hAnsi="Arial"/>
          <w:sz w:val="15"/>
          <w:szCs w:val="15"/>
          <w:b w:val="1"/>
          <w:bCs w:val="1"/>
          <w:color w:val="auto"/>
        </w:rPr>
        <w:t>SIGNATURES</w:t>
      </w:r>
    </w:p>
    <w:p>
      <w:pPr>
        <w:spacing w:after="0" w:line="88" w:lineRule="exact"/>
        <w:rPr>
          <w:sz w:val="20"/>
          <w:szCs w:val="20"/>
          <w:color w:val="auto"/>
        </w:rPr>
      </w:pPr>
    </w:p>
    <w:p>
      <w:pPr>
        <w:ind w:left="1060" w:right="2719" w:firstLine="297"/>
        <w:spacing w:after="0" w:line="255"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GSV CAPITAL CORP.</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March 16, 2018</w:t>
      </w:r>
    </w:p>
    <w:p>
      <w:pPr>
        <w:spacing w:after="0" w:line="95"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 xml:space="preserve">By: </w:t>
      </w:r>
      <w:r>
        <w:rPr>
          <w:rFonts w:ascii="Arial" w:cs="Arial" w:eastAsia="Arial" w:hAnsi="Arial"/>
          <w:sz w:val="15"/>
          <w:szCs w:val="15"/>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41275</wp:posOffset>
            </wp:positionV>
            <wp:extent cx="204089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9">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75"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 xml:space="preserve">Name: </w:t>
      </w:r>
      <w:r>
        <w:rPr>
          <w:rFonts w:ascii="Arial" w:cs="Arial" w:eastAsia="Arial" w:hAnsi="Arial"/>
          <w:sz w:val="15"/>
          <w:szCs w:val="15"/>
          <w:color w:val="auto"/>
        </w:rPr>
        <w:t>Mark D. Klein</w:t>
      </w:r>
    </w:p>
    <w:p>
      <w:pPr>
        <w:spacing w:after="0" w:line="20"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 xml:space="preserve">Title: </w:t>
      </w:r>
      <w:r>
        <w:rPr>
          <w:rFonts w:ascii="Arial" w:cs="Arial" w:eastAsia="Arial" w:hAnsi="Arial"/>
          <w:sz w:val="15"/>
          <w:szCs w:val="15"/>
          <w:color w:val="auto"/>
        </w:rPr>
        <w:t>Chief Executive Officer</w:t>
      </w:r>
    </w:p>
    <w:p>
      <w:pPr>
        <w:spacing w:after="0" w:line="85" w:lineRule="exact"/>
        <w:rPr>
          <w:sz w:val="20"/>
          <w:szCs w:val="20"/>
          <w:color w:val="auto"/>
        </w:rPr>
      </w:pPr>
    </w:p>
    <w:p>
      <w:pPr>
        <w:ind w:left="1060" w:right="2559" w:firstLine="297"/>
        <w:spacing w:after="0" w:line="307"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7" w:lineRule="exact"/>
        <w:rPr>
          <w:sz w:val="20"/>
          <w:szCs w:val="20"/>
          <w:color w:val="auto"/>
        </w:rPr>
      </w:pPr>
    </w:p>
    <w:tbl>
      <w:tblPr>
        <w:tblLayout w:type="fixed"/>
        <w:tblInd w:w="106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ind w:left="1400"/>
              <w:spacing w:after="0"/>
              <w:rPr>
                <w:sz w:val="20"/>
                <w:szCs w:val="20"/>
                <w:color w:val="auto"/>
              </w:rPr>
            </w:pPr>
            <w:r>
              <w:rPr>
                <w:rFonts w:ascii="Arial" w:cs="Arial" w:eastAsia="Arial" w:hAnsi="Arial"/>
                <w:sz w:val="15"/>
                <w:szCs w:val="15"/>
                <w:color w:val="auto"/>
              </w:rPr>
              <w:t>/s/ Mark D. Klein</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6"/>
              </w:rPr>
              <w:t>Mark D. Klein</w:t>
            </w:r>
          </w:p>
        </w:tc>
      </w:tr>
      <w:tr>
        <w:trPr>
          <w:trHeight w:val="179"/>
        </w:trPr>
        <w:tc>
          <w:tcPr>
            <w:tcW w:w="1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4"/>
              </w:rPr>
              <w:t>Chief Executive Officer</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2"/>
              </w:rPr>
              <w:t>(Principal Executive Officer)</w:t>
            </w:r>
          </w:p>
        </w:tc>
      </w:tr>
      <w:tr>
        <w:trPr>
          <w:trHeight w:val="223"/>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jc w:val="center"/>
              <w:spacing w:after="0"/>
              <w:rPr>
                <w:sz w:val="20"/>
                <w:szCs w:val="20"/>
                <w:color w:val="auto"/>
              </w:rPr>
            </w:pPr>
            <w:r>
              <w:rPr>
                <w:rFonts w:ascii="Arial" w:cs="Arial" w:eastAsia="Arial" w:hAnsi="Arial"/>
                <w:sz w:val="15"/>
                <w:szCs w:val="15"/>
                <w:color w:val="auto"/>
                <w:w w:val="90"/>
              </w:rPr>
              <w:t>/s/ William Tanona</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2"/>
              </w:rPr>
              <w:t>William Tanona</w:t>
            </w:r>
          </w:p>
        </w:tc>
      </w:tr>
      <w:tr>
        <w:trPr>
          <w:trHeight w:val="179"/>
        </w:trPr>
        <w:tc>
          <w:tcPr>
            <w:tcW w:w="1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89"/>
              </w:rPr>
              <w:t>President, Chief Financial Officer, Treasurer and Secretary</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3"/>
              </w:rPr>
              <w:t>(Principal Financial and Accounting Officer)</w:t>
            </w:r>
          </w:p>
        </w:tc>
      </w:tr>
      <w:tr>
        <w:trPr>
          <w:trHeight w:val="246"/>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jc w:val="center"/>
              <w:spacing w:after="0"/>
              <w:rPr>
                <w:sz w:val="20"/>
                <w:szCs w:val="20"/>
                <w:color w:val="auto"/>
              </w:rPr>
            </w:pPr>
            <w:r>
              <w:rPr>
                <w:rFonts w:ascii="Arial" w:cs="Arial" w:eastAsia="Arial" w:hAnsi="Arial"/>
                <w:sz w:val="15"/>
                <w:szCs w:val="15"/>
                <w:color w:val="auto"/>
                <w:w w:val="91"/>
              </w:rPr>
              <w:t>/s/ Michael T. Moe</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3"/>
              </w:rPr>
              <w:t>Michael T. Moe</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0"/>
              </w:rPr>
              <w:t>Executive Chairman and Director</w:t>
            </w:r>
          </w:p>
        </w:tc>
      </w:tr>
      <w:tr>
        <w:trPr>
          <w:trHeight w:val="246"/>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jc w:val="center"/>
              <w:spacing w:after="0"/>
              <w:rPr>
                <w:sz w:val="20"/>
                <w:szCs w:val="20"/>
                <w:color w:val="auto"/>
              </w:rPr>
            </w:pPr>
            <w:r>
              <w:rPr>
                <w:rFonts w:ascii="Arial" w:cs="Arial" w:eastAsia="Arial" w:hAnsi="Arial"/>
                <w:sz w:val="15"/>
                <w:szCs w:val="15"/>
                <w:color w:val="auto"/>
                <w:w w:val="90"/>
              </w:rPr>
              <w:t>/s/ Leonard A. Potter</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2"/>
              </w:rPr>
              <w:t>Leonard A. Potter</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246"/>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jc w:val="center"/>
              <w:spacing w:after="0"/>
              <w:rPr>
                <w:sz w:val="20"/>
                <w:szCs w:val="20"/>
                <w:color w:val="auto"/>
              </w:rPr>
            </w:pPr>
            <w:r>
              <w:rPr>
                <w:rFonts w:ascii="Arial" w:cs="Arial" w:eastAsia="Arial" w:hAnsi="Arial"/>
                <w:sz w:val="15"/>
                <w:szCs w:val="15"/>
                <w:color w:val="auto"/>
                <w:w w:val="93"/>
              </w:rPr>
              <w:t>/s/ Ronald M. Lott</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5"/>
              </w:rPr>
              <w:t>Ronald M. Lott</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246"/>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jc w:val="center"/>
              <w:spacing w:after="0"/>
              <w:rPr>
                <w:sz w:val="20"/>
                <w:szCs w:val="20"/>
                <w:color w:val="auto"/>
              </w:rPr>
            </w:pPr>
            <w:r>
              <w:rPr>
                <w:rFonts w:ascii="Arial" w:cs="Arial" w:eastAsia="Arial" w:hAnsi="Arial"/>
                <w:sz w:val="15"/>
                <w:szCs w:val="15"/>
                <w:color w:val="auto"/>
                <w:w w:val="92"/>
              </w:rPr>
              <w:t>/s/ Marc Mazur</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6"/>
              </w:rPr>
              <w:t>Marc Mazur</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5"/>
              </w:rPr>
              <w:t>Director</w:t>
            </w:r>
          </w:p>
        </w:tc>
      </w:tr>
      <w:tr>
        <w:trPr>
          <w:trHeight w:val="246"/>
        </w:trPr>
        <w:tc>
          <w:tcPr>
            <w:tcW w:w="1920" w:type="dxa"/>
            <w:vAlign w:val="bottom"/>
          </w:tcPr>
          <w:p>
            <w:pPr>
              <w:spacing w:after="0"/>
              <w:rPr>
                <w:sz w:val="20"/>
                <w:szCs w:val="20"/>
                <w:color w:val="auto"/>
              </w:rPr>
            </w:pPr>
            <w:r>
              <w:rPr>
                <w:rFonts w:ascii="Arial" w:cs="Arial" w:eastAsia="Arial" w:hAnsi="Arial"/>
                <w:sz w:val="15"/>
                <w:szCs w:val="15"/>
                <w:color w:val="auto"/>
              </w:rPr>
              <w:t>Date: March 16, 2018</w:t>
            </w:r>
          </w:p>
        </w:tc>
        <w:tc>
          <w:tcPr>
            <w:tcW w:w="1020" w:type="dxa"/>
            <w:vAlign w:val="bottom"/>
          </w:tcPr>
          <w:p>
            <w:pPr>
              <w:ind w:left="620"/>
              <w:spacing w:after="0"/>
              <w:rPr>
                <w:sz w:val="20"/>
                <w:szCs w:val="20"/>
                <w:color w:val="auto"/>
              </w:rPr>
            </w:pPr>
            <w:r>
              <w:rPr>
                <w:rFonts w:ascii="Arial" w:cs="Arial" w:eastAsia="Arial" w:hAnsi="Arial"/>
                <w:sz w:val="15"/>
                <w:szCs w:val="15"/>
                <w:color w:val="auto"/>
              </w:rPr>
              <w:t>By:</w:t>
            </w:r>
          </w:p>
        </w:tc>
        <w:tc>
          <w:tcPr>
            <w:tcW w:w="3840" w:type="dxa"/>
            <w:vAlign w:val="bottom"/>
          </w:tcPr>
          <w:p>
            <w:pPr>
              <w:jc w:val="center"/>
              <w:spacing w:after="0"/>
              <w:rPr>
                <w:sz w:val="20"/>
                <w:szCs w:val="20"/>
                <w:color w:val="auto"/>
              </w:rPr>
            </w:pPr>
            <w:r>
              <w:rPr>
                <w:rFonts w:ascii="Arial" w:cs="Arial" w:eastAsia="Arial" w:hAnsi="Arial"/>
                <w:sz w:val="15"/>
                <w:szCs w:val="15"/>
                <w:color w:val="auto"/>
                <w:w w:val="91"/>
              </w:rPr>
              <w:t>/s/ David S. Pottruck</w:t>
            </w:r>
          </w:p>
        </w:tc>
      </w:tr>
      <w:tr>
        <w:trPr>
          <w:trHeight w:val="45"/>
        </w:trPr>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93"/>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David S. Pottruck</w:t>
            </w:r>
          </w:p>
        </w:tc>
      </w:tr>
      <w:tr>
        <w:trPr>
          <w:trHeight w:val="189"/>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Arial" w:cs="Arial" w:eastAsia="Arial" w:hAnsi="Arial"/>
                <w:sz w:val="15"/>
                <w:szCs w:val="15"/>
                <w:color w:val="auto"/>
                <w:w w:val="95"/>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5651500" cy="3937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0">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10239"/>
          </w:cols>
          <w:pgMar w:left="220" w:top="134" w:right="1440" w:bottom="1440" w:gutter="0" w:footer="0" w:header="0"/>
        </w:sectPr>
      </w:pPr>
    </w:p>
    <w:bookmarkStart w:id="149" w:name="page150"/>
    <w:bookmarkEnd w:id="149"/>
    <w:p>
      <w:pPr>
        <w:jc w:val="right"/>
        <w:ind w:right="2399"/>
        <w:spacing w:after="0"/>
        <w:rPr>
          <w:sz w:val="20"/>
          <w:szCs w:val="20"/>
          <w:color w:val="auto"/>
        </w:rPr>
      </w:pPr>
      <w:r>
        <w:rPr>
          <w:rFonts w:ascii="Arial" w:cs="Arial" w:eastAsia="Arial" w:hAnsi="Arial"/>
          <w:sz w:val="15"/>
          <w:szCs w:val="15"/>
          <w:b w:val="1"/>
          <w:bCs w:val="1"/>
          <w:color w:val="auto"/>
        </w:rPr>
        <w:t>Exhibit 31.1</w:t>
      </w:r>
    </w:p>
    <w:p>
      <w:pPr>
        <w:spacing w:after="0" w:line="173" w:lineRule="exact"/>
        <w:rPr>
          <w:sz w:val="20"/>
          <w:szCs w:val="20"/>
          <w:color w:val="auto"/>
        </w:rPr>
      </w:pPr>
    </w:p>
    <w:p>
      <w:pPr>
        <w:jc w:val="center"/>
        <w:ind w:right="2399"/>
        <w:spacing w:after="0"/>
        <w:rPr>
          <w:sz w:val="20"/>
          <w:szCs w:val="20"/>
          <w:color w:val="auto"/>
        </w:rPr>
      </w:pPr>
      <w:r>
        <w:rPr>
          <w:rFonts w:ascii="Arial" w:cs="Arial" w:eastAsia="Arial" w:hAnsi="Arial"/>
          <w:sz w:val="15"/>
          <w:szCs w:val="15"/>
          <w:b w:val="1"/>
          <w:bCs w:val="1"/>
          <w:color w:val="auto"/>
        </w:rPr>
        <w:t>Certification of Chief Executive Officer of GSV Capital Corp.</w:t>
      </w:r>
    </w:p>
    <w:p>
      <w:pPr>
        <w:jc w:val="center"/>
        <w:ind w:right="2399"/>
        <w:spacing w:after="0" w:line="217" w:lineRule="auto"/>
        <w:rPr>
          <w:sz w:val="20"/>
          <w:szCs w:val="20"/>
          <w:color w:val="auto"/>
        </w:rPr>
      </w:pPr>
      <w:r>
        <w:rPr>
          <w:rFonts w:ascii="Arial" w:cs="Arial" w:eastAsia="Arial" w:hAnsi="Arial"/>
          <w:sz w:val="15"/>
          <w:szCs w:val="15"/>
          <w:b w:val="1"/>
          <w:bCs w:val="1"/>
          <w:color w:val="auto"/>
        </w:rPr>
        <w:t>pursuant to Rule 13a-14(a) under the Exchange Act,</w:t>
      </w:r>
    </w:p>
    <w:p>
      <w:pPr>
        <w:jc w:val="center"/>
        <w:ind w:right="2399"/>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I, Mark D. Klein, certify that:</w:t>
      </w:r>
    </w:p>
    <w:p>
      <w:pPr>
        <w:spacing w:after="0" w:line="118" w:lineRule="exact"/>
        <w:rPr>
          <w:sz w:val="20"/>
          <w:szCs w:val="20"/>
          <w:color w:val="auto"/>
        </w:rPr>
      </w:pPr>
    </w:p>
    <w:p>
      <w:pPr>
        <w:ind w:left="580" w:hanging="292"/>
        <w:spacing w:after="0"/>
        <w:tabs>
          <w:tab w:leader="none" w:pos="5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GSV Capital Corp.;</w:t>
      </w:r>
    </w:p>
    <w:p>
      <w:pPr>
        <w:spacing w:after="0" w:line="117" w:lineRule="exact"/>
        <w:rPr>
          <w:rFonts w:ascii="Arial" w:cs="Arial" w:eastAsia="Arial" w:hAnsi="Arial"/>
          <w:sz w:val="15"/>
          <w:szCs w:val="15"/>
          <w:color w:val="auto"/>
        </w:rPr>
      </w:pPr>
    </w:p>
    <w:p>
      <w:pPr>
        <w:jc w:val="both"/>
        <w:ind w:left="580" w:right="2479" w:hanging="292"/>
        <w:spacing w:after="0" w:line="317" w:lineRule="auto"/>
        <w:tabs>
          <w:tab w:leader="none" w:pos="5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3"/>
          <w:szCs w:val="13"/>
          <w:color w:val="auto"/>
        </w:rPr>
      </w:pPr>
    </w:p>
    <w:p>
      <w:pPr>
        <w:ind w:left="580" w:right="2419" w:hanging="292"/>
        <w:spacing w:after="0" w:line="259" w:lineRule="auto"/>
        <w:tabs>
          <w:tab w:leader="none" w:pos="5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5"/>
          <w:szCs w:val="15"/>
          <w:color w:val="auto"/>
        </w:rPr>
      </w:pPr>
    </w:p>
    <w:p>
      <w:pPr>
        <w:ind w:left="580" w:right="2539" w:hanging="292"/>
        <w:spacing w:after="0" w:line="255" w:lineRule="auto"/>
        <w:tabs>
          <w:tab w:leader="none" w:pos="5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5"/>
          <w:szCs w:val="15"/>
          <w:color w:val="auto"/>
        </w:rPr>
      </w:pPr>
    </w:p>
    <w:p>
      <w:pPr>
        <w:ind w:left="880" w:right="2519" w:hanging="294"/>
        <w:spacing w:after="0" w:line="279" w:lineRule="auto"/>
        <w:tabs>
          <w:tab w:leader="none" w:pos="8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4"/>
          <w:szCs w:val="14"/>
          <w:color w:val="auto"/>
        </w:rPr>
      </w:pPr>
    </w:p>
    <w:p>
      <w:pPr>
        <w:ind w:left="880" w:right="2819" w:hanging="294"/>
        <w:spacing w:after="0" w:line="307" w:lineRule="auto"/>
        <w:tabs>
          <w:tab w:leader="none" w:pos="8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3"/>
          <w:szCs w:val="13"/>
          <w:color w:val="auto"/>
        </w:rPr>
      </w:pPr>
    </w:p>
    <w:p>
      <w:pPr>
        <w:jc w:val="both"/>
        <w:ind w:left="880" w:right="2479" w:hanging="294"/>
        <w:spacing w:after="0" w:line="286" w:lineRule="auto"/>
        <w:tabs>
          <w:tab w:leader="none" w:pos="8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4"/>
          <w:szCs w:val="14"/>
          <w:color w:val="auto"/>
        </w:rPr>
      </w:pPr>
    </w:p>
    <w:p>
      <w:pPr>
        <w:ind w:left="880" w:right="2519" w:hanging="294"/>
        <w:spacing w:after="0" w:line="279" w:lineRule="auto"/>
        <w:tabs>
          <w:tab w:leader="none" w:pos="8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4"/>
          <w:szCs w:val="14"/>
          <w:color w:val="auto"/>
        </w:rPr>
      </w:pPr>
    </w:p>
    <w:p>
      <w:pPr>
        <w:ind w:left="580" w:right="2639" w:hanging="292"/>
        <w:spacing w:after="0" w:line="286" w:lineRule="auto"/>
        <w:tabs>
          <w:tab w:leader="none" w:pos="5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4"/>
          <w:szCs w:val="14"/>
          <w:color w:val="auto"/>
        </w:rPr>
      </w:pPr>
    </w:p>
    <w:p>
      <w:pPr>
        <w:jc w:val="both"/>
        <w:ind w:left="880" w:right="2559" w:hanging="294"/>
        <w:spacing w:after="0" w:line="286" w:lineRule="auto"/>
        <w:tabs>
          <w:tab w:leader="none" w:pos="8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4"/>
          <w:szCs w:val="14"/>
          <w:color w:val="auto"/>
        </w:rPr>
      </w:pPr>
    </w:p>
    <w:p>
      <w:pPr>
        <w:ind w:left="880" w:right="2739" w:hanging="294"/>
        <w:spacing w:after="0" w:line="307" w:lineRule="auto"/>
        <w:tabs>
          <w:tab w:leader="none" w:pos="8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Dated this 16</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of March, 2018.</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By: /s/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17780</wp:posOffset>
            </wp:positionV>
            <wp:extent cx="122618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1">
                      <a:extLst>
                        <a:ext uri="{28A0092B-C50C-407E-A947-70E740481C1C}"/>
                      </a:extLst>
                    </a:blip>
                    <a:srcRect/>
                    <a:stretch>
                      <a:fillRect/>
                    </a:stretch>
                  </pic:blipFill>
                  <pic:spPr bwMode="auto">
                    <a:xfrm>
                      <a:off x="0" y="0"/>
                      <a:ext cx="1226185" cy="6985"/>
                    </a:xfrm>
                    <a:prstGeom prst="rect">
                      <a:avLst/>
                    </a:prstGeom>
                    <a:noFill/>
                  </pic:spPr>
                </pic:pic>
              </a:graphicData>
            </a:graphic>
          </wp:anchor>
        </w:drawing>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Mark D. Klein</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459105</wp:posOffset>
            </wp:positionV>
            <wp:extent cx="5651500" cy="3937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2">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9179"/>
          </w:cols>
          <w:pgMar w:left="1280" w:top="917" w:right="1440" w:bottom="1440" w:gutter="0" w:footer="0" w:header="0"/>
        </w:sectPr>
      </w:pPr>
    </w:p>
    <w:bookmarkStart w:id="150" w:name="page151"/>
    <w:bookmarkEnd w:id="150"/>
    <w:p>
      <w:pPr>
        <w:jc w:val="right"/>
        <w:ind w:right="2399"/>
        <w:spacing w:after="0"/>
        <w:rPr>
          <w:sz w:val="20"/>
          <w:szCs w:val="20"/>
          <w:color w:val="auto"/>
        </w:rPr>
      </w:pPr>
      <w:r>
        <w:rPr>
          <w:rFonts w:ascii="Arial" w:cs="Arial" w:eastAsia="Arial" w:hAnsi="Arial"/>
          <w:sz w:val="15"/>
          <w:szCs w:val="15"/>
          <w:b w:val="1"/>
          <w:bCs w:val="1"/>
          <w:color w:val="auto"/>
        </w:rPr>
        <w:t>Exhibit 31.2</w:t>
      </w:r>
    </w:p>
    <w:p>
      <w:pPr>
        <w:spacing w:after="0" w:line="173" w:lineRule="exact"/>
        <w:rPr>
          <w:sz w:val="20"/>
          <w:szCs w:val="20"/>
          <w:color w:val="auto"/>
        </w:rPr>
      </w:pPr>
    </w:p>
    <w:p>
      <w:pPr>
        <w:jc w:val="center"/>
        <w:ind w:right="2399"/>
        <w:spacing w:after="0"/>
        <w:rPr>
          <w:sz w:val="20"/>
          <w:szCs w:val="20"/>
          <w:color w:val="auto"/>
        </w:rPr>
      </w:pPr>
      <w:r>
        <w:rPr>
          <w:rFonts w:ascii="Arial" w:cs="Arial" w:eastAsia="Arial" w:hAnsi="Arial"/>
          <w:sz w:val="15"/>
          <w:szCs w:val="15"/>
          <w:b w:val="1"/>
          <w:bCs w:val="1"/>
          <w:color w:val="auto"/>
        </w:rPr>
        <w:t>Certification of Chief Financial Officer of GSV Capital Corp.</w:t>
      </w:r>
    </w:p>
    <w:p>
      <w:pPr>
        <w:jc w:val="center"/>
        <w:ind w:right="2399"/>
        <w:spacing w:after="0" w:line="217" w:lineRule="auto"/>
        <w:rPr>
          <w:sz w:val="20"/>
          <w:szCs w:val="20"/>
          <w:color w:val="auto"/>
        </w:rPr>
      </w:pPr>
      <w:r>
        <w:rPr>
          <w:rFonts w:ascii="Arial" w:cs="Arial" w:eastAsia="Arial" w:hAnsi="Arial"/>
          <w:sz w:val="15"/>
          <w:szCs w:val="15"/>
          <w:b w:val="1"/>
          <w:bCs w:val="1"/>
          <w:color w:val="auto"/>
        </w:rPr>
        <w:t>pursuant to Rule 13a-14(a) under the Exchange Act,</w:t>
      </w:r>
    </w:p>
    <w:p>
      <w:pPr>
        <w:jc w:val="center"/>
        <w:ind w:right="2399"/>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I, William Tanona, certify that:</w:t>
      </w:r>
    </w:p>
    <w:p>
      <w:pPr>
        <w:spacing w:after="0" w:line="129" w:lineRule="exact"/>
        <w:rPr>
          <w:sz w:val="20"/>
          <w:szCs w:val="20"/>
          <w:color w:val="auto"/>
        </w:rPr>
      </w:pPr>
    </w:p>
    <w:p>
      <w:pPr>
        <w:ind w:left="580" w:hanging="292"/>
        <w:spacing w:after="0"/>
        <w:tabs>
          <w:tab w:leader="none" w:pos="5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GSV Capital Corp.;</w:t>
      </w:r>
    </w:p>
    <w:p>
      <w:pPr>
        <w:spacing w:after="0" w:line="128" w:lineRule="exact"/>
        <w:rPr>
          <w:rFonts w:ascii="Arial" w:cs="Arial" w:eastAsia="Arial" w:hAnsi="Arial"/>
          <w:sz w:val="15"/>
          <w:szCs w:val="15"/>
          <w:color w:val="auto"/>
        </w:rPr>
      </w:pPr>
    </w:p>
    <w:p>
      <w:pPr>
        <w:jc w:val="both"/>
        <w:ind w:left="580" w:right="2479" w:hanging="292"/>
        <w:spacing w:after="0" w:line="317"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3"/>
          <w:szCs w:val="13"/>
          <w:color w:val="auto"/>
        </w:rPr>
      </w:pPr>
    </w:p>
    <w:p>
      <w:pPr>
        <w:ind w:left="580" w:right="2419" w:hanging="292"/>
        <w:spacing w:after="0" w:line="259" w:lineRule="auto"/>
        <w:tabs>
          <w:tab w:leader="none" w:pos="5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5"/>
          <w:szCs w:val="15"/>
          <w:color w:val="auto"/>
        </w:rPr>
      </w:pPr>
    </w:p>
    <w:p>
      <w:pPr>
        <w:ind w:left="580" w:right="2539" w:hanging="292"/>
        <w:spacing w:after="0" w:line="255" w:lineRule="auto"/>
        <w:tabs>
          <w:tab w:leader="none" w:pos="5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5"/>
          <w:szCs w:val="15"/>
          <w:color w:val="auto"/>
        </w:rPr>
      </w:pPr>
    </w:p>
    <w:p>
      <w:pPr>
        <w:ind w:left="880" w:right="2519" w:hanging="294"/>
        <w:spacing w:after="0" w:line="279" w:lineRule="auto"/>
        <w:tabs>
          <w:tab w:leader="none" w:pos="8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4"/>
          <w:szCs w:val="14"/>
          <w:color w:val="auto"/>
        </w:rPr>
      </w:pPr>
    </w:p>
    <w:p>
      <w:pPr>
        <w:ind w:left="880" w:right="2819" w:hanging="294"/>
        <w:spacing w:after="0" w:line="307" w:lineRule="auto"/>
        <w:tabs>
          <w:tab w:leader="none" w:pos="880" w:val="left"/>
        </w:tabs>
        <w:numPr>
          <w:ilvl w:val="1"/>
          <w:numId w:val="8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3"/>
          <w:szCs w:val="13"/>
          <w:color w:val="auto"/>
        </w:rPr>
      </w:pPr>
    </w:p>
    <w:p>
      <w:pPr>
        <w:jc w:val="both"/>
        <w:ind w:left="880" w:right="2479" w:hanging="294"/>
        <w:spacing w:after="0" w:line="286" w:lineRule="auto"/>
        <w:tabs>
          <w:tab w:leader="none" w:pos="8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880" w:right="2519" w:hanging="294"/>
        <w:spacing w:after="0" w:line="279" w:lineRule="auto"/>
        <w:tabs>
          <w:tab w:leader="none" w:pos="8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4"/>
          <w:szCs w:val="14"/>
          <w:color w:val="auto"/>
        </w:rPr>
      </w:pPr>
    </w:p>
    <w:p>
      <w:pPr>
        <w:ind w:left="580" w:right="2639" w:hanging="292"/>
        <w:spacing w:after="0" w:line="286" w:lineRule="auto"/>
        <w:tabs>
          <w:tab w:leader="none" w:pos="5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4"/>
          <w:szCs w:val="14"/>
          <w:color w:val="auto"/>
        </w:rPr>
      </w:pPr>
    </w:p>
    <w:p>
      <w:pPr>
        <w:jc w:val="both"/>
        <w:ind w:left="880" w:right="2559" w:hanging="294"/>
        <w:spacing w:after="0" w:line="286" w:lineRule="auto"/>
        <w:tabs>
          <w:tab w:leader="none" w:pos="8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4"/>
          <w:szCs w:val="14"/>
          <w:color w:val="auto"/>
        </w:rPr>
      </w:pPr>
    </w:p>
    <w:p>
      <w:pPr>
        <w:ind w:left="880" w:right="2739" w:hanging="294"/>
        <w:spacing w:after="0" w:line="307" w:lineRule="auto"/>
        <w:tabs>
          <w:tab w:leader="none" w:pos="8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Dated this 16</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of March, 2018.</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By: /s/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24765</wp:posOffset>
            </wp:positionV>
            <wp:extent cx="122618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3">
                      <a:extLst>
                        <a:ext uri="{28A0092B-C50C-407E-A947-70E740481C1C}"/>
                      </a:extLst>
                    </a:blip>
                    <a:srcRect/>
                    <a:stretch>
                      <a:fillRect/>
                    </a:stretch>
                  </pic:blipFill>
                  <pic:spPr bwMode="auto">
                    <a:xfrm>
                      <a:off x="0" y="0"/>
                      <a:ext cx="1226185" cy="6985"/>
                    </a:xfrm>
                    <a:prstGeom prst="rect">
                      <a:avLst/>
                    </a:prstGeom>
                    <a:noFill/>
                  </pic:spPr>
                </pic:pic>
              </a:graphicData>
            </a:graphic>
          </wp:anchor>
        </w:drawing>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William Tanona</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459105</wp:posOffset>
            </wp:positionV>
            <wp:extent cx="5651500" cy="3937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4">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9179"/>
          </w:cols>
          <w:pgMar w:left="1280" w:top="917" w:right="1440" w:bottom="1440" w:gutter="0" w:footer="0" w:header="0"/>
        </w:sectPr>
      </w:pPr>
    </w:p>
    <w:bookmarkStart w:id="151" w:name="page152"/>
    <w:bookmarkEnd w:id="151"/>
    <w:p>
      <w:pPr>
        <w:jc w:val="right"/>
        <w:ind w:right="2399"/>
        <w:spacing w:after="0"/>
        <w:rPr>
          <w:sz w:val="20"/>
          <w:szCs w:val="20"/>
          <w:color w:val="auto"/>
        </w:rPr>
      </w:pPr>
      <w:r>
        <w:rPr>
          <w:rFonts w:ascii="Arial" w:cs="Arial" w:eastAsia="Arial" w:hAnsi="Arial"/>
          <w:sz w:val="15"/>
          <w:szCs w:val="15"/>
          <w:b w:val="1"/>
          <w:bCs w:val="1"/>
          <w:color w:val="auto"/>
        </w:rPr>
        <w:t>Exhibit 32.1</w:t>
      </w:r>
    </w:p>
    <w:p>
      <w:pPr>
        <w:spacing w:after="0" w:line="173" w:lineRule="exact"/>
        <w:rPr>
          <w:sz w:val="20"/>
          <w:szCs w:val="20"/>
          <w:color w:val="auto"/>
        </w:rPr>
      </w:pPr>
    </w:p>
    <w:p>
      <w:pPr>
        <w:jc w:val="center"/>
        <w:ind w:right="2399"/>
        <w:spacing w:after="0"/>
        <w:rPr>
          <w:sz w:val="20"/>
          <w:szCs w:val="20"/>
          <w:color w:val="auto"/>
        </w:rPr>
      </w:pPr>
      <w:r>
        <w:rPr>
          <w:rFonts w:ascii="Arial" w:cs="Arial" w:eastAsia="Arial" w:hAnsi="Arial"/>
          <w:sz w:val="15"/>
          <w:szCs w:val="15"/>
          <w:b w:val="1"/>
          <w:bCs w:val="1"/>
          <w:color w:val="auto"/>
        </w:rPr>
        <w:t>Certification of Chief Executive Officer</w:t>
      </w:r>
    </w:p>
    <w:p>
      <w:pPr>
        <w:jc w:val="center"/>
        <w:ind w:right="2399"/>
        <w:spacing w:after="0" w:line="217" w:lineRule="auto"/>
        <w:rPr>
          <w:sz w:val="20"/>
          <w:szCs w:val="20"/>
          <w:color w:val="auto"/>
        </w:rPr>
      </w:pPr>
      <w:r>
        <w:rPr>
          <w:rFonts w:ascii="Arial" w:cs="Arial" w:eastAsia="Arial" w:hAnsi="Arial"/>
          <w:sz w:val="15"/>
          <w:szCs w:val="15"/>
          <w:b w:val="1"/>
          <w:bCs w:val="1"/>
          <w:color w:val="auto"/>
        </w:rPr>
        <w:t>Pursuant to</w:t>
      </w:r>
    </w:p>
    <w:p>
      <w:pPr>
        <w:jc w:val="center"/>
        <w:ind w:right="2399"/>
        <w:spacing w:after="0"/>
        <w:rPr>
          <w:sz w:val="20"/>
          <w:szCs w:val="20"/>
          <w:color w:val="auto"/>
        </w:rPr>
      </w:pPr>
      <w:r>
        <w:rPr>
          <w:rFonts w:ascii="Arial" w:cs="Arial" w:eastAsia="Arial" w:hAnsi="Arial"/>
          <w:sz w:val="15"/>
          <w:szCs w:val="15"/>
          <w:b w:val="1"/>
          <w:bCs w:val="1"/>
          <w:color w:val="auto"/>
        </w:rPr>
        <w:t>Section 906 of the Sarbanes-Oxley Act of 2002 (18 U.S.C. 1350)</w:t>
      </w:r>
    </w:p>
    <w:p>
      <w:pPr>
        <w:spacing w:after="0" w:line="72" w:lineRule="exact"/>
        <w:rPr>
          <w:sz w:val="20"/>
          <w:szCs w:val="20"/>
          <w:color w:val="auto"/>
        </w:rPr>
      </w:pPr>
    </w:p>
    <w:p>
      <w:pPr>
        <w:jc w:val="both"/>
        <w:ind w:right="2439" w:firstLine="297"/>
        <w:spacing w:after="0" w:line="317" w:lineRule="auto"/>
        <w:rPr>
          <w:sz w:val="20"/>
          <w:szCs w:val="20"/>
          <w:color w:val="auto"/>
        </w:rPr>
      </w:pPr>
      <w:r>
        <w:rPr>
          <w:rFonts w:ascii="Arial" w:cs="Arial" w:eastAsia="Arial" w:hAnsi="Arial"/>
          <w:sz w:val="13"/>
          <w:szCs w:val="13"/>
          <w:color w:val="auto"/>
        </w:rPr>
        <w:t>In connection with the annual report on Form 10-K for the year ended December 31, 2017 (the “Report”) of GSV Capital Corp. (the “Registrant”), as filed with the Securities and Exchange Commission on the date hereof, I, Mark D. Klein, the Chief Executive Officer of the Registrant, hereby certify, to the best of my knowledge, that:</w:t>
      </w:r>
    </w:p>
    <w:p>
      <w:pPr>
        <w:spacing w:after="0" w:line="77" w:lineRule="exact"/>
        <w:rPr>
          <w:sz w:val="20"/>
          <w:szCs w:val="20"/>
          <w:color w:val="auto"/>
        </w:rPr>
      </w:pPr>
    </w:p>
    <w:p>
      <w:pPr>
        <w:ind w:left="580" w:right="2559" w:hanging="292"/>
        <w:spacing w:after="0" w:line="270" w:lineRule="auto"/>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02" w:lineRule="exact"/>
        <w:rPr>
          <w:rFonts w:ascii="Arial" w:cs="Arial" w:eastAsia="Arial" w:hAnsi="Arial"/>
          <w:sz w:val="15"/>
          <w:szCs w:val="15"/>
          <w:color w:val="auto"/>
        </w:rPr>
      </w:pPr>
    </w:p>
    <w:p>
      <w:pPr>
        <w:ind w:left="580" w:right="2479" w:hanging="292"/>
        <w:spacing w:after="0" w:line="270" w:lineRule="auto"/>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15"/>
          <w:szCs w:val="15"/>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38735</wp:posOffset>
            </wp:positionV>
            <wp:extent cx="2040890"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5">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7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Name: Mark D. Klein</w:t>
      </w:r>
    </w:p>
    <w:p>
      <w:pPr>
        <w:spacing w:after="0" w:line="20"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459105</wp:posOffset>
            </wp:positionV>
            <wp:extent cx="5651500" cy="3937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6">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p>
      <w:pPr>
        <w:sectPr>
          <w:pgSz w:w="11900" w:h="16838" w:orient="portrait"/>
          <w:cols w:equalWidth="0" w:num="1">
            <w:col w:w="9179"/>
          </w:cols>
          <w:pgMar w:left="1280" w:top="917" w:right="1440" w:bottom="1440" w:gutter="0" w:footer="0" w:header="0"/>
        </w:sectPr>
      </w:pPr>
    </w:p>
    <w:bookmarkStart w:id="152" w:name="page153"/>
    <w:bookmarkEnd w:id="152"/>
    <w:p>
      <w:pPr>
        <w:jc w:val="right"/>
        <w:ind w:right="2399"/>
        <w:spacing w:after="0"/>
        <w:rPr>
          <w:sz w:val="20"/>
          <w:szCs w:val="20"/>
          <w:color w:val="auto"/>
        </w:rPr>
      </w:pPr>
      <w:r>
        <w:rPr>
          <w:rFonts w:ascii="Arial" w:cs="Arial" w:eastAsia="Arial" w:hAnsi="Arial"/>
          <w:sz w:val="15"/>
          <w:szCs w:val="15"/>
          <w:b w:val="1"/>
          <w:bCs w:val="1"/>
          <w:color w:val="auto"/>
        </w:rPr>
        <w:t>Exhibit 32.2</w:t>
      </w:r>
    </w:p>
    <w:p>
      <w:pPr>
        <w:spacing w:after="0" w:line="173" w:lineRule="exact"/>
        <w:rPr>
          <w:sz w:val="20"/>
          <w:szCs w:val="20"/>
          <w:color w:val="auto"/>
        </w:rPr>
      </w:pPr>
    </w:p>
    <w:p>
      <w:pPr>
        <w:jc w:val="center"/>
        <w:ind w:right="2399"/>
        <w:spacing w:after="0"/>
        <w:rPr>
          <w:sz w:val="20"/>
          <w:szCs w:val="20"/>
          <w:color w:val="auto"/>
        </w:rPr>
      </w:pPr>
      <w:r>
        <w:rPr>
          <w:rFonts w:ascii="Arial" w:cs="Arial" w:eastAsia="Arial" w:hAnsi="Arial"/>
          <w:sz w:val="15"/>
          <w:szCs w:val="15"/>
          <w:b w:val="1"/>
          <w:bCs w:val="1"/>
          <w:color w:val="auto"/>
        </w:rPr>
        <w:t>Certification of Chief Financial Officer</w:t>
      </w:r>
    </w:p>
    <w:p>
      <w:pPr>
        <w:jc w:val="center"/>
        <w:ind w:right="2399"/>
        <w:spacing w:after="0" w:line="217" w:lineRule="auto"/>
        <w:rPr>
          <w:sz w:val="20"/>
          <w:szCs w:val="20"/>
          <w:color w:val="auto"/>
        </w:rPr>
      </w:pPr>
      <w:r>
        <w:rPr>
          <w:rFonts w:ascii="Arial" w:cs="Arial" w:eastAsia="Arial" w:hAnsi="Arial"/>
          <w:sz w:val="15"/>
          <w:szCs w:val="15"/>
          <w:b w:val="1"/>
          <w:bCs w:val="1"/>
          <w:color w:val="auto"/>
        </w:rPr>
        <w:t>Pursuant to</w:t>
      </w:r>
    </w:p>
    <w:p>
      <w:pPr>
        <w:jc w:val="center"/>
        <w:ind w:right="2399"/>
        <w:spacing w:after="0"/>
        <w:rPr>
          <w:sz w:val="20"/>
          <w:szCs w:val="20"/>
          <w:color w:val="auto"/>
        </w:rPr>
      </w:pPr>
      <w:r>
        <w:rPr>
          <w:rFonts w:ascii="Arial" w:cs="Arial" w:eastAsia="Arial" w:hAnsi="Arial"/>
          <w:sz w:val="15"/>
          <w:szCs w:val="15"/>
          <w:b w:val="1"/>
          <w:bCs w:val="1"/>
          <w:color w:val="auto"/>
        </w:rPr>
        <w:t>Section 906 of the Sarbanes-Oxley Act of 2002 (18 U.S.C. 1350)</w:t>
      </w:r>
    </w:p>
    <w:p>
      <w:pPr>
        <w:spacing w:after="0" w:line="72" w:lineRule="exact"/>
        <w:rPr>
          <w:sz w:val="20"/>
          <w:szCs w:val="20"/>
          <w:color w:val="auto"/>
        </w:rPr>
      </w:pPr>
    </w:p>
    <w:p>
      <w:pPr>
        <w:ind w:right="2399" w:firstLine="297"/>
        <w:spacing w:after="0" w:line="317" w:lineRule="auto"/>
        <w:rPr>
          <w:sz w:val="20"/>
          <w:szCs w:val="20"/>
          <w:color w:val="auto"/>
        </w:rPr>
      </w:pPr>
      <w:r>
        <w:rPr>
          <w:rFonts w:ascii="Arial" w:cs="Arial" w:eastAsia="Arial" w:hAnsi="Arial"/>
          <w:sz w:val="13"/>
          <w:szCs w:val="13"/>
          <w:color w:val="auto"/>
        </w:rPr>
        <w:t>In connection with the annual report on Form 10-K for the year ended December 31, 2017 (the “Report”) of GSV Capital Corp. (the “Registrant”), as filed with the Securities and Exchange Commission on the date hereof, I, William Tanona, the Chief Financial Officer of the Registrant, hereby certify, to the best of my knowledge, that:</w:t>
      </w:r>
    </w:p>
    <w:p>
      <w:pPr>
        <w:spacing w:after="0" w:line="77" w:lineRule="exact"/>
        <w:rPr>
          <w:sz w:val="20"/>
          <w:szCs w:val="20"/>
          <w:color w:val="auto"/>
        </w:rPr>
      </w:pPr>
    </w:p>
    <w:p>
      <w:pPr>
        <w:ind w:left="580" w:right="2559" w:hanging="292"/>
        <w:spacing w:after="0" w:line="270" w:lineRule="auto"/>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02" w:lineRule="exact"/>
        <w:rPr>
          <w:rFonts w:ascii="Arial" w:cs="Arial" w:eastAsia="Arial" w:hAnsi="Arial"/>
          <w:sz w:val="15"/>
          <w:szCs w:val="15"/>
          <w:color w:val="auto"/>
        </w:rPr>
      </w:pPr>
    </w:p>
    <w:p>
      <w:pPr>
        <w:ind w:left="580" w:right="2479" w:hanging="292"/>
        <w:spacing w:after="0" w:line="270" w:lineRule="auto"/>
        <w:tabs>
          <w:tab w:leader="none" w:pos="5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15"/>
          <w:szCs w:val="15"/>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38735</wp:posOffset>
            </wp:positionV>
            <wp:extent cx="204089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7">
                      <a:extLst>
                        <a:ext uri="{28A0092B-C50C-407E-A947-70E740481C1C}"/>
                      </a:extLst>
                    </a:blip>
                    <a:srcRect/>
                    <a:stretch>
                      <a:fillRect/>
                    </a:stretch>
                  </pic:blipFill>
                  <pic:spPr bwMode="auto">
                    <a:xfrm>
                      <a:off x="0" y="0"/>
                      <a:ext cx="2040890" cy="6985"/>
                    </a:xfrm>
                    <a:prstGeom prst="rect">
                      <a:avLst/>
                    </a:prstGeom>
                    <a:noFill/>
                  </pic:spPr>
                </pic:pic>
              </a:graphicData>
            </a:graphic>
          </wp:anchor>
        </w:drawing>
      </w:r>
    </w:p>
    <w:p>
      <w:pPr>
        <w:spacing w:after="0" w:line="7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Name: William Tanona</w:t>
      </w:r>
    </w:p>
    <w:p>
      <w:pPr>
        <w:spacing w:after="0" w:line="20"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459105</wp:posOffset>
            </wp:positionV>
            <wp:extent cx="5651500" cy="3937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8">
                      <a:extLst>
                        <a:ext uri="{28A0092B-C50C-407E-A947-70E740481C1C}"/>
                      </a:extLst>
                    </a:blip>
                    <a:srcRect/>
                    <a:stretch>
                      <a:fillRect/>
                    </a:stretch>
                  </pic:blipFill>
                  <pic:spPr bwMode="auto">
                    <a:xfrm>
                      <a:off x="0" y="0"/>
                      <a:ext cx="5651500" cy="39370"/>
                    </a:xfrm>
                    <a:prstGeom prst="rect">
                      <a:avLst/>
                    </a:prstGeom>
                    <a:noFill/>
                  </pic:spPr>
                </pic:pic>
              </a:graphicData>
            </a:graphic>
          </wp:anchor>
        </w:drawing>
      </w:r>
    </w:p>
    <w:sectPr>
      <w:pgSz w:w="11900" w:h="16838" w:orient="portrait"/>
      <w:cols w:equalWidth="0" w:num="1">
        <w:col w:w="9179"/>
      </w:cols>
      <w:pgMar w:left="1280" w:top="9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emdash "/>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lowerRoman"/>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12E685FB"/>
    <w:multiLevelType w:val="hybridMultilevel"/>
    <w:lvl w:ilvl="0">
      <w:lvlJc w:val="left"/>
      <w:lvlText w:val="%1."/>
      <w:numFmt w:val="decimal"/>
      <w:start w:val="2"/>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decimal"/>
      <w:start w:val="2"/>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lvl w:ilvl="1">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decimal"/>
      <w:start w:val="2"/>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3"/>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3"/>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1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9"/>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7"/>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2"/>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3"/>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8"/>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2"/>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lowerRoman"/>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2"/>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9" Type="http://schemas.openxmlformats.org/officeDocument/2006/relationships/image" Target="media/image741.png"/><Relationship Id="rId751" Type="http://schemas.openxmlformats.org/officeDocument/2006/relationships/image" Target="media/image742.png"/><Relationship Id="rId753" Type="http://schemas.openxmlformats.org/officeDocument/2006/relationships/image" Target="media/image743.png"/><Relationship Id="rId755" Type="http://schemas.openxmlformats.org/officeDocument/2006/relationships/image" Target="media/image744.png"/><Relationship Id="rId757" Type="http://schemas.openxmlformats.org/officeDocument/2006/relationships/image" Target="media/image745.png"/><Relationship Id="rId766" Type="http://schemas.openxmlformats.org/officeDocument/2006/relationships/image" Target="media/image746.png"/><Relationship Id="rId767" Type="http://schemas.openxmlformats.org/officeDocument/2006/relationships/image" Target="media/image747.png"/><Relationship Id="rId768" Type="http://schemas.openxmlformats.org/officeDocument/2006/relationships/image" Target="media/image748.png"/><Relationship Id="rId769" Type="http://schemas.openxmlformats.org/officeDocument/2006/relationships/image" Target="media/image749.png"/><Relationship Id="rId770" Type="http://schemas.openxmlformats.org/officeDocument/2006/relationships/image" Target="media/image750.png"/><Relationship Id="rId771" Type="http://schemas.openxmlformats.org/officeDocument/2006/relationships/image" Target="media/image751.png"/><Relationship Id="rId772" Type="http://schemas.openxmlformats.org/officeDocument/2006/relationships/image" Target="media/image752.png"/><Relationship Id="rId773" Type="http://schemas.openxmlformats.org/officeDocument/2006/relationships/image" Target="media/image753.png"/><Relationship Id="rId774" Type="http://schemas.openxmlformats.org/officeDocument/2006/relationships/image" Target="media/image754.png"/><Relationship Id="rId775" Type="http://schemas.openxmlformats.org/officeDocument/2006/relationships/image" Target="media/image755.png"/><Relationship Id="rId776" Type="http://schemas.openxmlformats.org/officeDocument/2006/relationships/image" Target="media/image756.png"/><Relationship Id="rId777" Type="http://schemas.openxmlformats.org/officeDocument/2006/relationships/image" Target="media/image757.png"/><Relationship Id="rId778" Type="http://schemas.openxmlformats.org/officeDocument/2006/relationships/image" Target="media/image758.png"/><Relationship Id="rId748" Type="http://schemas.openxmlformats.org/officeDocument/2006/relationships/hyperlink" Target="http://www.sec.gov/Archives/edgar/data/1509470/000113379611000069/k216228_ex99-2a.htm" TargetMode="External"/><Relationship Id="rId750" Type="http://schemas.openxmlformats.org/officeDocument/2006/relationships/hyperlink" Target="http://www.sec.gov/Archives/edgar/data/1509470/000114420411033389/v224342_ex3-1.htm" TargetMode="External"/><Relationship Id="rId752" Type="http://schemas.openxmlformats.org/officeDocument/2006/relationships/hyperlink" Target="http://www.sec.gov/Archives/edgar/data/1509470/000113379611000069/k216228_ex99-2b.htm" TargetMode="External"/><Relationship Id="rId754" Type="http://schemas.openxmlformats.org/officeDocument/2006/relationships/hyperlink" Target="http://www.sec.gov/Archives/edgar/data/1509470/000114420411053817/v235130_ex99-d1.htm" TargetMode="External"/><Relationship Id="rId756" Type="http://schemas.openxmlformats.org/officeDocument/2006/relationships/hyperlink" Target="http://www.sec.gov/Archives/edgar/data/1509470/000114420413051307/v355268_ex4-1.htm" TargetMode="External"/><Relationship Id="rId758" Type="http://schemas.openxmlformats.org/officeDocument/2006/relationships/hyperlink" Target="http://www.sec.gov/Archives/edgar/data/1509470/000113379611000069/k216228_ex99-2e.htm" TargetMode="External"/><Relationship Id="rId759" Type="http://schemas.openxmlformats.org/officeDocument/2006/relationships/hyperlink" Target="http://www.sec.gov/Archives/edgar/data/1509470/000114420413014937/v337738_ex10-2.htm" TargetMode="External"/><Relationship Id="rId760" Type="http://schemas.openxmlformats.org/officeDocument/2006/relationships/hyperlink" Target="http://www.sec.gov/Archives/edgar/data/1509470/000114420417041791/v472538_ex10-1.htm" TargetMode="External"/><Relationship Id="rId761" Type="http://schemas.openxmlformats.org/officeDocument/2006/relationships/hyperlink" Target="http://www.sec.gov/Archives/edgar/data/1509470/000113379611000069/k216228_ex99-2k2.htm" TargetMode="External"/><Relationship Id="rId762" Type="http://schemas.openxmlformats.org/officeDocument/2006/relationships/hyperlink" Target="http://www.sec.gov/Archives/edgar/data/1509470/000113379611000099/v217933_ex99-2j.htm" TargetMode="External"/><Relationship Id="rId763" Type="http://schemas.openxmlformats.org/officeDocument/2006/relationships/hyperlink" Target="http://www.sec.gov/Archives/edgar/data/1509470/000114420411033389/v224342_ex1-1.htm" TargetMode="External"/><Relationship Id="rId764" Type="http://schemas.openxmlformats.org/officeDocument/2006/relationships/hyperlink" Target="http://www.sec.gov/Archives/edgar/data/1509470/000114420417030591/v468129_ex10-1.htm" TargetMode="External"/><Relationship Id="rId765" Type="http://schemas.openxmlformats.org/officeDocument/2006/relationships/hyperlink" Target="http://www.sec.gov/Archives/edgar/data/1509470/000114420418005597/tv484843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2019-12-28T23:41:02Z</dcterms:created>
  <dcterms:modified xsi:type="dcterms:W3CDTF">2019-12-28T23:41:02Z</dcterms:modified>
</cp:coreProperties>
</file>