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205105</wp:posOffset>
            </wp:positionH>
            <wp:positionV relativeFrom="page">
              <wp:posOffset>1049655</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1009015</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line="237" w:lineRule="auto"/>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6"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x </w:t>
      </w: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84"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2022</w:t>
      </w:r>
    </w:p>
    <w:p>
      <w:pPr>
        <w:spacing w:after="0" w:line="114" w:lineRule="exact"/>
        <w:rPr>
          <w:sz w:val="24"/>
          <w:szCs w:val="24"/>
          <w:color w:val="auto"/>
        </w:rPr>
      </w:pPr>
    </w:p>
    <w:p>
      <w:pPr>
        <w:ind w:left="4160" w:right="3160" w:hanging="4157"/>
        <w:spacing w:after="0" w:line="378" w:lineRule="auto"/>
        <w:tabs>
          <w:tab w:leader="none" w:pos="19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814-00852</w:t>
      </w:r>
    </w:p>
    <w:p>
      <w:pPr>
        <w:ind w:left="4500"/>
        <w:spacing w:after="0"/>
        <w:rPr>
          <w:sz w:val="20"/>
          <w:szCs w:val="20"/>
          <w:color w:val="auto"/>
        </w:rPr>
      </w:pPr>
      <w:r>
        <w:rPr>
          <w:rFonts w:ascii="Times New Roman" w:cs="Times New Roman" w:eastAsia="Times New Roman" w:hAnsi="Times New Roman"/>
          <w:sz w:val="17"/>
          <w:szCs w:val="17"/>
          <w:color w:val="auto"/>
        </w:rPr>
        <w:t>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SuRo Capital Corp.</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2"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3560" w:type="dxa"/>
            <w:vAlign w:val="bottom"/>
          </w:tcPr>
          <w:p>
            <w:pPr>
              <w:jc w:val="center"/>
              <w:ind w:left="1946"/>
              <w:spacing w:after="0"/>
              <w:rPr>
                <w:sz w:val="20"/>
                <w:szCs w:val="20"/>
                <w:color w:val="auto"/>
              </w:rPr>
            </w:pPr>
            <w:r>
              <w:rPr>
                <w:rFonts w:ascii="Times New Roman" w:cs="Times New Roman" w:eastAsia="Times New Roman" w:hAnsi="Times New Roman"/>
                <w:sz w:val="16"/>
                <w:szCs w:val="16"/>
                <w:b w:val="1"/>
                <w:bCs w:val="1"/>
                <w:color w:val="auto"/>
                <w:w w:val="96"/>
              </w:rPr>
              <w:t>Maryland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0" w:type="dxa"/>
            <w:vAlign w:val="bottom"/>
          </w:tcPr>
          <w:p>
            <w:pPr>
              <w:jc w:val="right"/>
              <w:ind w:right="2386"/>
              <w:spacing w:after="0"/>
              <w:rPr>
                <w:sz w:val="20"/>
                <w:szCs w:val="20"/>
                <w:color w:val="auto"/>
              </w:rPr>
            </w:pPr>
            <w:r>
              <w:rPr>
                <w:rFonts w:ascii="Times New Roman" w:cs="Times New Roman" w:eastAsia="Times New Roman" w:hAnsi="Times New Roman"/>
                <w:sz w:val="16"/>
                <w:szCs w:val="16"/>
                <w:b w:val="1"/>
                <w:bCs w:val="1"/>
                <w:color w:val="auto"/>
              </w:rPr>
              <w:t>27-4443543</w:t>
            </w:r>
          </w:p>
        </w:tc>
      </w:tr>
      <w:tr>
        <w:trPr>
          <w:trHeight w:val="179"/>
        </w:trPr>
        <w:tc>
          <w:tcPr>
            <w:tcW w:w="3560" w:type="dxa"/>
            <w:vAlign w:val="bottom"/>
          </w:tcPr>
          <w:p>
            <w:pPr>
              <w:jc w:val="center"/>
              <w:ind w:left="1946"/>
              <w:spacing w:after="0"/>
              <w:rPr>
                <w:sz w:val="20"/>
                <w:szCs w:val="20"/>
                <w:color w:val="auto"/>
              </w:rPr>
            </w:pPr>
            <w:r>
              <w:rPr>
                <w:rFonts w:ascii="Times New Roman" w:cs="Times New Roman" w:eastAsia="Times New Roman" w:hAnsi="Times New Roman"/>
                <w:sz w:val="14"/>
                <w:szCs w:val="14"/>
                <w:color w:val="auto"/>
                <w:w w:val="98"/>
              </w:rPr>
              <w:t>(State of incorporation)</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0" w:type="dxa"/>
            <w:vAlign w:val="bottom"/>
          </w:tcPr>
          <w:p>
            <w:pPr>
              <w:jc w:val="center"/>
              <w:ind w:right="1606"/>
              <w:spacing w:after="0"/>
              <w:rPr>
                <w:sz w:val="20"/>
                <w:szCs w:val="20"/>
                <w:color w:val="auto"/>
              </w:rPr>
            </w:pPr>
            <w:r>
              <w:rPr>
                <w:rFonts w:ascii="Times New Roman" w:cs="Times New Roman" w:eastAsia="Times New Roman" w:hAnsi="Times New Roman"/>
                <w:sz w:val="14"/>
                <w:szCs w:val="14"/>
                <w:color w:val="auto"/>
                <w:w w:val="98"/>
              </w:rPr>
              <w:t>(I.R.S. Employer Identification No.)</w:t>
            </w:r>
          </w:p>
        </w:tc>
      </w:tr>
      <w:tr>
        <w:trPr>
          <w:trHeight w:val="222"/>
        </w:trPr>
        <w:tc>
          <w:tcPr>
            <w:tcW w:w="7220" w:type="dxa"/>
            <w:vAlign w:val="bottom"/>
            <w:gridSpan w:val="6"/>
          </w:tcPr>
          <w:p>
            <w:pPr>
              <w:jc w:val="center"/>
              <w:ind w:right="1660"/>
              <w:spacing w:after="0"/>
              <w:rPr>
                <w:sz w:val="20"/>
                <w:szCs w:val="20"/>
                <w:color w:val="auto"/>
              </w:rPr>
            </w:pPr>
            <w:r>
              <w:rPr>
                <w:rFonts w:ascii="Times New Roman" w:cs="Times New Roman" w:eastAsia="Times New Roman" w:hAnsi="Times New Roman"/>
                <w:sz w:val="16"/>
                <w:szCs w:val="16"/>
                <w:b w:val="1"/>
                <w:bCs w:val="1"/>
                <w:color w:val="auto"/>
                <w:w w:val="95"/>
              </w:rPr>
              <w:t>640 Fifth Avenue, 12th Floor, New York, NY</w:t>
            </w:r>
          </w:p>
        </w:tc>
        <w:tc>
          <w:tcPr>
            <w:tcW w:w="4000" w:type="dxa"/>
            <w:vAlign w:val="bottom"/>
          </w:tcPr>
          <w:p>
            <w:pPr>
              <w:jc w:val="right"/>
              <w:ind w:right="2566"/>
              <w:spacing w:after="0"/>
              <w:rPr>
                <w:sz w:val="20"/>
                <w:szCs w:val="20"/>
                <w:color w:val="auto"/>
              </w:rPr>
            </w:pPr>
            <w:r>
              <w:rPr>
                <w:rFonts w:ascii="Times New Roman" w:cs="Times New Roman" w:eastAsia="Times New Roman" w:hAnsi="Times New Roman"/>
                <w:sz w:val="16"/>
                <w:szCs w:val="16"/>
                <w:b w:val="1"/>
                <w:bCs w:val="1"/>
                <w:color w:val="auto"/>
              </w:rPr>
              <w:t>10019</w:t>
            </w:r>
          </w:p>
        </w:tc>
      </w:tr>
      <w:tr>
        <w:trPr>
          <w:trHeight w:val="179"/>
        </w:trPr>
        <w:tc>
          <w:tcPr>
            <w:tcW w:w="7220" w:type="dxa"/>
            <w:vAlign w:val="bottom"/>
            <w:gridSpan w:val="6"/>
          </w:tcPr>
          <w:p>
            <w:pPr>
              <w:jc w:val="center"/>
              <w:ind w:right="1640"/>
              <w:spacing w:after="0"/>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4000" w:type="dxa"/>
            <w:vAlign w:val="bottom"/>
          </w:tcPr>
          <w:p>
            <w:pPr>
              <w:jc w:val="center"/>
              <w:ind w:right="1606"/>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274"/>
        </w:trPr>
        <w:tc>
          <w:tcPr>
            <w:tcW w:w="3560" w:type="dxa"/>
            <w:vAlign w:val="bottom"/>
          </w:tcPr>
          <w:p>
            <w:pPr>
              <w:spacing w:after="0"/>
              <w:rPr>
                <w:sz w:val="23"/>
                <w:szCs w:val="23"/>
                <w:color w:val="auto"/>
              </w:rPr>
            </w:pPr>
          </w:p>
        </w:tc>
        <w:tc>
          <w:tcPr>
            <w:tcW w:w="3180" w:type="dxa"/>
            <w:vAlign w:val="bottom"/>
            <w:gridSpan w:val="3"/>
          </w:tcPr>
          <w:p>
            <w:pPr>
              <w:jc w:val="right"/>
              <w:ind w:right="605"/>
              <w:spacing w:after="0"/>
              <w:rPr>
                <w:sz w:val="20"/>
                <w:szCs w:val="20"/>
                <w:color w:val="auto"/>
              </w:rPr>
            </w:pPr>
            <w:r>
              <w:rPr>
                <w:rFonts w:ascii="Times New Roman" w:cs="Times New Roman" w:eastAsia="Times New Roman" w:hAnsi="Times New Roman"/>
                <w:sz w:val="16"/>
                <w:szCs w:val="16"/>
                <w:b w:val="1"/>
                <w:bCs w:val="1"/>
                <w:color w:val="auto"/>
              </w:rPr>
              <w:t>(212) 931-6331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0" w:type="dxa"/>
            <w:vAlign w:val="bottom"/>
          </w:tcPr>
          <w:p>
            <w:pPr>
              <w:spacing w:after="0"/>
              <w:rPr>
                <w:sz w:val="23"/>
                <w:szCs w:val="23"/>
                <w:color w:val="auto"/>
              </w:rPr>
            </w:pPr>
          </w:p>
        </w:tc>
      </w:tr>
      <w:tr>
        <w:trPr>
          <w:trHeight w:val="179"/>
        </w:trPr>
        <w:tc>
          <w:tcPr>
            <w:tcW w:w="3560" w:type="dxa"/>
            <w:vAlign w:val="bottom"/>
          </w:tcPr>
          <w:p>
            <w:pPr>
              <w:spacing w:after="0"/>
              <w:rPr>
                <w:sz w:val="15"/>
                <w:szCs w:val="15"/>
                <w:color w:val="auto"/>
              </w:rPr>
            </w:pPr>
          </w:p>
        </w:tc>
        <w:tc>
          <w:tcPr>
            <w:tcW w:w="3660" w:type="dxa"/>
            <w:vAlign w:val="bottom"/>
            <w:gridSpan w:val="5"/>
          </w:tcPr>
          <w:p>
            <w:pPr>
              <w:jc w:val="center"/>
              <w:ind w:left="305"/>
              <w:spacing w:after="0"/>
              <w:rPr>
                <w:sz w:val="20"/>
                <w:szCs w:val="20"/>
                <w:color w:val="auto"/>
              </w:rPr>
            </w:pPr>
            <w:r>
              <w:rPr>
                <w:rFonts w:ascii="Times New Roman" w:cs="Times New Roman" w:eastAsia="Times New Roman" w:hAnsi="Times New Roman"/>
                <w:sz w:val="14"/>
                <w:szCs w:val="14"/>
                <w:color w:val="auto"/>
                <w:w w:val="98"/>
              </w:rPr>
              <w:t>(Registrant’s telephone number, including area code)</w:t>
            </w:r>
          </w:p>
        </w:tc>
        <w:tc>
          <w:tcPr>
            <w:tcW w:w="4000" w:type="dxa"/>
            <w:vAlign w:val="bottom"/>
          </w:tcPr>
          <w:p>
            <w:pPr>
              <w:spacing w:after="0"/>
              <w:rPr>
                <w:sz w:val="15"/>
                <w:szCs w:val="15"/>
                <w:color w:val="auto"/>
              </w:rPr>
            </w:pPr>
          </w:p>
        </w:tc>
      </w:tr>
      <w:tr>
        <w:trPr>
          <w:trHeight w:val="289"/>
        </w:trPr>
        <w:tc>
          <w:tcPr>
            <w:tcW w:w="3560" w:type="dxa"/>
            <w:vAlign w:val="bottom"/>
          </w:tcPr>
          <w:p>
            <w:pPr>
              <w:spacing w:after="0"/>
              <w:rPr>
                <w:sz w:val="24"/>
                <w:szCs w:val="24"/>
                <w:color w:val="auto"/>
              </w:rPr>
            </w:pPr>
          </w:p>
        </w:tc>
        <w:tc>
          <w:tcPr>
            <w:tcW w:w="766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81"/>
        </w:trPr>
        <w:tc>
          <w:tcPr>
            <w:tcW w:w="3560" w:type="dxa"/>
            <w:vAlign w:val="bottom"/>
          </w:tcPr>
          <w:p>
            <w:pPr>
              <w:jc w:val="center"/>
              <w:ind w:left="526"/>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40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195"/>
        </w:trPr>
        <w:tc>
          <w:tcPr>
            <w:tcW w:w="3560" w:type="dxa"/>
            <w:vAlign w:val="bottom"/>
            <w:tcBorders>
              <w:top w:val="single" w:sz="8" w:color="auto"/>
            </w:tcBorders>
          </w:tcPr>
          <w:p>
            <w:pPr>
              <w:jc w:val="center"/>
              <w:ind w:left="526"/>
              <w:spacing w:after="0"/>
              <w:rPr>
                <w:sz w:val="20"/>
                <w:szCs w:val="20"/>
                <w:color w:val="auto"/>
              </w:rPr>
            </w:pPr>
            <w:r>
              <w:rPr>
                <w:rFonts w:ascii="Times New Roman" w:cs="Times New Roman" w:eastAsia="Times New Roman" w:hAnsi="Times New Roman"/>
                <w:sz w:val="16"/>
                <w:szCs w:val="16"/>
                <w:color w:val="auto"/>
                <w:w w:val="96"/>
              </w:rPr>
              <w:t>Common Stock, par value $0.01 per share</w:t>
            </w: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SSSS</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00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06"/>
        </w:trPr>
        <w:tc>
          <w:tcPr>
            <w:tcW w:w="3560" w:type="dxa"/>
            <w:vAlign w:val="bottom"/>
          </w:tcPr>
          <w:p>
            <w:pPr>
              <w:jc w:val="center"/>
              <w:ind w:left="526"/>
              <w:spacing w:after="0"/>
              <w:rPr>
                <w:sz w:val="20"/>
                <w:szCs w:val="20"/>
                <w:color w:val="auto"/>
              </w:rPr>
            </w:pPr>
            <w:r>
              <w:rPr>
                <w:rFonts w:ascii="Times New Roman" w:cs="Times New Roman" w:eastAsia="Times New Roman" w:hAnsi="Times New Roman"/>
                <w:sz w:val="16"/>
                <w:szCs w:val="16"/>
                <w:color w:val="auto"/>
                <w:w w:val="96"/>
              </w:rPr>
              <w:t>6.00% Notes due 2026</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color w:val="auto"/>
                <w:w w:val="96"/>
              </w:rPr>
              <w:t>SSSSL</w:t>
            </w:r>
          </w:p>
        </w:tc>
        <w:tc>
          <w:tcPr>
            <w:tcW w:w="40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15" w:lineRule="exact"/>
        <w:rPr>
          <w:sz w:val="24"/>
          <w:szCs w:val="24"/>
          <w:color w:val="auto"/>
        </w:rPr>
      </w:pPr>
    </w:p>
    <w:p>
      <w:pPr>
        <w:ind w:right="120" w:firstLine="349"/>
        <w:spacing w:after="0" w:line="20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7" w:lineRule="exact"/>
        <w:rPr>
          <w:sz w:val="24"/>
          <w:szCs w:val="24"/>
          <w:color w:val="auto"/>
        </w:rPr>
      </w:pPr>
    </w:p>
    <w:p>
      <w:pPr>
        <w:ind w:firstLine="349"/>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8" w:lineRule="exact"/>
        <w:rPr>
          <w:sz w:val="24"/>
          <w:szCs w:val="24"/>
          <w:color w:val="auto"/>
        </w:rPr>
      </w:pPr>
    </w:p>
    <w:p>
      <w:pPr>
        <w:ind w:firstLine="349"/>
        <w:spacing w:after="0" w:line="33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4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Accelerated filer </w:t>
      </w:r>
      <w:r>
        <w:rPr>
          <w:rFonts w:ascii="Arial" w:cs="Arial" w:eastAsia="Arial" w:hAnsi="Arial"/>
          <w:sz w:val="14"/>
          <w:szCs w:val="14"/>
          <w:color w:val="auto"/>
        </w:rPr>
        <w:t>o</w:t>
      </w:r>
    </w:p>
    <w:p>
      <w:pPr>
        <w:spacing w:after="0" w:line="45" w:lineRule="exact"/>
        <w:rPr>
          <w:sz w:val="24"/>
          <w:szCs w:val="24"/>
          <w:color w:val="auto"/>
        </w:rPr>
      </w:pPr>
    </w:p>
    <w:p>
      <w:pPr>
        <w:sectPr>
          <w:pgSz w:w="11900" w:h="16838" w:orient="portrait"/>
          <w:cols w:equalWidth="0" w:num="2">
            <w:col w:w="7020" w:space="720"/>
            <w:col w:w="3500"/>
          </w:cols>
          <w:pgMar w:left="320" w:top="144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4"/>
          <w:szCs w:val="14"/>
          <w:color w:val="auto"/>
        </w:rPr>
        <w:t xml:space="preserve">Non-accelerated filer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w:cs="Arial" w:eastAsia="Arial" w:hAnsi="Arial"/>
          <w:sz w:val="14"/>
          <w:szCs w:val="14"/>
          <w:color w:val="auto"/>
        </w:rPr>
        <w:t>o</w:t>
      </w:r>
    </w:p>
    <w:p>
      <w:pPr>
        <w:spacing w:after="0" w:line="45" w:lineRule="exact"/>
        <w:rPr>
          <w:sz w:val="24"/>
          <w:szCs w:val="24"/>
          <w:color w:val="auto"/>
        </w:rPr>
      </w:pPr>
    </w:p>
    <w:p>
      <w:pPr>
        <w:sectPr>
          <w:pgSz w:w="11900" w:h="16838" w:orient="portrait"/>
          <w:cols w:equalWidth="0" w:num="2">
            <w:col w:w="7020" w:space="720"/>
            <w:col w:w="3500"/>
          </w:cols>
          <w:pgMar w:left="320" w:top="144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w:cs="Arial" w:eastAsia="Arial" w:hAnsi="Arial"/>
          <w:sz w:val="14"/>
          <w:szCs w:val="14"/>
          <w:color w:val="auto"/>
        </w:rPr>
        <w:t>o</w:t>
      </w:r>
    </w:p>
    <w:p>
      <w:pPr>
        <w:sectPr>
          <w:pgSz w:w="11900" w:h="16838" w:orient="portrait"/>
          <w:cols w:equalWidth="0" w:num="1">
            <w:col w:w="11240"/>
          </w:cols>
          <w:pgMar w:left="320" w:top="1440" w:right="339" w:bottom="1440" w:gutter="0" w:footer="0" w:header="0"/>
          <w:type w:val="continuous"/>
        </w:sectPr>
      </w:pPr>
    </w:p>
    <w:p>
      <w:pPr>
        <w:spacing w:after="0" w:line="123" w:lineRule="exact"/>
        <w:rPr>
          <w:sz w:val="24"/>
          <w:szCs w:val="24"/>
          <w:color w:val="auto"/>
        </w:rPr>
      </w:pPr>
    </w:p>
    <w:p>
      <w:pPr>
        <w:ind w:firstLine="349"/>
        <w:spacing w:after="0" w:line="264"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66" w:lineRule="exact"/>
        <w:rPr>
          <w:sz w:val="24"/>
          <w:szCs w:val="24"/>
          <w:color w:val="auto"/>
        </w:rPr>
      </w:pPr>
    </w:p>
    <w:p>
      <w:pPr>
        <w:spacing w:after="0" w:line="1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x</w:t>
      </w:r>
    </w:p>
    <w:p>
      <w:pPr>
        <w:spacing w:after="0" w:line="266"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The issuer had 30,724,976 shares of common stock, $0.01 par value per share, outstanding as of May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224155</wp:posOffset>
            </wp:positionH>
            <wp:positionV relativeFrom="paragraph">
              <wp:posOffset>196215</wp:posOffset>
            </wp:positionV>
            <wp:extent cx="697674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76745" cy="16510"/>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171450</wp:posOffset>
            </wp:positionV>
            <wp:extent cx="6976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767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SURO CAPITAL CORP.</w:t>
      </w: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gridSpan w:val="2"/>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13"/>
        </w:trPr>
        <w:tc>
          <w:tcPr>
            <w:tcW w:w="10500" w:type="dxa"/>
            <w:vAlign w:val="bottom"/>
            <w:gridSpan w:val="18"/>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1"/>
        </w:trPr>
        <w:tc>
          <w:tcPr>
            <w:tcW w:w="1140" w:type="dxa"/>
            <w:vAlign w:val="bottom"/>
            <w:gridSpan w:val="5"/>
          </w:tcPr>
          <w:p>
            <w:pPr>
              <w:ind w:left="20"/>
              <w:spacing w:after="0" w:line="181" w:lineRule="exact"/>
              <w:rPr>
                <w:sz w:val="20"/>
                <w:szCs w:val="20"/>
                <w:color w:val="auto"/>
              </w:rPr>
            </w:pPr>
            <w:r>
              <w:rPr>
                <w:rFonts w:ascii="Times New Roman" w:cs="Times New Roman" w:eastAsia="Times New Roman" w:hAnsi="Times New Roman"/>
                <w:sz w:val="17"/>
                <w:szCs w:val="17"/>
                <w:color w:val="0000FF"/>
              </w:rPr>
              <w:t>Item 1.</w:t>
            </w:r>
          </w:p>
        </w:tc>
        <w:tc>
          <w:tcPr>
            <w:tcW w:w="9360" w:type="dxa"/>
            <w:vAlign w:val="bottom"/>
            <w:gridSpan w:val="13"/>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Financial Statements</w:t>
            </w:r>
          </w:p>
        </w:tc>
        <w:tc>
          <w:tcPr>
            <w:tcW w:w="6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1</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360" w:type="dxa"/>
            <w:vAlign w:val="bottom"/>
            <w:gridSpan w:val="1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Assets and Liabilities as of March 31, 2022 (Unaudited) and December 31, 202</w:t>
            </w:r>
            <w:r>
              <w:rPr>
                <w:rFonts w:ascii="Times New Roman" w:cs="Times New Roman" w:eastAsia="Times New Roman" w:hAnsi="Times New Roman"/>
                <w:sz w:val="17"/>
                <w:szCs w:val="17"/>
                <w:color w:val="000000"/>
              </w:rPr>
              <w:t>1</w:t>
            </w:r>
          </w:p>
        </w:tc>
        <w:tc>
          <w:tcPr>
            <w:tcW w:w="66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1</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000" w:type="dxa"/>
            <w:vAlign w:val="bottom"/>
            <w:tcBorders>
              <w:left w:val="single" w:sz="8" w:color="0000FF"/>
            </w:tcBorders>
            <w:shd w:val="clear" w:color="auto" w:fill="0000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180" w:type="dxa"/>
            <w:vAlign w:val="bottom"/>
            <w:gridSpan w:val="11"/>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Operations for the Three Months Ended March 31, 2022 and 2021 (Unaudited)</w:t>
            </w:r>
          </w:p>
        </w:tc>
        <w:tc>
          <w:tcPr>
            <w:tcW w:w="1180" w:type="dxa"/>
            <w:vAlign w:val="bottom"/>
            <w:gridSpan w:val="2"/>
          </w:tcPr>
          <w:p>
            <w:pPr>
              <w:spacing w:after="0"/>
              <w:rPr>
                <w:sz w:val="15"/>
                <w:szCs w:val="15"/>
                <w:color w:val="auto"/>
              </w:rPr>
            </w:pPr>
          </w:p>
        </w:tc>
        <w:tc>
          <w:tcPr>
            <w:tcW w:w="560" w:type="dxa"/>
            <w:vAlign w:val="bottom"/>
            <w:gridSpan w:val="2"/>
          </w:tcPr>
          <w:p>
            <w:pPr>
              <w:spacing w:after="0"/>
              <w:rPr>
                <w:sz w:val="15"/>
                <w:szCs w:val="15"/>
                <w:color w:val="auto"/>
              </w:rPr>
            </w:pPr>
          </w:p>
        </w:tc>
        <w:tc>
          <w:tcPr>
            <w:tcW w:w="10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70"/>
              </w:rPr>
              <w:t>2</w:t>
            </w:r>
          </w:p>
        </w:tc>
      </w:tr>
      <w:tr>
        <w:trPr>
          <w:trHeight w:val="29"/>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00" w:type="dxa"/>
            <w:vAlign w:val="bottom"/>
            <w:tcBorders>
              <w:left w:val="single" w:sz="8" w:color="0000FF"/>
            </w:tcBorders>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360" w:type="dxa"/>
            <w:vAlign w:val="bottom"/>
            <w:gridSpan w:val="1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Changes in Net Assets for the Three Months Ended March 31, 2022 and 2021 (Unaudited)</w:t>
            </w:r>
          </w:p>
        </w:tc>
        <w:tc>
          <w:tcPr>
            <w:tcW w:w="66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3</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000" w:type="dxa"/>
            <w:vAlign w:val="bottom"/>
            <w:tcBorders>
              <w:left w:val="single" w:sz="8" w:color="0000FF"/>
            </w:tcBorders>
            <w:shd w:val="clear" w:color="auto" w:fill="0000FF"/>
          </w:tcPr>
          <w:p>
            <w:pPr>
              <w:spacing w:after="0"/>
              <w:rPr>
                <w:sz w:val="3"/>
                <w:szCs w:val="3"/>
                <w:color w:val="auto"/>
              </w:rPr>
            </w:pPr>
          </w:p>
        </w:tc>
        <w:tc>
          <w:tcPr>
            <w:tcW w:w="800" w:type="dxa"/>
            <w:vAlign w:val="bottom"/>
            <w:tcBorders>
              <w:left w:val="single" w:sz="8" w:color="0000FF"/>
            </w:tcBorders>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980" w:type="dxa"/>
            <w:vAlign w:val="bottom"/>
            <w:gridSpan w:val="12"/>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Cash Flows for the Three Months Ended March 31, 2022 and 2021 (Unaudited)</w:t>
            </w:r>
          </w:p>
        </w:tc>
        <w:tc>
          <w:tcPr>
            <w:tcW w:w="38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10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70"/>
              </w:rPr>
              <w:t>4</w:t>
            </w:r>
          </w:p>
        </w:tc>
      </w:tr>
      <w:tr>
        <w:trPr>
          <w:trHeight w:val="29"/>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00" w:type="dxa"/>
            <w:vAlign w:val="bottom"/>
            <w:tcBorders>
              <w:left w:val="single" w:sz="8" w:color="0000FF"/>
            </w:tcBorders>
            <w:shd w:val="clear" w:color="auto" w:fill="0000FF"/>
          </w:tcPr>
          <w:p>
            <w:pPr>
              <w:spacing w:after="0"/>
              <w:rPr>
                <w:sz w:val="2"/>
                <w:szCs w:val="2"/>
                <w:color w:val="auto"/>
              </w:rPr>
            </w:pPr>
          </w:p>
        </w:tc>
        <w:tc>
          <w:tcPr>
            <w:tcW w:w="800" w:type="dxa"/>
            <w:vAlign w:val="bottom"/>
            <w:tcBorders>
              <w:left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40" w:type="dxa"/>
            <w:vAlign w:val="bottom"/>
            <w:gridSpan w:val="9"/>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Schedule of Investments as of March 31, 2022 (Unaudited)</w:t>
            </w:r>
          </w:p>
        </w:tc>
        <w:tc>
          <w:tcPr>
            <w:tcW w:w="2340" w:type="dxa"/>
            <w:vAlign w:val="bottom"/>
            <w:gridSpan w:val="2"/>
            <w:shd w:val="clear" w:color="auto" w:fill="CCEEFF"/>
          </w:tcPr>
          <w:p>
            <w:pPr>
              <w:spacing w:after="0"/>
              <w:rPr>
                <w:sz w:val="16"/>
                <w:szCs w:val="16"/>
                <w:color w:val="auto"/>
              </w:rPr>
            </w:pPr>
          </w:p>
        </w:tc>
        <w:tc>
          <w:tcPr>
            <w:tcW w:w="1180" w:type="dxa"/>
            <w:vAlign w:val="bottom"/>
            <w:tcBorders>
              <w:left w:val="single" w:sz="8" w:color="CCEEFF"/>
            </w:tcBorders>
            <w:gridSpan w:val="2"/>
            <w:shd w:val="clear" w:color="auto" w:fill="CCEEFF"/>
          </w:tcPr>
          <w:p>
            <w:pPr>
              <w:spacing w:after="0"/>
              <w:rPr>
                <w:sz w:val="16"/>
                <w:szCs w:val="16"/>
                <w:color w:val="auto"/>
              </w:rPr>
            </w:pPr>
          </w:p>
        </w:tc>
        <w:tc>
          <w:tcPr>
            <w:tcW w:w="560" w:type="dxa"/>
            <w:vAlign w:val="bottom"/>
            <w:gridSpan w:val="2"/>
            <w:shd w:val="clear" w:color="auto" w:fill="CCEEFF"/>
          </w:tcPr>
          <w:p>
            <w:pPr>
              <w:spacing w:after="0"/>
              <w:rPr>
                <w:sz w:val="16"/>
                <w:szCs w:val="16"/>
                <w:color w:val="auto"/>
              </w:rPr>
            </w:pPr>
          </w:p>
        </w:tc>
        <w:tc>
          <w:tcPr>
            <w:tcW w:w="100" w:type="dxa"/>
            <w:vAlign w:val="bottom"/>
            <w:gridSpan w:val="2"/>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70"/>
              </w:rPr>
              <w:t>5</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0" w:type="dxa"/>
            <w:vAlign w:val="bottom"/>
            <w:tcBorders>
              <w:left w:val="single" w:sz="8" w:color="CCEEFF"/>
            </w:tcBorders>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40" w:type="dxa"/>
            <w:vAlign w:val="bottom"/>
            <w:gridSpan w:val="9"/>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Schedule of Investments as of December 31, 2021</w:t>
            </w:r>
          </w:p>
        </w:tc>
        <w:tc>
          <w:tcPr>
            <w:tcW w:w="3520" w:type="dxa"/>
            <w:vAlign w:val="bottom"/>
            <w:gridSpan w:val="4"/>
          </w:tcPr>
          <w:p>
            <w:pPr>
              <w:spacing w:after="0"/>
              <w:rPr>
                <w:sz w:val="15"/>
                <w:szCs w:val="15"/>
                <w:color w:val="auto"/>
              </w:rPr>
            </w:pPr>
          </w:p>
        </w:tc>
        <w:tc>
          <w:tcPr>
            <w:tcW w:w="6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10</w:t>
            </w:r>
          </w:p>
        </w:tc>
      </w:tr>
      <w:tr>
        <w:trPr>
          <w:trHeight w:val="29"/>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360" w:type="dxa"/>
            <w:vAlign w:val="bottom"/>
            <w:gridSpan w:val="1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Notes to Condensed Consolidated Financial Statements as of March 31, 2022 (Unaudited)</w:t>
            </w:r>
          </w:p>
        </w:tc>
        <w:tc>
          <w:tcPr>
            <w:tcW w:w="66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15</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000" w:type="dxa"/>
            <w:vAlign w:val="bottom"/>
            <w:tcBorders>
              <w:left w:val="single" w:sz="8" w:color="0000FF"/>
            </w:tcBorders>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140" w:type="dxa"/>
            <w:vAlign w:val="bottom"/>
            <w:gridSpan w:val="5"/>
          </w:tcPr>
          <w:p>
            <w:pPr>
              <w:ind w:left="20"/>
              <w:spacing w:after="0" w:line="181" w:lineRule="exact"/>
              <w:rPr>
                <w:sz w:val="20"/>
                <w:szCs w:val="20"/>
                <w:color w:val="auto"/>
              </w:rPr>
            </w:pPr>
            <w:r>
              <w:rPr>
                <w:rFonts w:ascii="Times New Roman" w:cs="Times New Roman" w:eastAsia="Times New Roman" w:hAnsi="Times New Roman"/>
                <w:sz w:val="17"/>
                <w:szCs w:val="17"/>
                <w:color w:val="0000FF"/>
              </w:rPr>
              <w:t>Item 2.</w:t>
            </w:r>
          </w:p>
        </w:tc>
        <w:tc>
          <w:tcPr>
            <w:tcW w:w="6180" w:type="dxa"/>
            <w:vAlign w:val="bottom"/>
            <w:gridSpan w:val="10"/>
          </w:tcPr>
          <w:p>
            <w:pPr>
              <w:spacing w:after="0" w:line="181"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3180" w:type="dxa"/>
            <w:vAlign w:val="bottom"/>
            <w:gridSpan w:val="3"/>
          </w:tcPr>
          <w:p>
            <w:pPr>
              <w:spacing w:after="0"/>
              <w:rPr>
                <w:sz w:val="15"/>
                <w:szCs w:val="15"/>
                <w:color w:val="auto"/>
              </w:rPr>
            </w:pPr>
          </w:p>
        </w:tc>
        <w:tc>
          <w:tcPr>
            <w:tcW w:w="6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55</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1140" w:type="dxa"/>
            <w:vAlign w:val="bottom"/>
            <w:gridSpan w:val="5"/>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0000FF"/>
              </w:rPr>
              <w:t>Item 3.</w:t>
            </w:r>
          </w:p>
        </w:tc>
        <w:tc>
          <w:tcPr>
            <w:tcW w:w="9360" w:type="dxa"/>
            <w:vAlign w:val="bottom"/>
            <w:gridSpan w:val="1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66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66</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0" w:type="dxa"/>
            <w:vAlign w:val="bottom"/>
            <w:tcBorders>
              <w:left w:val="single" w:sz="8" w:color="CCEEFF"/>
            </w:tcBorders>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140" w:type="dxa"/>
            <w:vAlign w:val="bottom"/>
            <w:gridSpan w:val="5"/>
          </w:tcPr>
          <w:p>
            <w:pPr>
              <w:ind w:left="20"/>
              <w:spacing w:after="0" w:line="181" w:lineRule="exact"/>
              <w:rPr>
                <w:sz w:val="20"/>
                <w:szCs w:val="20"/>
                <w:color w:val="auto"/>
              </w:rPr>
            </w:pPr>
            <w:r>
              <w:rPr>
                <w:rFonts w:ascii="Times New Roman" w:cs="Times New Roman" w:eastAsia="Times New Roman" w:hAnsi="Times New Roman"/>
                <w:sz w:val="17"/>
                <w:szCs w:val="17"/>
                <w:color w:val="0000FF"/>
              </w:rPr>
              <w:t>Item 4.</w:t>
            </w:r>
          </w:p>
        </w:tc>
        <w:tc>
          <w:tcPr>
            <w:tcW w:w="9360" w:type="dxa"/>
            <w:vAlign w:val="bottom"/>
            <w:gridSpan w:val="13"/>
          </w:tcPr>
          <w:p>
            <w:pPr>
              <w:spacing w:after="0" w:line="181" w:lineRule="exact"/>
              <w:rPr>
                <w:sz w:val="20"/>
                <w:szCs w:val="20"/>
                <w:color w:val="auto"/>
              </w:rPr>
            </w:pPr>
            <w:r>
              <w:rPr>
                <w:rFonts w:ascii="Times New Roman" w:cs="Times New Roman" w:eastAsia="Times New Roman" w:hAnsi="Times New Roman"/>
                <w:sz w:val="17"/>
                <w:szCs w:val="17"/>
                <w:color w:val="0000FF"/>
              </w:rPr>
              <w:t>Controls and Procedures</w:t>
            </w:r>
          </w:p>
        </w:tc>
        <w:tc>
          <w:tcPr>
            <w:tcW w:w="6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66</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42"/>
        </w:trPr>
        <w:tc>
          <w:tcPr>
            <w:tcW w:w="10500" w:type="dxa"/>
            <w:vAlign w:val="bottom"/>
            <w:gridSpan w:val="18"/>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PART II. OTHER INFORMATION</w:t>
            </w: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181"/>
        </w:trPr>
        <w:tc>
          <w:tcPr>
            <w:tcW w:w="1140" w:type="dxa"/>
            <w:vAlign w:val="bottom"/>
            <w:gridSpan w:val="5"/>
          </w:tcPr>
          <w:p>
            <w:pPr>
              <w:ind w:left="20"/>
              <w:spacing w:after="0" w:line="181" w:lineRule="exact"/>
              <w:rPr>
                <w:sz w:val="20"/>
                <w:szCs w:val="20"/>
                <w:color w:val="auto"/>
              </w:rPr>
            </w:pPr>
            <w:r>
              <w:rPr>
                <w:rFonts w:ascii="Times New Roman" w:cs="Times New Roman" w:eastAsia="Times New Roman" w:hAnsi="Times New Roman"/>
                <w:sz w:val="17"/>
                <w:szCs w:val="17"/>
                <w:color w:val="0000FF"/>
              </w:rPr>
              <w:t>Item 1.</w:t>
            </w:r>
          </w:p>
        </w:tc>
        <w:tc>
          <w:tcPr>
            <w:tcW w:w="9360" w:type="dxa"/>
            <w:vAlign w:val="bottom"/>
            <w:gridSpan w:val="13"/>
          </w:tcPr>
          <w:p>
            <w:pPr>
              <w:spacing w:after="0" w:line="181" w:lineRule="exact"/>
              <w:rPr>
                <w:sz w:val="20"/>
                <w:szCs w:val="20"/>
                <w:color w:val="auto"/>
              </w:rPr>
            </w:pPr>
            <w:r>
              <w:rPr>
                <w:rFonts w:ascii="Times New Roman" w:cs="Times New Roman" w:eastAsia="Times New Roman" w:hAnsi="Times New Roman"/>
                <w:sz w:val="17"/>
                <w:szCs w:val="17"/>
                <w:color w:val="0000FF"/>
              </w:rPr>
              <w:t>Legal Proceedings</w:t>
            </w:r>
          </w:p>
        </w:tc>
        <w:tc>
          <w:tcPr>
            <w:tcW w:w="6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68</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1140" w:type="dxa"/>
            <w:vAlign w:val="bottom"/>
            <w:gridSpan w:val="5"/>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0000FF"/>
              </w:rPr>
              <w:t>Item 1A.</w:t>
            </w:r>
          </w:p>
        </w:tc>
        <w:tc>
          <w:tcPr>
            <w:tcW w:w="9360" w:type="dxa"/>
            <w:vAlign w:val="bottom"/>
            <w:gridSpan w:val="1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Risk Factors</w:t>
            </w:r>
          </w:p>
        </w:tc>
        <w:tc>
          <w:tcPr>
            <w:tcW w:w="66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68</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0" w:type="dxa"/>
            <w:vAlign w:val="bottom"/>
            <w:tcBorders>
              <w:left w:val="single" w:sz="8" w:color="CCEEFF"/>
            </w:tcBorders>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140" w:type="dxa"/>
            <w:vAlign w:val="bottom"/>
            <w:gridSpan w:val="5"/>
          </w:tcPr>
          <w:p>
            <w:pPr>
              <w:ind w:left="20"/>
              <w:spacing w:after="0" w:line="181" w:lineRule="exact"/>
              <w:rPr>
                <w:sz w:val="20"/>
                <w:szCs w:val="20"/>
                <w:color w:val="auto"/>
              </w:rPr>
            </w:pPr>
            <w:r>
              <w:rPr>
                <w:rFonts w:ascii="Times New Roman" w:cs="Times New Roman" w:eastAsia="Times New Roman" w:hAnsi="Times New Roman"/>
                <w:sz w:val="17"/>
                <w:szCs w:val="17"/>
                <w:color w:val="0000FF"/>
              </w:rPr>
              <w:t>Item 2.</w:t>
            </w:r>
          </w:p>
        </w:tc>
        <w:tc>
          <w:tcPr>
            <w:tcW w:w="9360" w:type="dxa"/>
            <w:vAlign w:val="bottom"/>
            <w:gridSpan w:val="13"/>
          </w:tcPr>
          <w:p>
            <w:pPr>
              <w:spacing w:after="0" w:line="181"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6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69</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1140" w:type="dxa"/>
            <w:vAlign w:val="bottom"/>
            <w:gridSpan w:val="5"/>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0000FF"/>
              </w:rPr>
              <w:t>Item 3.</w:t>
            </w:r>
          </w:p>
        </w:tc>
        <w:tc>
          <w:tcPr>
            <w:tcW w:w="9360" w:type="dxa"/>
            <w:vAlign w:val="bottom"/>
            <w:gridSpan w:val="1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Defaults Upon Senior Securities</w:t>
            </w:r>
          </w:p>
        </w:tc>
        <w:tc>
          <w:tcPr>
            <w:tcW w:w="66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70</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0" w:type="dxa"/>
            <w:vAlign w:val="bottom"/>
            <w:tcBorders>
              <w:left w:val="single" w:sz="8" w:color="CCEEFF"/>
            </w:tcBorders>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140" w:type="dxa"/>
            <w:vAlign w:val="bottom"/>
            <w:gridSpan w:val="5"/>
          </w:tcPr>
          <w:p>
            <w:pPr>
              <w:ind w:left="20"/>
              <w:spacing w:after="0" w:line="181" w:lineRule="exact"/>
              <w:rPr>
                <w:sz w:val="20"/>
                <w:szCs w:val="20"/>
                <w:color w:val="auto"/>
              </w:rPr>
            </w:pPr>
            <w:r>
              <w:rPr>
                <w:rFonts w:ascii="Times New Roman" w:cs="Times New Roman" w:eastAsia="Times New Roman" w:hAnsi="Times New Roman"/>
                <w:sz w:val="17"/>
                <w:szCs w:val="17"/>
                <w:color w:val="0000FF"/>
              </w:rPr>
              <w:t>Item 4.</w:t>
            </w:r>
          </w:p>
        </w:tc>
        <w:tc>
          <w:tcPr>
            <w:tcW w:w="9360" w:type="dxa"/>
            <w:vAlign w:val="bottom"/>
            <w:gridSpan w:val="13"/>
          </w:tcPr>
          <w:p>
            <w:pPr>
              <w:spacing w:after="0" w:line="181" w:lineRule="exact"/>
              <w:rPr>
                <w:sz w:val="20"/>
                <w:szCs w:val="20"/>
                <w:color w:val="auto"/>
              </w:rPr>
            </w:pPr>
            <w:r>
              <w:rPr>
                <w:rFonts w:ascii="Times New Roman" w:cs="Times New Roman" w:eastAsia="Times New Roman" w:hAnsi="Times New Roman"/>
                <w:sz w:val="17"/>
                <w:szCs w:val="17"/>
                <w:color w:val="0000FF"/>
              </w:rPr>
              <w:t>Mine Safety Disclosures</w:t>
            </w:r>
          </w:p>
        </w:tc>
        <w:tc>
          <w:tcPr>
            <w:tcW w:w="6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70</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1140" w:type="dxa"/>
            <w:vAlign w:val="bottom"/>
            <w:gridSpan w:val="5"/>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0000FF"/>
              </w:rPr>
              <w:t>Item 5.</w:t>
            </w:r>
          </w:p>
        </w:tc>
        <w:tc>
          <w:tcPr>
            <w:tcW w:w="9360" w:type="dxa"/>
            <w:vAlign w:val="bottom"/>
            <w:gridSpan w:val="1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Other Information</w:t>
            </w:r>
          </w:p>
        </w:tc>
        <w:tc>
          <w:tcPr>
            <w:tcW w:w="66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70</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0" w:type="dxa"/>
            <w:vAlign w:val="bottom"/>
            <w:tcBorders>
              <w:left w:val="single" w:sz="8" w:color="CCEEFF"/>
            </w:tcBorders>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140" w:type="dxa"/>
            <w:vAlign w:val="bottom"/>
            <w:gridSpan w:val="5"/>
          </w:tcPr>
          <w:p>
            <w:pPr>
              <w:ind w:left="20"/>
              <w:spacing w:after="0" w:line="181" w:lineRule="exact"/>
              <w:rPr>
                <w:sz w:val="20"/>
                <w:szCs w:val="20"/>
                <w:color w:val="auto"/>
              </w:rPr>
            </w:pPr>
            <w:r>
              <w:rPr>
                <w:rFonts w:ascii="Times New Roman" w:cs="Times New Roman" w:eastAsia="Times New Roman" w:hAnsi="Times New Roman"/>
                <w:sz w:val="17"/>
                <w:szCs w:val="17"/>
                <w:color w:val="0000FF"/>
              </w:rPr>
              <w:t>Item 6.</w:t>
            </w:r>
          </w:p>
        </w:tc>
        <w:tc>
          <w:tcPr>
            <w:tcW w:w="9360" w:type="dxa"/>
            <w:vAlign w:val="bottom"/>
            <w:gridSpan w:val="13"/>
          </w:tcPr>
          <w:p>
            <w:pPr>
              <w:spacing w:after="0" w:line="181" w:lineRule="exact"/>
              <w:rPr>
                <w:sz w:val="20"/>
                <w:szCs w:val="20"/>
                <w:color w:val="auto"/>
              </w:rPr>
            </w:pPr>
            <w:r>
              <w:rPr>
                <w:rFonts w:ascii="Times New Roman" w:cs="Times New Roman" w:eastAsia="Times New Roman" w:hAnsi="Times New Roman"/>
                <w:sz w:val="17"/>
                <w:szCs w:val="17"/>
                <w:color w:val="0000FF"/>
              </w:rPr>
              <w:t>Exhibits</w:t>
            </w:r>
          </w:p>
        </w:tc>
        <w:tc>
          <w:tcPr>
            <w:tcW w:w="6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71</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1140" w:type="dxa"/>
            <w:vAlign w:val="bottom"/>
            <w:gridSpan w:val="5"/>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0000FF"/>
              </w:rPr>
              <w:t>Signatures</w:t>
            </w: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0" w:type="dxa"/>
            <w:vAlign w:val="bottom"/>
            <w:tcBorders>
              <w:left w:val="single" w:sz="8" w:color="CCEEFF"/>
            </w:tcBorders>
            <w:shd w:val="clear" w:color="auto" w:fill="CCEEFF"/>
          </w:tcPr>
          <w:p>
            <w:pPr>
              <w:spacing w:after="0"/>
              <w:rPr>
                <w:sz w:val="16"/>
                <w:szCs w:val="16"/>
                <w:color w:val="auto"/>
              </w:rPr>
            </w:pPr>
          </w:p>
        </w:tc>
        <w:tc>
          <w:tcPr>
            <w:tcW w:w="80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72</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0" w:type="dxa"/>
            <w:vAlign w:val="bottom"/>
            <w:tcBorders>
              <w:left w:val="single" w:sz="8" w:color="CCEEFF"/>
            </w:tcBorders>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-1403985</wp:posOffset>
            </wp:positionV>
            <wp:extent cx="6661785" cy="147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1785" cy="147955"/>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-2948305</wp:posOffset>
            </wp:positionV>
            <wp:extent cx="6661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1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1200"/>
          </w:cols>
          <w:pgMar w:left="320" w:top="118"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4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1.</w:t>
        <w:tab/>
        <w:t>Financial Statements and Supplementary Data</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ASSETS AND LIABILITIES (UNAUDITED)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5"/>
                <w:szCs w:val="15"/>
                <w:color w:val="auto"/>
              </w:rPr>
            </w:pPr>
          </w:p>
        </w:tc>
        <w:tc>
          <w:tcPr>
            <w:tcW w:w="150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Non-controlled/non-affiliate investments (cost of $145,417,242 and $146,360,300, respectively)</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252,569,218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231,768,290</w:t>
            </w:r>
          </w:p>
        </w:tc>
        <w:tc>
          <w:tcPr>
            <w:tcW w:w="0" w:type="dxa"/>
            <w:vAlign w:val="bottom"/>
          </w:tcPr>
          <w:p>
            <w:pPr>
              <w:spacing w:after="0"/>
              <w:rPr>
                <w:sz w:val="1"/>
                <w:szCs w:val="1"/>
                <w:color w:val="auto"/>
              </w:rPr>
            </w:pPr>
          </w:p>
        </w:tc>
      </w:tr>
      <w:tr>
        <w:trPr>
          <w:trHeight w:val="205"/>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Non-controlled/affiliate investments (cost of $41,211,183 and $41,211,183, respectively)</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14,319,986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14,609,089</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Controlled investments (cost of $19,883,894 and $19,883,894, respectively)</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13,888,874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13,758,874</w:t>
            </w:r>
          </w:p>
        </w:tc>
        <w:tc>
          <w:tcPr>
            <w:tcW w:w="0" w:type="dxa"/>
            <w:vAlign w:val="bottom"/>
          </w:tcPr>
          <w:p>
            <w:pPr>
              <w:spacing w:after="0"/>
              <w:rPr>
                <w:sz w:val="1"/>
                <w:szCs w:val="1"/>
                <w:color w:val="auto"/>
              </w:rPr>
            </w:pPr>
          </w:p>
        </w:tc>
      </w:tr>
      <w:tr>
        <w:trPr>
          <w:trHeight w:val="198"/>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Investments (cost of $206,512,319 and $207,455,377, respectively)</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280,778,078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260,136,253</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172,839,141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198,437,078</w:t>
            </w:r>
          </w:p>
        </w:tc>
        <w:tc>
          <w:tcPr>
            <w:tcW w:w="0" w:type="dxa"/>
            <w:vAlign w:val="bottom"/>
          </w:tcPr>
          <w:p>
            <w:pPr>
              <w:spacing w:after="0"/>
              <w:rPr>
                <w:sz w:val="1"/>
                <w:szCs w:val="1"/>
                <w:color w:val="auto"/>
              </w:rPr>
            </w:pPr>
          </w:p>
        </w:tc>
      </w:tr>
      <w:tr>
        <w:trPr>
          <w:trHeight w:val="21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receivable</w:t>
            </w:r>
          </w:p>
        </w:tc>
        <w:tc>
          <w:tcPr>
            <w:tcW w:w="2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52,493</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Escrow proceeds receivable</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4,577,518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2,046,645</w:t>
            </w:r>
          </w:p>
        </w:tc>
        <w:tc>
          <w:tcPr>
            <w:tcW w:w="0" w:type="dxa"/>
            <w:vAlign w:val="bottom"/>
          </w:tcPr>
          <w:p>
            <w:pPr>
              <w:spacing w:after="0"/>
              <w:rPr>
                <w:sz w:val="1"/>
                <w:szCs w:val="1"/>
                <w:color w:val="auto"/>
              </w:rPr>
            </w:pPr>
          </w:p>
        </w:tc>
      </w:tr>
      <w:tr>
        <w:trPr>
          <w:trHeight w:val="205"/>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83,655</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financing costs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621,719</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CCEEFF"/>
            </w:tcBorders>
          </w:tcPr>
          <w:p>
            <w:pPr>
              <w:ind w:left="20"/>
              <w:spacing w:after="0" w:line="207" w:lineRule="exact"/>
              <w:rPr>
                <w:sz w:val="20"/>
                <w:szCs w:val="20"/>
                <w:color w:val="auto"/>
              </w:rPr>
            </w:pPr>
            <w:r>
              <w:rPr>
                <w:rFonts w:ascii="Times New Roman" w:cs="Times New Roman" w:eastAsia="Times New Roman" w:hAnsi="Times New Roman"/>
                <w:sz w:val="16"/>
                <w:szCs w:val="16"/>
                <w:color w:val="auto"/>
              </w:rPr>
              <w:t>Prepaid expenses and other assets</w:t>
            </w:r>
            <w:r>
              <w:rPr>
                <w:rFonts w:ascii="Times New Roman" w:cs="Times New Roman" w:eastAsia="Times New Roman" w:hAnsi="Times New Roman"/>
                <w:sz w:val="20"/>
                <w:szCs w:val="20"/>
                <w:color w:val="auto"/>
                <w:vertAlign w:val="superscript"/>
              </w:rPr>
              <w:t>(1)</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790,211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937,984</w:t>
            </w:r>
          </w:p>
        </w:tc>
        <w:tc>
          <w:tcPr>
            <w:tcW w:w="0" w:type="dxa"/>
            <w:vAlign w:val="bottom"/>
          </w:tcPr>
          <w:p>
            <w:pPr>
              <w:spacing w:after="0"/>
              <w:rPr>
                <w:sz w:val="1"/>
                <w:szCs w:val="1"/>
                <w:color w:val="auto"/>
              </w:rPr>
            </w:pPr>
          </w:p>
        </w:tc>
      </w:tr>
      <w:tr>
        <w:trPr>
          <w:trHeight w:val="198"/>
        </w:trPr>
        <w:tc>
          <w:tcPr>
            <w:tcW w:w="7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459,679,370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462,315,827</w:t>
            </w:r>
          </w:p>
        </w:tc>
        <w:tc>
          <w:tcPr>
            <w:tcW w:w="0" w:type="dxa"/>
            <w:vAlign w:val="bottom"/>
          </w:tcPr>
          <w:p>
            <w:pPr>
              <w:spacing w:after="0"/>
              <w:rPr>
                <w:sz w:val="1"/>
                <w:szCs w:val="1"/>
                <w:color w:val="auto"/>
              </w:rPr>
            </w:pPr>
          </w:p>
        </w:tc>
      </w:tr>
      <w:tr>
        <w:trPr>
          <w:trHeight w:val="201"/>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760" w:type="dxa"/>
            <w:vAlign w:val="bottom"/>
            <w:shd w:val="clear" w:color="auto" w:fill="CCEEFF"/>
          </w:tcPr>
          <w:p>
            <w:pPr>
              <w:ind w:left="20"/>
              <w:spacing w:after="0" w:line="208" w:lineRule="exact"/>
              <w:rPr>
                <w:sz w:val="20"/>
                <w:szCs w:val="20"/>
                <w:color w:val="auto"/>
              </w:rPr>
            </w:pPr>
            <w:r>
              <w:rPr>
                <w:rFonts w:ascii="Times New Roman" w:cs="Times New Roman" w:eastAsia="Times New Roman" w:hAnsi="Times New Roman"/>
                <w:sz w:val="16"/>
                <w:szCs w:val="16"/>
                <w:color w:val="auto"/>
              </w:rPr>
              <w:t>Accounts payable and accrued expenses</w:t>
            </w:r>
            <w:r>
              <w:rPr>
                <w:rFonts w:ascii="Times New Roman" w:cs="Times New Roman" w:eastAsia="Times New Roman" w:hAnsi="Times New Roman"/>
                <w:sz w:val="20"/>
                <w:szCs w:val="20"/>
                <w:color w:val="auto"/>
                <w:vertAlign w:val="superscript"/>
              </w:rPr>
              <w:t>(1)</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1,649,388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875,047</w:t>
            </w:r>
          </w:p>
        </w:tc>
        <w:tc>
          <w:tcPr>
            <w:tcW w:w="0" w:type="dxa"/>
            <w:vAlign w:val="bottom"/>
          </w:tcPr>
          <w:p>
            <w:pPr>
              <w:spacing w:after="0"/>
              <w:rPr>
                <w:sz w:val="1"/>
                <w:szCs w:val="1"/>
                <w:color w:val="auto"/>
              </w:rPr>
            </w:pPr>
          </w:p>
        </w:tc>
      </w:tr>
      <w:tr>
        <w:trPr>
          <w:trHeight w:val="205"/>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4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payable</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3,751,013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23,390,048</w:t>
            </w:r>
          </w:p>
        </w:tc>
        <w:tc>
          <w:tcPr>
            <w:tcW w:w="0" w:type="dxa"/>
            <w:vAlign w:val="bottom"/>
          </w:tcPr>
          <w:p>
            <w:pPr>
              <w:spacing w:after="0"/>
              <w:rPr>
                <w:sz w:val="1"/>
                <w:szCs w:val="1"/>
                <w:color w:val="auto"/>
              </w:rPr>
            </w:pPr>
          </w:p>
        </w:tc>
      </w:tr>
      <w:tr>
        <w:trPr>
          <w:trHeight w:val="205"/>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Payable for securities purchased</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7760" w:type="dxa"/>
            <w:vAlign w:val="bottom"/>
            <w:tcBorders>
              <w:bottom w:val="single" w:sz="8" w:color="CCEEFF"/>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6"/>
                <w:szCs w:val="16"/>
                <w:color w:val="auto"/>
              </w:rPr>
              <w:t>6.00% Notes due December 30, 2026</w:t>
            </w:r>
            <w:r>
              <w:rPr>
                <w:rFonts w:ascii="Times New Roman" w:cs="Times New Roman" w:eastAsia="Times New Roman" w:hAnsi="Times New Roman"/>
                <w:sz w:val="20"/>
                <w:szCs w:val="20"/>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73,117,394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73,029,108</w:t>
            </w:r>
          </w:p>
        </w:tc>
        <w:tc>
          <w:tcPr>
            <w:tcW w:w="0" w:type="dxa"/>
            <w:vAlign w:val="bottom"/>
          </w:tcPr>
          <w:p>
            <w:pPr>
              <w:spacing w:after="0"/>
              <w:rPr>
                <w:sz w:val="1"/>
                <w:szCs w:val="1"/>
                <w:color w:val="auto"/>
              </w:rPr>
            </w:pPr>
          </w:p>
        </w:tc>
      </w:tr>
      <w:tr>
        <w:trPr>
          <w:trHeight w:val="199"/>
        </w:trPr>
        <w:tc>
          <w:tcPr>
            <w:tcW w:w="77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78,977,843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97,469,203</w:t>
            </w:r>
          </w:p>
        </w:tc>
        <w:tc>
          <w:tcPr>
            <w:tcW w:w="0" w:type="dxa"/>
            <w:vAlign w:val="bottom"/>
          </w:tcPr>
          <w:p>
            <w:pPr>
              <w:spacing w:after="0"/>
              <w:rPr>
                <w:sz w:val="1"/>
                <w:szCs w:val="1"/>
                <w:color w:val="auto"/>
              </w:rPr>
            </w:pPr>
          </w:p>
        </w:tc>
      </w:tr>
      <w:tr>
        <w:trPr>
          <w:trHeight w:val="221"/>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(Notes 7 and 10)</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380,701,527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364,846,624</w:t>
            </w:r>
          </w:p>
        </w:tc>
        <w:tc>
          <w:tcPr>
            <w:tcW w:w="0" w:type="dxa"/>
            <w:vAlign w:val="bottom"/>
          </w:tcPr>
          <w:p>
            <w:pPr>
              <w:spacing w:after="0"/>
              <w:rPr>
                <w:sz w:val="1"/>
                <w:szCs w:val="1"/>
                <w:color w:val="auto"/>
              </w:rPr>
            </w:pP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6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rPr>
              <w:t>NET ASSETS</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760" w:type="dxa"/>
            <w:vAlign w:val="bottom"/>
          </w:tcPr>
          <w:p>
            <w:pPr>
              <w:ind w:left="80"/>
              <w:spacing w:after="0" w:line="155" w:lineRule="exact"/>
              <w:rPr>
                <w:sz w:val="20"/>
                <w:szCs w:val="20"/>
                <w:color w:val="auto"/>
              </w:rPr>
            </w:pPr>
            <w:r>
              <w:rPr>
                <w:rFonts w:ascii="Times New Roman" w:cs="Times New Roman" w:eastAsia="Times New Roman" w:hAnsi="Times New Roman"/>
                <w:sz w:val="16"/>
                <w:szCs w:val="16"/>
                <w:color w:val="auto"/>
              </w:rPr>
              <w:t>Common stock, par value $0.01 per share (100,000,000 authorized; 31,164,443 and 31,118,556 issued and outstanding,</w:t>
            </w:r>
          </w:p>
        </w:tc>
        <w:tc>
          <w:tcPr>
            <w:tcW w:w="240" w:type="dxa"/>
            <w:vAlign w:val="bottom"/>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311,644</w:t>
            </w:r>
          </w:p>
        </w:tc>
        <w:tc>
          <w:tcPr>
            <w:tcW w:w="100" w:type="dxa"/>
            <w:vAlign w:val="bottom"/>
          </w:tcPr>
          <w:p>
            <w:pPr>
              <w:spacing w:after="0"/>
              <w:rPr>
                <w:sz w:val="13"/>
                <w:szCs w:val="13"/>
                <w:color w:val="auto"/>
              </w:rPr>
            </w:pPr>
          </w:p>
        </w:tc>
        <w:tc>
          <w:tcPr>
            <w:tcW w:w="2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311,185</w:t>
            </w:r>
          </w:p>
        </w:tc>
        <w:tc>
          <w:tcPr>
            <w:tcW w:w="0" w:type="dxa"/>
            <w:vAlign w:val="bottom"/>
          </w:tcPr>
          <w:p>
            <w:pPr>
              <w:spacing w:after="0"/>
              <w:rPr>
                <w:sz w:val="1"/>
                <w:szCs w:val="1"/>
                <w:color w:val="auto"/>
              </w:rPr>
            </w:pPr>
          </w:p>
        </w:tc>
      </w:tr>
      <w:tr>
        <w:trPr>
          <w:trHeight w:val="205"/>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Paid-in capital in excess of par</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348,919,222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350,079,409</w:t>
            </w:r>
          </w:p>
        </w:tc>
        <w:tc>
          <w:tcPr>
            <w:tcW w:w="0" w:type="dxa"/>
            <w:vAlign w:val="bottom"/>
          </w:tcPr>
          <w:p>
            <w:pPr>
              <w:spacing w:after="0"/>
              <w:rPr>
                <w:sz w:val="1"/>
                <w:szCs w:val="1"/>
                <w:color w:val="auto"/>
              </w:rPr>
            </w:pPr>
          </w:p>
        </w:tc>
      </w:tr>
      <w:tr>
        <w:trPr>
          <w:trHeight w:val="205"/>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net investment loss</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(54,349,302)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(50,124,597)</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net realized gain on investments, net of distributions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11,554,193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11,899,742</w:t>
            </w:r>
          </w:p>
        </w:tc>
        <w:tc>
          <w:tcPr>
            <w:tcW w:w="0" w:type="dxa"/>
            <w:vAlign w:val="bottom"/>
          </w:tcPr>
          <w:p>
            <w:pPr>
              <w:spacing w:after="0"/>
              <w:rPr>
                <w:sz w:val="1"/>
                <w:szCs w:val="1"/>
                <w:color w:val="auto"/>
              </w:rPr>
            </w:pPr>
          </w:p>
        </w:tc>
      </w:tr>
      <w:tr>
        <w:trPr>
          <w:trHeight w:val="205"/>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net unrealized appreciation of investments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74,265,770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52,680,885</w:t>
            </w:r>
          </w:p>
        </w:tc>
        <w:tc>
          <w:tcPr>
            <w:tcW w:w="0" w:type="dxa"/>
            <w:vAlign w:val="bottom"/>
          </w:tcPr>
          <w:p>
            <w:pPr>
              <w:spacing w:after="0"/>
              <w:rPr>
                <w:sz w:val="1"/>
                <w:szCs w:val="1"/>
                <w:color w:val="auto"/>
              </w:rPr>
            </w:pPr>
          </w:p>
        </w:tc>
      </w:tr>
      <w:tr>
        <w:trPr>
          <w:trHeight w:val="227"/>
        </w:trPr>
        <w:tc>
          <w:tcPr>
            <w:tcW w:w="7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380,701,527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364,846,624</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760" w:type="dxa"/>
            <w:vAlign w:val="bottom"/>
          </w:tcPr>
          <w:p>
            <w:pPr>
              <w:ind w:left="340"/>
              <w:spacing w:after="0" w:line="179" w:lineRule="exact"/>
              <w:rPr>
                <w:sz w:val="20"/>
                <w:szCs w:val="20"/>
                <w:color w:val="auto"/>
              </w:rPr>
            </w:pPr>
            <w:r>
              <w:rPr>
                <w:rFonts w:ascii="Times New Roman" w:cs="Times New Roman" w:eastAsia="Times New Roman" w:hAnsi="Times New Roman"/>
                <w:sz w:val="16"/>
                <w:szCs w:val="16"/>
                <w:b w:val="1"/>
                <w:bCs w:val="1"/>
                <w:color w:val="auto"/>
              </w:rPr>
              <w:t>Net Asset Value Per Share</w:t>
            </w:r>
          </w:p>
        </w:tc>
        <w:tc>
          <w:tcPr>
            <w:tcW w:w="240" w:type="dxa"/>
            <w:vAlign w:val="bottom"/>
            <w:tcBorders>
              <w:bottom w:val="single" w:sz="8" w:color="auto"/>
            </w:tcBorders>
          </w:tcPr>
          <w:p>
            <w:pPr>
              <w:jc w:val="right"/>
              <w:ind w:right="82"/>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12.22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2"/>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11.72</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-467360</wp:posOffset>
            </wp:positionV>
            <wp:extent cx="4919980" cy="139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9980" cy="139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-1650365</wp:posOffset>
            </wp:positionV>
            <wp:extent cx="4919980" cy="147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9980" cy="1479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-4196715</wp:posOffset>
            </wp:positionV>
            <wp:extent cx="4919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9980" cy="8255"/>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p>
      <w:pPr>
        <w:spacing w:after="0" w:line="7" w:lineRule="exact"/>
        <w:rPr>
          <w:sz w:val="20"/>
          <w:szCs w:val="20"/>
          <w:color w:val="auto"/>
        </w:rPr>
      </w:pPr>
    </w:p>
    <w:p>
      <w:pPr>
        <w:ind w:left="320" w:hanging="317"/>
        <w:spacing w:after="0" w:line="250" w:lineRule="auto"/>
        <w:tabs>
          <w:tab w:leader="none" w:pos="31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balance includes a right of use asset and corresponding operating lease liability, respectively. Refer to "Note 7—Commitments and Contingencies—</w:t>
      </w:r>
      <w:r>
        <w:rPr>
          <w:rFonts w:ascii="Times New Roman" w:cs="Times New Roman" w:eastAsia="Times New Roman" w:hAnsi="Times New Roman"/>
          <w:sz w:val="14"/>
          <w:szCs w:val="14"/>
          <w:i w:val="1"/>
          <w:iCs w:val="1"/>
          <w:color w:val="auto"/>
        </w:rPr>
        <w:t>Operating Leases and Related Deposits</w:t>
      </w:r>
      <w:r>
        <w:rPr>
          <w:rFonts w:ascii="Times New Roman" w:cs="Times New Roman" w:eastAsia="Times New Roman" w:hAnsi="Times New Roman"/>
          <w:sz w:val="14"/>
          <w:szCs w:val="14"/>
          <w:color w:val="auto"/>
        </w:rPr>
        <w:t>" for more detail.</w:t>
      </w:r>
    </w:p>
    <w:p>
      <w:pPr>
        <w:ind w:left="320" w:hanging="317"/>
        <w:spacing w:after="0" w:line="242" w:lineRule="auto"/>
        <w:tabs>
          <w:tab w:leader="none" w:pos="31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2022, the 6.00% Notes due December 30, 2026 (effective interest rate of 6.53%) had a face value $75,000,000. As of December 31, 2021, the 6.00% Notes due December 30, 2026 (effective interest rate of 6.13%) had a face value $75,000,000. Refer to “Note 10—Debt Capital Activities” for a reconciliation of the carrying value to the face value.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1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1"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720" w:type="dxa"/>
        <w:tblCellMar>
          <w:top w:w="0" w:type="dxa"/>
          <w:left w:w="0" w:type="dxa"/>
          <w:bottom w:w="0" w:type="dxa"/>
          <w:right w:w="0" w:type="dxa"/>
        </w:tblCellMar>
      </w:tblPr>
      <w:tr>
        <w:trPr>
          <w:trHeight w:val="183"/>
        </w:trPr>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gridSpan w:val="4"/>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6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 INCOME</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5"/>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Non-controlled/non-affiliate investments: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9"/>
        </w:trPr>
        <w:tc>
          <w:tcPr>
            <w:tcW w:w="6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162,455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166,845</w:t>
            </w:r>
          </w:p>
        </w:tc>
      </w:tr>
      <w:tr>
        <w:trPr>
          <w:trHeight w:val="205"/>
        </w:trPr>
        <w:tc>
          <w:tcPr>
            <w:tcW w:w="69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Dividend income</w:t>
            </w:r>
          </w:p>
        </w:tc>
        <w:tc>
          <w:tcPr>
            <w:tcW w:w="30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130,645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21,875</w:t>
            </w:r>
          </w:p>
        </w:tc>
      </w:tr>
      <w:tr>
        <w:trPr>
          <w:trHeight w:val="209"/>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5"/>
        </w:trPr>
        <w:tc>
          <w:tcPr>
            <w:tcW w:w="69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Dividend income</w:t>
            </w:r>
          </w:p>
        </w:tc>
        <w:tc>
          <w:tcPr>
            <w:tcW w:w="3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102,632</w:t>
            </w:r>
          </w:p>
        </w:tc>
      </w:tr>
      <w:tr>
        <w:trPr>
          <w:trHeight w:val="209"/>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Controlled investments: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5"/>
        </w:trPr>
        <w:tc>
          <w:tcPr>
            <w:tcW w:w="69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290,000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Investment Income</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583,100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291,352</w:t>
            </w:r>
          </w:p>
        </w:tc>
      </w:tr>
      <w:tr>
        <w:trPr>
          <w:trHeight w:val="199"/>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8"/>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expense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1,860,702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1,293,310</w:t>
            </w:r>
          </w:p>
        </w:tc>
      </w:tr>
      <w:tr>
        <w:trPr>
          <w:trHeight w:val="205"/>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Directors’ fees</w:t>
            </w:r>
          </w:p>
        </w:tc>
        <w:tc>
          <w:tcPr>
            <w:tcW w:w="30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160,565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111,250</w:t>
            </w:r>
          </w:p>
        </w:tc>
      </w:tr>
      <w:tr>
        <w:trPr>
          <w:trHeight w:val="209"/>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1,272,713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973,159</w:t>
            </w:r>
          </w:p>
        </w:tc>
      </w:tr>
      <w:tr>
        <w:trPr>
          <w:trHeight w:val="205"/>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1,200,786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504,793</w:t>
            </w:r>
          </w:p>
        </w:tc>
      </w:tr>
      <w:tr>
        <w:trPr>
          <w:trHeight w:val="209"/>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r>
      <w:tr>
        <w:trPr>
          <w:trHeight w:val="205"/>
        </w:trPr>
        <w:tc>
          <w:tcPr>
            <w:tcW w:w="6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310,989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241,133</w:t>
            </w:r>
          </w:p>
        </w:tc>
      </w:tr>
      <w:tr>
        <w:trPr>
          <w:trHeight w:val="202"/>
        </w:trPr>
        <w:tc>
          <w:tcPr>
            <w:tcW w:w="6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4,807,805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3,125,670</w:t>
            </w:r>
          </w:p>
        </w:tc>
      </w:tr>
      <w:tr>
        <w:trPr>
          <w:trHeight w:val="198"/>
        </w:trPr>
        <w:tc>
          <w:tcPr>
            <w:tcW w:w="6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Net Investment Loss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(4,224,705)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(2,834,318)</w:t>
            </w:r>
          </w:p>
        </w:tc>
      </w:tr>
      <w:tr>
        <w:trPr>
          <w:trHeight w:val="222"/>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Realized Gain on Investments: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5"/>
        </w:trPr>
        <w:tc>
          <w:tcPr>
            <w:tcW w:w="6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Non-controlled/non-affiliated investments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3,096,275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112,152,518</w:t>
            </w:r>
          </w:p>
        </w:tc>
      </w:tr>
      <w:tr>
        <w:trPr>
          <w:trHeight w:val="202"/>
        </w:trPr>
        <w:tc>
          <w:tcPr>
            <w:tcW w:w="6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Realized Gain on Investments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3,096,275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112,152,518</w:t>
            </w:r>
          </w:p>
        </w:tc>
      </w:tr>
      <w:tr>
        <w:trPr>
          <w:trHeight w:val="206"/>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Unrealized Appreciation/(Depreciation) of Investments: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8"/>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Non-controlled/non-affiliated investments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21,743,987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(3,265,307)</w:t>
            </w:r>
          </w:p>
        </w:tc>
      </w:tr>
      <w:tr>
        <w:trPr>
          <w:trHeight w:val="205"/>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(289,102)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1,844,470</w:t>
            </w:r>
          </w:p>
        </w:tc>
      </w:tr>
      <w:tr>
        <w:trPr>
          <w:trHeight w:val="209"/>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Controlled investments</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130,000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105,000</w:t>
            </w:r>
          </w:p>
        </w:tc>
      </w:tr>
      <w:tr>
        <w:trPr>
          <w:trHeight w:val="199"/>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Net Change in Unrealized Appreciation/(Depreciation) of Investments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21,584,885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(1,315,837)</w:t>
            </w:r>
          </w:p>
        </w:tc>
      </w:tr>
      <w:tr>
        <w:trPr>
          <w:trHeight w:val="261"/>
        </w:trPr>
        <w:tc>
          <w:tcPr>
            <w:tcW w:w="6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20,456,455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108,002,363</w:t>
            </w:r>
          </w:p>
        </w:tc>
      </w:tr>
      <w:tr>
        <w:trPr>
          <w:trHeight w:val="164"/>
        </w:trPr>
        <w:tc>
          <w:tcPr>
            <w:tcW w:w="6820" w:type="dxa"/>
            <w:vAlign w:val="bottom"/>
          </w:tcPr>
          <w:p>
            <w:pPr>
              <w:ind w:left="220"/>
              <w:spacing w:after="0" w:line="165" w:lineRule="exact"/>
              <w:rPr>
                <w:sz w:val="20"/>
                <w:szCs w:val="20"/>
                <w:color w:val="auto"/>
              </w:rPr>
            </w:pPr>
            <w:r>
              <w:rPr>
                <w:rFonts w:ascii="Times New Roman" w:cs="Times New Roman" w:eastAsia="Times New Roman" w:hAnsi="Times New Roman"/>
                <w:sz w:val="16"/>
                <w:szCs w:val="16"/>
                <w:b w:val="1"/>
                <w:bCs w:val="1"/>
                <w:color w:val="auto"/>
              </w:rPr>
              <w:t>Net Change in Net Assets Resulting from Operations per Common Share:</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3"/>
        </w:trPr>
        <w:tc>
          <w:tcPr>
            <w:tcW w:w="69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79"/>
        </w:trPr>
        <w:tc>
          <w:tcPr>
            <w:tcW w:w="6920" w:type="dxa"/>
            <w:vAlign w:val="bottom"/>
            <w:gridSpan w:val="2"/>
          </w:tcPr>
          <w:p>
            <w:pPr>
              <w:ind w:left="340"/>
              <w:spacing w:after="0" w:line="179"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0"/>
                <w:szCs w:val="20"/>
                <w:color w:val="auto"/>
                <w:vertAlign w:val="superscript"/>
              </w:rPr>
              <w:t>(1)</w:t>
            </w:r>
          </w:p>
        </w:tc>
        <w:tc>
          <w:tcPr>
            <w:tcW w:w="300" w:type="dxa"/>
            <w:vAlign w:val="bottom"/>
            <w:tcBorders>
              <w:bottom w:val="single" w:sz="8" w:color="auto"/>
            </w:tcBorders>
          </w:tcPr>
          <w:p>
            <w:pPr>
              <w:jc w:val="right"/>
              <w:ind w:right="122"/>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3"/>
              <w:spacing w:after="0" w:line="179" w:lineRule="exact"/>
              <w:rPr>
                <w:sz w:val="20"/>
                <w:szCs w:val="20"/>
                <w:color w:val="auto"/>
              </w:rPr>
            </w:pPr>
            <w:r>
              <w:rPr>
                <w:rFonts w:ascii="Times New Roman" w:cs="Times New Roman" w:eastAsia="Times New Roman" w:hAnsi="Times New Roman"/>
                <w:sz w:val="16"/>
                <w:szCs w:val="16"/>
                <w:color w:val="auto"/>
              </w:rPr>
              <w:t>0.66</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2"/>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4.50</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3"/>
        </w:trPr>
        <w:tc>
          <w:tcPr>
            <w:tcW w:w="6920" w:type="dxa"/>
            <w:vAlign w:val="bottom"/>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rPr>
              <w:t>Weighted-Average Common Shares Outstanding</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5"/>
        </w:trPr>
        <w:tc>
          <w:tcPr>
            <w:tcW w:w="69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31,228,046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20,486,621</w:t>
            </w:r>
          </w:p>
        </w:tc>
      </w:tr>
      <w:tr>
        <w:trPr>
          <w:trHeight w:val="209"/>
        </w:trPr>
        <w:tc>
          <w:tcPr>
            <w:tcW w:w="6920" w:type="dxa"/>
            <w:vAlign w:val="bottom"/>
            <w:gridSpan w:val="2"/>
            <w:shd w:val="clear" w:color="auto" w:fill="CCEEFF"/>
          </w:tcPr>
          <w:p>
            <w:pPr>
              <w:ind w:left="340"/>
              <w:spacing w:after="0" w:line="209"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0"/>
                <w:szCs w:val="20"/>
                <w:color w:val="auto"/>
                <w:vertAlign w:val="superscript"/>
              </w:rPr>
              <w:t>(1)</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31,228,046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24,123,339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-2217420</wp:posOffset>
            </wp:positionV>
            <wp:extent cx="4328795" cy="147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28795" cy="147955"/>
                    </a:xfrm>
                    <a:prstGeom prst="rect">
                      <a:avLst/>
                    </a:prstGeom>
                    <a:noFill/>
                  </pic:spPr>
                </pic:pic>
              </a:graphicData>
            </a:graphic>
          </wp:anchor>
        </w:drawing>
      </w:r>
    </w:p>
    <w:p>
      <w:pPr>
        <w:spacing w:after="0" w:line="4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3"/>
          <w:szCs w:val="3"/>
          <w:color w:val="auto"/>
        </w:rPr>
        <w:t>____________________________________________________________________________________________________________________________</w:t>
      </w:r>
    </w:p>
    <w:p>
      <w:pPr>
        <w:spacing w:after="0" w:line="200" w:lineRule="exact"/>
        <w:rPr>
          <w:sz w:val="20"/>
          <w:szCs w:val="20"/>
          <w:color w:val="auto"/>
        </w:rPr>
      </w:pPr>
    </w:p>
    <w:p>
      <w:pPr>
        <w:spacing w:after="0" w:line="26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As of March 31, 2022, there were no potentially dilutive securities outstanding.</w:t>
      </w: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520"/>
          </w:cols>
          <w:pgMar w:left="320" w:top="118" w:right="10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32"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NET ASSETS (UNAUDITED)</w:t>
      </w:r>
    </w:p>
    <w:p>
      <w:pPr>
        <w:spacing w:after="0" w:line="200" w:lineRule="exact"/>
        <w:rPr>
          <w:sz w:val="20"/>
          <w:szCs w:val="20"/>
          <w:color w:val="auto"/>
        </w:rPr>
      </w:pPr>
    </w:p>
    <w:p>
      <w:pPr>
        <w:spacing w:after="0" w:line="382" w:lineRule="exact"/>
        <w:rPr>
          <w:sz w:val="20"/>
          <w:szCs w:val="20"/>
          <w:color w:val="auto"/>
        </w:rPr>
      </w:pPr>
    </w:p>
    <w:tbl>
      <w:tblPr>
        <w:tblLayout w:type="fixed"/>
        <w:tblInd w:w="740" w:type="dxa"/>
        <w:tblCellMar>
          <w:top w:w="0" w:type="dxa"/>
          <w:left w:w="0" w:type="dxa"/>
          <w:bottom w:w="0" w:type="dxa"/>
          <w:right w:w="0" w:type="dxa"/>
        </w:tblCellMar>
      </w:tblPr>
      <w:tr>
        <w:trPr>
          <w:trHeight w:val="183"/>
        </w:trPr>
        <w:tc>
          <w:tcPr>
            <w:tcW w:w="6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0" w:type="dxa"/>
            <w:vAlign w:val="bottom"/>
            <w:gridSpan w:val="4"/>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68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at Beginning of Year</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364,846,624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301,583,073</w:t>
            </w:r>
          </w:p>
        </w:tc>
      </w:tr>
      <w:tr>
        <w:trPr>
          <w:trHeight w:val="259"/>
        </w:trPr>
        <w:tc>
          <w:tcPr>
            <w:tcW w:w="6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7"/>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Operations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5"/>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investment loss</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(4,224,705)</w:t>
            </w:r>
          </w:p>
        </w:tc>
        <w:tc>
          <w:tcPr>
            <w:tcW w:w="120" w:type="dxa"/>
            <w:vAlign w:val="bottom"/>
          </w:tcPr>
          <w:p>
            <w:pPr>
              <w:spacing w:after="0"/>
              <w:rPr>
                <w:sz w:val="17"/>
                <w:szCs w:val="17"/>
                <w:color w:val="auto"/>
              </w:rPr>
            </w:pP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(2,834,318)</w:t>
            </w:r>
          </w:p>
        </w:tc>
      </w:tr>
      <w:tr>
        <w:trPr>
          <w:trHeight w:val="20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realized gain on investments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3,096,275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112,152,518</w:t>
            </w:r>
          </w:p>
        </w:tc>
      </w:tr>
      <w:tr>
        <w:trPr>
          <w:trHeight w:val="205"/>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21,584,885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(1,315,837)</w:t>
            </w:r>
          </w:p>
        </w:tc>
      </w:tr>
      <w:tr>
        <w:trPr>
          <w:trHeight w:val="202"/>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20,456,455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108,002,363</w:t>
            </w:r>
          </w:p>
        </w:tc>
      </w:tr>
      <w:tr>
        <w:trPr>
          <w:trHeight w:val="206"/>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Distributions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8"/>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(3,441,824)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(11,032,436)</w:t>
            </w:r>
          </w:p>
        </w:tc>
      </w:tr>
      <w:tr>
        <w:trPr>
          <w:trHeight w:val="198"/>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Distributions</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(3,441,824)</w:t>
            </w:r>
          </w:p>
        </w:tc>
        <w:tc>
          <w:tcPr>
            <w:tcW w:w="120" w:type="dxa"/>
            <w:vAlign w:val="bottom"/>
          </w:tcPr>
          <w:p>
            <w:pPr>
              <w:spacing w:after="0"/>
              <w:rPr>
                <w:sz w:val="17"/>
                <w:szCs w:val="17"/>
                <w:color w:val="auto"/>
              </w:rPr>
            </w:pP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(11,032,436)</w:t>
            </w: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Capital Transactions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5"/>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from public offering</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229,896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from conversion of 4.75% Convertible Notes due 2023</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37,259,819</w:t>
            </w:r>
          </w:p>
        </w:tc>
      </w:tr>
      <w:tr>
        <w:trPr>
          <w:trHeight w:val="205"/>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148,802</w:t>
            </w:r>
          </w:p>
        </w:tc>
      </w:tr>
      <w:tr>
        <w:trPr>
          <w:trHeight w:val="20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(1,359,607)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6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Capital Transactions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(1,159,727)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37,408,621</w:t>
            </w:r>
          </w:p>
        </w:tc>
      </w:tr>
      <w:tr>
        <w:trPr>
          <w:trHeight w:val="20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Change in Net Assets</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15,854,904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134,378,548</w:t>
            </w:r>
          </w:p>
        </w:tc>
      </w:tr>
      <w:tr>
        <w:trPr>
          <w:trHeight w:val="202"/>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at March 31</w:t>
            </w: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380,701,528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435,961,621</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5"/>
        </w:trPr>
        <w:tc>
          <w:tcPr>
            <w:tcW w:w="6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6"/>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Capital Share Activity</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8"/>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outstanding at beginning of year</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31,118,556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19,914,023</w:t>
            </w:r>
          </w:p>
        </w:tc>
      </w:tr>
      <w:tr>
        <w:trPr>
          <w:trHeight w:val="205"/>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from public offering</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under restricted stock plan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193,385</w:t>
            </w:r>
          </w:p>
        </w:tc>
      </w:tr>
      <w:tr>
        <w:trPr>
          <w:trHeight w:val="205"/>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from conversion of 4.75% Convertible Notes due 2023</w:t>
            </w:r>
          </w:p>
        </w:tc>
        <w:tc>
          <w:tcPr>
            <w:tcW w:w="3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4,097,808</w:t>
            </w:r>
          </w:p>
        </w:tc>
      </w:tr>
      <w:tr>
        <w:trPr>
          <w:trHeight w:val="207"/>
        </w:trPr>
        <w:tc>
          <w:tcPr>
            <w:tcW w:w="6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repurchased</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(153,517)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Shares Outstanding at End of Period</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31,164,443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24,205,216</w:t>
            </w:r>
          </w:p>
        </w:tc>
      </w:tr>
      <w:tr>
        <w:trPr>
          <w:trHeight w:val="20"/>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-1560195</wp:posOffset>
            </wp:positionV>
            <wp:extent cx="4361815" cy="147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61815" cy="147955"/>
                    </a:xfrm>
                    <a:prstGeom prst="rect">
                      <a:avLst/>
                    </a:prstGeom>
                    <a:noFill/>
                  </pic:spPr>
                </pic:pic>
              </a:graphicData>
            </a:graphic>
          </wp:anchor>
        </w:drawing>
      </w:r>
    </w:p>
    <w:p>
      <w:pPr>
        <w:spacing w:after="0" w:line="24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500"/>
          </w:cols>
          <w:pgMar w:left="320" w:top="118" w:right="10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1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1"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82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4"/>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4"/>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05"/>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20,456,455</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108,002,363</w:t>
            </w:r>
          </w:p>
        </w:tc>
      </w:tr>
      <w:tr>
        <w:trPr>
          <w:trHeight w:val="158"/>
        </w:trPr>
        <w:tc>
          <w:tcPr>
            <w:tcW w:w="64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6"/>
                <w:szCs w:val="16"/>
                <w:color w:val="auto"/>
              </w:rPr>
              <w:t>Adjustments to reconcile net change in net assets resulting from operations to net cash provided</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07"/>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by/(used in)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5"/>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realized gain on investments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(3,096,275)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(112,152,518)</w:t>
            </w:r>
          </w:p>
        </w:tc>
      </w:tr>
      <w:tr>
        <w:trPr>
          <w:trHeight w:val="20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(21,584,885)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1,315,837</w:t>
            </w:r>
          </w:p>
        </w:tc>
      </w:tr>
      <w:tr>
        <w:trPr>
          <w:trHeight w:val="205"/>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discount on 4.75% Convertible Senior Notes due 2023</w:t>
            </w:r>
          </w:p>
        </w:tc>
        <w:tc>
          <w:tcPr>
            <w:tcW w:w="3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76,925</w:t>
            </w:r>
          </w:p>
        </w:tc>
      </w:tr>
      <w:tr>
        <w:trPr>
          <w:trHeight w:val="20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discount on 6.00% Notes due 2026</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148,802</w:t>
            </w:r>
          </w:p>
        </w:tc>
      </w:tr>
      <w:tr>
        <w:trPr>
          <w:trHeight w:val="20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escrow proceeds receivable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2,751,610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05"/>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 interest on 4.75% Convertible Senior Notes due 2023</w:t>
            </w:r>
          </w:p>
        </w:tc>
        <w:tc>
          <w:tcPr>
            <w:tcW w:w="3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102,911</w:t>
            </w:r>
          </w:p>
        </w:tc>
      </w:tr>
      <w:tr>
        <w:trPr>
          <w:trHeight w:val="20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investments in: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5"/>
        </w:trPr>
        <w:tc>
          <w:tcPr>
            <w:tcW w:w="6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Portfolio investments</w:t>
            </w:r>
          </w:p>
        </w:tc>
        <w:tc>
          <w:tcPr>
            <w:tcW w:w="3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(9,503,636)</w:t>
            </w:r>
          </w:p>
        </w:tc>
      </w:tr>
      <w:tr>
        <w:trPr>
          <w:trHeight w:val="20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sales or maturity of investments in: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5"/>
        </w:trPr>
        <w:tc>
          <w:tcPr>
            <w:tcW w:w="6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Portfolio investments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1,287,722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125,277,788</w:t>
            </w:r>
          </w:p>
        </w:tc>
      </w:tr>
      <w:tr>
        <w:trPr>
          <w:trHeight w:val="209"/>
        </w:trPr>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U.S. Treasury bills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150,000,000</w:t>
            </w:r>
          </w:p>
        </w:tc>
      </w:tr>
      <w:tr>
        <w:trPr>
          <w:trHeight w:val="205"/>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82,593</w:t>
            </w:r>
          </w:p>
        </w:tc>
      </w:tr>
      <w:tr>
        <w:trPr>
          <w:trHeight w:val="205"/>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93,592</w:t>
            </w:r>
          </w:p>
        </w:tc>
      </w:tr>
      <w:tr>
        <w:trPr>
          <w:trHeight w:val="20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receivable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Escrow proceeds receivable</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(2,530,873)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0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Payable for securities purchased</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(134,250,000)</w:t>
            </w:r>
          </w:p>
        </w:tc>
      </w:tr>
      <w:tr>
        <w:trPr>
          <w:trHeight w:val="205"/>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774,341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854,267</w:t>
            </w:r>
          </w:p>
        </w:tc>
      </w:tr>
      <w:tr>
        <w:trPr>
          <w:trHeight w:val="20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payable</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(35,850)</w:t>
            </w:r>
          </w:p>
        </w:tc>
      </w:tr>
      <w:tr>
        <w:trPr>
          <w:trHeight w:val="205"/>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Accrued interest payable</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(453,803)</w:t>
            </w:r>
          </w:p>
        </w:tc>
      </w:tr>
      <w:tr>
        <w:trPr>
          <w:trHeight w:val="200"/>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by/(Used in) Operating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(1,385,827)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129,559,282</w:t>
            </w:r>
          </w:p>
        </w:tc>
      </w:tr>
      <w:tr>
        <w:trPr>
          <w:trHeight w:val="201"/>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common stock, net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4.75% Convertible Senior Notes due 2023</w:t>
            </w:r>
          </w:p>
        </w:tc>
        <w:tc>
          <w:tcPr>
            <w:tcW w:w="3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(290,000)</w:t>
            </w:r>
          </w:p>
        </w:tc>
      </w:tr>
      <w:tr>
        <w:trPr>
          <w:trHeight w:val="22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(1,359,607)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(23,080,859)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(9,349,364)</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fractional shares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5"/>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financing costs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(13,977)</w:t>
            </w:r>
          </w:p>
        </w:tc>
      </w:tr>
      <w:tr>
        <w:trPr>
          <w:trHeight w:val="20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(24,212,110)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(9,653,441)</w:t>
            </w:r>
          </w:p>
        </w:tc>
      </w:tr>
      <w:tr>
        <w:trPr>
          <w:trHeight w:val="198"/>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Increase/(Decrease) in Cash Balance</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(25,597,937)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119,905,841</w:t>
            </w:r>
          </w:p>
        </w:tc>
      </w:tr>
      <w:tr>
        <w:trPr>
          <w:trHeight w:val="20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Balance at Beginning of Year</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198,437,078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45,793,724</w:t>
            </w:r>
          </w:p>
        </w:tc>
      </w:tr>
      <w:tr>
        <w:trPr>
          <w:trHeight w:val="195"/>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Balance at End of Period</w:t>
            </w: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172,839,141</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165,699,565</w:t>
            </w:r>
          </w:p>
        </w:tc>
      </w:tr>
      <w:tr>
        <w:trPr>
          <w:trHeight w:val="18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1,287,500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794,206</w:t>
            </w:r>
          </w:p>
        </w:tc>
      </w:tr>
      <w:tr>
        <w:trPr>
          <w:trHeight w:val="205"/>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37,875</w:t>
            </w:r>
          </w:p>
        </w:tc>
      </w:tr>
      <w:tr>
        <w:trPr>
          <w:trHeight w:val="20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Conversion of 4.75% Convertible Senior Notes due 2023</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-1502410</wp:posOffset>
            </wp:positionV>
            <wp:extent cx="4090670" cy="147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90670" cy="1479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-2315845</wp:posOffset>
            </wp:positionV>
            <wp:extent cx="4090670" cy="139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90670" cy="139700"/>
                    </a:xfrm>
                    <a:prstGeom prst="rect">
                      <a:avLst/>
                    </a:prstGeom>
                    <a:noFill/>
                  </pic:spPr>
                </pic:pic>
              </a:graphicData>
            </a:graphic>
          </wp:anchor>
        </w:drawing>
      </w:r>
    </w:p>
    <w:p>
      <w:pPr>
        <w:spacing w:after="0" w:line="4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420"/>
          </w:cols>
          <w:pgMar w:left="320" w:top="118" w:right="11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line="285" w:lineRule="auto"/>
        <w:rPr>
          <w:sz w:val="20"/>
          <w:szCs w:val="20"/>
          <w:color w:val="auto"/>
        </w:rPr>
      </w:pPr>
      <w:r>
        <w:rPr>
          <w:rFonts w:ascii="Times New Roman" w:cs="Times New Roman" w:eastAsia="Times New Roman" w:hAnsi="Times New Roman"/>
          <w:sz w:val="17"/>
          <w:szCs w:val="17"/>
          <w:b w:val="1"/>
          <w:bCs w:val="1"/>
          <w:color w:val="auto"/>
        </w:rPr>
        <w:t>SURO CAPITAL CORP. AND SUBSIDIARIES CONDENSED CONSOLIDATED SCHEDULE OF INVESTMENTS (UNAUDITED) March 31, 2022</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00" w:type="dxa"/>
            <w:vAlign w:val="bottom"/>
            <w:gridSpan w:val="1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3"/>
                <w:szCs w:val="13"/>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Headquarters/</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Date of Initial</w:t>
            </w:r>
          </w:p>
        </w:tc>
        <w:tc>
          <w:tcPr>
            <w:tcW w:w="1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Shares/</w:t>
            </w:r>
          </w:p>
        </w:tc>
        <w:tc>
          <w:tcPr>
            <w:tcW w:w="240" w:type="dxa"/>
            <w:vAlign w:val="bottom"/>
          </w:tcPr>
          <w:p>
            <w:pPr>
              <w:spacing w:after="0"/>
              <w:rPr>
                <w:sz w:val="13"/>
                <w:szCs w:val="13"/>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88"/>
        </w:trPr>
        <w:tc>
          <w:tcPr>
            <w:tcW w:w="3600" w:type="dxa"/>
            <w:vAlign w:val="bottom"/>
            <w:gridSpan w:val="16"/>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93"/>
        </w:trPr>
        <w:tc>
          <w:tcPr>
            <w:tcW w:w="3600" w:type="dxa"/>
            <w:vAlign w:val="bottom"/>
            <w:tcBorders>
              <w:top w:val="single" w:sz="8" w:color="auto"/>
            </w:tcBorders>
            <w:gridSpan w:val="16"/>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NON-CONTROLLED/NON-AFFILIATE</w:t>
            </w:r>
          </w:p>
        </w:tc>
        <w:tc>
          <w:tcPr>
            <w:tcW w:w="10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00" w:type="dxa"/>
            <w:vAlign w:val="bottom"/>
            <w:gridSpan w:val="16"/>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Course Hero, Inc.</w:t>
            </w:r>
          </w:p>
        </w:tc>
        <w:tc>
          <w:tcPr>
            <w:tcW w:w="100" w:type="dxa"/>
            <w:vAlign w:val="bottom"/>
          </w:tcPr>
          <w:p>
            <w:pPr>
              <w:spacing w:after="0"/>
              <w:rPr>
                <w:sz w:val="12"/>
                <w:szCs w:val="12"/>
                <w:color w:val="auto"/>
              </w:rPr>
            </w:pPr>
          </w:p>
        </w:tc>
        <w:tc>
          <w:tcPr>
            <w:tcW w:w="208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color w:val="auto"/>
                <w:w w:val="96"/>
              </w:rPr>
              <w:t>Redwood City, CA</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Online Education</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9/18/2014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2,145,509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5,000,001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66,801,229</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17.55 %</w:t>
            </w:r>
          </w:p>
        </w:tc>
        <w:tc>
          <w:tcPr>
            <w:tcW w:w="0" w:type="dxa"/>
            <w:vAlign w:val="bottom"/>
          </w:tcPr>
          <w:p>
            <w:pPr>
              <w:spacing w:after="0"/>
              <w:rPr>
                <w:sz w:val="1"/>
                <w:szCs w:val="1"/>
                <w:color w:val="auto"/>
              </w:rPr>
            </w:pPr>
          </w:p>
        </w:tc>
      </w:tr>
      <w:tr>
        <w:trPr>
          <w:trHeight w:val="187"/>
        </w:trPr>
        <w:tc>
          <w:tcPr>
            <w:tcW w:w="3600" w:type="dxa"/>
            <w:vAlign w:val="bottom"/>
            <w:tcBorders>
              <w:bottom w:val="single" w:sz="8" w:color="CCEEFF"/>
            </w:tcBorders>
            <w:gridSpan w:val="16"/>
          </w:tcPr>
          <w:p>
            <w:pPr>
              <w:ind w:left="20"/>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11/5/2021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275,659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9,999,971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9,999,971</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2.63 %</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1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14,999,972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76,801,200</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20.17 %</w:t>
            </w:r>
          </w:p>
        </w:tc>
        <w:tc>
          <w:tcPr>
            <w:tcW w:w="0" w:type="dxa"/>
            <w:vAlign w:val="bottom"/>
          </w:tcPr>
          <w:p>
            <w:pPr>
              <w:spacing w:after="0"/>
              <w:rPr>
                <w:sz w:val="1"/>
                <w:szCs w:val="1"/>
                <w:color w:val="auto"/>
              </w:rPr>
            </w:pPr>
          </w:p>
        </w:tc>
      </w:tr>
      <w:tr>
        <w:trPr>
          <w:trHeight w:val="122"/>
        </w:trPr>
        <w:tc>
          <w:tcPr>
            <w:tcW w:w="3600" w:type="dxa"/>
            <w:vAlign w:val="bottom"/>
            <w:gridSpan w:val="16"/>
          </w:tcPr>
          <w:p>
            <w:pPr>
              <w:ind w:left="20"/>
              <w:spacing w:after="0" w:line="123" w:lineRule="exact"/>
              <w:rPr>
                <w:sz w:val="20"/>
                <w:szCs w:val="20"/>
                <w:color w:val="auto"/>
              </w:rPr>
            </w:pPr>
            <w:r>
              <w:rPr>
                <w:rFonts w:ascii="Times New Roman" w:cs="Times New Roman" w:eastAsia="Times New Roman" w:hAnsi="Times New Roman"/>
                <w:sz w:val="11"/>
                <w:szCs w:val="11"/>
                <w:b w:val="1"/>
                <w:bCs w:val="1"/>
                <w:color w:val="auto"/>
              </w:rPr>
              <w:t>Forge Global Holdings, Inc.</w:t>
            </w:r>
            <w:r>
              <w:rPr>
                <w:rFonts w:ascii="Times New Roman" w:cs="Times New Roman" w:eastAsia="Times New Roman" w:hAnsi="Times New Roman"/>
                <w:sz w:val="14"/>
                <w:szCs w:val="14"/>
                <w:color w:val="auto"/>
                <w:vertAlign w:val="superscript"/>
              </w:rPr>
              <w:t>**</w:t>
            </w:r>
          </w:p>
        </w:tc>
        <w:tc>
          <w:tcPr>
            <w:tcW w:w="100" w:type="dxa"/>
            <w:vAlign w:val="bottom"/>
          </w:tcPr>
          <w:p>
            <w:pPr>
              <w:spacing w:after="0"/>
              <w:rPr>
                <w:sz w:val="10"/>
                <w:szCs w:val="10"/>
                <w:color w:val="auto"/>
              </w:rPr>
            </w:pPr>
          </w:p>
        </w:tc>
        <w:tc>
          <w:tcPr>
            <w:tcW w:w="2080" w:type="dxa"/>
            <w:vAlign w:val="bottom"/>
            <w:gridSpan w:val="2"/>
          </w:tcPr>
          <w:p>
            <w:pPr>
              <w:jc w:val="center"/>
              <w:ind w:right="120"/>
              <w:spacing w:after="0" w:line="123" w:lineRule="exact"/>
              <w:rPr>
                <w:sz w:val="20"/>
                <w:szCs w:val="20"/>
                <w:color w:val="auto"/>
              </w:rPr>
            </w:pPr>
            <w:r>
              <w:rPr>
                <w:rFonts w:ascii="Times New Roman" w:cs="Times New Roman" w:eastAsia="Times New Roman" w:hAnsi="Times New Roman"/>
                <w:sz w:val="14"/>
                <w:szCs w:val="14"/>
                <w:color w:val="auto"/>
                <w:w w:val="98"/>
              </w:rPr>
              <w:t>San Francisco, CA</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0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Online Marketplace Finance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7/20/2011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2,454,791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2,526,223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62,376,239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16.38 %</w:t>
            </w:r>
          </w:p>
        </w:tc>
        <w:tc>
          <w:tcPr>
            <w:tcW w:w="0" w:type="dxa"/>
            <w:vAlign w:val="bottom"/>
          </w:tcPr>
          <w:p>
            <w:pPr>
              <w:spacing w:after="0"/>
              <w:rPr>
                <w:sz w:val="1"/>
                <w:szCs w:val="1"/>
                <w:color w:val="auto"/>
              </w:rPr>
            </w:pPr>
          </w:p>
        </w:tc>
      </w:tr>
      <w:tr>
        <w:trPr>
          <w:trHeight w:val="129"/>
        </w:trPr>
        <w:tc>
          <w:tcPr>
            <w:tcW w:w="3600" w:type="dxa"/>
            <w:vAlign w:val="bottom"/>
            <w:gridSpan w:val="16"/>
          </w:tcPr>
          <w:p>
            <w:pPr>
              <w:ind w:left="20"/>
              <w:spacing w:after="0" w:line="129" w:lineRule="exact"/>
              <w:rPr>
                <w:sz w:val="20"/>
                <w:szCs w:val="20"/>
                <w:color w:val="auto"/>
              </w:rPr>
            </w:pPr>
            <w:r>
              <w:rPr>
                <w:rFonts w:ascii="Times New Roman" w:cs="Times New Roman" w:eastAsia="Times New Roman" w:hAnsi="Times New Roman"/>
                <w:sz w:val="14"/>
                <w:szCs w:val="14"/>
                <w:color w:val="auto"/>
              </w:rPr>
              <w:t>Common warrants, Strike Price $3.98, Expiration Date</w:t>
            </w: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7/19/2011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230,144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368,474</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0" w:type="dxa"/>
            <w:vAlign w:val="bottom"/>
          </w:tcPr>
          <w:p>
            <w:pPr>
              <w:spacing w:after="0"/>
              <w:rPr>
                <w:sz w:val="1"/>
                <w:szCs w:val="1"/>
                <w:color w:val="auto"/>
              </w:rPr>
            </w:pPr>
          </w:p>
        </w:tc>
      </w:tr>
      <w:tr>
        <w:trPr>
          <w:trHeight w:val="187"/>
        </w:trPr>
        <w:tc>
          <w:tcPr>
            <w:tcW w:w="8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11/9/2025</w:t>
            </w:r>
            <w:r>
              <w:rPr>
                <w:rFonts w:ascii="Times New Roman" w:cs="Times New Roman" w:eastAsia="Times New Roman" w:hAnsi="Times New Roman"/>
                <w:sz w:val="8"/>
                <w:szCs w:val="8"/>
                <w:color w:val="auto"/>
              </w:rPr>
              <w:t>(3)(17)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580" w:type="dxa"/>
            <w:vAlign w:val="bottom"/>
            <w:tcBorders>
              <w:top w:val="single" w:sz="8" w:color="CCEEFF"/>
              <w:bottom w:val="single" w:sz="8" w:color="CCEEFF"/>
            </w:tcBorders>
            <w:gridSpan w:val="1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9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2,526,223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62,744,713</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16.48 %</w:t>
            </w:r>
          </w:p>
        </w:tc>
        <w:tc>
          <w:tcPr>
            <w:tcW w:w="0" w:type="dxa"/>
            <w:vAlign w:val="bottom"/>
          </w:tcPr>
          <w:p>
            <w:pPr>
              <w:spacing w:after="0"/>
              <w:rPr>
                <w:sz w:val="1"/>
                <w:szCs w:val="1"/>
                <w:color w:val="auto"/>
              </w:rPr>
            </w:pPr>
          </w:p>
        </w:tc>
      </w:tr>
      <w:tr>
        <w:trPr>
          <w:trHeight w:val="135"/>
        </w:trPr>
        <w:tc>
          <w:tcPr>
            <w:tcW w:w="3600" w:type="dxa"/>
            <w:vAlign w:val="bottom"/>
            <w:gridSpan w:val="16"/>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Blink Health, Inc.</w:t>
            </w:r>
          </w:p>
        </w:tc>
        <w:tc>
          <w:tcPr>
            <w:tcW w:w="100" w:type="dxa"/>
            <w:vAlign w:val="bottom"/>
          </w:tcPr>
          <w:p>
            <w:pPr>
              <w:spacing w:after="0"/>
              <w:rPr>
                <w:sz w:val="11"/>
                <w:szCs w:val="11"/>
                <w:color w:val="auto"/>
              </w:rPr>
            </w:pPr>
          </w:p>
        </w:tc>
        <w:tc>
          <w:tcPr>
            <w:tcW w:w="1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7"/>
              </w:rPr>
              <w:t>New York, NY</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6"/>
              </w:rPr>
              <w:t>Pharmaceutical Technology</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10/27/2020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238,095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5,000,423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3,797,566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67"/>
        </w:trPr>
        <w:tc>
          <w:tcPr>
            <w:tcW w:w="3600" w:type="dxa"/>
            <w:vAlign w:val="bottom"/>
            <w:tcBorders>
              <w:bottom w:val="single" w:sz="8" w:color="CCEEFF"/>
            </w:tcBorders>
            <w:gridSpan w:val="16"/>
          </w:tcPr>
          <w:p>
            <w:pPr>
              <w:ind w:left="20"/>
              <w:spacing w:after="0" w:line="159" w:lineRule="exact"/>
              <w:rPr>
                <w:sz w:val="20"/>
                <w:szCs w:val="20"/>
                <w:color w:val="auto"/>
              </w:rPr>
            </w:pPr>
            <w:r>
              <w:rPr>
                <w:rFonts w:ascii="Times New Roman" w:cs="Times New Roman" w:eastAsia="Times New Roman" w:hAnsi="Times New Roman"/>
                <w:sz w:val="14"/>
                <w:szCs w:val="14"/>
                <w:color w:val="auto"/>
              </w:rPr>
              <w:t>Preferred shares, Series C</w:t>
            </w:r>
          </w:p>
        </w:tc>
        <w:tc>
          <w:tcPr>
            <w:tcW w:w="100" w:type="dxa"/>
            <w:vAlign w:val="bottom"/>
            <w:tcBorders>
              <w:bottom w:val="single" w:sz="8" w:color="CCEEFF"/>
            </w:tcBorders>
          </w:tcPr>
          <w:p>
            <w:pPr>
              <w:spacing w:after="0"/>
              <w:rPr>
                <w:sz w:val="14"/>
                <w:szCs w:val="14"/>
                <w:color w:val="auto"/>
              </w:rPr>
            </w:pPr>
          </w:p>
        </w:tc>
        <w:tc>
          <w:tcPr>
            <w:tcW w:w="1980" w:type="dxa"/>
            <w:vAlign w:val="bottom"/>
            <w:tcBorders>
              <w:top w:val="single" w:sz="8" w:color="CCEEFF"/>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10/27/2020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261,944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
              <w:spacing w:after="0" w:line="159" w:lineRule="exact"/>
              <w:rPr>
                <w:sz w:val="20"/>
                <w:szCs w:val="20"/>
                <w:color w:val="auto"/>
              </w:rPr>
            </w:pPr>
            <w:r>
              <w:rPr>
                <w:rFonts w:ascii="Times New Roman" w:cs="Times New Roman" w:eastAsia="Times New Roman" w:hAnsi="Times New Roman"/>
                <w:sz w:val="14"/>
                <w:szCs w:val="14"/>
                <w:color w:val="auto"/>
              </w:rPr>
              <w:t>10,003,917</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9,999,974</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2.63 %</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1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15,004,340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13,797,540</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3.62 %</w:t>
            </w:r>
          </w:p>
        </w:tc>
        <w:tc>
          <w:tcPr>
            <w:tcW w:w="0" w:type="dxa"/>
            <w:vAlign w:val="bottom"/>
          </w:tcPr>
          <w:p>
            <w:pPr>
              <w:spacing w:after="0"/>
              <w:rPr>
                <w:sz w:val="1"/>
                <w:szCs w:val="1"/>
                <w:color w:val="auto"/>
              </w:rPr>
            </w:pPr>
          </w:p>
        </w:tc>
      </w:tr>
      <w:tr>
        <w:trPr>
          <w:trHeight w:val="122"/>
        </w:trPr>
        <w:tc>
          <w:tcPr>
            <w:tcW w:w="3600" w:type="dxa"/>
            <w:vAlign w:val="bottom"/>
            <w:gridSpan w:val="16"/>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Aspiration Partners, Inc.</w:t>
            </w:r>
          </w:p>
        </w:tc>
        <w:tc>
          <w:tcPr>
            <w:tcW w:w="100" w:type="dxa"/>
            <w:vAlign w:val="bottom"/>
          </w:tcPr>
          <w:p>
            <w:pPr>
              <w:spacing w:after="0"/>
              <w:rPr>
                <w:sz w:val="10"/>
                <w:szCs w:val="10"/>
                <w:color w:val="auto"/>
              </w:rPr>
            </w:pPr>
          </w:p>
        </w:tc>
        <w:tc>
          <w:tcPr>
            <w:tcW w:w="2080" w:type="dxa"/>
            <w:vAlign w:val="bottom"/>
            <w:gridSpan w:val="2"/>
          </w:tcPr>
          <w:p>
            <w:pPr>
              <w:jc w:val="center"/>
              <w:ind w:right="140"/>
              <w:spacing w:after="0" w:line="123" w:lineRule="exact"/>
              <w:rPr>
                <w:sz w:val="20"/>
                <w:szCs w:val="20"/>
                <w:color w:val="auto"/>
              </w:rPr>
            </w:pPr>
            <w:r>
              <w:rPr>
                <w:rFonts w:ascii="Times New Roman" w:cs="Times New Roman" w:eastAsia="Times New Roman" w:hAnsi="Times New Roman"/>
                <w:sz w:val="14"/>
                <w:szCs w:val="14"/>
                <w:color w:val="auto"/>
                <w:w w:val="97"/>
              </w:rPr>
              <w:t>Marina Del Rey, CA</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3600" w:type="dxa"/>
            <w:vAlign w:val="bottom"/>
            <w:tcBorders>
              <w:bottom w:val="single" w:sz="8" w:color="CCEEFF"/>
            </w:tcBorders>
            <w:gridSpan w:val="1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Financial Services</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8/11/2015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540,270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1,001,815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11,002,528</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2.89 %</w:t>
            </w:r>
          </w:p>
        </w:tc>
        <w:tc>
          <w:tcPr>
            <w:tcW w:w="0" w:type="dxa"/>
            <w:vAlign w:val="bottom"/>
          </w:tcPr>
          <w:p>
            <w:pPr>
              <w:spacing w:after="0"/>
              <w:rPr>
                <w:sz w:val="1"/>
                <w:szCs w:val="1"/>
                <w:color w:val="auto"/>
              </w:rPr>
            </w:pPr>
          </w:p>
        </w:tc>
      </w:tr>
      <w:tr>
        <w:trPr>
          <w:trHeight w:val="180"/>
        </w:trPr>
        <w:tc>
          <w:tcPr>
            <w:tcW w:w="3600" w:type="dxa"/>
            <w:vAlign w:val="bottom"/>
            <w:tcBorders>
              <w:bottom w:val="single" w:sz="8" w:color="CCEEFF"/>
            </w:tcBorders>
            <w:gridSpan w:val="16"/>
          </w:tcPr>
          <w:p>
            <w:pPr>
              <w:ind w:left="20"/>
              <w:spacing w:after="0"/>
              <w:rPr>
                <w:sz w:val="20"/>
                <w:szCs w:val="20"/>
                <w:color w:val="auto"/>
              </w:rPr>
            </w:pPr>
            <w:r>
              <w:rPr>
                <w:rFonts w:ascii="Times New Roman" w:cs="Times New Roman" w:eastAsia="Times New Roman" w:hAnsi="Times New Roman"/>
                <w:sz w:val="14"/>
                <w:szCs w:val="14"/>
                <w:color w:val="auto"/>
              </w:rPr>
              <w:t>Preferred shares, Series C-3</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8/12/2019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24,912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281,190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507,330</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0.13 %</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1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1,283,005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11,509,858</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3.02 %</w:t>
            </w:r>
          </w:p>
        </w:tc>
        <w:tc>
          <w:tcPr>
            <w:tcW w:w="0" w:type="dxa"/>
            <w:vAlign w:val="bottom"/>
          </w:tcPr>
          <w:p>
            <w:pPr>
              <w:spacing w:after="0"/>
              <w:rPr>
                <w:sz w:val="1"/>
                <w:szCs w:val="1"/>
                <w:color w:val="auto"/>
              </w:rPr>
            </w:pPr>
          </w:p>
        </w:tc>
      </w:tr>
      <w:tr>
        <w:trPr>
          <w:trHeight w:val="122"/>
        </w:trPr>
        <w:tc>
          <w:tcPr>
            <w:tcW w:w="3600" w:type="dxa"/>
            <w:vAlign w:val="bottom"/>
            <w:gridSpan w:val="16"/>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Orchard Technologies, Inc.</w:t>
            </w:r>
          </w:p>
        </w:tc>
        <w:tc>
          <w:tcPr>
            <w:tcW w:w="100" w:type="dxa"/>
            <w:vAlign w:val="bottom"/>
          </w:tcPr>
          <w:p>
            <w:pPr>
              <w:spacing w:after="0"/>
              <w:rPr>
                <w:sz w:val="10"/>
                <w:szCs w:val="10"/>
                <w:color w:val="auto"/>
              </w:rPr>
            </w:pPr>
          </w:p>
        </w:tc>
        <w:tc>
          <w:tcPr>
            <w:tcW w:w="2080" w:type="dxa"/>
            <w:vAlign w:val="bottom"/>
            <w:gridSpan w:val="2"/>
          </w:tcPr>
          <w:p>
            <w:pPr>
              <w:jc w:val="center"/>
              <w:ind w:right="120"/>
              <w:spacing w:after="0" w:line="123" w:lineRule="exact"/>
              <w:rPr>
                <w:sz w:val="20"/>
                <w:szCs w:val="20"/>
                <w:color w:val="auto"/>
              </w:rPr>
            </w:pPr>
            <w:r>
              <w:rPr>
                <w:rFonts w:ascii="Times New Roman" w:cs="Times New Roman" w:eastAsia="Times New Roman" w:hAnsi="Times New Roman"/>
                <w:sz w:val="14"/>
                <w:szCs w:val="14"/>
                <w:color w:val="auto"/>
                <w:w w:val="97"/>
              </w:rPr>
              <w:t>New York, NY</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D</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8"/>
              </w:rPr>
              <w:t>Real Estate Platform</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8/9/2021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1,488,139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10,004,034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9,999,996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2.63 %</w:t>
            </w:r>
          </w:p>
        </w:tc>
        <w:tc>
          <w:tcPr>
            <w:tcW w:w="0" w:type="dxa"/>
            <w:vAlign w:val="bottom"/>
          </w:tcPr>
          <w:p>
            <w:pPr>
              <w:spacing w:after="0"/>
              <w:rPr>
                <w:sz w:val="1"/>
                <w:szCs w:val="1"/>
                <w:color w:val="auto"/>
              </w:rPr>
            </w:pPr>
          </w:p>
        </w:tc>
      </w:tr>
      <w:tr>
        <w:trPr>
          <w:trHeight w:val="142"/>
        </w:trPr>
        <w:tc>
          <w:tcPr>
            <w:tcW w:w="3600" w:type="dxa"/>
            <w:vAlign w:val="bottom"/>
            <w:gridSpan w:val="16"/>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Nextdoor Holdings, Inc.**</w:t>
            </w:r>
          </w:p>
        </w:tc>
        <w:tc>
          <w:tcPr>
            <w:tcW w:w="100" w:type="dxa"/>
            <w:vAlign w:val="bottom"/>
          </w:tcPr>
          <w:p>
            <w:pPr>
              <w:spacing w:after="0"/>
              <w:rPr>
                <w:sz w:val="12"/>
                <w:szCs w:val="12"/>
                <w:color w:val="auto"/>
              </w:rPr>
            </w:pPr>
          </w:p>
        </w:tc>
        <w:tc>
          <w:tcPr>
            <w:tcW w:w="208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color w:val="auto"/>
                <w:w w:val="98"/>
              </w:rPr>
              <w:t>San Francisco, CA</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16"/>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color w:val="auto"/>
              </w:rPr>
              <w:t>Common shares, Class B</w:t>
            </w:r>
            <w:r>
              <w:rPr>
                <w:rFonts w:ascii="Times New Roman" w:cs="Times New Roman" w:eastAsia="Times New Roman" w:hAnsi="Times New Roman"/>
                <w:sz w:val="17"/>
                <w:szCs w:val="17"/>
                <w:color w:val="auto"/>
                <w:vertAlign w:val="superscript"/>
              </w:rPr>
              <w:t>(3)</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Social Networking</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9/27/2018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1,802,416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10,002,666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9,986,736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2.62 %</w:t>
            </w:r>
          </w:p>
        </w:tc>
        <w:tc>
          <w:tcPr>
            <w:tcW w:w="0" w:type="dxa"/>
            <w:vAlign w:val="bottom"/>
          </w:tcPr>
          <w:p>
            <w:pPr>
              <w:spacing w:after="0"/>
              <w:rPr>
                <w:sz w:val="1"/>
                <w:szCs w:val="1"/>
                <w:color w:val="auto"/>
              </w:rPr>
            </w:pPr>
          </w:p>
        </w:tc>
      </w:tr>
      <w:tr>
        <w:trPr>
          <w:trHeight w:val="142"/>
        </w:trPr>
        <w:tc>
          <w:tcPr>
            <w:tcW w:w="3600" w:type="dxa"/>
            <w:vAlign w:val="bottom"/>
            <w:gridSpan w:val="16"/>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Trax Ltd.**</w:t>
            </w:r>
          </w:p>
        </w:tc>
        <w:tc>
          <w:tcPr>
            <w:tcW w:w="100" w:type="dxa"/>
            <w:vAlign w:val="bottom"/>
          </w:tcPr>
          <w:p>
            <w:pPr>
              <w:spacing w:after="0"/>
              <w:rPr>
                <w:sz w:val="12"/>
                <w:szCs w:val="12"/>
                <w:color w:val="auto"/>
              </w:rPr>
            </w:pPr>
          </w:p>
        </w:tc>
        <w:tc>
          <w:tcPr>
            <w:tcW w:w="208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color w:val="auto"/>
                <w:w w:val="99"/>
              </w:rPr>
              <w:t>Singapore, Singapore</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3600" w:type="dxa"/>
            <w:vAlign w:val="bottom"/>
            <w:tcBorders>
              <w:bottom w:val="single" w:sz="8" w:color="CCEEFF"/>
            </w:tcBorders>
            <w:gridSpan w:val="1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Retail Technology</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6/9/2021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55,591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2,781,148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2,437,699</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0.64 %</w:t>
            </w:r>
          </w:p>
        </w:tc>
        <w:tc>
          <w:tcPr>
            <w:tcW w:w="0" w:type="dxa"/>
            <w:vAlign w:val="bottom"/>
          </w:tcPr>
          <w:p>
            <w:pPr>
              <w:spacing w:after="0"/>
              <w:rPr>
                <w:sz w:val="1"/>
                <w:szCs w:val="1"/>
                <w:color w:val="auto"/>
              </w:rPr>
            </w:pPr>
          </w:p>
        </w:tc>
      </w:tr>
      <w:tr>
        <w:trPr>
          <w:trHeight w:val="180"/>
        </w:trPr>
        <w:tc>
          <w:tcPr>
            <w:tcW w:w="3600" w:type="dxa"/>
            <w:vAlign w:val="bottom"/>
            <w:tcBorders>
              <w:bottom w:val="single" w:sz="8" w:color="CCEEFF"/>
            </w:tcBorders>
            <w:gridSpan w:val="16"/>
          </w:tcPr>
          <w:p>
            <w:pPr>
              <w:ind w:left="20"/>
              <w:spacing w:after="0"/>
              <w:rPr>
                <w:sz w:val="20"/>
                <w:szCs w:val="20"/>
                <w:color w:val="auto"/>
              </w:rPr>
            </w:pPr>
            <w:r>
              <w:rPr>
                <w:rFonts w:ascii="Times New Roman" w:cs="Times New Roman" w:eastAsia="Times New Roman" w:hAnsi="Times New Roman"/>
                <w:sz w:val="14"/>
                <w:szCs w:val="14"/>
                <w:color w:val="auto"/>
              </w:rPr>
              <w:t>Preferred shares, Investec series</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6"/>
              </w:rPr>
              <w:t>6/9/2021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144,409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7,224,600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6,332,422</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1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10,005,748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8,770,121</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0" w:type="dxa"/>
            <w:vAlign w:val="bottom"/>
          </w:tcPr>
          <w:p>
            <w:pPr>
              <w:spacing w:after="0"/>
              <w:rPr>
                <w:sz w:val="1"/>
                <w:szCs w:val="1"/>
                <w:color w:val="auto"/>
              </w:rPr>
            </w:pPr>
          </w:p>
        </w:tc>
      </w:tr>
      <w:tr>
        <w:trPr>
          <w:trHeight w:val="122"/>
        </w:trPr>
        <w:tc>
          <w:tcPr>
            <w:tcW w:w="3600" w:type="dxa"/>
            <w:vAlign w:val="bottom"/>
            <w:gridSpan w:val="16"/>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Varo Money, Inc.</w:t>
            </w:r>
          </w:p>
        </w:tc>
        <w:tc>
          <w:tcPr>
            <w:tcW w:w="100" w:type="dxa"/>
            <w:vAlign w:val="bottom"/>
          </w:tcPr>
          <w:p>
            <w:pPr>
              <w:spacing w:after="0"/>
              <w:rPr>
                <w:sz w:val="10"/>
                <w:szCs w:val="10"/>
                <w:color w:val="auto"/>
              </w:rPr>
            </w:pPr>
          </w:p>
        </w:tc>
        <w:tc>
          <w:tcPr>
            <w:tcW w:w="2080" w:type="dxa"/>
            <w:vAlign w:val="bottom"/>
            <w:gridSpan w:val="2"/>
          </w:tcPr>
          <w:p>
            <w:pPr>
              <w:jc w:val="center"/>
              <w:ind w:right="120"/>
              <w:spacing w:after="0" w:line="123" w:lineRule="exact"/>
              <w:rPr>
                <w:sz w:val="20"/>
                <w:szCs w:val="20"/>
                <w:color w:val="auto"/>
              </w:rPr>
            </w:pPr>
            <w:r>
              <w:rPr>
                <w:rFonts w:ascii="Times New Roman" w:cs="Times New Roman" w:eastAsia="Times New Roman" w:hAnsi="Times New Roman"/>
                <w:sz w:val="14"/>
                <w:szCs w:val="14"/>
                <w:color w:val="auto"/>
                <w:w w:val="98"/>
              </w:rPr>
              <w:t>San Francisco, CA</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Financial Services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8/11/2021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1,079,266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10,005,548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8,247,919</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2.17 %</w:t>
            </w:r>
          </w:p>
        </w:tc>
        <w:tc>
          <w:tcPr>
            <w:tcW w:w="0" w:type="dxa"/>
            <w:vAlign w:val="bottom"/>
          </w:tcPr>
          <w:p>
            <w:pPr>
              <w:spacing w:after="0"/>
              <w:rPr>
                <w:sz w:val="1"/>
                <w:szCs w:val="1"/>
                <w:color w:val="auto"/>
              </w:rPr>
            </w:pPr>
          </w:p>
        </w:tc>
      </w:tr>
      <w:tr>
        <w:trPr>
          <w:trHeight w:val="142"/>
        </w:trPr>
        <w:tc>
          <w:tcPr>
            <w:tcW w:w="3600" w:type="dxa"/>
            <w:vAlign w:val="bottom"/>
            <w:gridSpan w:val="16"/>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Shogun Enterprises, Inc.</w:t>
            </w:r>
          </w:p>
        </w:tc>
        <w:tc>
          <w:tcPr>
            <w:tcW w:w="100" w:type="dxa"/>
            <w:vAlign w:val="bottom"/>
          </w:tcPr>
          <w:p>
            <w:pPr>
              <w:spacing w:after="0"/>
              <w:rPr>
                <w:sz w:val="12"/>
                <w:szCs w:val="12"/>
                <w:color w:val="auto"/>
              </w:rPr>
            </w:pPr>
          </w:p>
        </w:tc>
        <w:tc>
          <w:tcPr>
            <w:tcW w:w="208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color w:val="auto"/>
                <w:w w:val="98"/>
              </w:rPr>
              <w:t>Austin, TX</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B-1</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Home Improvement Finance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2/26/2021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436,844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3,501,657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3,499,994</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0.92 %</w:t>
            </w:r>
          </w:p>
        </w:tc>
        <w:tc>
          <w:tcPr>
            <w:tcW w:w="0" w:type="dxa"/>
            <w:vAlign w:val="bottom"/>
          </w:tcPr>
          <w:p>
            <w:pPr>
              <w:spacing w:after="0"/>
              <w:rPr>
                <w:sz w:val="1"/>
                <w:szCs w:val="1"/>
                <w:color w:val="auto"/>
              </w:rPr>
            </w:pPr>
          </w:p>
        </w:tc>
      </w:tr>
      <w:tr>
        <w:trPr>
          <w:trHeight w:val="187"/>
        </w:trPr>
        <w:tc>
          <w:tcPr>
            <w:tcW w:w="3600" w:type="dxa"/>
            <w:vAlign w:val="bottom"/>
            <w:tcBorders>
              <w:bottom w:val="single" w:sz="8" w:color="CCEEFF"/>
            </w:tcBorders>
            <w:gridSpan w:val="16"/>
          </w:tcPr>
          <w:p>
            <w:pPr>
              <w:ind w:left="20"/>
              <w:spacing w:after="0"/>
              <w:rPr>
                <w:sz w:val="20"/>
                <w:szCs w:val="20"/>
                <w:color w:val="auto"/>
              </w:rPr>
            </w:pPr>
            <w:r>
              <w:rPr>
                <w:rFonts w:ascii="Times New Roman" w:cs="Times New Roman" w:eastAsia="Times New Roman" w:hAnsi="Times New Roman"/>
                <w:sz w:val="14"/>
                <w:szCs w:val="14"/>
                <w:color w:val="auto"/>
              </w:rPr>
              <w:t>Preferred shares, Series B-2</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2/26/2021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301,750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3,501,661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3,499,998</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0.92 %</w:t>
            </w:r>
          </w:p>
        </w:tc>
        <w:tc>
          <w:tcPr>
            <w:tcW w:w="0" w:type="dxa"/>
            <w:vAlign w:val="bottom"/>
          </w:tcPr>
          <w:p>
            <w:pPr>
              <w:spacing w:after="0"/>
              <w:rPr>
                <w:sz w:val="1"/>
                <w:szCs w:val="1"/>
                <w:color w:val="auto"/>
              </w:rPr>
            </w:pPr>
          </w:p>
        </w:tc>
      </w:tr>
      <w:tr>
        <w:trPr>
          <w:trHeight w:val="194"/>
        </w:trPr>
        <w:tc>
          <w:tcPr>
            <w:tcW w:w="360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7,003,318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6,999,992</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1.84 %</w:t>
            </w:r>
          </w:p>
        </w:tc>
        <w:tc>
          <w:tcPr>
            <w:tcW w:w="0" w:type="dxa"/>
            <w:vAlign w:val="bottom"/>
          </w:tcPr>
          <w:p>
            <w:pPr>
              <w:spacing w:after="0"/>
              <w:rPr>
                <w:sz w:val="1"/>
                <w:szCs w:val="1"/>
                <w:color w:val="auto"/>
              </w:rPr>
            </w:pPr>
          </w:p>
        </w:tc>
      </w:tr>
      <w:tr>
        <w:trPr>
          <w:trHeight w:val="122"/>
        </w:trPr>
        <w:tc>
          <w:tcPr>
            <w:tcW w:w="3600" w:type="dxa"/>
            <w:vAlign w:val="bottom"/>
            <w:gridSpan w:val="16"/>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NewLake Capital Partners, Inc. (f/k/a GreenAcreage Real</w:t>
            </w:r>
          </w:p>
        </w:tc>
        <w:tc>
          <w:tcPr>
            <w:tcW w:w="100" w:type="dxa"/>
            <w:vAlign w:val="bottom"/>
          </w:tcPr>
          <w:p>
            <w:pPr>
              <w:spacing w:after="0"/>
              <w:rPr>
                <w:sz w:val="10"/>
                <w:szCs w:val="10"/>
                <w:color w:val="auto"/>
              </w:rPr>
            </w:pPr>
          </w:p>
        </w:tc>
        <w:tc>
          <w:tcPr>
            <w:tcW w:w="2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7"/>
              </w:rPr>
              <w:t>New York, NY</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400" w:type="dxa"/>
            <w:vAlign w:val="bottom"/>
            <w:tcBorders>
              <w:top w:val="single" w:sz="8" w:color="auto"/>
            </w:tcBorders>
            <w:gridSpan w:val="14"/>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Estate Corp.)**</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8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16"/>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(3)(14)</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6"/>
              </w:rPr>
              <w:t>Cannabis REIT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8/12/2019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251,119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5,106,094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6,277,975</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1.65 %</w:t>
            </w:r>
          </w:p>
        </w:tc>
        <w:tc>
          <w:tcPr>
            <w:tcW w:w="0" w:type="dxa"/>
            <w:vAlign w:val="bottom"/>
          </w:tcPr>
          <w:p>
            <w:pPr>
              <w:spacing w:after="0"/>
              <w:rPr>
                <w:sz w:val="1"/>
                <w:szCs w:val="1"/>
                <w:color w:val="auto"/>
              </w:rPr>
            </w:pPr>
          </w:p>
        </w:tc>
      </w:tr>
      <w:tr>
        <w:trPr>
          <w:trHeight w:val="142"/>
        </w:trPr>
        <w:tc>
          <w:tcPr>
            <w:tcW w:w="3600" w:type="dxa"/>
            <w:vAlign w:val="bottom"/>
            <w:gridSpan w:val="16"/>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Skillsoft Corp.**</w:t>
            </w:r>
          </w:p>
        </w:tc>
        <w:tc>
          <w:tcPr>
            <w:tcW w:w="100" w:type="dxa"/>
            <w:vAlign w:val="bottom"/>
          </w:tcPr>
          <w:p>
            <w:pPr>
              <w:spacing w:after="0"/>
              <w:rPr>
                <w:sz w:val="12"/>
                <w:szCs w:val="12"/>
                <w:color w:val="auto"/>
              </w:rPr>
            </w:pPr>
          </w:p>
        </w:tc>
        <w:tc>
          <w:tcPr>
            <w:tcW w:w="208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color w:val="auto"/>
                <w:w w:val="98"/>
              </w:rPr>
              <w:t>Nashua, NH</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360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1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Online Education</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6/8/2021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981,843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9,818,430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5,930,332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0" w:type="dxa"/>
            <w:vAlign w:val="bottom"/>
          </w:tcPr>
          <w:p>
            <w:pPr>
              <w:spacing w:after="0"/>
              <w:rPr>
                <w:sz w:val="1"/>
                <w:szCs w:val="1"/>
                <w:color w:val="auto"/>
              </w:rPr>
            </w:pPr>
          </w:p>
        </w:tc>
      </w:tr>
      <w:tr>
        <w:trPr>
          <w:trHeight w:val="142"/>
        </w:trPr>
        <w:tc>
          <w:tcPr>
            <w:tcW w:w="3600" w:type="dxa"/>
            <w:vAlign w:val="bottom"/>
            <w:gridSpan w:val="16"/>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Rover Group, Inc.**</w:t>
            </w:r>
          </w:p>
        </w:tc>
        <w:tc>
          <w:tcPr>
            <w:tcW w:w="100" w:type="dxa"/>
            <w:vAlign w:val="bottom"/>
          </w:tcPr>
          <w:p>
            <w:pPr>
              <w:spacing w:after="0"/>
              <w:rPr>
                <w:sz w:val="12"/>
                <w:szCs w:val="12"/>
                <w:color w:val="auto"/>
              </w:rPr>
            </w:pPr>
          </w:p>
        </w:tc>
        <w:tc>
          <w:tcPr>
            <w:tcW w:w="208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color w:val="auto"/>
                <w:w w:val="96"/>
              </w:rPr>
              <w:t>Seattle, WA</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16"/>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Peer-to-Peer Pet Services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11/3/2014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795,637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2,360,342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4,590,825</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0" w:type="dxa"/>
            <w:vAlign w:val="bottom"/>
          </w:tcPr>
          <w:p>
            <w:pPr>
              <w:spacing w:after="0"/>
              <w:rPr>
                <w:sz w:val="1"/>
                <w:szCs w:val="1"/>
                <w:color w:val="auto"/>
              </w:rPr>
            </w:pPr>
          </w:p>
        </w:tc>
      </w:tr>
      <w:tr>
        <w:trPr>
          <w:trHeight w:val="142"/>
        </w:trPr>
        <w:tc>
          <w:tcPr>
            <w:tcW w:w="3600" w:type="dxa"/>
            <w:vAlign w:val="bottom"/>
            <w:gridSpan w:val="16"/>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Neutron Holdings, Inc. (d/b/a/ Lime)</w:t>
            </w:r>
          </w:p>
        </w:tc>
        <w:tc>
          <w:tcPr>
            <w:tcW w:w="100" w:type="dxa"/>
            <w:vAlign w:val="bottom"/>
          </w:tcPr>
          <w:p>
            <w:pPr>
              <w:spacing w:after="0"/>
              <w:rPr>
                <w:sz w:val="12"/>
                <w:szCs w:val="12"/>
                <w:color w:val="auto"/>
              </w:rPr>
            </w:pPr>
          </w:p>
        </w:tc>
        <w:tc>
          <w:tcPr>
            <w:tcW w:w="208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color w:val="auto"/>
                <w:w w:val="98"/>
              </w:rPr>
              <w:t>San Francisco, CA</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Junior Preferred shares, Series 1-D</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Micromobility</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1/25/2019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41,237,113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10,007,322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3,485,014</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0.92 %</w:t>
            </w:r>
          </w:p>
        </w:tc>
        <w:tc>
          <w:tcPr>
            <w:tcW w:w="0" w:type="dxa"/>
            <w:vAlign w:val="bottom"/>
          </w:tcPr>
          <w:p>
            <w:pPr>
              <w:spacing w:after="0"/>
              <w:rPr>
                <w:sz w:val="1"/>
                <w:szCs w:val="1"/>
                <w:color w:val="auto"/>
              </w:rPr>
            </w:pPr>
          </w:p>
        </w:tc>
      </w:tr>
      <w:tr>
        <w:trPr>
          <w:trHeight w:val="186"/>
        </w:trPr>
        <w:tc>
          <w:tcPr>
            <w:tcW w:w="3600" w:type="dxa"/>
            <w:vAlign w:val="bottom"/>
            <w:gridSpan w:val="16"/>
          </w:tcPr>
          <w:p>
            <w:pPr>
              <w:ind w:left="20"/>
              <w:spacing w:after="0"/>
              <w:rPr>
                <w:sz w:val="20"/>
                <w:szCs w:val="20"/>
                <w:color w:val="auto"/>
              </w:rPr>
            </w:pPr>
            <w:r>
              <w:rPr>
                <w:rFonts w:ascii="Times New Roman" w:cs="Times New Roman" w:eastAsia="Times New Roman" w:hAnsi="Times New Roman"/>
                <w:sz w:val="14"/>
                <w:szCs w:val="14"/>
                <w:color w:val="auto"/>
              </w:rPr>
              <w:t>Junior Preferred Convertible Note 4% Due 5/11/2027***</w:t>
            </w: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5/11/2020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506,339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506,339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506,339</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0.13 %</w:t>
            </w: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3580" w:type="dxa"/>
            <w:vAlign w:val="bottom"/>
            <w:gridSpan w:val="15"/>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Common Warrants, Strike Price $0.01, Expiration Date</w:t>
            </w:r>
          </w:p>
        </w:tc>
        <w:tc>
          <w:tcPr>
            <w:tcW w:w="10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5/11/2020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2,032,967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4"/>
        </w:trPr>
        <w:tc>
          <w:tcPr>
            <w:tcW w:w="8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5/11/2027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15"/>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10,513,661</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3,991,353</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3580" w:type="dxa"/>
            <w:vAlign w:val="bottom"/>
            <w:gridSpan w:val="15"/>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Enjoy Technology, Inc.**</w:t>
            </w:r>
          </w:p>
        </w:tc>
        <w:tc>
          <w:tcPr>
            <w:tcW w:w="1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9"/>
              </w:rPr>
              <w:t>Menlo Park, CA</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CCEEFF"/>
            </w:tcBorders>
          </w:tcPr>
          <w:p>
            <w:pPr>
              <w:spacing w:after="0"/>
              <w:rPr>
                <w:sz w:val="20"/>
                <w:szCs w:val="20"/>
                <w:color w:val="auto"/>
              </w:rPr>
            </w:pPr>
          </w:p>
        </w:tc>
        <w:tc>
          <w:tcPr>
            <w:tcW w:w="13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2240" w:type="dxa"/>
            <w:vAlign w:val="bottom"/>
            <w:tcBorders>
              <w:top w:val="single" w:sz="8" w:color="CCEEFF"/>
            </w:tcBorders>
            <w:gridSpan w:val="8"/>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On-Demand Commerce</w:t>
            </w:r>
          </w:p>
        </w:tc>
        <w:tc>
          <w:tcPr>
            <w:tcW w:w="9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10/16/2014</w:t>
            </w: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1,070,919</w:t>
            </w: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5,526,777</w:t>
            </w: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3,947,407</w:t>
            </w:r>
          </w:p>
        </w:tc>
        <w:tc>
          <w:tcPr>
            <w:tcW w:w="100" w:type="dxa"/>
            <w:vAlign w:val="bottom"/>
            <w:tcBorders>
              <w:top w:val="single" w:sz="8" w:color="CCEEFF"/>
            </w:tcBorders>
          </w:tcPr>
          <w:p>
            <w:pPr>
              <w:spacing w:after="0"/>
              <w:rPr>
                <w:sz w:val="20"/>
                <w:szCs w:val="20"/>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-740410</wp:posOffset>
            </wp:positionV>
            <wp:extent cx="3597910" cy="131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97910" cy="13144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-4346575</wp:posOffset>
            </wp:positionV>
            <wp:extent cx="2275205" cy="131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75205" cy="13144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-4946015</wp:posOffset>
            </wp:positionV>
            <wp:extent cx="4279265" cy="221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79265" cy="22161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-5455285</wp:posOffset>
            </wp:positionV>
            <wp:extent cx="2275205" cy="131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75205" cy="1314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SCHEDULE OF INVESTMENTS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80" w:type="dxa"/>
            <w:vAlign w:val="bottom"/>
            <w:gridSpan w:val="19"/>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3"/>
                <w:szCs w:val="13"/>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Headquarters/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Date of Initial</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00" w:type="dxa"/>
            <w:vAlign w:val="bottom"/>
          </w:tcPr>
          <w:p>
            <w:pPr>
              <w:spacing w:after="0"/>
              <w:rPr>
                <w:sz w:val="13"/>
                <w:szCs w:val="13"/>
                <w:color w:val="auto"/>
              </w:rPr>
            </w:pP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80" w:type="dxa"/>
            <w:vAlign w:val="bottom"/>
            <w:gridSpan w:val="19"/>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4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Borders>
              <w:top w:val="single" w:sz="8" w:color="auto"/>
            </w:tcBorders>
            <w:shd w:val="clear" w:color="auto" w:fill="CCEEFF"/>
          </w:tcPr>
          <w:p>
            <w:pPr>
              <w:spacing w:after="0"/>
              <w:rPr>
                <w:sz w:val="15"/>
                <w:szCs w:val="15"/>
                <w:color w:val="auto"/>
              </w:rPr>
            </w:pPr>
          </w:p>
        </w:tc>
        <w:tc>
          <w:tcPr>
            <w:tcW w:w="3560" w:type="dxa"/>
            <w:vAlign w:val="bottom"/>
            <w:tcBorders>
              <w:top w:val="single" w:sz="8" w:color="auto"/>
            </w:tcBorders>
            <w:gridSpan w:val="18"/>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True Global Ventures 4 Plus Pte Ltd**</w:t>
            </w:r>
            <w:r>
              <w:rPr>
                <w:rFonts w:ascii="Times New Roman" w:cs="Times New Roman" w:eastAsia="Times New Roman" w:hAnsi="Times New Roman"/>
                <w:sz w:val="16"/>
                <w:szCs w:val="16"/>
                <w:b w:val="1"/>
                <w:bCs w:val="1"/>
                <w:color w:val="auto"/>
                <w:vertAlign w:val="superscript"/>
              </w:rPr>
              <w:t>(8)</w:t>
            </w:r>
          </w:p>
        </w:tc>
        <w:tc>
          <w:tcPr>
            <w:tcW w:w="10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Singapore, Singapore</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214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Limited Partner Fund Investment</w:t>
            </w:r>
          </w:p>
        </w:tc>
        <w:tc>
          <w:tcPr>
            <w:tcW w:w="1420" w:type="dxa"/>
            <w:vAlign w:val="bottom"/>
            <w:tcBorders>
              <w:top w:val="single" w:sz="8" w:color="CCEEFF"/>
            </w:tcBorders>
            <w:gridSpan w:val="6"/>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Venture Investment Fund</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8/27/2021</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713,505</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3,937,828</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560" w:type="dxa"/>
            <w:vAlign w:val="bottom"/>
            <w:gridSpan w:val="18"/>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Residential Homes for Rent, LLC (d/b/a Second Avenue)</w:t>
            </w:r>
          </w:p>
        </w:tc>
        <w:tc>
          <w:tcPr>
            <w:tcW w:w="1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8"/>
              </w:rPr>
              <w:t>Chicago, IL</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CCEEFF"/>
            </w:tcBorders>
          </w:tcPr>
          <w:p>
            <w:pPr>
              <w:spacing w:after="0"/>
              <w:rPr>
                <w:sz w:val="16"/>
                <w:szCs w:val="16"/>
                <w:color w:val="auto"/>
              </w:rPr>
            </w:pPr>
          </w:p>
        </w:tc>
        <w:tc>
          <w:tcPr>
            <w:tcW w:w="3320" w:type="dxa"/>
            <w:vAlign w:val="bottom"/>
            <w:tcBorders>
              <w:top w:val="single" w:sz="8" w:color="auto"/>
            </w:tcBorders>
            <w:gridSpan w:val="15"/>
          </w:tcPr>
          <w:p>
            <w:pPr>
              <w:spacing w:after="0" w:line="187" w:lineRule="exact"/>
              <w:rPr>
                <w:sz w:val="20"/>
                <w:szCs w:val="20"/>
                <w:color w:val="auto"/>
              </w:rPr>
            </w:pPr>
            <w:r>
              <w:rPr>
                <w:rFonts w:ascii="Times New Roman" w:cs="Times New Roman" w:eastAsia="Times New Roman" w:hAnsi="Times New Roman"/>
                <w:sz w:val="14"/>
                <w:szCs w:val="14"/>
                <w:color w:val="auto"/>
              </w:rPr>
              <w:t>Preferred shares, Series A</w:t>
            </w:r>
            <w:r>
              <w:rPr>
                <w:rFonts w:ascii="Times New Roman" w:cs="Times New Roman" w:eastAsia="Times New Roman" w:hAnsi="Times New Roman"/>
                <w:sz w:val="17"/>
                <w:szCs w:val="17"/>
                <w:color w:val="auto"/>
                <w:vertAlign w:val="superscript"/>
              </w:rPr>
              <w:t>(6)</w:t>
            </w:r>
          </w:p>
        </w:tc>
        <w:tc>
          <w:tcPr>
            <w:tcW w:w="240" w:type="dxa"/>
            <w:vAlign w:val="bottom"/>
            <w:tcBorders>
              <w:top w:val="single" w:sz="8" w:color="CCEEFF"/>
            </w:tcBorders>
            <w:gridSpan w:val="3"/>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Real Estate Platform</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7"/>
              </w:rPr>
              <w:t>12/23/2020</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2,081,673</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358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15%, Due 12/23/2023***</w:t>
            </w:r>
            <w:r>
              <w:rPr>
                <w:rFonts w:ascii="Times New Roman" w:cs="Times New Roman" w:eastAsia="Times New Roman" w:hAnsi="Times New Roman"/>
                <w:sz w:val="17"/>
                <w:szCs w:val="17"/>
                <w:color w:val="auto"/>
                <w:vertAlign w:val="superscript"/>
              </w:rPr>
              <w:t>(13)</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12/23/2020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1,750,000</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580" w:type="dxa"/>
            <w:vAlign w:val="bottom"/>
            <w:tcBorders>
              <w:bottom w:val="single" w:sz="8" w:color="CCEEFF"/>
            </w:tcBorders>
            <w:gridSpan w:val="19"/>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3,250,000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3,831,673</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5"/>
              </w:rPr>
              <w:t>PayJoy, Inc.</w:t>
            </w:r>
          </w:p>
        </w:tc>
        <w:tc>
          <w:tcPr>
            <w:tcW w:w="2840" w:type="dxa"/>
            <w:vAlign w:val="bottom"/>
            <w:tcBorders>
              <w:bottom w:val="single" w:sz="8" w:color="CCEEFF"/>
            </w:tcBorders>
            <w:gridSpan w:val="17"/>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80" w:type="dxa"/>
            <w:vAlign w:val="bottom"/>
            <w:tcBorders>
              <w:bottom w:val="single" w:sz="8" w:color="CCEEFF"/>
            </w:tcBorders>
            <w:gridSpan w:val="2"/>
            <w:shd w:val="clear" w:color="auto" w:fill="CCEEFF"/>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San Francisco, CA</w:t>
            </w: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80" w:type="dxa"/>
            <w:vAlign w:val="bottom"/>
            <w:gridSpan w:val="19"/>
          </w:tcPr>
          <w:p>
            <w:pPr>
              <w:ind w:left="20"/>
              <w:spacing w:after="0"/>
              <w:rPr>
                <w:sz w:val="20"/>
                <w:szCs w:val="20"/>
                <w:color w:val="auto"/>
              </w:rPr>
            </w:pPr>
            <w:r>
              <w:rPr>
                <w:rFonts w:ascii="Times New Roman" w:cs="Times New Roman" w:eastAsia="Times New Roman" w:hAnsi="Times New Roman"/>
                <w:sz w:val="14"/>
                <w:szCs w:val="14"/>
                <w:color w:val="auto"/>
              </w:rPr>
              <w:t>Preferred shares</w:t>
            </w: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Mobile Access Technology</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7/23/2021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244,117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2,501,570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2,500,002</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Aventine Property Group, Inc.</w:t>
            </w:r>
            <w:r>
              <w:rPr>
                <w:rFonts w:ascii="Times New Roman" w:cs="Times New Roman" w:eastAsia="Times New Roman" w:hAnsi="Times New Roman"/>
                <w:sz w:val="17"/>
                <w:szCs w:val="17"/>
                <w:b w:val="1"/>
                <w:bCs w:val="1"/>
                <w:color w:val="auto"/>
                <w:vertAlign w:val="superscript"/>
              </w:rPr>
              <w:t>(12)</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8"/>
              </w:rPr>
              <w:t>Chicago, IL</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80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760" w:type="dxa"/>
            <w:vAlign w:val="bottom"/>
            <w:tcBorders>
              <w:top w:val="single" w:sz="8" w:color="CCEEFF"/>
            </w:tcBorders>
            <w:gridSpan w:val="8"/>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Cannabis REIT</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9/11/2019</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2,580,750</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2,228,187</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560" w:type="dxa"/>
            <w:vAlign w:val="bottom"/>
            <w:gridSpan w:val="18"/>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Rent the Runway, Inc.**</w:t>
            </w:r>
          </w:p>
        </w:tc>
        <w:tc>
          <w:tcPr>
            <w:tcW w:w="1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5"/>
              </w:rPr>
              <w:t>New York, NY</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CCEEFF"/>
            </w:tcBorders>
          </w:tcPr>
          <w:p>
            <w:pPr>
              <w:spacing w:after="0"/>
              <w:rPr>
                <w:sz w:val="16"/>
                <w:szCs w:val="16"/>
                <w:color w:val="auto"/>
              </w:rPr>
            </w:pPr>
          </w:p>
        </w:tc>
        <w:tc>
          <w:tcPr>
            <w:tcW w:w="1320" w:type="dxa"/>
            <w:vAlign w:val="bottom"/>
            <w:tcBorders>
              <w:top w:val="single" w:sz="8" w:color="auto"/>
            </w:tcBorders>
            <w:gridSpan w:val="5"/>
          </w:tcPr>
          <w:p>
            <w:pPr>
              <w:spacing w:after="0" w:line="187"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2240" w:type="dxa"/>
            <w:vAlign w:val="bottom"/>
            <w:tcBorders>
              <w:top w:val="single" w:sz="8" w:color="CCEEFF"/>
            </w:tcBorders>
            <w:gridSpan w:val="13"/>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Subscription Fashion Rental</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6/17/2020</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339,191</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5,153,945</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2,196,804</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1"/>
        </w:trPr>
        <w:tc>
          <w:tcPr>
            <w:tcW w:w="20" w:type="dxa"/>
            <w:vAlign w:val="bottom"/>
            <w:tcBorders>
              <w:bottom w:val="single" w:sz="8" w:color="CCEEFF"/>
            </w:tcBorders>
            <w:vMerge w:val="restart"/>
            <w:shd w:val="clear" w:color="auto" w:fill="CCEEFF"/>
          </w:tcPr>
          <w:p>
            <w:pPr>
              <w:spacing w:after="0"/>
              <w:rPr>
                <w:sz w:val="7"/>
                <w:szCs w:val="7"/>
                <w:color w:val="auto"/>
              </w:rPr>
            </w:pPr>
          </w:p>
        </w:tc>
        <w:tc>
          <w:tcPr>
            <w:tcW w:w="3340" w:type="dxa"/>
            <w:vAlign w:val="bottom"/>
            <w:tcBorders>
              <w:bottom w:val="single" w:sz="8" w:color="CCEEFF"/>
            </w:tcBorders>
            <w:gridSpan w:val="16"/>
            <w:vMerge w:val="restart"/>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Commercial Streaming Solutions Inc. (d/b/a BettorView)</w:t>
            </w:r>
          </w:p>
        </w:tc>
        <w:tc>
          <w:tcPr>
            <w:tcW w:w="8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b w:val="1"/>
                <w:bCs w:val="1"/>
                <w:color w:val="auto"/>
                <w:w w:val="89"/>
              </w:rPr>
              <w:t>(7</w:t>
            </w:r>
          </w:p>
        </w:tc>
        <w:tc>
          <w:tcPr>
            <w:tcW w:w="140" w:type="dxa"/>
            <w:vAlign w:val="bottom"/>
            <w:tcBorders>
              <w:bottom w:val="single" w:sz="8" w:color="CCEEFF"/>
            </w:tcBorders>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100" w:type="dxa"/>
            <w:vAlign w:val="bottom"/>
            <w:tcBorders>
              <w:bottom w:val="single" w:sz="8" w:color="CCEEFF"/>
            </w:tcBorders>
            <w:shd w:val="clear" w:color="auto" w:fill="CCEEFF"/>
          </w:tcPr>
          <w:p>
            <w:pPr>
              <w:spacing w:after="0"/>
              <w:rPr>
                <w:sz w:val="7"/>
                <w:szCs w:val="7"/>
                <w:color w:val="auto"/>
              </w:rPr>
            </w:pPr>
          </w:p>
        </w:tc>
        <w:tc>
          <w:tcPr>
            <w:tcW w:w="2080" w:type="dxa"/>
            <w:vAlign w:val="bottom"/>
            <w:tcBorders>
              <w:bottom w:val="single" w:sz="8" w:color="CCEEFF"/>
            </w:tcBorders>
            <w:gridSpan w:val="2"/>
            <w:vMerge w:val="restart"/>
            <w:shd w:val="clear" w:color="auto" w:fill="CCEEFF"/>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5"/>
              </w:rPr>
              <w:t>Las Vegas, NV</w:t>
            </w:r>
          </w:p>
        </w:tc>
        <w:tc>
          <w:tcPr>
            <w:tcW w:w="9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8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CCEEFF"/>
            </w:tcBorders>
            <w:vMerge w:val="continue"/>
            <w:shd w:val="clear" w:color="auto" w:fill="CCEEFF"/>
          </w:tcPr>
          <w:p>
            <w:pPr>
              <w:spacing w:after="0"/>
              <w:rPr>
                <w:sz w:val="5"/>
                <w:szCs w:val="5"/>
                <w:color w:val="auto"/>
              </w:rPr>
            </w:pPr>
          </w:p>
        </w:tc>
        <w:tc>
          <w:tcPr>
            <w:tcW w:w="3340" w:type="dxa"/>
            <w:vAlign w:val="bottom"/>
            <w:tcBorders>
              <w:bottom w:val="single" w:sz="8" w:color="auto"/>
            </w:tcBorders>
            <w:gridSpan w:val="16"/>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80" w:type="dxa"/>
            <w:vAlign w:val="bottom"/>
            <w:tcBorders>
              <w:bottom w:val="single" w:sz="8" w:color="CCEEFF"/>
            </w:tcBorders>
            <w:gridSpan w:val="2"/>
            <w:vMerge w:val="continue"/>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8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3580" w:type="dxa"/>
            <w:vAlign w:val="bottom"/>
            <w:gridSpan w:val="19"/>
          </w:tcPr>
          <w:p>
            <w:pPr>
              <w:ind w:left="20"/>
              <w:spacing w:after="0"/>
              <w:rPr>
                <w:sz w:val="20"/>
                <w:szCs w:val="20"/>
                <w:color w:val="auto"/>
              </w:rPr>
            </w:pPr>
            <w:r>
              <w:rPr>
                <w:rFonts w:ascii="Times New Roman" w:cs="Times New Roman" w:eastAsia="Times New Roman" w:hAnsi="Times New Roman"/>
                <w:sz w:val="14"/>
                <w:szCs w:val="14"/>
                <w:color w:val="auto"/>
              </w:rPr>
              <w:t>Simple Agreement for Future Equity</w:t>
            </w: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Interactive Media &amp; Services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3/26/2021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1,002,720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Rebric, Inc. (d/b/a Compliable)</w:t>
            </w:r>
            <w:r>
              <w:rPr>
                <w:rFonts w:ascii="Times New Roman" w:cs="Times New Roman" w:eastAsia="Times New Roman" w:hAnsi="Times New Roman"/>
                <w:sz w:val="17"/>
                <w:szCs w:val="17"/>
                <w:b w:val="1"/>
                <w:bCs w:val="1"/>
                <w:color w:val="auto"/>
                <w:vertAlign w:val="superscript"/>
              </w:rPr>
              <w:t>(7)</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7"/>
              </w:rPr>
              <w:t>Denver, CO</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84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4"/>
                <w:szCs w:val="14"/>
                <w:color w:val="auto"/>
              </w:rPr>
              <w:t>Preferred shares, Series Seed-4</w:t>
            </w:r>
          </w:p>
        </w:tc>
        <w:tc>
          <w:tcPr>
            <w:tcW w:w="1720" w:type="dxa"/>
            <w:vAlign w:val="bottom"/>
            <w:tcBorders>
              <w:top w:val="single" w:sz="8" w:color="CCEEFF"/>
            </w:tcBorders>
            <w:gridSpan w:val="7"/>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Gaming Licensing</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7"/>
              </w:rPr>
              <w:t>10/12/2021</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2,064,409</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1,002,755</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Palantir Lending Trust SPV I **</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7"/>
                <w:szCs w:val="17"/>
                <w:b w:val="1"/>
                <w:bCs w:val="1"/>
                <w:color w:val="auto"/>
                <w:vertAlign w:val="superscript"/>
              </w:rPr>
              <w:t>11)</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7"/>
              </w:rPr>
              <w:t>Palo Alto, CA</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Data Analysis</w:t>
            </w: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741,553</w:t>
            </w: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560" w:type="dxa"/>
            <w:vAlign w:val="bottom"/>
            <w:gridSpan w:val="18"/>
          </w:tcPr>
          <w:p>
            <w:pPr>
              <w:spacing w:after="0" w:line="187" w:lineRule="exact"/>
              <w:rPr>
                <w:sz w:val="20"/>
                <w:szCs w:val="20"/>
                <w:color w:val="auto"/>
              </w:rPr>
            </w:pPr>
            <w:r>
              <w:rPr>
                <w:rFonts w:ascii="Times New Roman" w:cs="Times New Roman" w:eastAsia="Times New Roman" w:hAnsi="Times New Roman"/>
                <w:sz w:val="14"/>
                <w:szCs w:val="14"/>
                <w:color w:val="auto"/>
              </w:rPr>
              <w:t>Equity Participation in Underlying Collateral</w:t>
            </w:r>
            <w:r>
              <w:rPr>
                <w:rFonts w:ascii="Times New Roman" w:cs="Times New Roman" w:eastAsia="Times New Roman" w:hAnsi="Times New Roman"/>
                <w:sz w:val="17"/>
                <w:szCs w:val="17"/>
                <w:color w:val="auto"/>
                <w:vertAlign w:val="superscript"/>
              </w:rPr>
              <w:t>(3)</w:t>
            </w:r>
          </w:p>
        </w:tc>
        <w:tc>
          <w:tcPr>
            <w:tcW w:w="10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6/19/2020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YouBet Technology, Inc. (d/b/a PickUp)</w:t>
            </w:r>
            <w:r>
              <w:rPr>
                <w:rFonts w:ascii="Times New Roman" w:cs="Times New Roman" w:eastAsia="Times New Roman" w:hAnsi="Times New Roman"/>
                <w:sz w:val="16"/>
                <w:szCs w:val="16"/>
                <w:b w:val="1"/>
                <w:bCs w:val="1"/>
                <w:color w:val="auto"/>
                <w:vertAlign w:val="superscript"/>
              </w:rPr>
              <w:t>(7)</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5"/>
              </w:rPr>
              <w:t>New York, NY</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232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4"/>
                <w:szCs w:val="14"/>
                <w:color w:val="auto"/>
              </w:rPr>
              <w:t>Preferred shares, Series Seed-2</w:t>
            </w:r>
          </w:p>
        </w:tc>
        <w:tc>
          <w:tcPr>
            <w:tcW w:w="1240" w:type="dxa"/>
            <w:vAlign w:val="bottom"/>
            <w:tcBorders>
              <w:top w:val="single" w:sz="8" w:color="CCEEFF"/>
            </w:tcBorders>
            <w:gridSpan w:val="5"/>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Digital Media Technology</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8/26/2021</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385,353</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502,232</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499,999</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Churchill Sponsor VII LLC**</w:t>
            </w:r>
            <w:r>
              <w:rPr>
                <w:rFonts w:ascii="Times New Roman" w:cs="Times New Roman" w:eastAsia="Times New Roman" w:hAnsi="Times New Roman"/>
                <w:sz w:val="17"/>
                <w:szCs w:val="17"/>
                <w:b w:val="1"/>
                <w:bCs w:val="1"/>
                <w:color w:val="auto"/>
                <w:vertAlign w:val="superscript"/>
              </w:rPr>
              <w:t>(15)</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5"/>
              </w:rPr>
              <w:t>New York, NY</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vMerge w:val="restart"/>
          </w:tcPr>
          <w:p>
            <w:pPr>
              <w:spacing w:after="0"/>
              <w:rPr>
                <w:sz w:val="11"/>
                <w:szCs w:val="11"/>
                <w:color w:val="auto"/>
              </w:rPr>
            </w:pPr>
          </w:p>
        </w:tc>
        <w:tc>
          <w:tcPr>
            <w:tcW w:w="1640" w:type="dxa"/>
            <w:vAlign w:val="bottom"/>
            <w:tcBorders>
              <w:top w:val="single" w:sz="8" w:color="auto"/>
            </w:tcBorders>
            <w:gridSpan w:val="8"/>
            <w:vMerge w:val="restart"/>
          </w:tcPr>
          <w:p>
            <w:pPr>
              <w:spacing w:after="0"/>
              <w:rPr>
                <w:sz w:val="20"/>
                <w:szCs w:val="20"/>
                <w:color w:val="auto"/>
              </w:rPr>
            </w:pPr>
            <w:r>
              <w:rPr>
                <w:rFonts w:ascii="Times New Roman" w:cs="Times New Roman" w:eastAsia="Times New Roman" w:hAnsi="Times New Roman"/>
                <w:sz w:val="14"/>
                <w:szCs w:val="14"/>
                <w:color w:val="auto"/>
              </w:rPr>
              <w:t>Common share units</w:t>
            </w:r>
          </w:p>
        </w:tc>
        <w:tc>
          <w:tcPr>
            <w:tcW w:w="1920" w:type="dxa"/>
            <w:vAlign w:val="bottom"/>
            <w:tcBorders>
              <w:top w:val="single" w:sz="8" w:color="CCEEFF"/>
            </w:tcBorders>
            <w:gridSpan w:val="10"/>
            <w:vMerge w:val="restart"/>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80" w:type="dxa"/>
            <w:vAlign w:val="bottom"/>
            <w:tcBorders>
              <w:top w:val="single" w:sz="8" w:color="CCEEFF"/>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Special Purpose Acquisition</w:t>
            </w:r>
          </w:p>
        </w:tc>
        <w:tc>
          <w:tcPr>
            <w:tcW w:w="98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292,100</w:t>
            </w:r>
          </w:p>
        </w:tc>
        <w:tc>
          <w:tcPr>
            <w:tcW w:w="1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205,820</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205,820</w:t>
            </w:r>
          </w:p>
        </w:tc>
        <w:tc>
          <w:tcPr>
            <w:tcW w:w="12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640" w:type="dxa"/>
            <w:vAlign w:val="bottom"/>
            <w:gridSpan w:val="8"/>
            <w:vMerge w:val="continue"/>
          </w:tcPr>
          <w:p>
            <w:pPr>
              <w:spacing w:after="0"/>
              <w:rPr>
                <w:sz w:val="16"/>
                <w:szCs w:val="16"/>
                <w:color w:val="auto"/>
              </w:rPr>
            </w:pPr>
          </w:p>
        </w:tc>
        <w:tc>
          <w:tcPr>
            <w:tcW w:w="1920" w:type="dxa"/>
            <w:vAlign w:val="bottom"/>
            <w:gridSpan w:val="10"/>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Company</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8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units</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277,000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94,180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94,180</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gridSpan w:val="18"/>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3560" w:type="dxa"/>
            <w:vAlign w:val="bottom"/>
            <w:gridSpan w:val="18"/>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Kahoot! ASA**</w:t>
            </w:r>
          </w:p>
        </w:tc>
        <w:tc>
          <w:tcPr>
            <w:tcW w:w="1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9"/>
              </w:rPr>
              <w:t>Oslo, Norway</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458,138</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287,205</w:t>
            </w: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560" w:type="dxa"/>
            <w:vAlign w:val="bottom"/>
            <w:gridSpan w:val="18"/>
          </w:tcPr>
          <w:p>
            <w:pPr>
              <w:spacing w:after="0" w:line="187"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Education Software</w:t>
            </w:r>
          </w:p>
        </w:tc>
        <w:tc>
          <w:tcPr>
            <w:tcW w:w="100" w:type="dxa"/>
            <w:vAlign w:val="bottom"/>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12/5/2014</w:t>
            </w: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99,672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AltC Sponsor LLC**</w:t>
            </w:r>
            <w:r>
              <w:rPr>
                <w:rFonts w:ascii="Times New Roman" w:cs="Times New Roman" w:eastAsia="Times New Roman" w:hAnsi="Times New Roman"/>
                <w:sz w:val="16"/>
                <w:szCs w:val="16"/>
                <w:b w:val="1"/>
                <w:bCs w:val="1"/>
                <w:color w:val="auto"/>
                <w:vertAlign w:val="superscript"/>
              </w:rPr>
              <w:t>(15)</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5"/>
              </w:rPr>
              <w:t>New York, NY</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vMerge w:val="restart"/>
          </w:tcPr>
          <w:p>
            <w:pPr>
              <w:spacing w:after="0"/>
              <w:rPr>
                <w:sz w:val="11"/>
                <w:szCs w:val="11"/>
                <w:color w:val="auto"/>
              </w:rPr>
            </w:pPr>
          </w:p>
        </w:tc>
        <w:tc>
          <w:tcPr>
            <w:tcW w:w="112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4"/>
                <w:szCs w:val="14"/>
                <w:color w:val="auto"/>
              </w:rPr>
              <w:t>Share units</w:t>
            </w:r>
          </w:p>
        </w:tc>
        <w:tc>
          <w:tcPr>
            <w:tcW w:w="2440" w:type="dxa"/>
            <w:vAlign w:val="bottom"/>
            <w:tcBorders>
              <w:top w:val="single" w:sz="8" w:color="CCEEFF"/>
            </w:tcBorders>
            <w:gridSpan w:val="14"/>
            <w:vMerge w:val="restart"/>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80" w:type="dxa"/>
            <w:vAlign w:val="bottom"/>
            <w:tcBorders>
              <w:top w:val="single" w:sz="8" w:color="CCEEFF"/>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Special Purpose Acquisition</w:t>
            </w:r>
          </w:p>
        </w:tc>
        <w:tc>
          <w:tcPr>
            <w:tcW w:w="98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7/21/2021</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239,300</w:t>
            </w:r>
          </w:p>
        </w:tc>
        <w:tc>
          <w:tcPr>
            <w:tcW w:w="1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250,855</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2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2440" w:type="dxa"/>
            <w:vAlign w:val="bottom"/>
            <w:gridSpan w:val="14"/>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Company</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Churchill Sponsor VI LLC**</w:t>
            </w:r>
            <w:r>
              <w:rPr>
                <w:rFonts w:ascii="Times New Roman" w:cs="Times New Roman" w:eastAsia="Times New Roman" w:hAnsi="Times New Roman"/>
                <w:sz w:val="17"/>
                <w:szCs w:val="17"/>
                <w:b w:val="1"/>
                <w:bCs w:val="1"/>
                <w:color w:val="auto"/>
                <w:vertAlign w:val="superscript"/>
              </w:rPr>
              <w:t>(15)</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5"/>
              </w:rPr>
              <w:t>New York, NY</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vMerge w:val="restart"/>
          </w:tcPr>
          <w:p>
            <w:pPr>
              <w:spacing w:after="0"/>
              <w:rPr>
                <w:sz w:val="11"/>
                <w:szCs w:val="11"/>
                <w:color w:val="auto"/>
              </w:rPr>
            </w:pPr>
          </w:p>
        </w:tc>
        <w:tc>
          <w:tcPr>
            <w:tcW w:w="1580" w:type="dxa"/>
            <w:vAlign w:val="bottom"/>
            <w:tcBorders>
              <w:top w:val="single" w:sz="8" w:color="auto"/>
            </w:tcBorders>
            <w:gridSpan w:val="7"/>
            <w:vMerge w:val="restart"/>
          </w:tcPr>
          <w:p>
            <w:pPr>
              <w:spacing w:after="0"/>
              <w:rPr>
                <w:sz w:val="20"/>
                <w:szCs w:val="20"/>
                <w:color w:val="auto"/>
              </w:rPr>
            </w:pPr>
            <w:r>
              <w:rPr>
                <w:rFonts w:ascii="Times New Roman" w:cs="Times New Roman" w:eastAsia="Times New Roman" w:hAnsi="Times New Roman"/>
                <w:sz w:val="14"/>
                <w:szCs w:val="14"/>
                <w:color w:val="auto"/>
              </w:rPr>
              <w:t>Common share units</w:t>
            </w:r>
          </w:p>
        </w:tc>
        <w:tc>
          <w:tcPr>
            <w:tcW w:w="1980" w:type="dxa"/>
            <w:vAlign w:val="bottom"/>
            <w:tcBorders>
              <w:top w:val="single" w:sz="8" w:color="CCEEFF"/>
            </w:tcBorders>
            <w:gridSpan w:val="11"/>
            <w:vMerge w:val="restart"/>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80" w:type="dxa"/>
            <w:vAlign w:val="bottom"/>
            <w:tcBorders>
              <w:top w:val="single" w:sz="8" w:color="CCEEFF"/>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Special Purpose Acquisition</w:t>
            </w:r>
          </w:p>
        </w:tc>
        <w:tc>
          <w:tcPr>
            <w:tcW w:w="98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195,000</w:t>
            </w:r>
          </w:p>
        </w:tc>
        <w:tc>
          <w:tcPr>
            <w:tcW w:w="1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134,297</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134,297</w:t>
            </w:r>
          </w:p>
        </w:tc>
        <w:tc>
          <w:tcPr>
            <w:tcW w:w="12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580" w:type="dxa"/>
            <w:vAlign w:val="bottom"/>
            <w:gridSpan w:val="7"/>
            <w:vMerge w:val="continue"/>
          </w:tcPr>
          <w:p>
            <w:pPr>
              <w:spacing w:after="0"/>
              <w:rPr>
                <w:sz w:val="16"/>
                <w:szCs w:val="16"/>
                <w:color w:val="auto"/>
              </w:rPr>
            </w:pPr>
          </w:p>
        </w:tc>
        <w:tc>
          <w:tcPr>
            <w:tcW w:w="1980" w:type="dxa"/>
            <w:vAlign w:val="bottom"/>
            <w:gridSpan w:val="11"/>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Company</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8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units</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199,100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65,703</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gridSpan w:val="18"/>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6"/>
              </w:rPr>
              <w:t>Fullbridge, Inc.</w:t>
            </w:r>
          </w:p>
        </w:tc>
        <w:tc>
          <w:tcPr>
            <w:tcW w:w="2640" w:type="dxa"/>
            <w:vAlign w:val="bottom"/>
            <w:tcBorders>
              <w:bottom w:val="single" w:sz="8" w:color="CCEEFF"/>
            </w:tcBorders>
            <w:gridSpan w:val="15"/>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80" w:type="dxa"/>
            <w:vAlign w:val="bottom"/>
            <w:tcBorders>
              <w:bottom w:val="single" w:sz="8" w:color="CCEEFF"/>
            </w:tcBorders>
            <w:gridSpan w:val="2"/>
            <w:shd w:val="clear" w:color="auto" w:fill="CCEEFF"/>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8"/>
              </w:rPr>
              <w:t>Cambridge, MA</w:t>
            </w: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80" w:type="dxa"/>
            <w:vAlign w:val="bottom"/>
            <w:gridSpan w:val="19"/>
          </w:tcPr>
          <w:p>
            <w:pPr>
              <w:ind w:left="20"/>
              <w:spacing w:after="0"/>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Business Education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5/13/2012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517,917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6,150,506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2"/>
        </w:trPr>
        <w:tc>
          <w:tcPr>
            <w:tcW w:w="358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Promissory Note 1.47%, Due 11/9/2021</w:t>
            </w:r>
            <w:r>
              <w:rPr>
                <w:rFonts w:ascii="Times New Roman" w:cs="Times New Roman" w:eastAsia="Times New Roman" w:hAnsi="Times New Roman"/>
                <w:sz w:val="17"/>
                <w:szCs w:val="17"/>
                <w:color w:val="auto"/>
                <w:vertAlign w:val="superscript"/>
              </w:rPr>
              <w:t>(4)(16)</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3/3/2016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2,270,458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2,270,858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gridSpan w:val="18"/>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8,421,364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Treehouse Real Estate Investment Trust, Inc.</w:t>
            </w:r>
            <w:r>
              <w:rPr>
                <w:rFonts w:ascii="Times New Roman" w:cs="Times New Roman" w:eastAsia="Times New Roman" w:hAnsi="Times New Roman"/>
                <w:sz w:val="16"/>
                <w:szCs w:val="16"/>
                <w:b w:val="1"/>
                <w:bCs w:val="1"/>
                <w:color w:val="auto"/>
                <w:vertAlign w:val="superscript"/>
              </w:rPr>
              <w:t>(12)</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8"/>
              </w:rPr>
              <w:t>Chicago, IL</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264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920" w:type="dxa"/>
            <w:vAlign w:val="bottom"/>
            <w:tcBorders>
              <w:top w:val="single" w:sz="8" w:color="CCEEFF"/>
            </w:tcBorders>
            <w:gridSpan w:val="4"/>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Cannabis REIT</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9/11/2019</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4,919,250</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auto"/>
            </w:tcBorders>
            <w:gridSpan w:val="6"/>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w w:val="96"/>
              </w:rPr>
              <w:t>Kinetiq Holdings, LLC</w:t>
            </w:r>
          </w:p>
        </w:tc>
        <w:tc>
          <w:tcPr>
            <w:tcW w:w="2200" w:type="dxa"/>
            <w:vAlign w:val="bottom"/>
            <w:tcBorders>
              <w:bottom w:val="single" w:sz="8" w:color="CCEEFF"/>
            </w:tcBorders>
            <w:gridSpan w:val="1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CCEEFF"/>
            </w:tcBorders>
            <w:gridSpan w:val="2"/>
            <w:shd w:val="clear" w:color="auto" w:fill="CCEEFF"/>
          </w:tcPr>
          <w:p>
            <w:pPr>
              <w:jc w:val="center"/>
              <w:ind w:right="120"/>
              <w:spacing w:after="0" w:line="150" w:lineRule="exact"/>
              <w:rPr>
                <w:sz w:val="20"/>
                <w:szCs w:val="20"/>
                <w:color w:val="auto"/>
              </w:rPr>
            </w:pPr>
            <w:r>
              <w:rPr>
                <w:rFonts w:ascii="Times New Roman" w:cs="Times New Roman" w:eastAsia="Times New Roman" w:hAnsi="Times New Roman"/>
                <w:sz w:val="14"/>
                <w:szCs w:val="14"/>
                <w:color w:val="auto"/>
                <w:w w:val="96"/>
              </w:rPr>
              <w:t>Philadelphia, PA</w:t>
            </w: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80" w:type="dxa"/>
            <w:vAlign w:val="bottom"/>
            <w:gridSpan w:val="19"/>
          </w:tcPr>
          <w:p>
            <w:pPr>
              <w:ind w:left="20"/>
              <w:spacing w:after="0"/>
              <w:rPr>
                <w:sz w:val="20"/>
                <w:szCs w:val="20"/>
                <w:color w:val="auto"/>
              </w:rPr>
            </w:pPr>
            <w:r>
              <w:rPr>
                <w:rFonts w:ascii="Times New Roman" w:cs="Times New Roman" w:eastAsia="Times New Roman" w:hAnsi="Times New Roman"/>
                <w:sz w:val="14"/>
                <w:szCs w:val="14"/>
                <w:color w:val="auto"/>
              </w:rPr>
              <w:t>Common shares, Class A</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Social Data Platform</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3/30/2012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112,374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60" w:type="dxa"/>
            <w:vAlign w:val="bottom"/>
            <w:gridSpan w:val="18"/>
          </w:tcPr>
          <w:p>
            <w:pPr>
              <w:ind w:left="120"/>
              <w:spacing w:after="0"/>
              <w:rPr>
                <w:sz w:val="20"/>
                <w:szCs w:val="20"/>
                <w:color w:val="auto"/>
              </w:rPr>
            </w:pPr>
            <w:r>
              <w:rPr>
                <w:rFonts w:ascii="Times New Roman" w:cs="Times New Roman" w:eastAsia="Times New Roman" w:hAnsi="Times New Roman"/>
                <w:sz w:val="14"/>
                <w:szCs w:val="14"/>
                <w:b w:val="1"/>
                <w:bCs w:val="1"/>
                <w:color w:val="auto"/>
              </w:rPr>
              <w:t>Total Non-controlled/Non-affiliate</w:t>
            </w: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145,417,242</w:t>
            </w:r>
          </w:p>
        </w:tc>
        <w:tc>
          <w:tcPr>
            <w:tcW w:w="10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252,569,218</w:t>
            </w: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66.34 %</w:t>
            </w: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SCHEDULE OF INVESTMENTS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3"/>
                <w:szCs w:val="13"/>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Headquarters/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Date of Initial</w:t>
            </w:r>
          </w:p>
        </w:tc>
        <w:tc>
          <w:tcPr>
            <w:tcW w:w="20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60" w:type="dxa"/>
            <w:vAlign w:val="bottom"/>
          </w:tcPr>
          <w:p>
            <w:pPr>
              <w:spacing w:after="0"/>
              <w:rPr>
                <w:sz w:val="13"/>
                <w:szCs w:val="13"/>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0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00" w:type="dxa"/>
            <w:vAlign w:val="bottom"/>
            <w:tcBorders>
              <w:top w:val="single" w:sz="8" w:color="auto"/>
            </w:tcBorders>
            <w:gridSpan w:val="6"/>
            <w:shd w:val="clear" w:color="auto" w:fill="CCEEFF"/>
          </w:tcPr>
          <w:p>
            <w:pPr>
              <w:ind w:left="20"/>
              <w:spacing w:after="0" w:line="193" w:lineRule="exact"/>
              <w:rPr>
                <w:sz w:val="20"/>
                <w:szCs w:val="20"/>
                <w:color w:val="auto"/>
              </w:rPr>
            </w:pPr>
            <w:r>
              <w:rPr>
                <w:rFonts w:ascii="Times New Roman" w:cs="Times New Roman" w:eastAsia="Times New Roman" w:hAnsi="Times New Roman"/>
                <w:sz w:val="14"/>
                <w:szCs w:val="14"/>
                <w:b w:val="1"/>
                <w:bCs w:val="1"/>
                <w:color w:val="auto"/>
              </w:rPr>
              <w:t>NON-CONTROLLED/AFFILIATE</w:t>
            </w:r>
            <w:r>
              <w:rPr>
                <w:rFonts w:ascii="Times New Roman" w:cs="Times New Roman" w:eastAsia="Times New Roman" w:hAnsi="Times New Roman"/>
                <w:sz w:val="17"/>
                <w:szCs w:val="17"/>
                <w:color w:val="auto"/>
                <w:vertAlign w:val="superscript"/>
              </w:rPr>
              <w:t>(1)</w:t>
            </w:r>
          </w:p>
        </w:tc>
        <w:tc>
          <w:tcPr>
            <w:tcW w:w="10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00" w:type="dxa"/>
            <w:vAlign w:val="bottom"/>
            <w:gridSpan w:val="6"/>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StormWind, LLC</w:t>
            </w:r>
            <w:r>
              <w:rPr>
                <w:rFonts w:ascii="Times New Roman" w:cs="Times New Roman" w:eastAsia="Times New Roman" w:hAnsi="Times New Roman"/>
                <w:sz w:val="16"/>
                <w:szCs w:val="16"/>
                <w:color w:val="auto"/>
                <w:vertAlign w:val="superscript"/>
              </w:rPr>
              <w:t>(5)</w:t>
            </w:r>
          </w:p>
        </w:tc>
        <w:tc>
          <w:tcPr>
            <w:tcW w:w="100" w:type="dxa"/>
            <w:vAlign w:val="bottom"/>
          </w:tcPr>
          <w:p>
            <w:pPr>
              <w:spacing w:after="0"/>
              <w:rPr>
                <w:sz w:val="12"/>
                <w:szCs w:val="12"/>
                <w:color w:val="auto"/>
              </w:rPr>
            </w:pPr>
          </w:p>
        </w:tc>
        <w:tc>
          <w:tcPr>
            <w:tcW w:w="19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8"/>
              </w:rPr>
              <w:t>Scottsdale, AZ</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D 8%</w:t>
            </w:r>
          </w:p>
        </w:tc>
        <w:tc>
          <w:tcPr>
            <w:tcW w:w="1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Interactive Learning</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11/26/2019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329,337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257,267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603,850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60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1/7/2014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2,779,134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4,000,787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6,335,118</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36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B 8%</w:t>
            </w: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12/16/2011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3,279,629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2,019,687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4,251,900</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360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2/25/2014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366,666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270,096</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6,387,741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11,460,964</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3600" w:type="dxa"/>
            <w:vAlign w:val="bottom"/>
            <w:gridSpan w:val="6"/>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OneValley, Inc. (f/k/a NestGSV, Inc.)</w:t>
            </w:r>
          </w:p>
        </w:tc>
        <w:tc>
          <w:tcPr>
            <w:tcW w:w="100" w:type="dxa"/>
            <w:vAlign w:val="bottom"/>
          </w:tcPr>
          <w:p>
            <w:pPr>
              <w:spacing w:after="0"/>
              <w:rPr>
                <w:sz w:val="10"/>
                <w:szCs w:val="10"/>
                <w:color w:val="auto"/>
              </w:rPr>
            </w:pPr>
          </w:p>
        </w:tc>
        <w:tc>
          <w:tcPr>
            <w:tcW w:w="1960" w:type="dxa"/>
            <w:vAlign w:val="bottom"/>
            <w:gridSpan w:val="2"/>
          </w:tcPr>
          <w:p>
            <w:pPr>
              <w:jc w:val="center"/>
              <w:ind w:right="100"/>
              <w:spacing w:after="0" w:line="123" w:lineRule="exact"/>
              <w:rPr>
                <w:sz w:val="20"/>
                <w:szCs w:val="20"/>
                <w:color w:val="auto"/>
              </w:rPr>
            </w:pPr>
            <w:r>
              <w:rPr>
                <w:rFonts w:ascii="Times New Roman" w:cs="Times New Roman" w:eastAsia="Times New Roman" w:hAnsi="Times New Roman"/>
                <w:sz w:val="14"/>
                <w:szCs w:val="14"/>
                <w:color w:val="auto"/>
                <w:w w:val="99"/>
              </w:rPr>
              <w:t>San Mateo, CA</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6"/>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color w:val="auto"/>
              </w:rPr>
              <w:t>Derivative Security, Expiration Date 8/23/2024</w:t>
            </w:r>
            <w:r>
              <w:rPr>
                <w:rFonts w:ascii="Times New Roman" w:cs="Times New Roman" w:eastAsia="Times New Roman" w:hAnsi="Times New Roman"/>
                <w:sz w:val="17"/>
                <w:szCs w:val="17"/>
                <w:color w:val="auto"/>
                <w:vertAlign w:val="superscript"/>
              </w:rPr>
              <w:t>(10)</w:t>
            </w:r>
          </w:p>
        </w:tc>
        <w:tc>
          <w:tcPr>
            <w:tcW w:w="1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Global Innovation Platform</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8/23/2019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8,555,124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2,348,923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600" w:type="dxa"/>
            <w:vAlign w:val="bottom"/>
            <w:gridSpan w:val="6"/>
          </w:tcPr>
          <w:p>
            <w:pPr>
              <w:ind w:left="20"/>
              <w:spacing w:after="0" w:line="194" w:lineRule="exact"/>
              <w:rPr>
                <w:sz w:val="20"/>
                <w:szCs w:val="20"/>
                <w:color w:val="auto"/>
              </w:rPr>
            </w:pPr>
            <w:r>
              <w:rPr>
                <w:rFonts w:ascii="Times New Roman" w:cs="Times New Roman" w:eastAsia="Times New Roman" w:hAnsi="Times New Roman"/>
                <w:sz w:val="14"/>
                <w:szCs w:val="14"/>
                <w:color w:val="auto"/>
              </w:rPr>
              <w:t>Convertible Promissory Note 8% Due 8/23/2024</w:t>
            </w:r>
            <w:r>
              <w:rPr>
                <w:rFonts w:ascii="Times New Roman" w:cs="Times New Roman" w:eastAsia="Times New Roman" w:hAnsi="Times New Roman"/>
                <w:sz w:val="17"/>
                <w:szCs w:val="17"/>
                <w:color w:val="auto"/>
                <w:vertAlign w:val="superscript"/>
              </w:rPr>
              <w:t>(4)(10)</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2/17/2016</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1,010,198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1,030,176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505,099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3600" w:type="dxa"/>
            <w:vAlign w:val="bottom"/>
            <w:gridSpan w:val="6"/>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Preferred Warrant Series B, Strike Price $2.31, Expiration Date</w:t>
            </w:r>
          </w:p>
        </w:tc>
        <w:tc>
          <w:tcPr>
            <w:tcW w:w="10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5/29/2017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70,379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4"/>
        </w:trPr>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5/29/2022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00" w:type="dxa"/>
            <w:vAlign w:val="bottom"/>
            <w:gridSpan w:val="6"/>
          </w:tcPr>
          <w:p>
            <w:pPr>
              <w:ind w:left="20"/>
              <w:spacing w:after="0" w:line="129" w:lineRule="exact"/>
              <w:rPr>
                <w:sz w:val="20"/>
                <w:szCs w:val="20"/>
                <w:color w:val="auto"/>
              </w:rPr>
            </w:pPr>
            <w:r>
              <w:rPr>
                <w:rFonts w:ascii="Times New Roman" w:cs="Times New Roman" w:eastAsia="Times New Roman" w:hAnsi="Times New Roman"/>
                <w:sz w:val="14"/>
                <w:szCs w:val="14"/>
                <w:color w:val="auto"/>
              </w:rPr>
              <w:t>Preferred Warrant Series B, Strike Price $2.31, Expiration Date</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12/31/2018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5,080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12/31/2023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358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9,660,759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2,859,022</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3600" w:type="dxa"/>
            <w:vAlign w:val="bottom"/>
            <w:gridSpan w:val="6"/>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Ozy Media, Inc.</w:t>
            </w:r>
          </w:p>
        </w:tc>
        <w:tc>
          <w:tcPr>
            <w:tcW w:w="100" w:type="dxa"/>
            <w:vAlign w:val="bottom"/>
          </w:tcPr>
          <w:p>
            <w:pPr>
              <w:spacing w:after="0"/>
              <w:rPr>
                <w:sz w:val="11"/>
                <w:szCs w:val="11"/>
                <w:color w:val="auto"/>
              </w:rPr>
            </w:pPr>
          </w:p>
        </w:tc>
        <w:tc>
          <w:tcPr>
            <w:tcW w:w="1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5"/>
              </w:rPr>
              <w:t>Mountain View, CA</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C-2 6%</w:t>
            </w:r>
          </w:p>
        </w:tc>
        <w:tc>
          <w:tcPr>
            <w:tcW w:w="1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Digital Media Platform</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8/31/2016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683,482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2,414,178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9"/>
        </w:trPr>
        <w:tc>
          <w:tcPr>
            <w:tcW w:w="3600" w:type="dxa"/>
            <w:vAlign w:val="bottom"/>
            <w:gridSpan w:val="6"/>
          </w:tcPr>
          <w:p>
            <w:pPr>
              <w:ind w:left="20"/>
              <w:spacing w:after="0" w:line="129" w:lineRule="exact"/>
              <w:rPr>
                <w:sz w:val="20"/>
                <w:szCs w:val="20"/>
                <w:color w:val="auto"/>
              </w:rPr>
            </w:pPr>
            <w:r>
              <w:rPr>
                <w:rFonts w:ascii="Times New Roman" w:cs="Times New Roman" w:eastAsia="Times New Roman" w:hAnsi="Times New Roman"/>
                <w:sz w:val="14"/>
                <w:szCs w:val="14"/>
                <w:color w:val="auto"/>
              </w:rPr>
              <w:t>Common Warrants, Strike Price $0.01, Expiration Date</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4/9/2018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295,565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30,647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4/9/2028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B 6%</w:t>
            </w: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10/3/2014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922,509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4,999,999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6"/>
        </w:trPr>
        <w:tc>
          <w:tcPr>
            <w:tcW w:w="360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Preferred shares, Series A 6%</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12/11/2013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1,090,909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3,000,200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5"/>
        </w:trPr>
        <w:tc>
          <w:tcPr>
            <w:tcW w:w="36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Seed 6%</w:t>
            </w:r>
          </w:p>
        </w:tc>
        <w:tc>
          <w:tcPr>
            <w:tcW w:w="1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11/2/2012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5"/>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10,945,024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1"/>
        </w:trPr>
        <w:tc>
          <w:tcPr>
            <w:tcW w:w="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6"/>
              </w:rPr>
              <w:t>Maven Research, Inc.</w:t>
            </w:r>
          </w:p>
        </w:tc>
        <w:tc>
          <w:tcPr>
            <w:tcW w:w="2300" w:type="dxa"/>
            <w:vAlign w:val="bottom"/>
            <w:tcBorders>
              <w:bottom w:val="single" w:sz="8" w:color="CCEEFF"/>
            </w:tcBorders>
            <w:gridSpan w:val="2"/>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960" w:type="dxa"/>
            <w:vAlign w:val="bottom"/>
            <w:tcBorders>
              <w:bottom w:val="single" w:sz="8" w:color="CCEEFF"/>
            </w:tcBorders>
            <w:gridSpan w:val="2"/>
            <w:shd w:val="clear" w:color="auto" w:fill="CCEEFF"/>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San Francisco, CA</w:t>
            </w: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60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0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Knowledge Networks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7/2/2012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318,979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2,000,447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2"/>
        </w:trPr>
        <w:tc>
          <w:tcPr>
            <w:tcW w:w="36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B 5%</w:t>
            </w: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2/28/2012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tcBorders>
              <w:top w:val="single" w:sz="8" w:color="CCEEFF"/>
              <w:bottom w:val="single" w:sz="8" w:color="CCEEFF"/>
            </w:tcBorders>
          </w:tcPr>
          <w:p>
            <w:pPr>
              <w:spacing w:after="0"/>
              <w:rPr>
                <w:sz w:val="15"/>
                <w:szCs w:val="15"/>
                <w:color w:val="auto"/>
              </w:rPr>
            </w:pPr>
          </w:p>
        </w:tc>
        <w:tc>
          <w:tcPr>
            <w:tcW w:w="3580" w:type="dxa"/>
            <w:vAlign w:val="bottom"/>
            <w:tcBorders>
              <w:top w:val="single" w:sz="8" w:color="CCEEFF"/>
              <w:bottom w:val="single" w:sz="8" w:color="CCEEFF"/>
            </w:tcBorders>
            <w:gridSpan w:val="5"/>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86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2,217,653</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80" w:type="dxa"/>
            <w:vAlign w:val="bottom"/>
            <w:gridSpan w:val="5"/>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Curious.com, Inc.</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7"/>
              </w:rPr>
              <w:t>Menlo Park, CA</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540" w:type="dxa"/>
            <w:vAlign w:val="bottom"/>
            <w:tcBorders>
              <w:top w:val="single" w:sz="8" w:color="CCEEFF"/>
            </w:tcBorders>
            <w:gridSpan w:val="3"/>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96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Online Education</w:t>
            </w:r>
          </w:p>
        </w:tc>
        <w:tc>
          <w:tcPr>
            <w:tcW w:w="9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7"/>
              </w:rPr>
              <w:t>11/22/2013</w:t>
            </w: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1,135,944</w:t>
            </w: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12,000,006</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-1272540</wp:posOffset>
            </wp:positionV>
            <wp:extent cx="3523615" cy="131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23615" cy="1314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-3021965</wp:posOffset>
            </wp:positionV>
            <wp:extent cx="4977765" cy="131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77765" cy="1314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5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Total Non-controlled/Affiliate</w:t>
            </w:r>
          </w:p>
        </w:tc>
        <w:tc>
          <w:tcPr>
            <w:tcW w:w="2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41,211,183</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14,319,986</w:t>
            </w:r>
          </w:p>
        </w:tc>
        <w:tc>
          <w:tcPr>
            <w:tcW w:w="1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3.76 %</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540" w:type="dxa"/>
            <w:vAlign w:val="bottom"/>
            <w:gridSpan w:val="5"/>
          </w:tcPr>
          <w:p>
            <w:pPr>
              <w:ind w:left="20"/>
              <w:spacing w:after="0" w:line="194" w:lineRule="exact"/>
              <w:rPr>
                <w:sz w:val="20"/>
                <w:szCs w:val="20"/>
                <w:color w:val="auto"/>
              </w:rPr>
            </w:pPr>
            <w:r>
              <w:rPr>
                <w:rFonts w:ascii="Times New Roman" w:cs="Times New Roman" w:eastAsia="Times New Roman" w:hAnsi="Times New Roman"/>
                <w:sz w:val="14"/>
                <w:szCs w:val="14"/>
                <w:b w:val="1"/>
                <w:bCs w:val="1"/>
                <w:color w:val="auto"/>
              </w:rPr>
              <w:t>CONTROLLED</w:t>
            </w:r>
            <w:r>
              <w:rPr>
                <w:rFonts w:ascii="Times New Roman" w:cs="Times New Roman" w:eastAsia="Times New Roman" w:hAnsi="Times New Roman"/>
                <w:sz w:val="17"/>
                <w:szCs w:val="17"/>
                <w:b w:val="1"/>
                <w:bCs w:val="1"/>
                <w:color w:val="auto"/>
                <w:vertAlign w:val="superscript"/>
              </w:rPr>
              <w:t>(2)</w:t>
            </w:r>
          </w:p>
        </w:tc>
        <w:tc>
          <w:tcPr>
            <w:tcW w:w="2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520" w:type="dxa"/>
            <w:vAlign w:val="bottom"/>
            <w:gridSpan w:val="4"/>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Architect Capital PayJoy SPV, LLC**</w:t>
            </w:r>
          </w:p>
        </w:tc>
        <w:tc>
          <w:tcPr>
            <w:tcW w:w="210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8"/>
              </w:rPr>
              <w:t>San Francisco, CA</w:t>
            </w: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Membership Interest in Lending SPV***</w:t>
            </w:r>
          </w:p>
        </w:tc>
        <w:tc>
          <w:tcPr>
            <w:tcW w:w="21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7"/>
              </w:rPr>
              <w:t>Mobile Finance Technology</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3/24/2021</w:t>
            </w:r>
          </w:p>
        </w:tc>
        <w:tc>
          <w:tcPr>
            <w:tcW w:w="4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10,000,000</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10,006,745</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20" w:type="dxa"/>
            <w:vAlign w:val="bottom"/>
            <w:gridSpan w:val="4"/>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Colombier Sponsor LLC**</w:t>
            </w:r>
            <w:r>
              <w:rPr>
                <w:rFonts w:ascii="Times New Roman" w:cs="Times New Roman" w:eastAsia="Times New Roman" w:hAnsi="Times New Roman"/>
                <w:sz w:val="17"/>
                <w:szCs w:val="17"/>
                <w:b w:val="1"/>
                <w:bCs w:val="1"/>
                <w:color w:val="auto"/>
                <w:vertAlign w:val="superscript"/>
              </w:rPr>
              <w:t>(15)</w:t>
            </w:r>
          </w:p>
        </w:tc>
        <w:tc>
          <w:tcPr>
            <w:tcW w:w="2100" w:type="dxa"/>
            <w:vAlign w:val="bottom"/>
            <w:shd w:val="clear" w:color="auto" w:fill="CCEEFF"/>
          </w:tcPr>
          <w:p>
            <w:pPr>
              <w:jc w:val="center"/>
              <w:ind w:left="11"/>
              <w:spacing w:after="0" w:line="150" w:lineRule="exact"/>
              <w:rPr>
                <w:sz w:val="20"/>
                <w:szCs w:val="20"/>
                <w:color w:val="auto"/>
              </w:rPr>
            </w:pPr>
            <w:r>
              <w:rPr>
                <w:rFonts w:ascii="Times New Roman" w:cs="Times New Roman" w:eastAsia="Times New Roman" w:hAnsi="Times New Roman"/>
                <w:sz w:val="14"/>
                <w:szCs w:val="14"/>
                <w:color w:val="auto"/>
                <w:w w:val="95"/>
              </w:rPr>
              <w:t>New York, NY</w:t>
            </w: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vMerge w:val="restart"/>
          </w:tcPr>
          <w:p>
            <w:pPr>
              <w:spacing w:after="0"/>
              <w:rPr>
                <w:sz w:val="11"/>
                <w:szCs w:val="11"/>
                <w:color w:val="auto"/>
              </w:rPr>
            </w:pPr>
          </w:p>
        </w:tc>
        <w:tc>
          <w:tcPr>
            <w:tcW w:w="14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Class B Units</w:t>
            </w:r>
          </w:p>
        </w:tc>
        <w:tc>
          <w:tcPr>
            <w:tcW w:w="2060" w:type="dxa"/>
            <w:vAlign w:val="bottom"/>
            <w:tcBorders>
              <w:top w:val="single" w:sz="8" w:color="CCEEFF"/>
            </w:tcBorders>
            <w:gridSpan w:val="3"/>
            <w:vMerge w:val="restart"/>
          </w:tcPr>
          <w:p>
            <w:pPr>
              <w:spacing w:after="0"/>
              <w:rPr>
                <w:sz w:val="11"/>
                <w:szCs w:val="11"/>
                <w:color w:val="auto"/>
              </w:rPr>
            </w:pPr>
          </w:p>
        </w:tc>
        <w:tc>
          <w:tcPr>
            <w:tcW w:w="2100" w:type="dxa"/>
            <w:vAlign w:val="bottom"/>
            <w:tcBorders>
              <w:top w:val="single" w:sz="8" w:color="CCEEFF"/>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Special Purpose Acquisition</w:t>
            </w:r>
          </w:p>
        </w:tc>
        <w:tc>
          <w:tcPr>
            <w:tcW w:w="94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4/1/2021</w:t>
            </w:r>
          </w:p>
        </w:tc>
        <w:tc>
          <w:tcPr>
            <w:tcW w:w="400" w:type="dxa"/>
            <w:vAlign w:val="bottom"/>
            <w:tcBorders>
              <w:top w:val="single" w:sz="8" w:color="CCEEFF"/>
            </w:tcBorders>
          </w:tcPr>
          <w:p>
            <w:pPr>
              <w:spacing w:after="0"/>
              <w:rPr>
                <w:sz w:val="11"/>
                <w:szCs w:val="11"/>
                <w:color w:val="auto"/>
              </w:rPr>
            </w:pPr>
          </w:p>
        </w:tc>
        <w:tc>
          <w:tcPr>
            <w:tcW w:w="960" w:type="dxa"/>
            <w:vAlign w:val="bottom"/>
            <w:tcBorders>
              <w:top w:val="single" w:sz="8" w:color="CCEEFF"/>
            </w:tcBorders>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1,976,033</w:t>
            </w:r>
          </w:p>
        </w:tc>
        <w:tc>
          <w:tcPr>
            <w:tcW w:w="22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1,556,587</w:t>
            </w: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1,554,354</w:t>
            </w:r>
          </w:p>
        </w:tc>
        <w:tc>
          <w:tcPr>
            <w:tcW w:w="10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1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2060" w:type="dxa"/>
            <w:vAlign w:val="bottom"/>
            <w:gridSpan w:val="3"/>
            <w:vMerge w:val="continue"/>
          </w:tcPr>
          <w:p>
            <w:pPr>
              <w:spacing w:after="0"/>
              <w:rPr>
                <w:sz w:val="16"/>
                <w:szCs w:val="16"/>
                <w:color w:val="auto"/>
              </w:rPr>
            </w:pPr>
          </w:p>
        </w:tc>
        <w:tc>
          <w:tcPr>
            <w:tcW w:w="21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9"/>
              </w:rPr>
              <w:t>Company</w:t>
            </w:r>
          </w:p>
        </w:tc>
        <w:tc>
          <w:tcPr>
            <w:tcW w:w="9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W Units</w:t>
            </w:r>
          </w:p>
        </w:tc>
        <w:tc>
          <w:tcPr>
            <w:tcW w:w="2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4/1/2021</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2,700,000</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1,159,150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1,157,487</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1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2,715,737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2,711,841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352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SPBRX, INC. (f/k/a GSV Sustainability Partners, Inc.)</w:t>
            </w:r>
          </w:p>
        </w:tc>
        <w:tc>
          <w:tcPr>
            <w:tcW w:w="2100" w:type="dxa"/>
            <w:vAlign w:val="bottom"/>
            <w:shd w:val="clear" w:color="auto" w:fill="CCEEFF"/>
          </w:tcPr>
          <w:p>
            <w:pPr>
              <w:jc w:val="center"/>
              <w:ind w:left="11"/>
              <w:spacing w:after="0" w:line="129" w:lineRule="exact"/>
              <w:rPr>
                <w:sz w:val="20"/>
                <w:szCs w:val="20"/>
                <w:color w:val="auto"/>
              </w:rPr>
            </w:pPr>
            <w:r>
              <w:rPr>
                <w:rFonts w:ascii="Times New Roman" w:cs="Times New Roman" w:eastAsia="Times New Roman" w:hAnsi="Times New Roman"/>
                <w:sz w:val="14"/>
                <w:szCs w:val="14"/>
                <w:color w:val="auto"/>
                <w:w w:val="99"/>
              </w:rPr>
              <w:t>Cupertino, CA</w:t>
            </w: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tcBorders>
          </w:tcPr>
          <w:p>
            <w:pPr>
              <w:spacing w:after="0"/>
              <w:rPr>
                <w:sz w:val="16"/>
                <w:szCs w:val="16"/>
                <w:color w:val="auto"/>
              </w:rPr>
            </w:pPr>
          </w:p>
        </w:tc>
        <w:tc>
          <w:tcPr>
            <w:tcW w:w="320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4"/>
                <w:szCs w:val="14"/>
                <w:color w:val="auto"/>
              </w:rPr>
              <w:t>Preferred shares, Class A</w:t>
            </w:r>
            <w:r>
              <w:rPr>
                <w:rFonts w:ascii="Times New Roman" w:cs="Times New Roman" w:eastAsia="Times New Roman" w:hAnsi="Times New Roman"/>
                <w:sz w:val="17"/>
                <w:szCs w:val="17"/>
                <w:color w:val="auto"/>
                <w:vertAlign w:val="superscript"/>
              </w:rPr>
              <w:t>(9)</w:t>
            </w:r>
          </w:p>
        </w:tc>
        <w:tc>
          <w:tcPr>
            <w:tcW w:w="32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jc w:val="center"/>
              <w:ind w:left="11"/>
              <w:spacing w:after="0"/>
              <w:rPr>
                <w:sz w:val="20"/>
                <w:szCs w:val="20"/>
                <w:color w:val="auto"/>
              </w:rPr>
            </w:pPr>
            <w:r>
              <w:rPr>
                <w:rFonts w:ascii="Times New Roman" w:cs="Times New Roman" w:eastAsia="Times New Roman" w:hAnsi="Times New Roman"/>
                <w:sz w:val="14"/>
                <w:szCs w:val="14"/>
                <w:color w:val="auto"/>
                <w:w w:val="98"/>
              </w:rPr>
              <w:t>Clean Technology</w:t>
            </w:r>
          </w:p>
        </w:tc>
        <w:tc>
          <w:tcPr>
            <w:tcW w:w="9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4/15/2014</w:t>
            </w:r>
          </w:p>
        </w:tc>
        <w:tc>
          <w:tcPr>
            <w:tcW w:w="40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jc w:val="right"/>
              <w:ind w:right="91"/>
              <w:spacing w:after="0"/>
              <w:rPr>
                <w:sz w:val="20"/>
                <w:szCs w:val="20"/>
                <w:color w:val="auto"/>
              </w:rPr>
            </w:pPr>
            <w:r>
              <w:rPr>
                <w:rFonts w:ascii="Times New Roman" w:cs="Times New Roman" w:eastAsia="Times New Roman" w:hAnsi="Times New Roman"/>
                <w:sz w:val="14"/>
                <w:szCs w:val="14"/>
                <w:color w:val="auto"/>
              </w:rPr>
              <w:t>14,300,000</w:t>
            </w:r>
          </w:p>
        </w:tc>
        <w:tc>
          <w:tcPr>
            <w:tcW w:w="2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7,151,412</w:t>
            </w: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1,177,033</w:t>
            </w:r>
          </w:p>
        </w:tc>
        <w:tc>
          <w:tcPr>
            <w:tcW w:w="10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5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w:t>
            </w:r>
          </w:p>
        </w:tc>
        <w:tc>
          <w:tcPr>
            <w:tcW w:w="2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4/15/2014</w:t>
            </w: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100,000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1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7,161,412</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1,177,033</w:t>
            </w:r>
          </w:p>
        </w:tc>
        <w:tc>
          <w:tcPr>
            <w:tcW w:w="10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Total Controlled</w:t>
            </w:r>
          </w:p>
        </w:tc>
        <w:tc>
          <w:tcPr>
            <w:tcW w:w="2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19,883,894</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13,888,874</w:t>
            </w:r>
          </w:p>
        </w:tc>
        <w:tc>
          <w:tcPr>
            <w:tcW w:w="1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3.65 %</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2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206,512,319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280,778,078</w:t>
            </w:r>
          </w:p>
        </w:tc>
        <w:tc>
          <w:tcPr>
            <w:tcW w:w="100" w:type="dxa"/>
            <w:vAlign w:val="bottom"/>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73.75 %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-418465</wp:posOffset>
            </wp:positionV>
            <wp:extent cx="2283460" cy="1314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3460" cy="131445"/>
                    </a:xfrm>
                    <a:prstGeom prst="rect">
                      <a:avLst/>
                    </a:prstGeom>
                    <a:noFill/>
                  </pic:spPr>
                </pic:pic>
              </a:graphicData>
            </a:graphic>
          </wp:anchor>
        </w:drawing>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SCHEDULE OF INVESTMENTS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__________________________________________</w:t>
      </w:r>
    </w:p>
    <w:p>
      <w:pPr>
        <w:spacing w:after="0" w:line="27" w:lineRule="exact"/>
        <w:rPr>
          <w:sz w:val="20"/>
          <w:szCs w:val="20"/>
          <w:color w:val="auto"/>
        </w:rPr>
      </w:pPr>
    </w:p>
    <w:p>
      <w:pPr>
        <w:jc w:val="right"/>
        <w:ind w:left="460" w:hanging="457"/>
        <w:spacing w:after="0" w:line="259" w:lineRule="auto"/>
        <w:tabs>
          <w:tab w:leader="none" w:pos="25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w:t>
      </w:r>
    </w:p>
    <w:p>
      <w:pPr>
        <w:spacing w:after="0" w:line="2" w:lineRule="exact"/>
        <w:rPr>
          <w:sz w:val="20"/>
          <w:szCs w:val="20"/>
          <w:color w:val="auto"/>
        </w:rPr>
      </w:pPr>
    </w:p>
    <w:p>
      <w:pPr>
        <w:ind w:left="460"/>
        <w:spacing w:after="0" w:line="244" w:lineRule="auto"/>
        <w:rPr>
          <w:sz w:val="20"/>
          <w:szCs w:val="20"/>
          <w:color w:val="auto"/>
        </w:rPr>
      </w:pPr>
      <w:r>
        <w:rPr>
          <w:rFonts w:ascii="Times New Roman" w:cs="Times New Roman" w:eastAsia="Times New Roman" w:hAnsi="Times New Roman"/>
          <w:sz w:val="16"/>
          <w:szCs w:val="16"/>
          <w:color w:val="auto"/>
        </w:rPr>
        <w:t>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left="460" w:hanging="457"/>
        <w:spacing w:after="0" w:line="242" w:lineRule="auto"/>
        <w:tabs>
          <w:tab w:leader="none" w:pos="34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Investment Company Act of 1940, as amended (the “1940 Act”). Of the Company’s total investments as of March 31, 2022, 43.76% of its total investments are non-qualifying assets.</w:t>
      </w:r>
    </w:p>
    <w:p>
      <w:pPr>
        <w:ind w:left="400" w:hanging="397"/>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225" w:lineRule="exact"/>
        <w:rPr>
          <w:sz w:val="20"/>
          <w:szCs w:val="20"/>
          <w:color w:val="auto"/>
        </w:rPr>
      </w:pPr>
    </w:p>
    <w:p>
      <w:pPr>
        <w:jc w:val="both"/>
        <w:ind w:left="460" w:hanging="457"/>
        <w:spacing w:after="0" w:line="310" w:lineRule="auto"/>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securities with the right to elect directors) of such company. For the Schedule of Investments In, and Advances To, Affiliates, as required by SEC Regulation S-X, Rule 12-14, refer to “Note 4—Investments at Fair Value”.</w:t>
      </w:r>
    </w:p>
    <w:p>
      <w:pPr>
        <w:spacing w:after="0" w:line="165" w:lineRule="exact"/>
        <w:rPr>
          <w:rFonts w:ascii="Times New Roman" w:cs="Times New Roman" w:eastAsia="Times New Roman" w:hAnsi="Times New Roman"/>
          <w:sz w:val="14"/>
          <w:szCs w:val="14"/>
          <w:color w:val="auto"/>
        </w:rPr>
      </w:pPr>
    </w:p>
    <w:p>
      <w:pPr>
        <w:jc w:val="both"/>
        <w:ind w:left="460" w:hanging="457"/>
        <w:spacing w:after="0" w:line="249" w:lineRule="auto"/>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206"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or Level 2 and valued using observable inputs. Refer to “Note 4—Investments at Fair Value”.</w:t>
      </w:r>
    </w:p>
    <w:p>
      <w:pPr>
        <w:spacing w:after="0" w:line="242"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2022, the investments noted had been placed on non-accrual status.</w:t>
      </w:r>
    </w:p>
    <w:p>
      <w:pPr>
        <w:spacing w:after="0" w:line="229"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242" w:lineRule="exact"/>
        <w:rPr>
          <w:rFonts w:ascii="Times New Roman" w:cs="Times New Roman" w:eastAsia="Times New Roman" w:hAnsi="Times New Roman"/>
          <w:sz w:val="16"/>
          <w:szCs w:val="16"/>
          <w:color w:val="auto"/>
        </w:rPr>
      </w:pPr>
    </w:p>
    <w:p>
      <w:pPr>
        <w:ind w:left="460" w:hanging="457"/>
        <w:spacing w:after="0" w:line="260" w:lineRule="auto"/>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preferred shares in Residential Homes for Rent, LLC (d/b/a Second Avenue) are held through SuRo Capital Corp.'s wholly owned subsidiary, GSVC AV Holdings, Inc.</w:t>
      </w:r>
    </w:p>
    <w:p>
      <w:pPr>
        <w:spacing w:after="0" w:line="196" w:lineRule="exact"/>
        <w:rPr>
          <w:rFonts w:ascii="Times New Roman" w:cs="Times New Roman" w:eastAsia="Times New Roman" w:hAnsi="Times New Roman"/>
          <w:sz w:val="16"/>
          <w:szCs w:val="16"/>
          <w:color w:val="auto"/>
        </w:rPr>
      </w:pPr>
    </w:p>
    <w:p>
      <w:pPr>
        <w:ind w:left="460" w:hanging="457"/>
        <w:spacing w:after="0" w:line="277" w:lineRule="auto"/>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Commercial Streaming Solutions Inc. (d/b/a BettorView), YouBet Technology, Inc. (d/b/a PickUp), and Rebric Inc. (d/b/a Compliable) are held through SuRo Capital Corp.'s wholly owned subsidiary, SuRo Capital Sports, LLC ("SuRo Sports").</w:t>
      </w:r>
    </w:p>
    <w:p>
      <w:pPr>
        <w:spacing w:after="0" w:line="183" w:lineRule="exact"/>
        <w:rPr>
          <w:rFonts w:ascii="Times New Roman" w:cs="Times New Roman" w:eastAsia="Times New Roman" w:hAnsi="Times New Roman"/>
          <w:sz w:val="16"/>
          <w:szCs w:val="16"/>
          <w:color w:val="auto"/>
        </w:rPr>
      </w:pPr>
    </w:p>
    <w:p>
      <w:pPr>
        <w:ind w:left="460" w:hanging="457"/>
        <w:spacing w:after="0" w:line="277" w:lineRule="auto"/>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True Global Ventures 4 Plus Pte Ltd are held through SuRo Capital Corp.'s wholly owned subsidiary, GSVC SVDS Holdings, Inc. As of March 31, 2022, $0.7 million of a $2.0 million capital commitment to True Global Ventures 4 Plus Fund LP had been called and funded.</w:t>
      </w:r>
    </w:p>
    <w:p>
      <w:pPr>
        <w:spacing w:after="0" w:line="183" w:lineRule="exact"/>
        <w:rPr>
          <w:rFonts w:ascii="Times New Roman" w:cs="Times New Roman" w:eastAsia="Times New Roman" w:hAnsi="Times New Roman"/>
          <w:sz w:val="16"/>
          <w:szCs w:val="16"/>
          <w:color w:val="auto"/>
        </w:rPr>
      </w:pPr>
    </w:p>
    <w:p>
      <w:pPr>
        <w:ind w:left="460" w:hanging="457"/>
        <w:spacing w:after="0" w:line="260" w:lineRule="auto"/>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SPBRX, INC. (f/k/a GSV Sustainability Partners, Inc.) preferred shares held by SuRo Capital Corp. do not entitle SuRo Capital Corp. to a preferred dividend. SuRo Capital Corp. does not anticipate that SPBRX, INC. will pay distributions on a quarterly or regular basis or become a predictable distributor of distributions.</w:t>
      </w:r>
    </w:p>
    <w:p>
      <w:pPr>
        <w:spacing w:after="0" w:line="209" w:lineRule="exact"/>
        <w:rPr>
          <w:rFonts w:ascii="Times New Roman" w:cs="Times New Roman" w:eastAsia="Times New Roman" w:hAnsi="Times New Roman"/>
          <w:sz w:val="16"/>
          <w:szCs w:val="16"/>
          <w:color w:val="auto"/>
        </w:rPr>
      </w:pPr>
    </w:p>
    <w:p>
      <w:pPr>
        <w:jc w:val="both"/>
        <w:ind w:left="460" w:hanging="457"/>
        <w:spacing w:after="0" w:line="256" w:lineRule="auto"/>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while SuRo Capital Corp. can put the shares to OneValley, Inc. (f/k/a NestGSV, Inc.) at the end of the five year period.</w:t>
      </w:r>
    </w:p>
    <w:p>
      <w:pPr>
        <w:spacing w:after="0" w:line="200"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2022, 512,290 Class A common shares remain in Palantir Lending Trust SPV I, none of which are subject to lock-up restrictions.</w:t>
      </w:r>
    </w:p>
    <w:p>
      <w:pPr>
        <w:spacing w:after="0" w:line="229" w:lineRule="exact"/>
        <w:rPr>
          <w:rFonts w:ascii="Times New Roman" w:cs="Times New Roman" w:eastAsia="Times New Roman" w:hAnsi="Times New Roman"/>
          <w:sz w:val="16"/>
          <w:szCs w:val="16"/>
          <w:color w:val="auto"/>
        </w:rPr>
      </w:pPr>
    </w:p>
    <w:p>
      <w:pPr>
        <w:jc w:val="both"/>
        <w:ind w:left="460" w:hanging="457"/>
        <w:spacing w:after="0" w:line="256" w:lineRule="auto"/>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 2021, Treehouse Real Estate Investment Trust, Inc. completed its spin off of 34.4% of its assets into Aventine Property Group, Inc. During the three months ended March 31, 2022, Aventine Property Group, Inc. declared an aggregate of less than $0.1 million in dividend distributions. During the three months ended March 31, 2022, Treehouse Real Estate Investment Trust, Inc. declared an aggregate of less than $0.1 million in dividend distributions.</w:t>
      </w:r>
    </w:p>
    <w:p>
      <w:pPr>
        <w:spacing w:after="0" w:line="200" w:lineRule="exact"/>
        <w:rPr>
          <w:rFonts w:ascii="Times New Roman" w:cs="Times New Roman" w:eastAsia="Times New Roman" w:hAnsi="Times New Roman"/>
          <w:sz w:val="16"/>
          <w:szCs w:val="16"/>
          <w:color w:val="auto"/>
        </w:rPr>
      </w:pPr>
    </w:p>
    <w:p>
      <w:pPr>
        <w:jc w:val="both"/>
        <w:ind w:left="460" w:hanging="457"/>
        <w:spacing w:after="0" w:line="256" w:lineRule="auto"/>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March 31, 2022, approximately $0.3 million has been received from Residential Homes for Rent, LLC (d/b/a Second Avenue) related to the 15% term loan due December 23, 2023. Of the proceeds received, approximately $0.2 million repaid a portion of the outstanding principal and the remaining was attributed to interest.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SCHEDULE OF INVESTMENTS (UNAUDITED)-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230" w:lineRule="exact"/>
        <w:rPr>
          <w:sz w:val="20"/>
          <w:szCs w:val="20"/>
          <w:color w:val="auto"/>
        </w:rPr>
      </w:pPr>
    </w:p>
    <w:p>
      <w:pPr>
        <w:ind w:left="460" w:hanging="457"/>
        <w:spacing w:after="0" w:line="260" w:lineRule="auto"/>
        <w:tabs>
          <w:tab w:leader="none" w:pos="4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March 31, 2022, NewLake Capital Partners, Inc. (f/k/a GreenAcreage Real Estate Corp.) declared an aggregate of approximately $0.1 million in dividend distributions.</w:t>
      </w:r>
    </w:p>
    <w:p>
      <w:pPr>
        <w:spacing w:after="0" w:line="209" w:lineRule="exact"/>
        <w:rPr>
          <w:rFonts w:ascii="Times New Roman" w:cs="Times New Roman" w:eastAsia="Times New Roman" w:hAnsi="Times New Roman"/>
          <w:sz w:val="16"/>
          <w:szCs w:val="16"/>
          <w:color w:val="auto"/>
        </w:rPr>
      </w:pPr>
    </w:p>
    <w:p>
      <w:pPr>
        <w:ind w:left="460" w:hanging="457"/>
        <w:spacing w:after="0" w:line="260" w:lineRule="auto"/>
        <w:tabs>
          <w:tab w:leader="none" w:pos="4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96"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2022, Fullbridge, Inc.'s obligations under its financing arrangements with the Company became past due.</w:t>
      </w:r>
    </w:p>
    <w:p>
      <w:pPr>
        <w:spacing w:after="0" w:line="217" w:lineRule="exact"/>
        <w:rPr>
          <w:rFonts w:ascii="Times New Roman" w:cs="Times New Roman" w:eastAsia="Times New Roman" w:hAnsi="Times New Roman"/>
          <w:sz w:val="16"/>
          <w:szCs w:val="16"/>
          <w:color w:val="auto"/>
        </w:rPr>
      </w:pPr>
    </w:p>
    <w:p>
      <w:pPr>
        <w:jc w:val="both"/>
        <w:ind w:left="460" w:hanging="457"/>
        <w:spacing w:after="0" w:line="234" w:lineRule="auto"/>
        <w:tabs>
          <w:tab w:leader="none" w:pos="4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22, 2022, Forge Global Holdings, Inc., completed its business combination with Motive Capital Corp. As a result of the transaction, each share of Forge Global, Inc.'s capital stock outstanding prior to the business combination was exchanged at the designated exchange ratio of approximately 3.123. In addition, each warrant of Forge Global, Inc. was exchanged into warrants exercisable into common stock based on the exchange ratio of 3.123. The exercise price of each converted warrant was determined by dividing the exercise price of the respective Forge warrants by the exchange ratio, rounded to the nearest whole cent.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SCHEDULE OF INVESTMENTS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80" w:type="dxa"/>
            <w:vAlign w:val="bottom"/>
            <w:gridSpan w:val="1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3"/>
                <w:szCs w:val="13"/>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Headquarters/</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Date of Initial</w:t>
            </w:r>
          </w:p>
        </w:tc>
        <w:tc>
          <w:tcPr>
            <w:tcW w:w="1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Shares/</w:t>
            </w:r>
          </w:p>
        </w:tc>
        <w:tc>
          <w:tcPr>
            <w:tcW w:w="240" w:type="dxa"/>
            <w:vAlign w:val="bottom"/>
          </w:tcPr>
          <w:p>
            <w:pPr>
              <w:spacing w:after="0"/>
              <w:rPr>
                <w:sz w:val="13"/>
                <w:szCs w:val="13"/>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gridSpan w:val="14"/>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93"/>
        </w:trPr>
        <w:tc>
          <w:tcPr>
            <w:tcW w:w="20" w:type="dxa"/>
            <w:vAlign w:val="bottom"/>
            <w:tcBorders>
              <w:top w:val="single" w:sz="8" w:color="auto"/>
            </w:tcBorders>
            <w:shd w:val="clear" w:color="auto" w:fill="CCEEFF"/>
          </w:tcPr>
          <w:p>
            <w:pPr>
              <w:spacing w:after="0"/>
              <w:rPr>
                <w:sz w:val="16"/>
                <w:szCs w:val="16"/>
                <w:color w:val="auto"/>
              </w:rPr>
            </w:pPr>
          </w:p>
        </w:tc>
        <w:tc>
          <w:tcPr>
            <w:tcW w:w="3580" w:type="dxa"/>
            <w:vAlign w:val="bottom"/>
            <w:tcBorders>
              <w:top w:val="single" w:sz="8" w:color="auto"/>
            </w:tcBorders>
            <w:gridSpan w:val="1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NON-CONTROLLED/NON-AFFILIATE</w:t>
            </w:r>
          </w:p>
        </w:tc>
        <w:tc>
          <w:tcPr>
            <w:tcW w:w="10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gridSpan w:val="14"/>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Course Hero, Inc.</w:t>
            </w:r>
          </w:p>
        </w:tc>
        <w:tc>
          <w:tcPr>
            <w:tcW w:w="100" w:type="dxa"/>
            <w:vAlign w:val="bottom"/>
          </w:tcPr>
          <w:p>
            <w:pPr>
              <w:spacing w:after="0"/>
              <w:rPr>
                <w:sz w:val="12"/>
                <w:szCs w:val="12"/>
                <w:color w:val="auto"/>
              </w:rPr>
            </w:pPr>
          </w:p>
        </w:tc>
        <w:tc>
          <w:tcPr>
            <w:tcW w:w="208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color w:val="auto"/>
                <w:w w:val="96"/>
              </w:rPr>
              <w:t>Redwood City, CA</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Online Education</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9/18/2014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2,145,509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5,000,001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77,831,772</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21.33 %</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3580" w:type="dxa"/>
            <w:vAlign w:val="bottom"/>
            <w:tcBorders>
              <w:bottom w:val="single" w:sz="8" w:color="CCEEFF"/>
            </w:tcBorders>
            <w:gridSpan w:val="14"/>
          </w:tcPr>
          <w:p>
            <w:pPr>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11/5/2021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275,659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9,999,971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9,999,971</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2.74 %</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1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14,999,972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87,831,743</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80" w:type="dxa"/>
            <w:vAlign w:val="bottom"/>
            <w:gridSpan w:val="14"/>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Forge Global, Inc.</w:t>
            </w:r>
          </w:p>
        </w:tc>
        <w:tc>
          <w:tcPr>
            <w:tcW w:w="100" w:type="dxa"/>
            <w:vAlign w:val="bottom"/>
          </w:tcPr>
          <w:p>
            <w:pPr>
              <w:spacing w:after="0"/>
              <w:rPr>
                <w:sz w:val="10"/>
                <w:szCs w:val="10"/>
                <w:color w:val="auto"/>
              </w:rPr>
            </w:pPr>
          </w:p>
        </w:tc>
        <w:tc>
          <w:tcPr>
            <w:tcW w:w="2080" w:type="dxa"/>
            <w:vAlign w:val="bottom"/>
            <w:gridSpan w:val="2"/>
          </w:tcPr>
          <w:p>
            <w:pPr>
              <w:jc w:val="center"/>
              <w:ind w:right="120"/>
              <w:spacing w:after="0" w:line="123" w:lineRule="exact"/>
              <w:rPr>
                <w:sz w:val="20"/>
                <w:szCs w:val="20"/>
                <w:color w:val="auto"/>
              </w:rPr>
            </w:pPr>
            <w:r>
              <w:rPr>
                <w:rFonts w:ascii="Times New Roman" w:cs="Times New Roman" w:eastAsia="Times New Roman" w:hAnsi="Times New Roman"/>
                <w:sz w:val="14"/>
                <w:szCs w:val="14"/>
                <w:color w:val="auto"/>
                <w:w w:val="98"/>
              </w:rPr>
              <w:t>San Francisco, CA</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3580" w:type="dxa"/>
            <w:vAlign w:val="bottom"/>
            <w:tcBorders>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Class AA</w:t>
            </w:r>
          </w:p>
        </w:tc>
        <w:tc>
          <w:tcPr>
            <w:tcW w:w="10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Online Marketplace Finance</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7/20/2011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625,520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266,507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16,430,555</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Junior Preferred shares</w:t>
            </w: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7/19/2011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2,259,716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4,216,752</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1.16 %</w:t>
            </w: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3580" w:type="dxa"/>
            <w:vAlign w:val="bottom"/>
            <w:gridSpan w:val="14"/>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Junior Preferred warrants, Strike Price $12.42, Expiration Date</w:t>
            </w:r>
          </w:p>
        </w:tc>
        <w:tc>
          <w:tcPr>
            <w:tcW w:w="10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7/19/2011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73,695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368,474</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0" w:type="dxa"/>
            <w:vAlign w:val="bottom"/>
          </w:tcPr>
          <w:p>
            <w:pPr>
              <w:spacing w:after="0"/>
              <w:rPr>
                <w:sz w:val="1"/>
                <w:szCs w:val="1"/>
                <w:color w:val="auto"/>
              </w:rPr>
            </w:pPr>
          </w:p>
        </w:tc>
      </w:tr>
      <w:tr>
        <w:trPr>
          <w:trHeight w:val="194"/>
        </w:trPr>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11/9/2025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14"/>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82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2,526,223</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21,015,781</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5.76 %</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580" w:type="dxa"/>
            <w:vAlign w:val="bottom"/>
            <w:gridSpan w:val="14"/>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Blink Health, Inc.</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7"/>
              </w:rPr>
              <w:t>New York, NY</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Pharmaceutical Technology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10/27/2020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5,000,423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4,315,552</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5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C</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10/27/2020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261,944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10,003,917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9,999,974</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14"/>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15,004,340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14,315,526</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3.92 %</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3580" w:type="dxa"/>
            <w:vAlign w:val="bottom"/>
            <w:gridSpan w:val="1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Nextdoor Holdings, Inc.**</w:t>
            </w:r>
          </w:p>
        </w:tc>
        <w:tc>
          <w:tcPr>
            <w:tcW w:w="1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San Francisco, CA</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tcBorders>
          </w:tcPr>
          <w:p>
            <w:pPr>
              <w:spacing w:after="0"/>
              <w:rPr>
                <w:sz w:val="16"/>
                <w:szCs w:val="16"/>
                <w:color w:val="auto"/>
              </w:rPr>
            </w:pPr>
          </w:p>
        </w:tc>
        <w:tc>
          <w:tcPr>
            <w:tcW w:w="1400" w:type="dxa"/>
            <w:vAlign w:val="bottom"/>
            <w:tcBorders>
              <w:top w:val="single" w:sz="8" w:color="auto"/>
            </w:tcBorders>
            <w:gridSpan w:val="8"/>
          </w:tcPr>
          <w:p>
            <w:pPr>
              <w:spacing w:after="0" w:line="194"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2180" w:type="dxa"/>
            <w:vAlign w:val="bottom"/>
            <w:tcBorders>
              <w:top w:val="single" w:sz="8" w:color="CCEEFF"/>
            </w:tcBorders>
            <w:gridSpan w:val="6"/>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Social Networking</w:t>
            </w:r>
          </w:p>
        </w:tc>
        <w:tc>
          <w:tcPr>
            <w:tcW w:w="9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9/27/2018</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1,801,850</w:t>
            </w: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10,002,666</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12,439,522</w:t>
            </w:r>
          </w:p>
        </w:tc>
        <w:tc>
          <w:tcPr>
            <w:tcW w:w="10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3.41 %</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gridSpan w:val="10"/>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w w:val="97"/>
              </w:rPr>
              <w:t>Aspiration Partners, Inc.</w:t>
            </w:r>
          </w:p>
        </w:tc>
        <w:tc>
          <w:tcPr>
            <w:tcW w:w="2100" w:type="dxa"/>
            <w:vAlign w:val="bottom"/>
            <w:tcBorders>
              <w:bottom w:val="single" w:sz="8" w:color="CCEEFF"/>
            </w:tcBorders>
            <w:gridSpan w:val="4"/>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gridSpan w:val="2"/>
            <w:shd w:val="clear" w:color="auto" w:fill="CCEEFF"/>
          </w:tcPr>
          <w:p>
            <w:pPr>
              <w:jc w:val="center"/>
              <w:ind w:right="140"/>
              <w:spacing w:after="0" w:line="143" w:lineRule="exact"/>
              <w:rPr>
                <w:sz w:val="20"/>
                <w:szCs w:val="20"/>
                <w:color w:val="auto"/>
              </w:rPr>
            </w:pPr>
            <w:r>
              <w:rPr>
                <w:rFonts w:ascii="Times New Roman" w:cs="Times New Roman" w:eastAsia="Times New Roman" w:hAnsi="Times New Roman"/>
                <w:sz w:val="14"/>
                <w:szCs w:val="14"/>
                <w:color w:val="auto"/>
                <w:w w:val="97"/>
              </w:rPr>
              <w:t>Marina Del Rey, CA</w:t>
            </w: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Financial Services</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8/11/2015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540,270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1,001,815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10,556,306</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2.89 %</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3580" w:type="dxa"/>
            <w:vAlign w:val="bottom"/>
            <w:tcBorders>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C-3</w:t>
            </w:r>
          </w:p>
        </w:tc>
        <w:tc>
          <w:tcPr>
            <w:tcW w:w="10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8/12/2019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281,190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499,437</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14"/>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1,283,005</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11,055,743</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3.03 %</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3580" w:type="dxa"/>
            <w:vAlign w:val="bottom"/>
            <w:gridSpan w:val="1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Trax Ltd.**</w:t>
            </w:r>
          </w:p>
        </w:tc>
        <w:tc>
          <w:tcPr>
            <w:tcW w:w="1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9"/>
              </w:rPr>
              <w:t>Singapore, Singapore</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2,781,148</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2,882,476</w:t>
            </w: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0.79 %</w:t>
            </w: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35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Retail Technology</w:t>
            </w:r>
          </w:p>
        </w:tc>
        <w:tc>
          <w:tcPr>
            <w:tcW w:w="100" w:type="dxa"/>
            <w:vAlign w:val="bottom"/>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6/9/2021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3580" w:type="dxa"/>
            <w:vAlign w:val="bottom"/>
            <w:tcBorders>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Investec series</w:t>
            </w:r>
          </w:p>
        </w:tc>
        <w:tc>
          <w:tcPr>
            <w:tcW w:w="10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6/9/2021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144,409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7,224,600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7,487,823</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14"/>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10,005,748</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10,370,299</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2.84 %</w:t>
            </w:r>
          </w:p>
        </w:tc>
        <w:tc>
          <w:tcPr>
            <w:tcW w:w="0" w:type="dxa"/>
            <w:vAlign w:val="bottom"/>
          </w:tcPr>
          <w:p>
            <w:pPr>
              <w:spacing w:after="0"/>
              <w:rPr>
                <w:sz w:val="1"/>
                <w:szCs w:val="1"/>
                <w:color w:val="auto"/>
              </w:rPr>
            </w:pPr>
          </w:p>
        </w:tc>
      </w:tr>
      <w:tr>
        <w:trPr>
          <w:trHeight w:val="161"/>
        </w:trPr>
        <w:tc>
          <w:tcPr>
            <w:tcW w:w="2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auto"/>
            </w:tcBorders>
            <w:gridSpan w:val="11"/>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6"/>
              </w:rPr>
              <w:t>Orchard Technologies, Inc.</w:t>
            </w:r>
          </w:p>
        </w:tc>
        <w:tc>
          <w:tcPr>
            <w:tcW w:w="1980" w:type="dxa"/>
            <w:vAlign w:val="bottom"/>
            <w:tcBorders>
              <w:bottom w:val="single" w:sz="8" w:color="CCEEFF"/>
            </w:tcBorders>
            <w:gridSpan w:val="3"/>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80" w:type="dxa"/>
            <w:vAlign w:val="bottom"/>
            <w:tcBorders>
              <w:bottom w:val="single" w:sz="8" w:color="CCEEFF"/>
            </w:tcBorders>
            <w:gridSpan w:val="2"/>
            <w:shd w:val="clear" w:color="auto" w:fill="CCEEFF"/>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7"/>
              </w:rPr>
              <w:t>New York, NY</w:t>
            </w: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Preferred shares, Series D</w:t>
            </w:r>
          </w:p>
        </w:tc>
        <w:tc>
          <w:tcPr>
            <w:tcW w:w="100" w:type="dxa"/>
            <w:vAlign w:val="bottom"/>
          </w:tcPr>
          <w:p>
            <w:pPr>
              <w:spacing w:after="0"/>
              <w:rPr>
                <w:sz w:val="16"/>
                <w:szCs w:val="16"/>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Real Estate Platform</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8/9/2021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1,488,139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10,004,034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9,999,996</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2.74 %</w:t>
            </w: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3580" w:type="dxa"/>
            <w:vAlign w:val="bottom"/>
            <w:gridSpan w:val="14"/>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Skillsoft Corp.**</w:t>
            </w:r>
            <w:r>
              <w:rPr>
                <w:rFonts w:ascii="Times New Roman" w:cs="Times New Roman" w:eastAsia="Times New Roman" w:hAnsi="Times New Roman"/>
                <w:sz w:val="17"/>
                <w:szCs w:val="17"/>
                <w:b w:val="1"/>
                <w:bCs w:val="1"/>
                <w:color w:val="auto"/>
                <w:vertAlign w:val="superscript"/>
              </w:rPr>
              <w:t>(18)</w:t>
            </w:r>
          </w:p>
        </w:tc>
        <w:tc>
          <w:tcPr>
            <w:tcW w:w="100" w:type="dxa"/>
            <w:vAlign w:val="bottom"/>
            <w:shd w:val="clear" w:color="auto" w:fill="CCEEFF"/>
          </w:tcPr>
          <w:p>
            <w:pPr>
              <w:spacing w:after="0"/>
              <w:rPr>
                <w:sz w:val="13"/>
                <w:szCs w:val="13"/>
                <w:color w:val="auto"/>
              </w:rPr>
            </w:pPr>
          </w:p>
        </w:tc>
        <w:tc>
          <w:tcPr>
            <w:tcW w:w="2080" w:type="dxa"/>
            <w:vAlign w:val="bottom"/>
            <w:gridSpan w:val="2"/>
            <w:shd w:val="clear" w:color="auto" w:fill="CCEEFF"/>
          </w:tcPr>
          <w:p>
            <w:pPr>
              <w:jc w:val="center"/>
              <w:ind w:right="120"/>
              <w:spacing w:after="0" w:line="150" w:lineRule="exact"/>
              <w:rPr>
                <w:sz w:val="20"/>
                <w:szCs w:val="20"/>
                <w:color w:val="auto"/>
              </w:rPr>
            </w:pPr>
            <w:r>
              <w:rPr>
                <w:rFonts w:ascii="Times New Roman" w:cs="Times New Roman" w:eastAsia="Times New Roman" w:hAnsi="Times New Roman"/>
                <w:sz w:val="14"/>
                <w:szCs w:val="14"/>
                <w:color w:val="auto"/>
                <w:w w:val="98"/>
              </w:rPr>
              <w:t>Nashua, NH</w:t>
            </w: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bottom w:val="single" w:sz="8" w:color="CCEEFF"/>
            </w:tcBorders>
            <w:shd w:val="clear" w:color="auto" w:fill="CCEEFF"/>
          </w:tcPr>
          <w:p>
            <w:pPr>
              <w:spacing w:after="0"/>
              <w:rPr>
                <w:sz w:val="2"/>
                <w:szCs w:val="2"/>
                <w:color w:val="auto"/>
              </w:rPr>
            </w:pPr>
          </w:p>
        </w:tc>
        <w:tc>
          <w:tcPr>
            <w:tcW w:w="820" w:type="dxa"/>
            <w:vAlign w:val="bottom"/>
            <w:tcBorders>
              <w:top w:val="single" w:sz="8" w:color="CCEEFF"/>
              <w:bottom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80" w:type="dxa"/>
            <w:vAlign w:val="bottom"/>
            <w:gridSpan w:val="14"/>
          </w:tcPr>
          <w:p>
            <w:pPr>
              <w:spacing w:after="0" w:line="187"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Online Education</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6/8/2021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981,843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9,818,430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8,983,863</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2.46 %</w:t>
            </w:r>
          </w:p>
        </w:tc>
        <w:tc>
          <w:tcPr>
            <w:tcW w:w="0" w:type="dxa"/>
            <w:vAlign w:val="bottom"/>
          </w:tcPr>
          <w:p>
            <w:pPr>
              <w:spacing w:after="0"/>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gridSpan w:val="4"/>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w w:val="95"/>
              </w:rPr>
              <w:t>Varo Money, Inc.</w:t>
            </w:r>
          </w:p>
        </w:tc>
        <w:tc>
          <w:tcPr>
            <w:tcW w:w="2560" w:type="dxa"/>
            <w:vAlign w:val="bottom"/>
            <w:tcBorders>
              <w:bottom w:val="single" w:sz="8" w:color="CCEEFF"/>
            </w:tcBorders>
            <w:gridSpan w:val="10"/>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CCEEFF"/>
            </w:tcBorders>
            <w:gridSpan w:val="2"/>
            <w:shd w:val="clear" w:color="auto" w:fill="CCEEFF"/>
          </w:tcPr>
          <w:p>
            <w:pPr>
              <w:jc w:val="center"/>
              <w:ind w:right="120"/>
              <w:spacing w:after="0" w:line="143" w:lineRule="exact"/>
              <w:rPr>
                <w:sz w:val="20"/>
                <w:szCs w:val="20"/>
                <w:color w:val="auto"/>
              </w:rPr>
            </w:pPr>
            <w:r>
              <w:rPr>
                <w:rFonts w:ascii="Times New Roman" w:cs="Times New Roman" w:eastAsia="Times New Roman" w:hAnsi="Times New Roman"/>
                <w:sz w:val="14"/>
                <w:szCs w:val="14"/>
                <w:color w:val="auto"/>
                <w:w w:val="98"/>
              </w:rPr>
              <w:t>San Francisco, CA</w:t>
            </w: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Financial Services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8/11/2021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1,079,266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10,005,548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8,541,676</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2.34 %</w:t>
            </w: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3580" w:type="dxa"/>
            <w:vAlign w:val="bottom"/>
            <w:gridSpan w:val="14"/>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NewLake Capital Partners, Inc. (f/k/a GreenAcreage Real</w:t>
            </w:r>
          </w:p>
        </w:tc>
        <w:tc>
          <w:tcPr>
            <w:tcW w:w="100" w:type="dxa"/>
            <w:vAlign w:val="bottom"/>
            <w:shd w:val="clear" w:color="auto" w:fill="CCEEFF"/>
          </w:tcPr>
          <w:p>
            <w:pPr>
              <w:spacing w:after="0"/>
              <w:rPr>
                <w:sz w:val="13"/>
                <w:szCs w:val="13"/>
                <w:color w:val="auto"/>
              </w:rPr>
            </w:pPr>
          </w:p>
        </w:tc>
        <w:tc>
          <w:tcPr>
            <w:tcW w:w="20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New York, NY</w:t>
            </w: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Borders>
              <w:top w:val="single" w:sz="8" w:color="CCEEFF"/>
            </w:tcBorders>
            <w:shd w:val="clear" w:color="auto" w:fill="CCEEFF"/>
          </w:tcPr>
          <w:p>
            <w:pPr>
              <w:spacing w:after="0"/>
              <w:rPr>
                <w:sz w:val="9"/>
                <w:szCs w:val="9"/>
                <w:color w:val="auto"/>
              </w:rPr>
            </w:pPr>
          </w:p>
        </w:tc>
        <w:tc>
          <w:tcPr>
            <w:tcW w:w="3400" w:type="dxa"/>
            <w:vAlign w:val="bottom"/>
            <w:tcBorders>
              <w:top w:val="single" w:sz="8" w:color="auto"/>
            </w:tcBorders>
            <w:gridSpan w:val="13"/>
            <w:shd w:val="clear" w:color="auto" w:fill="CCEEFF"/>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Estate Corp.)**</w:t>
            </w:r>
          </w:p>
        </w:tc>
        <w:tc>
          <w:tcPr>
            <w:tcW w:w="1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80" w:type="dxa"/>
            <w:vAlign w:val="bottom"/>
            <w:tcBorders>
              <w:top w:val="single" w:sz="8" w:color="CCEEFF"/>
            </w:tcBorders>
            <w:gridSpan w:val="2"/>
            <w:vMerge w:val="continue"/>
            <w:shd w:val="clear" w:color="auto" w:fill="CCEEFF"/>
          </w:tcPr>
          <w:p>
            <w:pPr>
              <w:spacing w:after="0"/>
              <w:rPr>
                <w:sz w:val="9"/>
                <w:szCs w:val="9"/>
                <w:color w:val="auto"/>
              </w:rPr>
            </w:pPr>
          </w:p>
        </w:tc>
        <w:tc>
          <w:tcPr>
            <w:tcW w:w="9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580" w:type="dxa"/>
            <w:vAlign w:val="bottom"/>
            <w:gridSpan w:val="14"/>
          </w:tcPr>
          <w:p>
            <w:pPr>
              <w:spacing w:after="0" w:line="194"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(3)(16)</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Cannabis REIT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8/12/2019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278,471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5,653,375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7,986,548</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80" w:type="dxa"/>
            <w:vAlign w:val="bottom"/>
            <w:gridSpan w:val="14"/>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Rover Group, Inc.**</w:t>
            </w:r>
            <w:r>
              <w:rPr>
                <w:rFonts w:ascii="Times New Roman" w:cs="Times New Roman" w:eastAsia="Times New Roman" w:hAnsi="Times New Roman"/>
                <w:sz w:val="16"/>
                <w:szCs w:val="16"/>
                <w:b w:val="1"/>
                <w:bCs w:val="1"/>
                <w:color w:val="auto"/>
                <w:vertAlign w:val="superscript"/>
              </w:rPr>
              <w:t>(13)</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40"/>
              <w:spacing w:after="0" w:line="143" w:lineRule="exact"/>
              <w:rPr>
                <w:sz w:val="20"/>
                <w:szCs w:val="20"/>
                <w:color w:val="auto"/>
              </w:rPr>
            </w:pPr>
            <w:r>
              <w:rPr>
                <w:rFonts w:ascii="Times New Roman" w:cs="Times New Roman" w:eastAsia="Times New Roman" w:hAnsi="Times New Roman"/>
                <w:sz w:val="14"/>
                <w:szCs w:val="14"/>
                <w:color w:val="auto"/>
                <w:w w:val="96"/>
              </w:rPr>
              <w:t>Seattle, WA</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tcBorders>
          </w:tcPr>
          <w:p>
            <w:pPr>
              <w:spacing w:after="0"/>
              <w:rPr>
                <w:sz w:val="16"/>
                <w:szCs w:val="16"/>
                <w:color w:val="auto"/>
              </w:rPr>
            </w:pPr>
          </w:p>
        </w:tc>
        <w:tc>
          <w:tcPr>
            <w:tcW w:w="1080" w:type="dxa"/>
            <w:vAlign w:val="bottom"/>
            <w:tcBorders>
              <w:top w:val="single" w:sz="8" w:color="auto"/>
            </w:tcBorders>
            <w:gridSpan w:val="6"/>
          </w:tcPr>
          <w:p>
            <w:pPr>
              <w:spacing w:after="0" w:line="194"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2500" w:type="dxa"/>
            <w:vAlign w:val="bottom"/>
            <w:tcBorders>
              <w:top w:val="single" w:sz="8" w:color="CCEEFF"/>
            </w:tcBorders>
            <w:gridSpan w:val="8"/>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Peer-to-Peer Pet Services</w:t>
            </w:r>
          </w:p>
        </w:tc>
        <w:tc>
          <w:tcPr>
            <w:tcW w:w="9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11/3/2014</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838,381</w:t>
            </w: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2,506,119</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7,765,504</w:t>
            </w:r>
          </w:p>
        </w:tc>
        <w:tc>
          <w:tcPr>
            <w:tcW w:w="10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0" w:type="dxa"/>
            <w:vAlign w:val="bottom"/>
          </w:tcPr>
          <w:p>
            <w:pPr>
              <w:spacing w:after="0"/>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gridSpan w:val="9"/>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w w:val="97"/>
              </w:rPr>
              <w:t>Shogun Enterprises, Inc.</w:t>
            </w:r>
          </w:p>
        </w:tc>
        <w:tc>
          <w:tcPr>
            <w:tcW w:w="2120" w:type="dxa"/>
            <w:vAlign w:val="bottom"/>
            <w:tcBorders>
              <w:bottom w:val="single" w:sz="8" w:color="CCEEFF"/>
            </w:tcBorders>
            <w:gridSpan w:val="5"/>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CCEEFF"/>
            </w:tcBorders>
            <w:gridSpan w:val="2"/>
            <w:shd w:val="clear" w:color="auto" w:fill="CCEEFF"/>
          </w:tcPr>
          <w:p>
            <w:pPr>
              <w:jc w:val="center"/>
              <w:ind w:right="140"/>
              <w:spacing w:after="0" w:line="143" w:lineRule="exact"/>
              <w:rPr>
                <w:sz w:val="20"/>
                <w:szCs w:val="20"/>
                <w:color w:val="auto"/>
              </w:rPr>
            </w:pPr>
            <w:r>
              <w:rPr>
                <w:rFonts w:ascii="Times New Roman" w:cs="Times New Roman" w:eastAsia="Times New Roman" w:hAnsi="Times New Roman"/>
                <w:sz w:val="14"/>
                <w:szCs w:val="14"/>
                <w:color w:val="auto"/>
                <w:w w:val="98"/>
              </w:rPr>
              <w:t>Austin, TX</w:t>
            </w: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Preferred shares, Series B-1</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Home Improvement Finance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2/26/2021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436,844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3,501,657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3,531,447</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0.97 %</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5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B-2</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2/26/2021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301,750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3,501,661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3,499,998</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0.96 %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14"/>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7,003,318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7,031,445</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1.93 %</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3580" w:type="dxa"/>
            <w:vAlign w:val="bottom"/>
            <w:gridSpan w:val="1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Enjoy Technology, Inc.**</w:t>
            </w:r>
          </w:p>
        </w:tc>
        <w:tc>
          <w:tcPr>
            <w:tcW w:w="1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9"/>
              </w:rPr>
              <w:t>Menlo Park, CA</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tcBorders>
          </w:tcPr>
          <w:p>
            <w:pPr>
              <w:spacing w:after="0"/>
              <w:rPr>
                <w:sz w:val="16"/>
                <w:szCs w:val="16"/>
                <w:color w:val="auto"/>
              </w:rPr>
            </w:pPr>
          </w:p>
        </w:tc>
        <w:tc>
          <w:tcPr>
            <w:tcW w:w="1340" w:type="dxa"/>
            <w:vAlign w:val="bottom"/>
            <w:tcBorders>
              <w:top w:val="single" w:sz="8" w:color="auto"/>
            </w:tcBorders>
            <w:gridSpan w:val="7"/>
          </w:tcPr>
          <w:p>
            <w:pPr>
              <w:spacing w:after="0" w:line="194"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2240" w:type="dxa"/>
            <w:vAlign w:val="bottom"/>
            <w:tcBorders>
              <w:top w:val="single" w:sz="8" w:color="CCEEFF"/>
            </w:tcBorders>
            <w:gridSpan w:val="7"/>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On-Demand Commerce</w:t>
            </w:r>
          </w:p>
        </w:tc>
        <w:tc>
          <w:tcPr>
            <w:tcW w:w="9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10/16/2014</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1,070,919</w:t>
            </w: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5,526,777</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4,576,572</w:t>
            </w:r>
          </w:p>
        </w:tc>
        <w:tc>
          <w:tcPr>
            <w:tcW w:w="10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14"/>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Neutron Holdings, Inc. (d/b/a/ Lime)</w:t>
            </w:r>
          </w:p>
        </w:tc>
        <w:tc>
          <w:tcPr>
            <w:tcW w:w="1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120"/>
              <w:spacing w:after="0" w:line="143" w:lineRule="exact"/>
              <w:rPr>
                <w:sz w:val="20"/>
                <w:szCs w:val="20"/>
                <w:color w:val="auto"/>
              </w:rPr>
            </w:pPr>
            <w:r>
              <w:rPr>
                <w:rFonts w:ascii="Times New Roman" w:cs="Times New Roman" w:eastAsia="Times New Roman" w:hAnsi="Times New Roman"/>
                <w:sz w:val="14"/>
                <w:szCs w:val="14"/>
                <w:color w:val="auto"/>
                <w:w w:val="98"/>
              </w:rPr>
              <w:t>San Francisco, CA</w:t>
            </w: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CCEEFF"/>
            </w:tcBorders>
          </w:tcPr>
          <w:p>
            <w:pPr>
              <w:spacing w:after="0"/>
              <w:rPr>
                <w:sz w:val="15"/>
                <w:szCs w:val="15"/>
                <w:color w:val="auto"/>
              </w:rPr>
            </w:pPr>
          </w:p>
        </w:tc>
        <w:tc>
          <w:tcPr>
            <w:tcW w:w="214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Junior Preferred shares, Series 1-D</w:t>
            </w:r>
          </w:p>
        </w:tc>
        <w:tc>
          <w:tcPr>
            <w:tcW w:w="1440" w:type="dxa"/>
            <w:vAlign w:val="bottom"/>
            <w:tcBorders>
              <w:top w:val="single" w:sz="8" w:color="CCEEFF"/>
            </w:tcBorders>
            <w:gridSpan w:val="2"/>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Micromobility</w:t>
            </w:r>
          </w:p>
        </w:tc>
        <w:tc>
          <w:tcPr>
            <w:tcW w:w="9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1/25/2019</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41,237,113</w:t>
            </w: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10,007,322</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3,485,014</w:t>
            </w:r>
          </w:p>
        </w:tc>
        <w:tc>
          <w:tcPr>
            <w:tcW w:w="10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0.96 %</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5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Preferred Convertible Note 4% Due 5/11/2027***</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5/11/2020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506,339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506,339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506,339</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gridSpan w:val="14"/>
          </w:tcPr>
          <w:p>
            <w:pPr>
              <w:ind w:left="20"/>
              <w:spacing w:after="0" w:line="143" w:lineRule="exact"/>
              <w:rPr>
                <w:sz w:val="20"/>
                <w:szCs w:val="20"/>
                <w:color w:val="auto"/>
              </w:rPr>
            </w:pPr>
            <w:r>
              <w:rPr>
                <w:rFonts w:ascii="Times New Roman" w:cs="Times New Roman" w:eastAsia="Times New Roman" w:hAnsi="Times New Roman"/>
                <w:sz w:val="14"/>
                <w:szCs w:val="14"/>
                <w:color w:val="auto"/>
              </w:rPr>
              <w:t>Common Warrants, Strike Price $0.01, Expiration Date</w:t>
            </w: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5/11/2020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2,032,967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7"/>
        </w:trPr>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5/11/2027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3580" w:type="dxa"/>
            <w:vAlign w:val="bottom"/>
            <w:tcBorders>
              <w:top w:val="single" w:sz="8" w:color="CCEEFF"/>
            </w:tcBorders>
            <w:gridSpan w:val="1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10,513,661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3,991,353</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-5576570</wp:posOffset>
            </wp:positionV>
            <wp:extent cx="2275205" cy="131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75205" cy="13144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17"/>
          <w:szCs w:val="17"/>
          <w:b w:val="1"/>
          <w:bCs w:val="1"/>
          <w:color w:val="auto"/>
        </w:rPr>
        <w:t>SURO CAPITAL CORP. AND SUBSIDIARIES CONDENSED CONSOLIDATED SCHEDULE OF INVESTMENTS - continued December 31, 2021</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80" w:type="dxa"/>
            <w:vAlign w:val="bottom"/>
            <w:gridSpan w:val="19"/>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3"/>
                <w:szCs w:val="13"/>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Headquarters/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Date of Initial</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00" w:type="dxa"/>
            <w:vAlign w:val="bottom"/>
          </w:tcPr>
          <w:p>
            <w:pPr>
              <w:spacing w:after="0"/>
              <w:rPr>
                <w:sz w:val="13"/>
                <w:szCs w:val="13"/>
                <w:color w:val="auto"/>
              </w:rPr>
            </w:pP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80" w:type="dxa"/>
            <w:vAlign w:val="bottom"/>
            <w:gridSpan w:val="19"/>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4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auto"/>
            </w:tcBorders>
            <w:shd w:val="clear" w:color="auto" w:fill="CCEEFF"/>
          </w:tcPr>
          <w:p>
            <w:pPr>
              <w:spacing w:after="0"/>
              <w:rPr>
                <w:sz w:val="16"/>
                <w:szCs w:val="16"/>
                <w:color w:val="auto"/>
              </w:rPr>
            </w:pPr>
          </w:p>
        </w:tc>
        <w:tc>
          <w:tcPr>
            <w:tcW w:w="3560" w:type="dxa"/>
            <w:vAlign w:val="bottom"/>
            <w:tcBorders>
              <w:top w:val="single" w:sz="8" w:color="auto"/>
            </w:tcBorders>
            <w:gridSpan w:val="18"/>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Residential Homes for Rent, LLC (d/b/a Second Avenue)</w:t>
            </w:r>
          </w:p>
        </w:tc>
        <w:tc>
          <w:tcPr>
            <w:tcW w:w="10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Chicago, IL</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CCEEFF"/>
            </w:tcBorders>
          </w:tcPr>
          <w:p>
            <w:pPr>
              <w:spacing w:after="0"/>
              <w:rPr>
                <w:sz w:val="16"/>
                <w:szCs w:val="16"/>
                <w:color w:val="auto"/>
              </w:rPr>
            </w:pPr>
          </w:p>
        </w:tc>
        <w:tc>
          <w:tcPr>
            <w:tcW w:w="3320" w:type="dxa"/>
            <w:vAlign w:val="bottom"/>
            <w:tcBorders>
              <w:top w:val="single" w:sz="8" w:color="auto"/>
            </w:tcBorders>
            <w:gridSpan w:val="15"/>
          </w:tcPr>
          <w:p>
            <w:pPr>
              <w:spacing w:after="0" w:line="187" w:lineRule="exact"/>
              <w:rPr>
                <w:sz w:val="20"/>
                <w:szCs w:val="20"/>
                <w:color w:val="auto"/>
              </w:rPr>
            </w:pPr>
            <w:r>
              <w:rPr>
                <w:rFonts w:ascii="Times New Roman" w:cs="Times New Roman" w:eastAsia="Times New Roman" w:hAnsi="Times New Roman"/>
                <w:sz w:val="14"/>
                <w:szCs w:val="14"/>
                <w:color w:val="auto"/>
              </w:rPr>
              <w:t>Preferred shares, Series A</w:t>
            </w:r>
            <w:r>
              <w:rPr>
                <w:rFonts w:ascii="Times New Roman" w:cs="Times New Roman" w:eastAsia="Times New Roman" w:hAnsi="Times New Roman"/>
                <w:sz w:val="17"/>
                <w:szCs w:val="17"/>
                <w:color w:val="auto"/>
                <w:vertAlign w:val="superscript"/>
              </w:rPr>
              <w:t>(6)</w:t>
            </w:r>
          </w:p>
        </w:tc>
        <w:tc>
          <w:tcPr>
            <w:tcW w:w="240" w:type="dxa"/>
            <w:vAlign w:val="bottom"/>
            <w:tcBorders>
              <w:top w:val="single" w:sz="8" w:color="CCEEFF"/>
            </w:tcBorders>
            <w:gridSpan w:val="3"/>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Real Estate Platform</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7"/>
              </w:rPr>
              <w:t>12/23/2020</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358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15%, Due 12/23/2023***</w:t>
            </w:r>
            <w:r>
              <w:rPr>
                <w:rFonts w:ascii="Times New Roman" w:cs="Times New Roman" w:eastAsia="Times New Roman" w:hAnsi="Times New Roman"/>
                <w:sz w:val="17"/>
                <w:szCs w:val="17"/>
                <w:color w:val="auto"/>
                <w:vertAlign w:val="superscript"/>
              </w:rPr>
              <w:t>(14)</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12/23/2020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580" w:type="dxa"/>
            <w:vAlign w:val="bottom"/>
            <w:tcBorders>
              <w:bottom w:val="single" w:sz="8" w:color="CCEEFF"/>
            </w:tcBorders>
            <w:gridSpan w:val="19"/>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3,500,000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3,500,000</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5"/>
              </w:rPr>
              <w:t>PayJoy, Inc.</w:t>
            </w:r>
          </w:p>
        </w:tc>
        <w:tc>
          <w:tcPr>
            <w:tcW w:w="2840" w:type="dxa"/>
            <w:vAlign w:val="bottom"/>
            <w:tcBorders>
              <w:bottom w:val="single" w:sz="8" w:color="CCEEFF"/>
            </w:tcBorders>
            <w:gridSpan w:val="17"/>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80" w:type="dxa"/>
            <w:vAlign w:val="bottom"/>
            <w:tcBorders>
              <w:bottom w:val="single" w:sz="8" w:color="CCEEFF"/>
            </w:tcBorders>
            <w:gridSpan w:val="2"/>
            <w:shd w:val="clear" w:color="auto" w:fill="CCEEFF"/>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San Francisco, CA</w:t>
            </w: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80" w:type="dxa"/>
            <w:vAlign w:val="bottom"/>
            <w:gridSpan w:val="19"/>
          </w:tcPr>
          <w:p>
            <w:pPr>
              <w:ind w:left="20"/>
              <w:spacing w:after="0"/>
              <w:rPr>
                <w:sz w:val="20"/>
                <w:szCs w:val="20"/>
                <w:color w:val="auto"/>
              </w:rPr>
            </w:pPr>
            <w:r>
              <w:rPr>
                <w:rFonts w:ascii="Times New Roman" w:cs="Times New Roman" w:eastAsia="Times New Roman" w:hAnsi="Times New Roman"/>
                <w:sz w:val="14"/>
                <w:szCs w:val="14"/>
                <w:color w:val="auto"/>
              </w:rPr>
              <w:t>Preferred shares</w:t>
            </w: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Mobile Access Technology</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7/23/2021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244,117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2,501,570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2,500,002</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560" w:type="dxa"/>
            <w:vAlign w:val="bottom"/>
            <w:gridSpan w:val="18"/>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Rent the Runway, Inc.**</w:t>
            </w:r>
          </w:p>
        </w:tc>
        <w:tc>
          <w:tcPr>
            <w:tcW w:w="1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5"/>
              </w:rPr>
              <w:t>New York, NY</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CCEEFF"/>
            </w:tcBorders>
          </w:tcPr>
          <w:p>
            <w:pPr>
              <w:spacing w:after="0"/>
              <w:rPr>
                <w:sz w:val="16"/>
                <w:szCs w:val="16"/>
                <w:color w:val="auto"/>
              </w:rPr>
            </w:pPr>
          </w:p>
        </w:tc>
        <w:tc>
          <w:tcPr>
            <w:tcW w:w="1320" w:type="dxa"/>
            <w:vAlign w:val="bottom"/>
            <w:tcBorders>
              <w:top w:val="single" w:sz="8" w:color="auto"/>
            </w:tcBorders>
            <w:gridSpan w:val="5"/>
          </w:tcPr>
          <w:p>
            <w:pPr>
              <w:spacing w:after="0" w:line="187"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2240" w:type="dxa"/>
            <w:vAlign w:val="bottom"/>
            <w:tcBorders>
              <w:top w:val="single" w:sz="8" w:color="CCEEFF"/>
            </w:tcBorders>
            <w:gridSpan w:val="13"/>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Subscription Fashion Rental</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6/17/2020</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339,191</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5,153,945</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2,418,856</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Aventine Property Group, Inc.</w:t>
            </w:r>
            <w:r>
              <w:rPr>
                <w:rFonts w:ascii="Times New Roman" w:cs="Times New Roman" w:eastAsia="Times New Roman" w:hAnsi="Times New Roman"/>
                <w:sz w:val="16"/>
                <w:szCs w:val="16"/>
                <w:b w:val="1"/>
                <w:bCs w:val="1"/>
                <w:color w:val="auto"/>
                <w:vertAlign w:val="superscript"/>
              </w:rPr>
              <w:t>(12)</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8"/>
              </w:rPr>
              <w:t>Chicago, IL</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80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760" w:type="dxa"/>
            <w:vAlign w:val="bottom"/>
            <w:tcBorders>
              <w:top w:val="single" w:sz="8" w:color="CCEEFF"/>
            </w:tcBorders>
            <w:gridSpan w:val="8"/>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Cannabis REIT</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9/11/2019</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2,580,750</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2,190,978</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8"/>
        </w:trPr>
        <w:tc>
          <w:tcPr>
            <w:tcW w:w="20" w:type="dxa"/>
            <w:vAlign w:val="bottom"/>
            <w:tcBorders>
              <w:bottom w:val="single" w:sz="8" w:color="CCEEFF"/>
            </w:tcBorders>
            <w:vMerge w:val="restart"/>
            <w:shd w:val="clear" w:color="auto" w:fill="CCEEFF"/>
          </w:tcPr>
          <w:p>
            <w:pPr>
              <w:spacing w:after="0"/>
              <w:rPr>
                <w:sz w:val="8"/>
                <w:szCs w:val="8"/>
                <w:color w:val="auto"/>
              </w:rPr>
            </w:pPr>
          </w:p>
        </w:tc>
        <w:tc>
          <w:tcPr>
            <w:tcW w:w="3340" w:type="dxa"/>
            <w:vAlign w:val="bottom"/>
            <w:tcBorders>
              <w:bottom w:val="single" w:sz="8" w:color="CCEEFF"/>
            </w:tcBorders>
            <w:gridSpan w:val="16"/>
            <w:vMerge w:val="restart"/>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w w:val="97"/>
              </w:rPr>
              <w:t>Commercial Streaming Solutions Inc. (d/b/a BettorView)</w:t>
            </w:r>
          </w:p>
        </w:tc>
        <w:tc>
          <w:tcPr>
            <w:tcW w:w="8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9"/>
                <w:szCs w:val="9"/>
                <w:b w:val="1"/>
                <w:bCs w:val="1"/>
                <w:color w:val="auto"/>
                <w:w w:val="79"/>
              </w:rPr>
              <w:t>(7</w:t>
            </w:r>
          </w:p>
        </w:tc>
        <w:tc>
          <w:tcPr>
            <w:tcW w:w="140" w:type="dxa"/>
            <w:vAlign w:val="bottom"/>
            <w:tcBorders>
              <w:bottom w:val="single" w:sz="8" w:color="CCEEFF"/>
            </w:tcBorders>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100" w:type="dxa"/>
            <w:vAlign w:val="bottom"/>
            <w:tcBorders>
              <w:bottom w:val="single" w:sz="8" w:color="CCEEFF"/>
            </w:tcBorders>
            <w:shd w:val="clear" w:color="auto" w:fill="CCEEFF"/>
          </w:tcPr>
          <w:p>
            <w:pPr>
              <w:spacing w:after="0"/>
              <w:rPr>
                <w:sz w:val="8"/>
                <w:szCs w:val="8"/>
                <w:color w:val="auto"/>
              </w:rPr>
            </w:pPr>
          </w:p>
        </w:tc>
        <w:tc>
          <w:tcPr>
            <w:tcW w:w="2080" w:type="dxa"/>
            <w:vAlign w:val="bottom"/>
            <w:tcBorders>
              <w:bottom w:val="single" w:sz="8" w:color="CCEEFF"/>
            </w:tcBorders>
            <w:gridSpan w:val="2"/>
            <w:vMerge w:val="restart"/>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5"/>
              </w:rPr>
              <w:t>Las Vegas, NV</w:t>
            </w:r>
          </w:p>
        </w:tc>
        <w:tc>
          <w:tcPr>
            <w:tcW w:w="9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CCEEFF"/>
            </w:tcBorders>
            <w:vMerge w:val="continue"/>
            <w:shd w:val="clear" w:color="auto" w:fill="CCEEFF"/>
          </w:tcPr>
          <w:p>
            <w:pPr>
              <w:spacing w:after="0"/>
              <w:rPr>
                <w:sz w:val="5"/>
                <w:szCs w:val="5"/>
                <w:color w:val="auto"/>
              </w:rPr>
            </w:pPr>
          </w:p>
        </w:tc>
        <w:tc>
          <w:tcPr>
            <w:tcW w:w="3340" w:type="dxa"/>
            <w:vAlign w:val="bottom"/>
            <w:tcBorders>
              <w:bottom w:val="single" w:sz="8" w:color="auto"/>
            </w:tcBorders>
            <w:gridSpan w:val="16"/>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80" w:type="dxa"/>
            <w:vAlign w:val="bottom"/>
            <w:tcBorders>
              <w:bottom w:val="single" w:sz="8" w:color="CCEEFF"/>
            </w:tcBorders>
            <w:gridSpan w:val="2"/>
            <w:vMerge w:val="continue"/>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8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3580" w:type="dxa"/>
            <w:vAlign w:val="bottom"/>
            <w:gridSpan w:val="19"/>
          </w:tcPr>
          <w:p>
            <w:pPr>
              <w:ind w:left="20"/>
              <w:spacing w:after="0"/>
              <w:rPr>
                <w:sz w:val="20"/>
                <w:szCs w:val="20"/>
                <w:color w:val="auto"/>
              </w:rPr>
            </w:pPr>
            <w:r>
              <w:rPr>
                <w:rFonts w:ascii="Times New Roman" w:cs="Times New Roman" w:eastAsia="Times New Roman" w:hAnsi="Times New Roman"/>
                <w:sz w:val="14"/>
                <w:szCs w:val="14"/>
                <w:color w:val="auto"/>
              </w:rPr>
              <w:t>Simple Agreement for Future Equity</w:t>
            </w: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Interactive Media &amp; Services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3/26/2021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1,002,720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Rebric, Inc. (d/b/a Compliable)</w:t>
            </w:r>
            <w:r>
              <w:rPr>
                <w:rFonts w:ascii="Times New Roman" w:cs="Times New Roman" w:eastAsia="Times New Roman" w:hAnsi="Times New Roman"/>
                <w:sz w:val="17"/>
                <w:szCs w:val="17"/>
                <w:b w:val="1"/>
                <w:bCs w:val="1"/>
                <w:color w:val="auto"/>
                <w:vertAlign w:val="superscript"/>
              </w:rPr>
              <w:t>(7)</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7"/>
              </w:rPr>
              <w:t>Denver, CO</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84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4"/>
                <w:szCs w:val="14"/>
                <w:color w:val="auto"/>
              </w:rPr>
              <w:t>Preferred shares, Series Seed-4</w:t>
            </w:r>
          </w:p>
        </w:tc>
        <w:tc>
          <w:tcPr>
            <w:tcW w:w="1720" w:type="dxa"/>
            <w:vAlign w:val="bottom"/>
            <w:tcBorders>
              <w:top w:val="single" w:sz="8" w:color="CCEEFF"/>
            </w:tcBorders>
            <w:gridSpan w:val="7"/>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Gaming Licensing</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7"/>
              </w:rPr>
              <w:t>10/12/2021</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2,064,409</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1,002,755</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Palantir Lending Trust SPV I **</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7"/>
                <w:szCs w:val="17"/>
                <w:b w:val="1"/>
                <w:bCs w:val="1"/>
                <w:color w:val="auto"/>
                <w:vertAlign w:val="superscript"/>
              </w:rPr>
              <w:t>11)</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7"/>
              </w:rPr>
              <w:t>Palo Alto, CA</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Data Analysis</w:t>
            </w: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930,524</w:t>
            </w: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560" w:type="dxa"/>
            <w:vAlign w:val="bottom"/>
            <w:gridSpan w:val="18"/>
          </w:tcPr>
          <w:p>
            <w:pPr>
              <w:spacing w:after="0" w:line="187" w:lineRule="exact"/>
              <w:rPr>
                <w:sz w:val="20"/>
                <w:szCs w:val="20"/>
                <w:color w:val="auto"/>
              </w:rPr>
            </w:pPr>
            <w:r>
              <w:rPr>
                <w:rFonts w:ascii="Times New Roman" w:cs="Times New Roman" w:eastAsia="Times New Roman" w:hAnsi="Times New Roman"/>
                <w:sz w:val="14"/>
                <w:szCs w:val="14"/>
                <w:color w:val="auto"/>
              </w:rPr>
              <w:t>Equity Participation in Underlying Collateral</w:t>
            </w:r>
            <w:r>
              <w:rPr>
                <w:rFonts w:ascii="Times New Roman" w:cs="Times New Roman" w:eastAsia="Times New Roman" w:hAnsi="Times New Roman"/>
                <w:sz w:val="17"/>
                <w:szCs w:val="17"/>
                <w:color w:val="auto"/>
                <w:vertAlign w:val="superscript"/>
              </w:rPr>
              <w:t>(3)</w:t>
            </w:r>
          </w:p>
        </w:tc>
        <w:tc>
          <w:tcPr>
            <w:tcW w:w="10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6/19/2020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True Global Ventures 4 Plus Pte Ltd**</w:t>
            </w:r>
            <w:r>
              <w:rPr>
                <w:rFonts w:ascii="Times New Roman" w:cs="Times New Roman" w:eastAsia="Times New Roman" w:hAnsi="Times New Roman"/>
                <w:sz w:val="16"/>
                <w:szCs w:val="16"/>
                <w:b w:val="1"/>
                <w:bCs w:val="1"/>
                <w:color w:val="auto"/>
                <w:vertAlign w:val="superscript"/>
              </w:rPr>
              <w:t>(8)</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7"/>
              </w:rPr>
              <w:t>Singapore, Singapore</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214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Limited Partner Fund Investment</w:t>
            </w:r>
          </w:p>
        </w:tc>
        <w:tc>
          <w:tcPr>
            <w:tcW w:w="1420" w:type="dxa"/>
            <w:vAlign w:val="bottom"/>
            <w:tcBorders>
              <w:top w:val="single" w:sz="8" w:color="CCEEFF"/>
            </w:tcBorders>
            <w:gridSpan w:val="6"/>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Venture Investment Fund</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8/27/2021</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713,505</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670,000</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YouBet Technology, Inc. (d/b/a PickUp)</w:t>
            </w:r>
            <w:r>
              <w:rPr>
                <w:rFonts w:ascii="Times New Roman" w:cs="Times New Roman" w:eastAsia="Times New Roman" w:hAnsi="Times New Roman"/>
                <w:sz w:val="17"/>
                <w:szCs w:val="17"/>
                <w:b w:val="1"/>
                <w:bCs w:val="1"/>
                <w:color w:val="auto"/>
                <w:vertAlign w:val="superscript"/>
              </w:rPr>
              <w:t>(7)</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5"/>
              </w:rPr>
              <w:t>New York, NY</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232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4"/>
                <w:szCs w:val="14"/>
                <w:color w:val="auto"/>
              </w:rPr>
              <w:t>Preferred shares, Series Seed-2</w:t>
            </w:r>
          </w:p>
        </w:tc>
        <w:tc>
          <w:tcPr>
            <w:tcW w:w="1240" w:type="dxa"/>
            <w:vAlign w:val="bottom"/>
            <w:tcBorders>
              <w:top w:val="single" w:sz="8" w:color="CCEEFF"/>
            </w:tcBorders>
            <w:gridSpan w:val="5"/>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Digital Media Technology</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8/26/2021</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385,353</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502,232</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499,999</w:t>
            </w: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Kahoot! ASA**</w:t>
            </w:r>
            <w:r>
              <w:rPr>
                <w:rFonts w:ascii="Times New Roman" w:cs="Times New Roman" w:eastAsia="Times New Roman" w:hAnsi="Times New Roman"/>
                <w:sz w:val="17"/>
                <w:szCs w:val="17"/>
                <w:b w:val="1"/>
                <w:bCs w:val="1"/>
                <w:color w:val="auto"/>
                <w:vertAlign w:val="superscript"/>
              </w:rPr>
              <w:t>(19)</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9"/>
              </w:rPr>
              <w:t>Oslo, Norway</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458,138</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402,360</w:t>
            </w: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560" w:type="dxa"/>
            <w:vAlign w:val="bottom"/>
            <w:gridSpan w:val="18"/>
          </w:tcPr>
          <w:p>
            <w:pPr>
              <w:spacing w:after="0" w:line="187"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17"/>
                <w:szCs w:val="17"/>
                <w:color w:val="auto"/>
                <w:vertAlign w:val="superscript"/>
              </w:rPr>
              <w:t>(3)</w:t>
            </w: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Education Software</w:t>
            </w:r>
          </w:p>
        </w:tc>
        <w:tc>
          <w:tcPr>
            <w:tcW w:w="100" w:type="dxa"/>
            <w:vAlign w:val="bottom"/>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12/5/2014</w:t>
            </w: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Churchill Sponsor VII LLC**</w:t>
            </w:r>
            <w:r>
              <w:rPr>
                <w:rFonts w:ascii="Times New Roman" w:cs="Times New Roman" w:eastAsia="Times New Roman" w:hAnsi="Times New Roman"/>
                <w:sz w:val="16"/>
                <w:szCs w:val="16"/>
                <w:b w:val="1"/>
                <w:bCs w:val="1"/>
                <w:color w:val="auto"/>
                <w:vertAlign w:val="superscript"/>
              </w:rPr>
              <w:t>(17)</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5"/>
              </w:rPr>
              <w:t>New York, NY</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vMerge w:val="restart"/>
          </w:tcPr>
          <w:p>
            <w:pPr>
              <w:spacing w:after="0"/>
              <w:rPr>
                <w:sz w:val="11"/>
                <w:szCs w:val="11"/>
                <w:color w:val="auto"/>
              </w:rPr>
            </w:pPr>
          </w:p>
        </w:tc>
        <w:tc>
          <w:tcPr>
            <w:tcW w:w="1640" w:type="dxa"/>
            <w:vAlign w:val="bottom"/>
            <w:tcBorders>
              <w:top w:val="single" w:sz="8" w:color="auto"/>
            </w:tcBorders>
            <w:gridSpan w:val="8"/>
            <w:vMerge w:val="restart"/>
          </w:tcPr>
          <w:p>
            <w:pPr>
              <w:spacing w:after="0"/>
              <w:rPr>
                <w:sz w:val="20"/>
                <w:szCs w:val="20"/>
                <w:color w:val="auto"/>
              </w:rPr>
            </w:pPr>
            <w:r>
              <w:rPr>
                <w:rFonts w:ascii="Times New Roman" w:cs="Times New Roman" w:eastAsia="Times New Roman" w:hAnsi="Times New Roman"/>
                <w:sz w:val="14"/>
                <w:szCs w:val="14"/>
                <w:color w:val="auto"/>
              </w:rPr>
              <w:t>Common share units</w:t>
            </w:r>
          </w:p>
        </w:tc>
        <w:tc>
          <w:tcPr>
            <w:tcW w:w="1920" w:type="dxa"/>
            <w:vAlign w:val="bottom"/>
            <w:tcBorders>
              <w:top w:val="single" w:sz="8" w:color="CCEEFF"/>
            </w:tcBorders>
            <w:gridSpan w:val="10"/>
            <w:vMerge w:val="restart"/>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80" w:type="dxa"/>
            <w:vAlign w:val="bottom"/>
            <w:tcBorders>
              <w:top w:val="single" w:sz="8" w:color="CCEEFF"/>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Special Purpose Acquisition</w:t>
            </w:r>
          </w:p>
        </w:tc>
        <w:tc>
          <w:tcPr>
            <w:tcW w:w="98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292,100</w:t>
            </w:r>
          </w:p>
        </w:tc>
        <w:tc>
          <w:tcPr>
            <w:tcW w:w="1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205,820</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205,820</w:t>
            </w:r>
          </w:p>
        </w:tc>
        <w:tc>
          <w:tcPr>
            <w:tcW w:w="12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640" w:type="dxa"/>
            <w:vAlign w:val="bottom"/>
            <w:gridSpan w:val="8"/>
            <w:vMerge w:val="continue"/>
          </w:tcPr>
          <w:p>
            <w:pPr>
              <w:spacing w:after="0"/>
              <w:rPr>
                <w:sz w:val="16"/>
                <w:szCs w:val="16"/>
                <w:color w:val="auto"/>
              </w:rPr>
            </w:pPr>
          </w:p>
        </w:tc>
        <w:tc>
          <w:tcPr>
            <w:tcW w:w="1920" w:type="dxa"/>
            <w:vAlign w:val="bottom"/>
            <w:gridSpan w:val="10"/>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Company</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8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units</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277,000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94,180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94,180</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gridSpan w:val="18"/>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3560" w:type="dxa"/>
            <w:vAlign w:val="bottom"/>
            <w:gridSpan w:val="18"/>
            <w:shd w:val="clear" w:color="auto" w:fill="CCEEFF"/>
          </w:tcPr>
          <w:p>
            <w:pPr>
              <w:spacing w:after="0" w:line="129" w:lineRule="exact"/>
              <w:rPr>
                <w:sz w:val="20"/>
                <w:szCs w:val="20"/>
                <w:color w:val="auto"/>
              </w:rPr>
            </w:pPr>
            <w:r>
              <w:rPr>
                <w:rFonts w:ascii="Times New Roman" w:cs="Times New Roman" w:eastAsia="Times New Roman" w:hAnsi="Times New Roman"/>
                <w:sz w:val="11"/>
                <w:szCs w:val="11"/>
                <w:b w:val="1"/>
                <w:bCs w:val="1"/>
                <w:color w:val="auto"/>
              </w:rPr>
              <w:t>AltC Sponsor LLC**</w:t>
            </w:r>
            <w:r>
              <w:rPr>
                <w:rFonts w:ascii="Times New Roman" w:cs="Times New Roman" w:eastAsia="Times New Roman" w:hAnsi="Times New Roman"/>
                <w:sz w:val="14"/>
                <w:szCs w:val="14"/>
                <w:b w:val="1"/>
                <w:bCs w:val="1"/>
                <w:color w:val="auto"/>
                <w:vertAlign w:val="superscript"/>
              </w:rPr>
              <w:t>(17)</w:t>
            </w:r>
          </w:p>
        </w:tc>
        <w:tc>
          <w:tcPr>
            <w:tcW w:w="1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5"/>
              </w:rPr>
              <w:t>New York, NY</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vMerge w:val="restart"/>
          </w:tcPr>
          <w:p>
            <w:pPr>
              <w:spacing w:after="0"/>
              <w:rPr>
                <w:sz w:val="11"/>
                <w:szCs w:val="11"/>
                <w:color w:val="auto"/>
              </w:rPr>
            </w:pPr>
          </w:p>
        </w:tc>
        <w:tc>
          <w:tcPr>
            <w:tcW w:w="112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4"/>
                <w:szCs w:val="14"/>
                <w:color w:val="auto"/>
              </w:rPr>
              <w:t>Share units</w:t>
            </w:r>
          </w:p>
        </w:tc>
        <w:tc>
          <w:tcPr>
            <w:tcW w:w="2440" w:type="dxa"/>
            <w:vAlign w:val="bottom"/>
            <w:tcBorders>
              <w:top w:val="single" w:sz="8" w:color="CCEEFF"/>
            </w:tcBorders>
            <w:gridSpan w:val="14"/>
            <w:vMerge w:val="restart"/>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80" w:type="dxa"/>
            <w:vAlign w:val="bottom"/>
            <w:tcBorders>
              <w:top w:val="single" w:sz="8" w:color="CCEEFF"/>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Special Purpose Acquisition</w:t>
            </w:r>
          </w:p>
        </w:tc>
        <w:tc>
          <w:tcPr>
            <w:tcW w:w="98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7/21/2021</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239,300</w:t>
            </w:r>
          </w:p>
        </w:tc>
        <w:tc>
          <w:tcPr>
            <w:tcW w:w="1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250,855</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2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2440" w:type="dxa"/>
            <w:vAlign w:val="bottom"/>
            <w:gridSpan w:val="14"/>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Company</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Churchill Sponsor VI LLC**</w:t>
            </w:r>
            <w:r>
              <w:rPr>
                <w:rFonts w:ascii="Times New Roman" w:cs="Times New Roman" w:eastAsia="Times New Roman" w:hAnsi="Times New Roman"/>
                <w:sz w:val="17"/>
                <w:szCs w:val="17"/>
                <w:b w:val="1"/>
                <w:bCs w:val="1"/>
                <w:color w:val="auto"/>
                <w:vertAlign w:val="superscript"/>
              </w:rPr>
              <w:t>(17)</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5"/>
              </w:rPr>
              <w:t>New York, NY</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vMerge w:val="restart"/>
          </w:tcPr>
          <w:p>
            <w:pPr>
              <w:spacing w:after="0"/>
              <w:rPr>
                <w:sz w:val="11"/>
                <w:szCs w:val="11"/>
                <w:color w:val="auto"/>
              </w:rPr>
            </w:pPr>
          </w:p>
        </w:tc>
        <w:tc>
          <w:tcPr>
            <w:tcW w:w="1580" w:type="dxa"/>
            <w:vAlign w:val="bottom"/>
            <w:tcBorders>
              <w:top w:val="single" w:sz="8" w:color="auto"/>
            </w:tcBorders>
            <w:gridSpan w:val="7"/>
            <w:vMerge w:val="restart"/>
          </w:tcPr>
          <w:p>
            <w:pPr>
              <w:spacing w:after="0"/>
              <w:rPr>
                <w:sz w:val="20"/>
                <w:szCs w:val="20"/>
                <w:color w:val="auto"/>
              </w:rPr>
            </w:pPr>
            <w:r>
              <w:rPr>
                <w:rFonts w:ascii="Times New Roman" w:cs="Times New Roman" w:eastAsia="Times New Roman" w:hAnsi="Times New Roman"/>
                <w:sz w:val="14"/>
                <w:szCs w:val="14"/>
                <w:color w:val="auto"/>
              </w:rPr>
              <w:t>Common share units</w:t>
            </w:r>
          </w:p>
        </w:tc>
        <w:tc>
          <w:tcPr>
            <w:tcW w:w="1980" w:type="dxa"/>
            <w:vAlign w:val="bottom"/>
            <w:tcBorders>
              <w:top w:val="single" w:sz="8" w:color="CCEEFF"/>
            </w:tcBorders>
            <w:gridSpan w:val="11"/>
            <w:vMerge w:val="restart"/>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80" w:type="dxa"/>
            <w:vAlign w:val="bottom"/>
            <w:tcBorders>
              <w:top w:val="single" w:sz="8" w:color="CCEEFF"/>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Special Purpose Acquisition</w:t>
            </w:r>
          </w:p>
        </w:tc>
        <w:tc>
          <w:tcPr>
            <w:tcW w:w="98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195,000</w:t>
            </w:r>
          </w:p>
        </w:tc>
        <w:tc>
          <w:tcPr>
            <w:tcW w:w="1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134,297</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134,297</w:t>
            </w:r>
          </w:p>
        </w:tc>
        <w:tc>
          <w:tcPr>
            <w:tcW w:w="12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580" w:type="dxa"/>
            <w:vAlign w:val="bottom"/>
            <w:gridSpan w:val="7"/>
            <w:vMerge w:val="continue"/>
          </w:tcPr>
          <w:p>
            <w:pPr>
              <w:spacing w:after="0"/>
              <w:rPr>
                <w:sz w:val="16"/>
                <w:szCs w:val="16"/>
                <w:color w:val="auto"/>
              </w:rPr>
            </w:pPr>
          </w:p>
        </w:tc>
        <w:tc>
          <w:tcPr>
            <w:tcW w:w="1980" w:type="dxa"/>
            <w:vAlign w:val="bottom"/>
            <w:gridSpan w:val="11"/>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Company</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8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units</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199,100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65,703</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gridSpan w:val="18"/>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6"/>
              </w:rPr>
              <w:t>Fullbridge, Inc.</w:t>
            </w:r>
          </w:p>
        </w:tc>
        <w:tc>
          <w:tcPr>
            <w:tcW w:w="2640" w:type="dxa"/>
            <w:vAlign w:val="bottom"/>
            <w:tcBorders>
              <w:bottom w:val="single" w:sz="8" w:color="CCEEFF"/>
            </w:tcBorders>
            <w:gridSpan w:val="15"/>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80" w:type="dxa"/>
            <w:vAlign w:val="bottom"/>
            <w:tcBorders>
              <w:bottom w:val="single" w:sz="8" w:color="CCEEFF"/>
            </w:tcBorders>
            <w:gridSpan w:val="2"/>
            <w:shd w:val="clear" w:color="auto" w:fill="CCEEFF"/>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8"/>
              </w:rPr>
              <w:t>Cambridge, MA</w:t>
            </w: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80" w:type="dxa"/>
            <w:vAlign w:val="bottom"/>
            <w:gridSpan w:val="19"/>
          </w:tcPr>
          <w:p>
            <w:pPr>
              <w:ind w:left="20"/>
              <w:spacing w:after="0"/>
              <w:rPr>
                <w:sz w:val="20"/>
                <w:szCs w:val="20"/>
                <w:color w:val="auto"/>
              </w:rPr>
            </w:pPr>
            <w:r>
              <w:rPr>
                <w:rFonts w:ascii="Times New Roman" w:cs="Times New Roman" w:eastAsia="Times New Roman" w:hAnsi="Times New Roman"/>
                <w:sz w:val="14"/>
                <w:szCs w:val="14"/>
                <w:color w:val="auto"/>
              </w:rPr>
              <w:t>Common shares</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Business Education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5/13/2012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517,917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6,150,506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2"/>
        </w:trPr>
        <w:tc>
          <w:tcPr>
            <w:tcW w:w="358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Promissory Note 1.47%, Due 11/9/2021</w:t>
            </w:r>
            <w:r>
              <w:rPr>
                <w:rFonts w:ascii="Times New Roman" w:cs="Times New Roman" w:eastAsia="Times New Roman" w:hAnsi="Times New Roman"/>
                <w:sz w:val="17"/>
                <w:szCs w:val="17"/>
                <w:color w:val="auto"/>
                <w:vertAlign w:val="superscript"/>
              </w:rPr>
              <w:t>(4)(20)</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3/3/2016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2,270,458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2,270,858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gridSpan w:val="18"/>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8,421,364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6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Treehouse Real Estate Investment Trust, Inc.</w:t>
            </w:r>
            <w:r>
              <w:rPr>
                <w:rFonts w:ascii="Times New Roman" w:cs="Times New Roman" w:eastAsia="Times New Roman" w:hAnsi="Times New Roman"/>
                <w:sz w:val="16"/>
                <w:szCs w:val="16"/>
                <w:b w:val="1"/>
                <w:bCs w:val="1"/>
                <w:color w:val="auto"/>
                <w:vertAlign w:val="superscript"/>
              </w:rPr>
              <w:t>(12)</w:t>
            </w: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8"/>
              </w:rPr>
              <w:t>Chicago, IL</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264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920" w:type="dxa"/>
            <w:vAlign w:val="bottom"/>
            <w:tcBorders>
              <w:top w:val="single" w:sz="8" w:color="CCEEFF"/>
            </w:tcBorders>
            <w:gridSpan w:val="4"/>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Cannabis REIT</w:t>
            </w: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9/11/2019</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4,919,250</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auto"/>
            </w:tcBorders>
            <w:gridSpan w:val="6"/>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w w:val="96"/>
              </w:rPr>
              <w:t>Kinetiq Holdings, LLC</w:t>
            </w:r>
          </w:p>
        </w:tc>
        <w:tc>
          <w:tcPr>
            <w:tcW w:w="2200" w:type="dxa"/>
            <w:vAlign w:val="bottom"/>
            <w:tcBorders>
              <w:bottom w:val="single" w:sz="8" w:color="CCEEFF"/>
            </w:tcBorders>
            <w:gridSpan w:val="1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CCEEFF"/>
            </w:tcBorders>
            <w:gridSpan w:val="2"/>
            <w:shd w:val="clear" w:color="auto" w:fill="CCEEFF"/>
          </w:tcPr>
          <w:p>
            <w:pPr>
              <w:jc w:val="center"/>
              <w:ind w:right="120"/>
              <w:spacing w:after="0" w:line="150" w:lineRule="exact"/>
              <w:rPr>
                <w:sz w:val="20"/>
                <w:szCs w:val="20"/>
                <w:color w:val="auto"/>
              </w:rPr>
            </w:pPr>
            <w:r>
              <w:rPr>
                <w:rFonts w:ascii="Times New Roman" w:cs="Times New Roman" w:eastAsia="Times New Roman" w:hAnsi="Times New Roman"/>
                <w:sz w:val="14"/>
                <w:szCs w:val="14"/>
                <w:color w:val="auto"/>
                <w:w w:val="96"/>
              </w:rPr>
              <w:t>Philadelphia, PA</w:t>
            </w: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80" w:type="dxa"/>
            <w:vAlign w:val="bottom"/>
            <w:gridSpan w:val="19"/>
          </w:tcPr>
          <w:p>
            <w:pPr>
              <w:ind w:left="20"/>
              <w:spacing w:after="0"/>
              <w:rPr>
                <w:sz w:val="20"/>
                <w:szCs w:val="20"/>
                <w:color w:val="auto"/>
              </w:rPr>
            </w:pPr>
            <w:r>
              <w:rPr>
                <w:rFonts w:ascii="Times New Roman" w:cs="Times New Roman" w:eastAsia="Times New Roman" w:hAnsi="Times New Roman"/>
                <w:sz w:val="14"/>
                <w:szCs w:val="14"/>
                <w:color w:val="auto"/>
              </w:rPr>
              <w:t>Common shares, Class A</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Social Data Platform</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3/30/2012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112,374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60" w:type="dxa"/>
            <w:vAlign w:val="bottom"/>
            <w:gridSpan w:val="18"/>
          </w:tcPr>
          <w:p>
            <w:pPr>
              <w:ind w:left="120"/>
              <w:spacing w:after="0"/>
              <w:rPr>
                <w:sz w:val="20"/>
                <w:szCs w:val="20"/>
                <w:color w:val="auto"/>
              </w:rPr>
            </w:pPr>
            <w:r>
              <w:rPr>
                <w:rFonts w:ascii="Times New Roman" w:cs="Times New Roman" w:eastAsia="Times New Roman" w:hAnsi="Times New Roman"/>
                <w:sz w:val="14"/>
                <w:szCs w:val="14"/>
                <w:b w:val="1"/>
                <w:bCs w:val="1"/>
                <w:color w:val="auto"/>
              </w:rPr>
              <w:t>Total Non-controlled/Non-affiliate</w:t>
            </w: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146,360,300</w:t>
            </w:r>
          </w:p>
        </w:tc>
        <w:tc>
          <w:tcPr>
            <w:tcW w:w="10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231,768,290</w:t>
            </w: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63.53 %</w:t>
            </w: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17"/>
          <w:szCs w:val="17"/>
          <w:b w:val="1"/>
          <w:bCs w:val="1"/>
          <w:color w:val="auto"/>
        </w:rPr>
        <w:t>SURO CAPITAL CORP. AND SUBSIDIARIES CONDENSED CONSOLIDATED SCHEDULE OF INVESTMENTS - continued December 31,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tcPr>
          <w:p>
            <w:pPr>
              <w:spacing w:after="0"/>
              <w:rPr>
                <w:sz w:val="13"/>
                <w:szCs w:val="13"/>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Headquarters/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Date of Initial</w:t>
            </w:r>
          </w:p>
        </w:tc>
        <w:tc>
          <w:tcPr>
            <w:tcW w:w="20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60" w:type="dxa"/>
            <w:vAlign w:val="bottom"/>
          </w:tcPr>
          <w:p>
            <w:pPr>
              <w:spacing w:after="0"/>
              <w:rPr>
                <w:sz w:val="13"/>
                <w:szCs w:val="13"/>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0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00" w:type="dxa"/>
            <w:vAlign w:val="bottom"/>
            <w:tcBorders>
              <w:top w:val="single" w:sz="8" w:color="auto"/>
            </w:tcBorders>
            <w:gridSpan w:val="6"/>
            <w:shd w:val="clear" w:color="auto" w:fill="CCEEFF"/>
          </w:tcPr>
          <w:p>
            <w:pPr>
              <w:ind w:left="20"/>
              <w:spacing w:after="0" w:line="193" w:lineRule="exact"/>
              <w:rPr>
                <w:sz w:val="20"/>
                <w:szCs w:val="20"/>
                <w:color w:val="auto"/>
              </w:rPr>
            </w:pPr>
            <w:r>
              <w:rPr>
                <w:rFonts w:ascii="Times New Roman" w:cs="Times New Roman" w:eastAsia="Times New Roman" w:hAnsi="Times New Roman"/>
                <w:sz w:val="14"/>
                <w:szCs w:val="14"/>
                <w:b w:val="1"/>
                <w:bCs w:val="1"/>
                <w:color w:val="auto"/>
              </w:rPr>
              <w:t>NON-CONTROLLED/AFFILIATE</w:t>
            </w:r>
            <w:r>
              <w:rPr>
                <w:rFonts w:ascii="Times New Roman" w:cs="Times New Roman" w:eastAsia="Times New Roman" w:hAnsi="Times New Roman"/>
                <w:sz w:val="17"/>
                <w:szCs w:val="17"/>
                <w:color w:val="auto"/>
                <w:vertAlign w:val="superscript"/>
              </w:rPr>
              <w:t>(1)</w:t>
            </w:r>
          </w:p>
        </w:tc>
        <w:tc>
          <w:tcPr>
            <w:tcW w:w="10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00" w:type="dxa"/>
            <w:vAlign w:val="bottom"/>
            <w:gridSpan w:val="6"/>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StormWind, LLC</w:t>
            </w:r>
            <w:r>
              <w:rPr>
                <w:rFonts w:ascii="Times New Roman" w:cs="Times New Roman" w:eastAsia="Times New Roman" w:hAnsi="Times New Roman"/>
                <w:sz w:val="16"/>
                <w:szCs w:val="16"/>
                <w:color w:val="auto"/>
                <w:vertAlign w:val="superscript"/>
              </w:rPr>
              <w:t>(5)</w:t>
            </w:r>
          </w:p>
        </w:tc>
        <w:tc>
          <w:tcPr>
            <w:tcW w:w="100" w:type="dxa"/>
            <w:vAlign w:val="bottom"/>
          </w:tcPr>
          <w:p>
            <w:pPr>
              <w:spacing w:after="0"/>
              <w:rPr>
                <w:sz w:val="12"/>
                <w:szCs w:val="12"/>
                <w:color w:val="auto"/>
              </w:rPr>
            </w:pPr>
          </w:p>
        </w:tc>
        <w:tc>
          <w:tcPr>
            <w:tcW w:w="19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8"/>
              </w:rPr>
              <w:t>Scottsdale, AZ</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D 8%</w:t>
            </w:r>
          </w:p>
        </w:tc>
        <w:tc>
          <w:tcPr>
            <w:tcW w:w="1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Interactive Learning</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11/26/2019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329,337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257,267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621,093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60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1/7/2014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2,779,134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4,000,787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6,496,729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36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B 8%</w:t>
            </w: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12/16/2011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3,279,629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2,019,687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4,423,607</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360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2/25/2014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366,666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289,293</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5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6,387,741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11,830,722</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3600" w:type="dxa"/>
            <w:vAlign w:val="bottom"/>
            <w:gridSpan w:val="6"/>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OneValley, Inc. (f/k/a NestGSV, Inc.)</w:t>
            </w:r>
          </w:p>
        </w:tc>
        <w:tc>
          <w:tcPr>
            <w:tcW w:w="100" w:type="dxa"/>
            <w:vAlign w:val="bottom"/>
          </w:tcPr>
          <w:p>
            <w:pPr>
              <w:spacing w:after="0"/>
              <w:rPr>
                <w:sz w:val="10"/>
                <w:szCs w:val="10"/>
                <w:color w:val="auto"/>
              </w:rPr>
            </w:pPr>
          </w:p>
        </w:tc>
        <w:tc>
          <w:tcPr>
            <w:tcW w:w="1960" w:type="dxa"/>
            <w:vAlign w:val="bottom"/>
            <w:gridSpan w:val="2"/>
          </w:tcPr>
          <w:p>
            <w:pPr>
              <w:jc w:val="center"/>
              <w:ind w:right="100"/>
              <w:spacing w:after="0" w:line="123" w:lineRule="exact"/>
              <w:rPr>
                <w:sz w:val="20"/>
                <w:szCs w:val="20"/>
                <w:color w:val="auto"/>
              </w:rPr>
            </w:pPr>
            <w:r>
              <w:rPr>
                <w:rFonts w:ascii="Times New Roman" w:cs="Times New Roman" w:eastAsia="Times New Roman" w:hAnsi="Times New Roman"/>
                <w:sz w:val="14"/>
                <w:szCs w:val="14"/>
                <w:color w:val="auto"/>
                <w:w w:val="99"/>
              </w:rPr>
              <w:t>San Mateo, CA</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6"/>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color w:val="auto"/>
              </w:rPr>
              <w:t>Derivative Security, Expiration Date 8/23/2024</w:t>
            </w:r>
            <w:r>
              <w:rPr>
                <w:rFonts w:ascii="Times New Roman" w:cs="Times New Roman" w:eastAsia="Times New Roman" w:hAnsi="Times New Roman"/>
                <w:sz w:val="17"/>
                <w:szCs w:val="17"/>
                <w:color w:val="auto"/>
                <w:vertAlign w:val="superscript"/>
              </w:rPr>
              <w:t>(10)</w:t>
            </w:r>
          </w:p>
        </w:tc>
        <w:tc>
          <w:tcPr>
            <w:tcW w:w="1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Global Innovation Platform</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8/23/2019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8,555,124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2,268,268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600" w:type="dxa"/>
            <w:vAlign w:val="bottom"/>
            <w:gridSpan w:val="6"/>
          </w:tcPr>
          <w:p>
            <w:pPr>
              <w:ind w:left="20"/>
              <w:spacing w:after="0" w:line="194" w:lineRule="exact"/>
              <w:rPr>
                <w:sz w:val="20"/>
                <w:szCs w:val="20"/>
                <w:color w:val="auto"/>
              </w:rPr>
            </w:pPr>
            <w:r>
              <w:rPr>
                <w:rFonts w:ascii="Times New Roman" w:cs="Times New Roman" w:eastAsia="Times New Roman" w:hAnsi="Times New Roman"/>
                <w:sz w:val="14"/>
                <w:szCs w:val="14"/>
                <w:color w:val="auto"/>
              </w:rPr>
              <w:t>Convertible Promissory Note 8% Due 8/23/2024</w:t>
            </w:r>
            <w:r>
              <w:rPr>
                <w:rFonts w:ascii="Times New Roman" w:cs="Times New Roman" w:eastAsia="Times New Roman" w:hAnsi="Times New Roman"/>
                <w:sz w:val="17"/>
                <w:szCs w:val="17"/>
                <w:color w:val="auto"/>
                <w:vertAlign w:val="superscript"/>
              </w:rPr>
              <w:t>(4)(10)</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2/17/2016</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1,010,198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1,030,176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505,099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3600" w:type="dxa"/>
            <w:vAlign w:val="bottom"/>
            <w:gridSpan w:val="6"/>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Preferred Warrant Series B, Strike Price $2.31, Expiration Date</w:t>
            </w:r>
          </w:p>
        </w:tc>
        <w:tc>
          <w:tcPr>
            <w:tcW w:w="10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5/29/2017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70,379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4"/>
        </w:trPr>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5/29/2022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00" w:type="dxa"/>
            <w:vAlign w:val="bottom"/>
            <w:gridSpan w:val="6"/>
          </w:tcPr>
          <w:p>
            <w:pPr>
              <w:ind w:left="20"/>
              <w:spacing w:after="0" w:line="129" w:lineRule="exact"/>
              <w:rPr>
                <w:sz w:val="20"/>
                <w:szCs w:val="20"/>
                <w:color w:val="auto"/>
              </w:rPr>
            </w:pPr>
            <w:r>
              <w:rPr>
                <w:rFonts w:ascii="Times New Roman" w:cs="Times New Roman" w:eastAsia="Times New Roman" w:hAnsi="Times New Roman"/>
                <w:sz w:val="14"/>
                <w:szCs w:val="14"/>
                <w:color w:val="auto"/>
              </w:rPr>
              <w:t>Preferred Warrant Series B, Strike Price $2.31, Expiration Date</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12/31/2018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5,080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12/31/2023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358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9,660,759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2,778,367</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3600" w:type="dxa"/>
            <w:vAlign w:val="bottom"/>
            <w:gridSpan w:val="6"/>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Ozy Media, Inc.</w:t>
            </w:r>
          </w:p>
        </w:tc>
        <w:tc>
          <w:tcPr>
            <w:tcW w:w="100" w:type="dxa"/>
            <w:vAlign w:val="bottom"/>
          </w:tcPr>
          <w:p>
            <w:pPr>
              <w:spacing w:after="0"/>
              <w:rPr>
                <w:sz w:val="11"/>
                <w:szCs w:val="11"/>
                <w:color w:val="auto"/>
              </w:rPr>
            </w:pPr>
          </w:p>
        </w:tc>
        <w:tc>
          <w:tcPr>
            <w:tcW w:w="1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5"/>
              </w:rPr>
              <w:t>Mountain View, CA</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C-2 6%</w:t>
            </w:r>
          </w:p>
        </w:tc>
        <w:tc>
          <w:tcPr>
            <w:tcW w:w="1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Digital Media Platform</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8/31/2016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683,482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2,414,178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9"/>
        </w:trPr>
        <w:tc>
          <w:tcPr>
            <w:tcW w:w="3600" w:type="dxa"/>
            <w:vAlign w:val="bottom"/>
            <w:gridSpan w:val="6"/>
          </w:tcPr>
          <w:p>
            <w:pPr>
              <w:ind w:left="20"/>
              <w:spacing w:after="0" w:line="129" w:lineRule="exact"/>
              <w:rPr>
                <w:sz w:val="20"/>
                <w:szCs w:val="20"/>
                <w:color w:val="auto"/>
              </w:rPr>
            </w:pPr>
            <w:r>
              <w:rPr>
                <w:rFonts w:ascii="Times New Roman" w:cs="Times New Roman" w:eastAsia="Times New Roman" w:hAnsi="Times New Roman"/>
                <w:sz w:val="14"/>
                <w:szCs w:val="14"/>
                <w:color w:val="auto"/>
              </w:rPr>
              <w:t>Common Warrants, Strike Price $0.01, Expiration Date</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4/9/2018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295,565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30,647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4/9/2028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B 6%</w:t>
            </w: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10/3/2014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922,509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4,999,999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6"/>
        </w:trPr>
        <w:tc>
          <w:tcPr>
            <w:tcW w:w="360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Preferred shares, Series A 6%</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12/11/2013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1,090,909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3,000,200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5"/>
        </w:trPr>
        <w:tc>
          <w:tcPr>
            <w:tcW w:w="36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Seed 6%</w:t>
            </w:r>
          </w:p>
        </w:tc>
        <w:tc>
          <w:tcPr>
            <w:tcW w:w="1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11/2/2012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5"/>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10,945,024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1"/>
        </w:trPr>
        <w:tc>
          <w:tcPr>
            <w:tcW w:w="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6"/>
              </w:rPr>
              <w:t>Maven Research, Inc.</w:t>
            </w:r>
          </w:p>
        </w:tc>
        <w:tc>
          <w:tcPr>
            <w:tcW w:w="2300" w:type="dxa"/>
            <w:vAlign w:val="bottom"/>
            <w:tcBorders>
              <w:bottom w:val="single" w:sz="8" w:color="CCEEFF"/>
            </w:tcBorders>
            <w:gridSpan w:val="2"/>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960" w:type="dxa"/>
            <w:vAlign w:val="bottom"/>
            <w:tcBorders>
              <w:bottom w:val="single" w:sz="8" w:color="CCEEFF"/>
            </w:tcBorders>
            <w:gridSpan w:val="2"/>
            <w:shd w:val="clear" w:color="auto" w:fill="CCEEFF"/>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w w:val="98"/>
              </w:rPr>
              <w:t>San Francisco, CA</w:t>
            </w: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60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0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Knowledge Networks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7/2/2012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318,979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2,000,447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2"/>
        </w:trPr>
        <w:tc>
          <w:tcPr>
            <w:tcW w:w="36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Series B 5%</w:t>
            </w: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2/28/2012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tcBorders>
              <w:top w:val="single" w:sz="8" w:color="CCEEFF"/>
              <w:bottom w:val="single" w:sz="8" w:color="CCEEFF"/>
            </w:tcBorders>
          </w:tcPr>
          <w:p>
            <w:pPr>
              <w:spacing w:after="0"/>
              <w:rPr>
                <w:sz w:val="15"/>
                <w:szCs w:val="15"/>
                <w:color w:val="auto"/>
              </w:rPr>
            </w:pPr>
          </w:p>
        </w:tc>
        <w:tc>
          <w:tcPr>
            <w:tcW w:w="3580" w:type="dxa"/>
            <w:vAlign w:val="bottom"/>
            <w:tcBorders>
              <w:top w:val="single" w:sz="8" w:color="CCEEFF"/>
              <w:bottom w:val="single" w:sz="8" w:color="CCEEFF"/>
            </w:tcBorders>
            <w:gridSpan w:val="5"/>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86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2,217,653</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80" w:type="dxa"/>
            <w:vAlign w:val="bottom"/>
            <w:gridSpan w:val="5"/>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Curious.com, Inc.</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7"/>
              </w:rPr>
              <w:t>Menlo Park, CA</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540" w:type="dxa"/>
            <w:vAlign w:val="bottom"/>
            <w:tcBorders>
              <w:top w:val="single" w:sz="8" w:color="CCEEFF"/>
            </w:tcBorders>
            <w:gridSpan w:val="3"/>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96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Online Education</w:t>
            </w:r>
          </w:p>
        </w:tc>
        <w:tc>
          <w:tcPr>
            <w:tcW w:w="9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7"/>
              </w:rPr>
              <w:t>11/22/2013</w:t>
            </w: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1,135,944</w:t>
            </w: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12,000,006</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-1272540</wp:posOffset>
            </wp:positionV>
            <wp:extent cx="3523615" cy="131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23615" cy="1314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-3021965</wp:posOffset>
            </wp:positionV>
            <wp:extent cx="4977765" cy="131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77765" cy="1314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5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Total Non-controlled/Affiliate</w:t>
            </w:r>
          </w:p>
        </w:tc>
        <w:tc>
          <w:tcPr>
            <w:tcW w:w="2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41,211,183</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14,609,089</w:t>
            </w:r>
          </w:p>
        </w:tc>
        <w:tc>
          <w:tcPr>
            <w:tcW w:w="1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4.01 %</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540" w:type="dxa"/>
            <w:vAlign w:val="bottom"/>
            <w:gridSpan w:val="5"/>
          </w:tcPr>
          <w:p>
            <w:pPr>
              <w:ind w:left="20"/>
              <w:spacing w:after="0" w:line="194" w:lineRule="exact"/>
              <w:rPr>
                <w:sz w:val="20"/>
                <w:szCs w:val="20"/>
                <w:color w:val="auto"/>
              </w:rPr>
            </w:pPr>
            <w:r>
              <w:rPr>
                <w:rFonts w:ascii="Times New Roman" w:cs="Times New Roman" w:eastAsia="Times New Roman" w:hAnsi="Times New Roman"/>
                <w:sz w:val="14"/>
                <w:szCs w:val="14"/>
                <w:b w:val="1"/>
                <w:bCs w:val="1"/>
                <w:color w:val="auto"/>
              </w:rPr>
              <w:t>CONTROLLED</w:t>
            </w:r>
            <w:r>
              <w:rPr>
                <w:rFonts w:ascii="Times New Roman" w:cs="Times New Roman" w:eastAsia="Times New Roman" w:hAnsi="Times New Roman"/>
                <w:sz w:val="17"/>
                <w:szCs w:val="17"/>
                <w:b w:val="1"/>
                <w:bCs w:val="1"/>
                <w:color w:val="auto"/>
                <w:vertAlign w:val="superscript"/>
              </w:rPr>
              <w:t>(2)</w:t>
            </w:r>
          </w:p>
        </w:tc>
        <w:tc>
          <w:tcPr>
            <w:tcW w:w="2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520" w:type="dxa"/>
            <w:vAlign w:val="bottom"/>
            <w:gridSpan w:val="4"/>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Architect Capital PayJoy SPV, LLC**</w:t>
            </w:r>
          </w:p>
        </w:tc>
        <w:tc>
          <w:tcPr>
            <w:tcW w:w="2100" w:type="dxa"/>
            <w:vAlign w:val="bottom"/>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color w:val="auto"/>
                <w:w w:val="98"/>
              </w:rPr>
              <w:t>San Francisco, CA</w:t>
            </w: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gridSpan w:val="4"/>
          </w:tcPr>
          <w:p>
            <w:pPr>
              <w:spacing w:after="0" w:line="194" w:lineRule="exact"/>
              <w:rPr>
                <w:sz w:val="20"/>
                <w:szCs w:val="20"/>
                <w:color w:val="auto"/>
              </w:rPr>
            </w:pPr>
            <w:r>
              <w:rPr>
                <w:rFonts w:ascii="Times New Roman" w:cs="Times New Roman" w:eastAsia="Times New Roman" w:hAnsi="Times New Roman"/>
                <w:sz w:val="14"/>
                <w:szCs w:val="14"/>
                <w:color w:val="auto"/>
              </w:rPr>
              <w:t>Membership Interest in Lending SPV***</w:t>
            </w:r>
            <w:r>
              <w:rPr>
                <w:rFonts w:ascii="Times New Roman" w:cs="Times New Roman" w:eastAsia="Times New Roman" w:hAnsi="Times New Roman"/>
                <w:sz w:val="17"/>
                <w:szCs w:val="17"/>
                <w:color w:val="auto"/>
                <w:vertAlign w:val="superscript"/>
              </w:rPr>
              <w:t>(15)</w:t>
            </w:r>
          </w:p>
        </w:tc>
        <w:tc>
          <w:tcPr>
            <w:tcW w:w="21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7"/>
              </w:rPr>
              <w:t>Mobile Finance Technology</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3/24/2021</w:t>
            </w:r>
          </w:p>
        </w:tc>
        <w:tc>
          <w:tcPr>
            <w:tcW w:w="4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10,000,000</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10,006,745</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520" w:type="dxa"/>
            <w:vAlign w:val="bottom"/>
            <w:gridSpan w:val="4"/>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Colombier Sponsor LLC**</w:t>
            </w:r>
            <w:r>
              <w:rPr>
                <w:rFonts w:ascii="Times New Roman" w:cs="Times New Roman" w:eastAsia="Times New Roman" w:hAnsi="Times New Roman"/>
                <w:sz w:val="16"/>
                <w:szCs w:val="16"/>
                <w:b w:val="1"/>
                <w:bCs w:val="1"/>
                <w:color w:val="auto"/>
                <w:vertAlign w:val="superscript"/>
              </w:rPr>
              <w:t>(17)</w:t>
            </w:r>
          </w:p>
        </w:tc>
        <w:tc>
          <w:tcPr>
            <w:tcW w:w="2100" w:type="dxa"/>
            <w:vAlign w:val="bottom"/>
            <w:shd w:val="clear" w:color="auto" w:fill="CCEEFF"/>
          </w:tcPr>
          <w:p>
            <w:pPr>
              <w:jc w:val="center"/>
              <w:ind w:left="11"/>
              <w:spacing w:after="0" w:line="143" w:lineRule="exact"/>
              <w:rPr>
                <w:sz w:val="20"/>
                <w:szCs w:val="20"/>
                <w:color w:val="auto"/>
              </w:rPr>
            </w:pPr>
            <w:r>
              <w:rPr>
                <w:rFonts w:ascii="Times New Roman" w:cs="Times New Roman" w:eastAsia="Times New Roman" w:hAnsi="Times New Roman"/>
                <w:sz w:val="14"/>
                <w:szCs w:val="14"/>
                <w:color w:val="auto"/>
                <w:w w:val="95"/>
              </w:rPr>
              <w:t>New York, NY</w:t>
            </w: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vMerge w:val="restart"/>
          </w:tcPr>
          <w:p>
            <w:pPr>
              <w:spacing w:after="0"/>
              <w:rPr>
                <w:sz w:val="11"/>
                <w:szCs w:val="11"/>
                <w:color w:val="auto"/>
              </w:rPr>
            </w:pPr>
          </w:p>
        </w:tc>
        <w:tc>
          <w:tcPr>
            <w:tcW w:w="14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Class B Units</w:t>
            </w:r>
          </w:p>
        </w:tc>
        <w:tc>
          <w:tcPr>
            <w:tcW w:w="2060" w:type="dxa"/>
            <w:vAlign w:val="bottom"/>
            <w:tcBorders>
              <w:top w:val="single" w:sz="8" w:color="CCEEFF"/>
            </w:tcBorders>
            <w:gridSpan w:val="3"/>
            <w:vMerge w:val="restart"/>
          </w:tcPr>
          <w:p>
            <w:pPr>
              <w:spacing w:after="0"/>
              <w:rPr>
                <w:sz w:val="11"/>
                <w:szCs w:val="11"/>
                <w:color w:val="auto"/>
              </w:rPr>
            </w:pPr>
          </w:p>
        </w:tc>
        <w:tc>
          <w:tcPr>
            <w:tcW w:w="2100" w:type="dxa"/>
            <w:vAlign w:val="bottom"/>
            <w:tcBorders>
              <w:top w:val="single" w:sz="8" w:color="CCEEFF"/>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Special Purpose Acquisition</w:t>
            </w:r>
          </w:p>
        </w:tc>
        <w:tc>
          <w:tcPr>
            <w:tcW w:w="94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4/1/2021</w:t>
            </w:r>
          </w:p>
        </w:tc>
        <w:tc>
          <w:tcPr>
            <w:tcW w:w="400" w:type="dxa"/>
            <w:vAlign w:val="bottom"/>
            <w:tcBorders>
              <w:top w:val="single" w:sz="8" w:color="CCEEFF"/>
            </w:tcBorders>
          </w:tcPr>
          <w:p>
            <w:pPr>
              <w:spacing w:after="0"/>
              <w:rPr>
                <w:sz w:val="11"/>
                <w:szCs w:val="11"/>
                <w:color w:val="auto"/>
              </w:rPr>
            </w:pPr>
          </w:p>
        </w:tc>
        <w:tc>
          <w:tcPr>
            <w:tcW w:w="960" w:type="dxa"/>
            <w:vAlign w:val="bottom"/>
            <w:tcBorders>
              <w:top w:val="single" w:sz="8" w:color="CCEEFF"/>
            </w:tcBorders>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1,976,033</w:t>
            </w:r>
          </w:p>
        </w:tc>
        <w:tc>
          <w:tcPr>
            <w:tcW w:w="22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1,556,587</w:t>
            </w: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1,554,354</w:t>
            </w:r>
          </w:p>
        </w:tc>
        <w:tc>
          <w:tcPr>
            <w:tcW w:w="10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1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2060" w:type="dxa"/>
            <w:vAlign w:val="bottom"/>
            <w:gridSpan w:val="3"/>
            <w:vMerge w:val="continue"/>
          </w:tcPr>
          <w:p>
            <w:pPr>
              <w:spacing w:after="0"/>
              <w:rPr>
                <w:sz w:val="16"/>
                <w:szCs w:val="16"/>
                <w:color w:val="auto"/>
              </w:rPr>
            </w:pPr>
          </w:p>
        </w:tc>
        <w:tc>
          <w:tcPr>
            <w:tcW w:w="210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9"/>
              </w:rPr>
              <w:t>Company</w:t>
            </w:r>
          </w:p>
        </w:tc>
        <w:tc>
          <w:tcPr>
            <w:tcW w:w="9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W Units</w:t>
            </w:r>
          </w:p>
        </w:tc>
        <w:tc>
          <w:tcPr>
            <w:tcW w:w="2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4/1/2021</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2,700,000</w:t>
            </w: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1,159,150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1,157,487</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1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2,715,737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2,711,841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352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SPBRX, INC. (f/k/a GSV Sustainability Partners, Inc.)</w:t>
            </w:r>
          </w:p>
        </w:tc>
        <w:tc>
          <w:tcPr>
            <w:tcW w:w="2100" w:type="dxa"/>
            <w:vAlign w:val="bottom"/>
            <w:shd w:val="clear" w:color="auto" w:fill="CCEEFF"/>
          </w:tcPr>
          <w:p>
            <w:pPr>
              <w:jc w:val="center"/>
              <w:ind w:left="11"/>
              <w:spacing w:after="0" w:line="129" w:lineRule="exact"/>
              <w:rPr>
                <w:sz w:val="20"/>
                <w:szCs w:val="20"/>
                <w:color w:val="auto"/>
              </w:rPr>
            </w:pPr>
            <w:r>
              <w:rPr>
                <w:rFonts w:ascii="Times New Roman" w:cs="Times New Roman" w:eastAsia="Times New Roman" w:hAnsi="Times New Roman"/>
                <w:sz w:val="14"/>
                <w:szCs w:val="14"/>
                <w:color w:val="auto"/>
                <w:w w:val="99"/>
              </w:rPr>
              <w:t>Cupertino, CA</w:t>
            </w: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tcBorders>
          </w:tcPr>
          <w:p>
            <w:pPr>
              <w:spacing w:after="0"/>
              <w:rPr>
                <w:sz w:val="16"/>
                <w:szCs w:val="16"/>
                <w:color w:val="auto"/>
              </w:rPr>
            </w:pPr>
          </w:p>
        </w:tc>
        <w:tc>
          <w:tcPr>
            <w:tcW w:w="320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4"/>
                <w:szCs w:val="14"/>
                <w:color w:val="auto"/>
              </w:rPr>
              <w:t>Preferred shares, Class A</w:t>
            </w:r>
            <w:r>
              <w:rPr>
                <w:rFonts w:ascii="Times New Roman" w:cs="Times New Roman" w:eastAsia="Times New Roman" w:hAnsi="Times New Roman"/>
                <w:sz w:val="17"/>
                <w:szCs w:val="17"/>
                <w:color w:val="auto"/>
                <w:vertAlign w:val="superscript"/>
              </w:rPr>
              <w:t>(9)</w:t>
            </w:r>
          </w:p>
        </w:tc>
        <w:tc>
          <w:tcPr>
            <w:tcW w:w="32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jc w:val="center"/>
              <w:ind w:left="11"/>
              <w:spacing w:after="0"/>
              <w:rPr>
                <w:sz w:val="20"/>
                <w:szCs w:val="20"/>
                <w:color w:val="auto"/>
              </w:rPr>
            </w:pPr>
            <w:r>
              <w:rPr>
                <w:rFonts w:ascii="Times New Roman" w:cs="Times New Roman" w:eastAsia="Times New Roman" w:hAnsi="Times New Roman"/>
                <w:sz w:val="14"/>
                <w:szCs w:val="14"/>
                <w:color w:val="auto"/>
                <w:w w:val="98"/>
              </w:rPr>
              <w:t>Clean Technology</w:t>
            </w:r>
          </w:p>
        </w:tc>
        <w:tc>
          <w:tcPr>
            <w:tcW w:w="9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4/15/2014</w:t>
            </w:r>
          </w:p>
        </w:tc>
        <w:tc>
          <w:tcPr>
            <w:tcW w:w="40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jc w:val="right"/>
              <w:ind w:right="91"/>
              <w:spacing w:after="0"/>
              <w:rPr>
                <w:sz w:val="20"/>
                <w:szCs w:val="20"/>
                <w:color w:val="auto"/>
              </w:rPr>
            </w:pPr>
            <w:r>
              <w:rPr>
                <w:rFonts w:ascii="Times New Roman" w:cs="Times New Roman" w:eastAsia="Times New Roman" w:hAnsi="Times New Roman"/>
                <w:sz w:val="14"/>
                <w:szCs w:val="14"/>
                <w:color w:val="auto"/>
              </w:rPr>
              <w:t>14,300,000</w:t>
            </w:r>
          </w:p>
        </w:tc>
        <w:tc>
          <w:tcPr>
            <w:tcW w:w="2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7,151,412</w:t>
            </w: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1,047,033</w:t>
            </w:r>
          </w:p>
        </w:tc>
        <w:tc>
          <w:tcPr>
            <w:tcW w:w="10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5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w:t>
            </w:r>
          </w:p>
        </w:tc>
        <w:tc>
          <w:tcPr>
            <w:tcW w:w="2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4/15/2014</w:t>
            </w: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100,000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1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7,161,412</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1,047,033</w:t>
            </w:r>
          </w:p>
        </w:tc>
        <w:tc>
          <w:tcPr>
            <w:tcW w:w="10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Total Controlled</w:t>
            </w:r>
          </w:p>
        </w:tc>
        <w:tc>
          <w:tcPr>
            <w:tcW w:w="2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19,883,894</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13,758,874</w:t>
            </w:r>
          </w:p>
        </w:tc>
        <w:tc>
          <w:tcPr>
            <w:tcW w:w="1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3.78 %</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2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207,455,377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260,136,253</w:t>
            </w:r>
          </w:p>
        </w:tc>
        <w:tc>
          <w:tcPr>
            <w:tcW w:w="100" w:type="dxa"/>
            <w:vAlign w:val="bottom"/>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71.32 %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-418465</wp:posOffset>
            </wp:positionV>
            <wp:extent cx="2283460" cy="131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3460" cy="13144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__________________________________________</w:t>
      </w:r>
    </w:p>
    <w:p>
      <w:pPr>
        <w:spacing w:after="0" w:line="13" w:lineRule="exact"/>
        <w:rPr>
          <w:sz w:val="20"/>
          <w:szCs w:val="20"/>
          <w:color w:val="auto"/>
        </w:rPr>
      </w:pPr>
    </w:p>
    <w:p>
      <w:pPr>
        <w:jc w:val="right"/>
        <w:ind w:left="460" w:hanging="457"/>
        <w:spacing w:after="0" w:line="263" w:lineRule="auto"/>
        <w:tabs>
          <w:tab w:leader="none" w:pos="25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w:t>
      </w:r>
    </w:p>
    <w:p>
      <w:pPr>
        <w:ind w:left="460"/>
        <w:spacing w:after="0" w:line="242" w:lineRule="auto"/>
        <w:rPr>
          <w:sz w:val="20"/>
          <w:szCs w:val="20"/>
          <w:color w:val="auto"/>
        </w:rPr>
      </w:pPr>
      <w:r>
        <w:rPr>
          <w:rFonts w:ascii="Times New Roman" w:cs="Times New Roman" w:eastAsia="Times New Roman" w:hAnsi="Times New Roman"/>
          <w:sz w:val="16"/>
          <w:szCs w:val="16"/>
          <w:color w:val="auto"/>
        </w:rPr>
        <w:t>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left="460" w:hanging="457"/>
        <w:spacing w:after="0" w:line="244" w:lineRule="auto"/>
        <w:tabs>
          <w:tab w:leader="none" w:pos="348"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Investment Company Act of 1940, as amended (the “1940 Act”). Of the Company’s total investments as of December 31, 2021, 26.91% of its total investments are non-qualifying assets.</w:t>
      </w:r>
    </w:p>
    <w:p>
      <w:pPr>
        <w:spacing w:after="0" w:line="1" w:lineRule="exact"/>
        <w:rPr>
          <w:rFonts w:ascii="Times New Roman" w:cs="Times New Roman" w:eastAsia="Times New Roman" w:hAnsi="Times New Roman"/>
          <w:sz w:val="16"/>
          <w:szCs w:val="16"/>
          <w:color w:val="auto"/>
        </w:rPr>
      </w:pPr>
    </w:p>
    <w:p>
      <w:pPr>
        <w:ind w:left="400" w:hanging="397"/>
        <w:spacing w:after="0"/>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225" w:lineRule="exact"/>
        <w:rPr>
          <w:sz w:val="20"/>
          <w:szCs w:val="20"/>
          <w:color w:val="auto"/>
        </w:rPr>
      </w:pPr>
    </w:p>
    <w:p>
      <w:pPr>
        <w:jc w:val="both"/>
        <w:ind w:left="460" w:hanging="457"/>
        <w:spacing w:after="0" w:line="300" w:lineRule="auto"/>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securities with the right to elect directors) of such company. For the Schedule of Investments In, and Advances To, Affiliates, as required by SEC Regulation S-X, Rule 12-14, refer to “Note 4—Investments at Fair Value”.</w:t>
      </w:r>
    </w:p>
    <w:p>
      <w:pPr>
        <w:spacing w:after="0" w:line="185" w:lineRule="exact"/>
        <w:rPr>
          <w:rFonts w:ascii="Times New Roman" w:cs="Times New Roman" w:eastAsia="Times New Roman" w:hAnsi="Times New Roman"/>
          <w:sz w:val="14"/>
          <w:szCs w:val="14"/>
          <w:color w:val="auto"/>
        </w:rPr>
      </w:pPr>
    </w:p>
    <w:p>
      <w:pPr>
        <w:jc w:val="both"/>
        <w:ind w:left="460" w:hanging="457"/>
        <w:spacing w:after="0" w:line="249" w:lineRule="auto"/>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206"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or Level 2 and valued using observable inputs. Refer to “Note 4—Investments at Fair Value”.</w:t>
      </w:r>
    </w:p>
    <w:p>
      <w:pPr>
        <w:spacing w:after="0" w:line="242"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the investments noted had been placed on non-accrual status.</w:t>
      </w:r>
    </w:p>
    <w:p>
      <w:pPr>
        <w:spacing w:after="0" w:line="229"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229" w:lineRule="exact"/>
        <w:rPr>
          <w:rFonts w:ascii="Times New Roman" w:cs="Times New Roman" w:eastAsia="Times New Roman" w:hAnsi="Times New Roman"/>
          <w:sz w:val="16"/>
          <w:szCs w:val="16"/>
          <w:color w:val="auto"/>
        </w:rPr>
      </w:pPr>
    </w:p>
    <w:p>
      <w:pPr>
        <w:ind w:left="460" w:hanging="457"/>
        <w:spacing w:after="0" w:line="277" w:lineRule="auto"/>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preferred shares in Residential Homes for Rent, LLC (d/b/a Second Avenue) are held through SuRo Capital Corp.'s wholly owned subsidiary, GSVC AV Holdings, Inc.</w:t>
      </w:r>
    </w:p>
    <w:p>
      <w:pPr>
        <w:spacing w:after="0" w:line="183" w:lineRule="exact"/>
        <w:rPr>
          <w:rFonts w:ascii="Times New Roman" w:cs="Times New Roman" w:eastAsia="Times New Roman" w:hAnsi="Times New Roman"/>
          <w:sz w:val="16"/>
          <w:szCs w:val="16"/>
          <w:color w:val="auto"/>
        </w:rPr>
      </w:pPr>
    </w:p>
    <w:p>
      <w:pPr>
        <w:ind w:left="460" w:hanging="457"/>
        <w:spacing w:after="0" w:line="277" w:lineRule="auto"/>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Commercial Streaming Solutions Inc. (d/b/a BettorView), YouBet Technology, Inc. (d/b/a PickUp), and Rebric Inc. (d/b/a Compliable) are held through SuRo Capital Corp.'s wholly owned subsidiary, SuRo Capital Sports, LLC ("SuRo Sports").</w:t>
      </w:r>
    </w:p>
    <w:p>
      <w:pPr>
        <w:spacing w:after="0" w:line="183" w:lineRule="exact"/>
        <w:rPr>
          <w:rFonts w:ascii="Times New Roman" w:cs="Times New Roman" w:eastAsia="Times New Roman" w:hAnsi="Times New Roman"/>
          <w:sz w:val="16"/>
          <w:szCs w:val="16"/>
          <w:color w:val="auto"/>
        </w:rPr>
      </w:pPr>
    </w:p>
    <w:p>
      <w:pPr>
        <w:ind w:left="460" w:hanging="457"/>
        <w:spacing w:after="0" w:line="260" w:lineRule="auto"/>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True Global Ventures 4 Plus Pte Ltd are held through SuRo Capital Corp.'s wholly owned subsidiary, GSVC SVDS Holdings, Inc. As of December 31, 2021, $0.7 million of a $2.0 million capital commitment to True Global Ventures 4 Plus Fund LP had been called and funded.</w:t>
      </w:r>
    </w:p>
    <w:p>
      <w:pPr>
        <w:spacing w:after="0" w:line="209" w:lineRule="exact"/>
        <w:rPr>
          <w:rFonts w:ascii="Times New Roman" w:cs="Times New Roman" w:eastAsia="Times New Roman" w:hAnsi="Times New Roman"/>
          <w:sz w:val="16"/>
          <w:szCs w:val="16"/>
          <w:color w:val="auto"/>
        </w:rPr>
      </w:pPr>
    </w:p>
    <w:p>
      <w:pPr>
        <w:ind w:left="460" w:hanging="457"/>
        <w:spacing w:after="0" w:line="260" w:lineRule="auto"/>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SPBRX, INC. (f/k/a GSV Sustainability Partners, Inc.) preferred shares held by SuRo Capital Corp. do not entitle SuRo Capital Corp. to a preferred dividend. SuRo Capital Corp. does not anticipate that SPBRX, INC. will pay distributions on a quarterly or regular basis or become a predictable distributor of distributions.</w:t>
      </w:r>
    </w:p>
    <w:p>
      <w:pPr>
        <w:spacing w:after="0" w:line="209" w:lineRule="exact"/>
        <w:rPr>
          <w:rFonts w:ascii="Times New Roman" w:cs="Times New Roman" w:eastAsia="Times New Roman" w:hAnsi="Times New Roman"/>
          <w:sz w:val="16"/>
          <w:szCs w:val="16"/>
          <w:color w:val="auto"/>
        </w:rPr>
      </w:pPr>
    </w:p>
    <w:p>
      <w:pPr>
        <w:jc w:val="both"/>
        <w:ind w:left="460" w:hanging="457"/>
        <w:spacing w:after="0" w:line="248" w:lineRule="auto"/>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while SuRo Capital Corp. can put the shares to OneValley, Inc. (f/k/a NestGSV, Inc.) at the end of the five year period.</w:t>
      </w:r>
    </w:p>
    <w:p>
      <w:pPr>
        <w:spacing w:after="0" w:line="218"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512,290 Class A common shares remain in Palantir Lending Trust SPV I, none of which are subject to lock-up restrictions.</w:t>
      </w:r>
    </w:p>
    <w:p>
      <w:pPr>
        <w:spacing w:after="0" w:line="229" w:lineRule="exact"/>
        <w:rPr>
          <w:rFonts w:ascii="Times New Roman" w:cs="Times New Roman" w:eastAsia="Times New Roman" w:hAnsi="Times New Roman"/>
          <w:sz w:val="16"/>
          <w:szCs w:val="16"/>
          <w:color w:val="auto"/>
        </w:rPr>
      </w:pPr>
    </w:p>
    <w:p>
      <w:pPr>
        <w:jc w:val="both"/>
        <w:ind w:left="460" w:hanging="457"/>
        <w:spacing w:after="0" w:line="256" w:lineRule="auto"/>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 2021, Treehouse Real Estate Investment Trust, Inc. completed its spin off of 34.4% of its assets into Aventine Property Group, Inc. During the year ended December 31, 2021, Aventine Property Group, Inc. declared an aggregate of $0.1 million in dividend distributions. During the year ended December 31, 2021, Treehouse Real Estate Investment Trust, Inc. declared an aggregate of $0.2 million in dividend distributions.</w:t>
      </w:r>
    </w:p>
    <w:p>
      <w:pPr>
        <w:spacing w:after="0" w:line="200"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30, 2021, A Place for Rover, Inc. executed a business combination, through Nebula Caravel Acquisition Corp., a special purpose acquisition company. Following</w:t>
      </w:r>
    </w:p>
    <w:p>
      <w:pPr>
        <w:spacing w:after="0" w:line="41"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4"/>
          <w:szCs w:val="14"/>
          <w:color w:val="auto"/>
        </w:rPr>
        <w:t>the merger, A Place for Rover, Inc. changed its name to Rover Group, Inc. and SuRo Capital Corp. received 130,390 additional common shares as a result of the exchange ratio prescribed in the transaction. As of December 31, 2021, SuRo Capital Corp.'s common shares in Rover Group, Inc. were subject to certain lock-up restrictions.</w:t>
      </w:r>
    </w:p>
    <w:p>
      <w:pPr>
        <w:spacing w:after="0" w:line="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10" w:lineRule="exact"/>
        <w:rPr>
          <w:sz w:val="20"/>
          <w:szCs w:val="20"/>
          <w:color w:val="auto"/>
        </w:rPr>
      </w:pPr>
    </w:p>
    <w:p>
      <w:pPr>
        <w:ind w:left="5540" w:right="3760" w:hanging="1767"/>
        <w:spacing w:after="0" w:line="919" w:lineRule="auto"/>
        <w:tabs>
          <w:tab w:leader="none" w:pos="4077"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SCHEDULE OF INVESTMENTS - continued </w:t>
      </w: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w:t>
      </w:r>
    </w:p>
    <w:p>
      <w:pPr>
        <w:spacing w:after="0" w:line="200" w:lineRule="exact"/>
        <w:rPr>
          <w:sz w:val="20"/>
          <w:szCs w:val="20"/>
          <w:color w:val="auto"/>
        </w:rPr>
      </w:pPr>
    </w:p>
    <w:p>
      <w:pPr>
        <w:spacing w:after="0" w:line="284" w:lineRule="exact"/>
        <w:rPr>
          <w:sz w:val="20"/>
          <w:szCs w:val="20"/>
          <w:color w:val="auto"/>
        </w:rPr>
      </w:pPr>
    </w:p>
    <w:p>
      <w:pPr>
        <w:jc w:val="both"/>
        <w:ind w:left="460" w:hanging="457"/>
        <w:spacing w:after="0" w:line="256" w:lineRule="auto"/>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2021, approximately $1.4 million has been received from Residential Homes for Rent, LLC (d/b/a Second Avenue) related to the 15% term loan due December 23, 2023. Of the proceeds received, approximately $1.0 million repaid a portion of the outstanding principal and approximately $0.4 million was attributed to interest.</w:t>
      </w:r>
    </w:p>
    <w:p>
      <w:pPr>
        <w:spacing w:after="0" w:line="200" w:lineRule="exact"/>
        <w:rPr>
          <w:rFonts w:ascii="Times New Roman" w:cs="Times New Roman" w:eastAsia="Times New Roman" w:hAnsi="Times New Roman"/>
          <w:sz w:val="16"/>
          <w:szCs w:val="16"/>
          <w:color w:val="auto"/>
        </w:rPr>
      </w:pPr>
    </w:p>
    <w:p>
      <w:pPr>
        <w:ind w:left="460" w:hanging="457"/>
        <w:spacing w:after="0" w:line="277" w:lineRule="auto"/>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the total $10.0 million capital commitment representing SuRo Capital Corp.'s Membership Interest in Architect Capital PayJoy SPV, LLC had been called and funded.</w:t>
      </w:r>
    </w:p>
    <w:p>
      <w:pPr>
        <w:spacing w:after="0" w:line="183" w:lineRule="exact"/>
        <w:rPr>
          <w:rFonts w:ascii="Times New Roman" w:cs="Times New Roman" w:eastAsia="Times New Roman" w:hAnsi="Times New Roman"/>
          <w:sz w:val="16"/>
          <w:szCs w:val="16"/>
          <w:color w:val="auto"/>
        </w:rPr>
      </w:pPr>
    </w:p>
    <w:p>
      <w:pPr>
        <w:jc w:val="both"/>
        <w:ind w:left="460" w:hanging="457"/>
        <w:spacing w:after="0" w:line="250" w:lineRule="auto"/>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2021, NewLake Capital Partners, Inc. (f/k/a GreenAcreage Real Estate Corp.) declared an aggregate of approximately $0.3 million in dividend distributions. SuRo Capital Corp. does not anticipate that NewLake Capital Partners, Inc. (f/k/a GreenAcreage Real Estate Corp.) will pay distributions on a recurring or regular basis or become a predictable distributor of distributions. On August 20, 2021, NewLake Capital Partners, Inc.(f/k/a GreenAcreage Real Estate Corp.) went public via an initial public offering on the OTCQX. As of December 31, 2021, none of SuRo Capital Corp.'s common shares in NewLake Capital Partners, Inc. (f/k/a GreenAcreage Real Estate Corp.) were subject to lock-up restrictions.</w:t>
      </w:r>
    </w:p>
    <w:p>
      <w:pPr>
        <w:spacing w:after="0" w:line="205" w:lineRule="exact"/>
        <w:rPr>
          <w:rFonts w:ascii="Times New Roman" w:cs="Times New Roman" w:eastAsia="Times New Roman" w:hAnsi="Times New Roman"/>
          <w:sz w:val="16"/>
          <w:szCs w:val="16"/>
          <w:color w:val="auto"/>
        </w:rPr>
      </w:pPr>
    </w:p>
    <w:p>
      <w:pPr>
        <w:ind w:left="460" w:hanging="457"/>
        <w:spacing w:after="0" w:line="260" w:lineRule="auto"/>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209" w:lineRule="exact"/>
        <w:rPr>
          <w:rFonts w:ascii="Times New Roman" w:cs="Times New Roman" w:eastAsia="Times New Roman" w:hAnsi="Times New Roman"/>
          <w:sz w:val="16"/>
          <w:szCs w:val="16"/>
          <w:color w:val="auto"/>
        </w:rPr>
      </w:pPr>
    </w:p>
    <w:p>
      <w:pPr>
        <w:jc w:val="both"/>
        <w:ind w:left="460" w:hanging="457"/>
        <w:spacing w:after="0" w:line="249" w:lineRule="auto"/>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11, 2021, Churchill Capital Corp. II, a special purpose acquisition company, executed a private investment in public equity transaction in order to acquire shares of Software Luxembourg Holding S.A. alongside the merger of Software Luxembourg Holding S.A. and Churchill Capital Corp. II. Following the merger, Software Luxembourg Holding S.A. changed its name to Skillsoft Corp. As of December 31, 2021, none of SuRo Capital Corp.'s common shares in Skillsoft Corp. were subject to lock-up restrictions.</w:t>
      </w:r>
    </w:p>
    <w:p>
      <w:pPr>
        <w:spacing w:after="0" w:line="193" w:lineRule="exact"/>
        <w:rPr>
          <w:rFonts w:ascii="Times New Roman" w:cs="Times New Roman" w:eastAsia="Times New Roman" w:hAnsi="Times New Roman"/>
          <w:sz w:val="16"/>
          <w:szCs w:val="16"/>
          <w:color w:val="auto"/>
        </w:rPr>
      </w:pPr>
    </w:p>
    <w:p>
      <w:pPr>
        <w:jc w:val="both"/>
        <w:ind w:left="460" w:hanging="457"/>
        <w:spacing w:after="0" w:line="291" w:lineRule="auto"/>
        <w:tabs>
          <w:tab w:leader="none" w:pos="4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3, 2021, Clever, Inc. completed its sale to Kahoot! ASA. In connection with this transaction, SuRo Capital Corp. received 86,800 common shares in Kahoot! ASA in addition to cash proceeds and amounts currently held in escrow. SuRo Capital Corp. is also eligible to receive cash and Kahoot! ASA common shares subject to certain earn-out provisions and contingencies. As of December 31, 2021, SuRo Capital Corp.'s common shares in Kahoot! ASA were subject to certain lock-up restrictions.</w:t>
      </w:r>
    </w:p>
    <w:p>
      <w:pPr>
        <w:spacing w:after="0" w:line="190"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2021, Fullbridge, Inc.'s obligations under its financing arrangements with the Company became past due.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1—NATURE OF OPERATIONS</w:t>
      </w:r>
    </w:p>
    <w:p>
      <w:pPr>
        <w:spacing w:after="0" w:line="246" w:lineRule="exact"/>
        <w:rPr>
          <w:sz w:val="20"/>
          <w:szCs w:val="20"/>
          <w:color w:val="auto"/>
        </w:rPr>
      </w:pPr>
    </w:p>
    <w:p>
      <w:pPr>
        <w:jc w:val="both"/>
        <w:ind w:firstLine="349"/>
        <w:spacing w:after="0" w:line="264" w:lineRule="auto"/>
        <w:rPr>
          <w:sz w:val="20"/>
          <w:szCs w:val="20"/>
          <w:color w:val="auto"/>
        </w:rPr>
      </w:pPr>
      <w:r>
        <w:rPr>
          <w:rFonts w:ascii="Times New Roman" w:cs="Times New Roman" w:eastAsia="Times New Roman" w:hAnsi="Times New Roman"/>
          <w:sz w:val="17"/>
          <w:szCs w:val="17"/>
          <w:color w:val="auto"/>
        </w:rPr>
        <w:t>SuRo Capital Corp. ("we", "us", "our", “Company” or “SuRo Capital”), formerly known as Sutter Rock Capital Corp. and as GSV Capital Corp. and formed in September 2010 as a Maryland corporation, is an internally-managed,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200" w:lineRule="exact"/>
        <w:rPr>
          <w:sz w:val="20"/>
          <w:szCs w:val="20"/>
          <w:color w:val="auto"/>
        </w:rPr>
      </w:pPr>
    </w:p>
    <w:p>
      <w:pPr>
        <w:spacing w:after="0" w:line="208"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On and effective March 12, 2019, our Board of Directors approved internalizing our operating structure ("Internalization") and we began operating as an internally-managed non-diversified closed-end management investment company that has elected to be regulated as a BDC under the 1940 Act. Prior to March 12, 2019,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w:t>
      </w:r>
    </w:p>
    <w:p>
      <w:pPr>
        <w:spacing w:after="0" w:line="197"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The Company’s date of inception was January 6, 2011, which is the date it commenced its development stage activities. The Company’s common stock is currently listed on the Nasdaq Global Select Market under the symbol “SSSS” (formerly "GSVC"). Prior to November 24, 2021, our common stock traded on the Nasdaq Capital Market under the same symbol ("SSSS"). The Company began its investment operations during the second quarter of 2011.</w:t>
      </w:r>
    </w:p>
    <w:p>
      <w:pPr>
        <w:spacing w:after="0" w:line="189"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7"/>
          <w:szCs w:val="17"/>
          <w:color w:val="auto"/>
        </w:rPr>
        <w:t>The table below displays the Company’s subsidiaries as of March 31, 2022, which, other than GSV Capital Lending, LLC (“GCL”) and SuRo Capital Sports, LLC, are collectively referred to as the “Taxable Subsidiaries.” The Taxable Subsidiaries were formed to hold portfolio investments. The Taxable Subsidiaries,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Times New Roman" w:cs="Times New Roman" w:eastAsia="Times New Roman" w:hAnsi="Times New Roman"/>
          <w:sz w:val="17"/>
          <w:szCs w:val="17"/>
          <w:i w:val="1"/>
          <w:iCs w:val="1"/>
          <w:color w:val="auto"/>
        </w:rPr>
        <w:t>Basis of Consolidation</w:t>
      </w:r>
      <w:r>
        <w:rPr>
          <w:rFonts w:ascii="Times New Roman" w:cs="Times New Roman" w:eastAsia="Times New Roman" w:hAnsi="Times New Roman"/>
          <w:sz w:val="17"/>
          <w:szCs w:val="17"/>
          <w:color w:val="auto"/>
        </w:rPr>
        <w:t>” below for further detail.</w:t>
      </w:r>
    </w:p>
    <w:tbl>
      <w:tblPr>
        <w:tblLayout w:type="fixed"/>
        <w:tblInd w:w="20" w:type="dxa"/>
        <w:tblCellMar>
          <w:top w:w="0" w:type="dxa"/>
          <w:left w:w="0" w:type="dxa"/>
          <w:bottom w:w="0" w:type="dxa"/>
          <w:right w:w="0" w:type="dxa"/>
        </w:tblCellMar>
      </w:tblPr>
      <w:tr>
        <w:trPr>
          <w:trHeight w:val="143"/>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4500" w:type="dxa"/>
            <w:vAlign w:val="bottom"/>
          </w:tcPr>
          <w:p>
            <w:pPr>
              <w:ind w:left="3120"/>
              <w:spacing w:after="0" w:line="143"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16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Formation</w:t>
            </w:r>
          </w:p>
        </w:tc>
        <w:tc>
          <w:tcPr>
            <w:tcW w:w="1140" w:type="dxa"/>
            <w:vAlign w:val="bottom"/>
          </w:tcPr>
          <w:p>
            <w:pPr>
              <w:jc w:val="center"/>
              <w:ind w:left="431"/>
              <w:spacing w:after="0" w:line="143" w:lineRule="exact"/>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83"/>
        </w:trPr>
        <w:tc>
          <w:tcPr>
            <w:tcW w:w="3740" w:type="dxa"/>
            <w:vAlign w:val="bottom"/>
            <w:vMerge w:val="continue"/>
          </w:tcPr>
          <w:p>
            <w:pPr>
              <w:spacing w:after="0"/>
              <w:rPr>
                <w:sz w:val="15"/>
                <w:szCs w:val="15"/>
                <w:color w:val="auto"/>
              </w:rPr>
            </w:pPr>
          </w:p>
        </w:tc>
        <w:tc>
          <w:tcPr>
            <w:tcW w:w="4500" w:type="dxa"/>
            <w:vAlign w:val="bottom"/>
          </w:tcPr>
          <w:p>
            <w:pPr>
              <w:ind w:left="314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40" w:type="dxa"/>
            <w:vAlign w:val="bottom"/>
          </w:tcPr>
          <w:p>
            <w:pPr>
              <w:jc w:val="center"/>
              <w:ind w:left="411"/>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GCL</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Delaware</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13, 2012</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100%</w:t>
            </w:r>
          </w:p>
        </w:tc>
      </w:tr>
      <w:tr>
        <w:trPr>
          <w:trHeight w:val="22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SuRo Capital Sports, LLC ("SuRo Sports")</w:t>
            </w:r>
          </w:p>
        </w:tc>
        <w:tc>
          <w:tcPr>
            <w:tcW w:w="14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Delaware</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March 19, 2021</w:t>
            </w: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100%</w:t>
            </w:r>
          </w:p>
        </w:tc>
      </w:tr>
      <w:tr>
        <w:trPr>
          <w:trHeight w:val="207"/>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Subsidiaries below are referred to collectively, as the “Taxable Subsidiaries”</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GSVC AE Holdings, Inc. (“GAE”)</w:t>
            </w:r>
          </w:p>
        </w:tc>
        <w:tc>
          <w:tcPr>
            <w:tcW w:w="14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Delaware</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November 28, 2012</w:t>
            </w: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100%</w:t>
            </w:r>
          </w:p>
        </w:tc>
      </w:tr>
      <w:tr>
        <w:trPr>
          <w:trHeight w:val="220"/>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GSVC AV Holdings, Inc. (“GAV”)</w:t>
            </w:r>
          </w:p>
        </w:tc>
        <w:tc>
          <w:tcPr>
            <w:tcW w:w="1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Delaware</w:t>
            </w: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November 28, 2012</w:t>
            </w:r>
          </w:p>
        </w:tc>
        <w:tc>
          <w:tcPr>
            <w:tcW w:w="10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100%</w:t>
            </w:r>
          </w:p>
        </w:tc>
      </w:tr>
      <w:tr>
        <w:trPr>
          <w:trHeight w:val="22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GSVC SW Holdings, Inc. (“GSW”)</w:t>
            </w:r>
          </w:p>
        </w:tc>
        <w:tc>
          <w:tcPr>
            <w:tcW w:w="14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Delaware</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November 28, 2012</w:t>
            </w: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100%</w:t>
            </w:r>
          </w:p>
        </w:tc>
      </w:tr>
      <w:tr>
        <w:trPr>
          <w:trHeight w:val="220"/>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GSVC SVDS Holdings, Inc. (“SVDS”)</w:t>
            </w:r>
          </w:p>
        </w:tc>
        <w:tc>
          <w:tcPr>
            <w:tcW w:w="1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Delaware</w:t>
            </w: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August 13, 2013</w:t>
            </w:r>
          </w:p>
        </w:tc>
        <w:tc>
          <w:tcPr>
            <w:tcW w:w="10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100%</w:t>
            </w:r>
          </w:p>
        </w:tc>
      </w:tr>
    </w:tbl>
    <w:p>
      <w:pPr>
        <w:spacing w:after="0" w:line="305"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7"/>
          <w:szCs w:val="17"/>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In addition, the Company may invest in private credit and in founders equity, founders warrants, forward purchase agreements, and private investment in public equity transactions of special purpose acquisition companies. The Company may also invest on an opportunistic basis in select publicly traded equity securities or certain non-U.S. companies that otherwise meet its investment criteria, subject to any applicable limitations under the 1940 Act.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2—SIGNIFICANT ACCOUNTING POLICIES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46"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 xml:space="preserve">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Times New Roman" w:cs="Times New Roman" w:eastAsia="Times New Roman" w:hAnsi="Times New Roman"/>
          <w:sz w:val="17"/>
          <w:szCs w:val="17"/>
          <w:i w:val="1"/>
          <w:iCs w:val="1"/>
          <w:color w:val="auto"/>
        </w:rPr>
        <w:t>Financial Services—Investment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Companies</w:t>
      </w:r>
      <w:r>
        <w:rPr>
          <w:rFonts w:ascii="Times New Roman" w:cs="Times New Roman" w:eastAsia="Times New Roman" w:hAnsi="Times New Roman"/>
          <w:sz w:val="17"/>
          <w:szCs w:val="17"/>
          <w:color w:val="auto"/>
        </w:rPr>
        <w:t>. In the opinion of management, all adjustments, all of which were of a normal recurring nature, were considered necessary for the fair presentation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consolidated financial statements for the period have been included.</w:t>
      </w:r>
    </w:p>
    <w:p>
      <w:pPr>
        <w:spacing w:after="0" w:line="199"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The results of operations for the current interim period are not necessarily indicative of results that ultimately may be achieved for any other interim period or for the year ending December 31, 2022. The interim unaudited condensed consolidated financial statements and notes hereto should be read in conjunction with the audited consolidated financial statements and notes thereto contained in the Company's annual report on Form 10-K for the year ended December 31,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Consolidation</w:t>
      </w:r>
    </w:p>
    <w:p>
      <w:pPr>
        <w:spacing w:after="0" w:line="246"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condensed consolidated financial statements include its accounts and the accounts of the Taxable Subsidiaries, GCL, and SuRo Sports, its wholly-owned subsidiaries. All intercompany balances and transactions have been eliminated in consolidation.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46"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Uncertainties and Risk Factors</w:t>
      </w:r>
    </w:p>
    <w:p>
      <w:pPr>
        <w:spacing w:after="0" w:line="246"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The Company is subject to a number of risks and uncertainties in the nature of its operations, as well as vulnerability due to certain concentrations. Refer to "Risk Factors” in Part II, Item 1A of this Form 10-Q for a detailed discussion of the risks and uncertainties inherent in the nature of the Company’s operations. Refer to “Note 4—Investments at Fair Value” for an overview of the Company’s industry and geographic concentrations.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Investments at Fair Value</w:t>
      </w:r>
    </w:p>
    <w:p>
      <w:pPr>
        <w:spacing w:after="0" w:line="246"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73"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200" w:lineRule="exact"/>
        <w:rPr>
          <w:sz w:val="20"/>
          <w:szCs w:val="20"/>
          <w:color w:val="auto"/>
        </w:rPr>
      </w:pPr>
    </w:p>
    <w:p>
      <w:pPr>
        <w:spacing w:after="0" w:line="399" w:lineRule="exact"/>
        <w:rPr>
          <w:sz w:val="20"/>
          <w:szCs w:val="20"/>
          <w:color w:val="auto"/>
        </w:rPr>
      </w:pPr>
    </w:p>
    <w:p>
      <w:pPr>
        <w:jc w:val="both"/>
        <w:ind w:firstLine="349"/>
        <w:spacing w:after="0" w:line="293" w:lineRule="auto"/>
        <w:rPr>
          <w:sz w:val="20"/>
          <w:szCs w:val="20"/>
          <w:color w:val="auto"/>
        </w:rPr>
      </w:pPr>
      <w:r>
        <w:rPr>
          <w:rFonts w:ascii="Times New Roman" w:cs="Times New Roman" w:eastAsia="Times New Roman" w:hAnsi="Times New Roman"/>
          <w:sz w:val="17"/>
          <w:szCs w:val="17"/>
          <w:b w:val="1"/>
          <w:bCs w:val="1"/>
          <w:color w:val="auto"/>
        </w:rPr>
        <w:t>Level 1</w:t>
      </w:r>
      <w:r>
        <w:rPr>
          <w:rFonts w:ascii="Times New Roman" w:cs="Times New Roman" w:eastAsia="Times New Roman" w:hAnsi="Times New Roman"/>
          <w:sz w:val="17"/>
          <w:szCs w:val="17"/>
          <w:color w:val="auto"/>
        </w:rPr>
        <w:t>—Valuations based on unadjusted quoted prices for identical assets or liabilities in an active market that the Company has the ability to access 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measurement date.</w:t>
      </w:r>
    </w:p>
    <w:p>
      <w:pPr>
        <w:spacing w:after="0" w:line="169" w:lineRule="exact"/>
        <w:rPr>
          <w:sz w:val="20"/>
          <w:szCs w:val="20"/>
          <w:color w:val="auto"/>
        </w:rPr>
      </w:pPr>
    </w:p>
    <w:p>
      <w:pPr>
        <w:jc w:val="both"/>
        <w:ind w:firstLine="349"/>
        <w:spacing w:after="0" w:line="273" w:lineRule="auto"/>
        <w:rPr>
          <w:sz w:val="20"/>
          <w:szCs w:val="20"/>
          <w:color w:val="auto"/>
        </w:rPr>
      </w:pPr>
      <w:r>
        <w:rPr>
          <w:rFonts w:ascii="Times New Roman" w:cs="Times New Roman" w:eastAsia="Times New Roman" w:hAnsi="Times New Roman"/>
          <w:sz w:val="17"/>
          <w:szCs w:val="17"/>
          <w:b w:val="1"/>
          <w:bCs w:val="1"/>
          <w:color w:val="auto"/>
        </w:rPr>
        <w:t>Level 2</w:t>
      </w:r>
      <w:r>
        <w:rPr>
          <w:rFonts w:ascii="Times New Roman" w:cs="Times New Roman" w:eastAsia="Times New Roman" w:hAnsi="Times New Roman"/>
          <w:sz w:val="17"/>
          <w:szCs w:val="17"/>
          <w:color w:val="auto"/>
        </w:rPr>
        <w:t>—Valuations based on observable inputs other than Level 1 prices, such as quoted prices for similar assets or liabilities; quoted prices in markets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 not active; or other inputs that are observable or can be corroborated by observable market data at the measurement date for substantially the full term of the assets or liabilities.</w:t>
      </w:r>
    </w:p>
    <w:p>
      <w:pPr>
        <w:spacing w:after="0" w:line="187" w:lineRule="exact"/>
        <w:rPr>
          <w:sz w:val="20"/>
          <w:szCs w:val="20"/>
          <w:color w:val="auto"/>
        </w:rPr>
      </w:pPr>
    </w:p>
    <w:p>
      <w:pPr>
        <w:jc w:val="both"/>
        <w:ind w:firstLine="349"/>
        <w:spacing w:after="0" w:line="273" w:lineRule="auto"/>
        <w:rPr>
          <w:sz w:val="20"/>
          <w:szCs w:val="20"/>
          <w:color w:val="auto"/>
        </w:rPr>
      </w:pPr>
      <w:r>
        <w:rPr>
          <w:rFonts w:ascii="Times New Roman" w:cs="Times New Roman" w:eastAsia="Times New Roman" w:hAnsi="Times New Roman"/>
          <w:sz w:val="17"/>
          <w:szCs w:val="17"/>
          <w:b w:val="1"/>
          <w:bCs w:val="1"/>
          <w:color w:val="auto"/>
        </w:rPr>
        <w:t>Level 3</w:t>
      </w:r>
      <w:r>
        <w:rPr>
          <w:rFonts w:ascii="Times New Roman" w:cs="Times New Roman" w:eastAsia="Times New Roman" w:hAnsi="Times New Roman"/>
          <w:sz w:val="17"/>
          <w:szCs w:val="17"/>
          <w:color w:val="auto"/>
        </w:rPr>
        <w:t>—Valuations based on unobservable inputs that reflect management’s best estimate of what market participants would use in pricing the asset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89"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97"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94"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99"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Securities for which reliable market quotations are not readily available or for which the pricing source does not provide a valuation or methodology, or provides a valuation or methodology that, in the judgment of management, our Board of Directors or the valuation committee of the Company’s Board of Directors (the “Valuation Committee”), does not reliably represent fair value, shall each be valued as follows:</w:t>
      </w:r>
    </w:p>
    <w:p>
      <w:pPr>
        <w:spacing w:after="0" w:line="189" w:lineRule="exact"/>
        <w:rPr>
          <w:sz w:val="20"/>
          <w:szCs w:val="20"/>
          <w:color w:val="auto"/>
        </w:rPr>
      </w:pPr>
    </w:p>
    <w:p>
      <w:pPr>
        <w:ind w:left="620" w:hanging="306"/>
        <w:spacing w:after="0" w:line="291" w:lineRule="auto"/>
        <w:tabs>
          <w:tab w:leader="none" w:pos="63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valuation process begins with each portfolio company or investment being initially valued by the investment professionals responsible for the portfolio investment;</w:t>
      </w:r>
    </w:p>
    <w:p>
      <w:pPr>
        <w:spacing w:after="0" w:line="172"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Preliminary valuation conclusions are then documented and discussed with senior management;</w:t>
      </w:r>
    </w:p>
    <w:p>
      <w:pPr>
        <w:spacing w:after="0" w:line="244" w:lineRule="exact"/>
        <w:rPr>
          <w:rFonts w:ascii="Times New Roman" w:cs="Times New Roman" w:eastAsia="Times New Roman" w:hAnsi="Times New Roman"/>
          <w:sz w:val="17"/>
          <w:szCs w:val="17"/>
          <w:color w:val="auto"/>
        </w:rPr>
      </w:pPr>
    </w:p>
    <w:p>
      <w:pPr>
        <w:ind w:left="620" w:hanging="306"/>
        <w:spacing w:after="0" w:line="291" w:lineRule="auto"/>
        <w:tabs>
          <w:tab w:leader="none" w:pos="74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independent third-party valuation firm is engaged by the Valuation Committee to conduct independent appraisals and review management’s preliminary valuations and make its own independent assessment, for all investments for which there are no readily available market quotations;</w:t>
      </w:r>
    </w:p>
    <w:p>
      <w:pPr>
        <w:spacing w:after="0" w:line="172" w:lineRule="exact"/>
        <w:rPr>
          <w:rFonts w:ascii="Times New Roman" w:cs="Times New Roman" w:eastAsia="Times New Roman" w:hAnsi="Times New Roman"/>
          <w:sz w:val="17"/>
          <w:szCs w:val="17"/>
          <w:color w:val="auto"/>
        </w:rPr>
      </w:pPr>
    </w:p>
    <w:p>
      <w:pPr>
        <w:ind w:left="620" w:hanging="306"/>
        <w:spacing w:after="0" w:line="291" w:lineRule="auto"/>
        <w:tabs>
          <w:tab w:leader="none" w:pos="61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Valuation Committee discusses the valuations and recommends to the Company’s Board of Directors a fair value for each investment in the portfolio based on the input of management and the independent third-party valuation firm; and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8" w:lineRule="exact"/>
        <w:rPr>
          <w:sz w:val="20"/>
          <w:szCs w:val="20"/>
          <w:color w:val="auto"/>
        </w:rPr>
      </w:pPr>
    </w:p>
    <w:p>
      <w:pPr>
        <w:ind w:left="620" w:hanging="306"/>
        <w:spacing w:after="0" w:line="291" w:lineRule="auto"/>
        <w:tabs>
          <w:tab w:leader="none" w:pos="60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Board of Directors then discusses the valuations recommended by the Valuation Committee and determines in good faith the fair value of each investment in the portfolio.</w:t>
      </w:r>
    </w:p>
    <w:p>
      <w:pPr>
        <w:spacing w:after="0" w:line="173"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199"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94"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189"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Investments</w:t>
      </w:r>
    </w:p>
    <w:p>
      <w:pPr>
        <w:spacing w:after="0" w:line="248"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99"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7"/>
          <w:szCs w:val="17"/>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99"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 Investments</w:t>
      </w:r>
    </w:p>
    <w:p>
      <w:pPr>
        <w:spacing w:after="0" w:line="248"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Options</w:t>
      </w:r>
    </w:p>
    <w:p>
      <w:pPr>
        <w:spacing w:after="0" w:line="248"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The Company’s Board of Directors will ascribe value to options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options are valued at estimated fair value as determined by the Company’s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Special Purpose Acquisition Companies</w:t>
      </w:r>
    </w:p>
    <w:p>
      <w:pPr>
        <w:spacing w:after="0" w:line="2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Company's Board of Directors measures its Special Purpose Acquisition Company ("SPAC") investments at fair value, which is equivalent to cost until a SPAC transaction is announced. After a SPAC transaction is announced, the Company's Board of Directors will ascribe value to SPAC investments based on fair value analyses that can include option pricing models, probability-weighted expected return method analyses and other techniques as deemed appropriate. Upon completion of the SPAC transaction, the Company utilizes the public share price of the entity, less a discount for lack of marketability if there are restrictions on selling. The Company's SPAC investments are valued at estimated fair value as determined by the Company's Board of Directors.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Portfolio Company Investment Classification</w:t>
      </w:r>
    </w:p>
    <w:p>
      <w:pPr>
        <w:spacing w:after="0" w:line="248"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The Company is a non-diversified company within the meaning of the 1940 Act. The Company classifies its investments by level of control. As defined in the 1940 Act, control investments are those where the investor retains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Consolidated Schedules of Investments as of March 31, 2022 and December 31, 2021, for details regarding the nature and composition of the Company’s investment portfolio.</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Levelling Policy</w:t>
      </w:r>
    </w:p>
    <w:p>
      <w:pPr>
        <w:spacing w:after="0" w:line="248" w:lineRule="exact"/>
        <w:rPr>
          <w:sz w:val="20"/>
          <w:szCs w:val="20"/>
          <w:color w:val="auto"/>
        </w:rPr>
      </w:pPr>
    </w:p>
    <w:p>
      <w:pPr>
        <w:jc w:val="both"/>
        <w:ind w:firstLine="349"/>
        <w:spacing w:after="0" w:line="259" w:lineRule="auto"/>
        <w:rPr>
          <w:sz w:val="20"/>
          <w:szCs w:val="20"/>
          <w:color w:val="auto"/>
        </w:rPr>
      </w:pPr>
      <w:r>
        <w:rPr>
          <w:rFonts w:ascii="Times New Roman" w:cs="Times New Roman" w:eastAsia="Times New Roman" w:hAnsi="Times New Roman"/>
          <w:sz w:val="17"/>
          <w:szCs w:val="17"/>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Transactions</w:t>
      </w:r>
    </w:p>
    <w:p>
      <w:pPr>
        <w:spacing w:after="0" w:line="244" w:lineRule="exact"/>
        <w:rPr>
          <w:sz w:val="20"/>
          <w:szCs w:val="20"/>
          <w:color w:val="auto"/>
        </w:rPr>
      </w:pPr>
    </w:p>
    <w:p>
      <w:pPr>
        <w:jc w:val="both"/>
        <w:ind w:firstLine="349"/>
        <w:spacing w:after="0" w:line="273" w:lineRule="auto"/>
        <w:rPr>
          <w:sz w:val="20"/>
          <w:szCs w:val="20"/>
          <w:color w:val="auto"/>
        </w:rPr>
      </w:pPr>
      <w:r>
        <w:rPr>
          <w:rFonts w:ascii="Times New Roman" w:cs="Times New Roman" w:eastAsia="Times New Roman" w:hAnsi="Times New Roman"/>
          <w:sz w:val="17"/>
          <w:szCs w:val="17"/>
          <w:color w:val="auto"/>
        </w:rPr>
        <w:t>Securities transactions are accounted for on the date the transaction for the purchase or sale of the securities is entered into by the Company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Valuation of Other Financial Instruments</w:t>
      </w:r>
    </w:p>
    <w:p>
      <w:pPr>
        <w:spacing w:after="0" w:line="246"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The carrying amounts of the Company’s other, non-investment financial instruments, consisting of cash, receivables, accounts payable, and accrued expenses, approximate fair value due to their short-term nature.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w:t>
      </w:r>
    </w:p>
    <w:p>
      <w:pPr>
        <w:spacing w:after="0" w:line="248"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The Company places its cash with U.S. Bank, N.A., Bridge Bank (a subsidiary of Western Alliance Bank), and Silicon Valley Bank, and at times, cash held in these accounts may exceed the Federal Deposit Insurance Corporation insured limit. The Company believes that U.S. Bank, N.A., Bridge Bank (a subsidiary of Western Alliance Bank), and Silicon Valley Bank are high-quality financial institutions and that the risk of loss associated with any uninsured balance is remote.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Escrow Proceeds Receivable</w:t>
      </w:r>
    </w:p>
    <w:p>
      <w:pPr>
        <w:spacing w:after="0" w:line="248"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7"/>
          <w:szCs w:val="17"/>
          <w:color w:val="auto"/>
        </w:rPr>
        <w:t>A portion of the proceeds from the sale of portfolio investments are held in escrow as a recourse for indemnity claims that may arise under the sale agreement or other related transaction contingencies. Amounts held in escrow are held at estimated realizable value and included in net realized gains (losses) on investments in the Condensed Consolidated Statements of Operations for the period in which they occurred and are adjusted as needed. Any remaining escrow proceeds balances from these transactions reasonably expected to be received are reflected on the Condensed Consolidated Statement of Assets and Liabilities as escrow proceeds receivable. Escrow proceeds receivable resulting from contingent consideration is to be recognized when the amount of the contingent consideration becomes realized or realizable. As of March 31, 2022 and December 31, 2021, the Company had $4,577,518 and $2,046,645, respectively, in escrow proceeds receivable.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Financing Costs</w:t>
      </w:r>
    </w:p>
    <w:p>
      <w:pPr>
        <w:spacing w:after="0" w:line="248"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7"/>
          <w:szCs w:val="17"/>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For debt capital raised, the associated offering costs are amortized over the life of the debt instrument. As of March 31, 2022 and December 31, 2021, the Company had deferred financing costs of $606,607 and $2,592,611, respectively, on the Condensed Consolidated Statement of Assets and Liabilities.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5"/>
                <w:szCs w:val="15"/>
                <w:color w:val="auto"/>
              </w:rPr>
            </w:pPr>
          </w:p>
        </w:tc>
        <w:tc>
          <w:tcPr>
            <w:tcW w:w="150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debt issuance costs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1,970,892</w:t>
            </w:r>
          </w:p>
        </w:tc>
      </w:tr>
      <w:tr>
        <w:trPr>
          <w:trHeight w:val="22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offering costs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606,607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621,719</w:t>
            </w: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Financing Costs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606,607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2,592,611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4919980" cy="147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19980" cy="1479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Leases &amp; Related Deposits</w:t>
      </w:r>
    </w:p>
    <w:p>
      <w:pPr>
        <w:spacing w:after="0" w:line="246" w:lineRule="exact"/>
        <w:rPr>
          <w:sz w:val="20"/>
          <w:szCs w:val="20"/>
          <w:color w:val="auto"/>
        </w:rPr>
      </w:pPr>
    </w:p>
    <w:p>
      <w:pPr>
        <w:jc w:val="both"/>
        <w:ind w:firstLine="388"/>
        <w:spacing w:after="0" w:line="273" w:lineRule="auto"/>
        <w:rPr>
          <w:sz w:val="20"/>
          <w:szCs w:val="20"/>
          <w:color w:val="auto"/>
        </w:rPr>
      </w:pPr>
      <w:r>
        <w:rPr>
          <w:rFonts w:ascii="Times New Roman" w:cs="Times New Roman" w:eastAsia="Times New Roman" w:hAnsi="Times New Roman"/>
          <w:sz w:val="17"/>
          <w:szCs w:val="17"/>
          <w:color w:val="auto"/>
        </w:rPr>
        <w:t xml:space="preserve">The Company accounts for its operating leases as prescribed by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which requires lessees to recognize a right-of-use asset on the balance sheet, representing its right to use the underlying asset for the lease term, and a corresponding lease liability for all leases with terms greater than 12 months. The lease expense is presented as a single lease cost that is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amortized on a straight-line basis over the life of the lease. Non-lease components (maintenance, property tax, insurance and parking) are not included in the lease cost. On June 3, 2019, the Company entered a 5-year operating lease for office space for which the Company has recorded a right-of-use asset and a corresponding lease liability for the operating lease obligation. These amounts have been discounted using the rate implicit in the lease. Refer to “Note 7— Commitments and Contingencies—</w:t>
      </w:r>
      <w:r>
        <w:rPr>
          <w:rFonts w:ascii="Times New Roman" w:cs="Times New Roman" w:eastAsia="Times New Roman" w:hAnsi="Times New Roman"/>
          <w:sz w:val="17"/>
          <w:szCs w:val="17"/>
          <w:i w:val="1"/>
          <w:iCs w:val="1"/>
          <w:color w:val="auto"/>
        </w:rPr>
        <w:t>Operating Leases and Related Deposits</w:t>
      </w:r>
      <w:r>
        <w:rPr>
          <w:rFonts w:ascii="Times New Roman" w:cs="Times New Roman" w:eastAsia="Times New Roman" w:hAnsi="Times New Roman"/>
          <w:sz w:val="17"/>
          <w:szCs w:val="17"/>
          <w:color w:val="auto"/>
        </w:rPr>
        <w:t>” for further detail.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46" w:lineRule="exact"/>
        <w:rPr>
          <w:sz w:val="20"/>
          <w:szCs w:val="20"/>
          <w:color w:val="auto"/>
        </w:rPr>
      </w:pPr>
    </w:p>
    <w:p>
      <w:pPr>
        <w:jc w:val="both"/>
        <w:ind w:firstLine="388"/>
        <w:spacing w:after="0" w:line="263" w:lineRule="auto"/>
        <w:rPr>
          <w:sz w:val="20"/>
          <w:szCs w:val="20"/>
          <w:color w:val="auto"/>
        </w:rPr>
      </w:pPr>
      <w:r>
        <w:rPr>
          <w:rFonts w:ascii="Times New Roman" w:cs="Times New Roman" w:eastAsia="Times New Roman" w:hAnsi="Times New Roman"/>
          <w:sz w:val="17"/>
          <w:szCs w:val="17"/>
          <w:color w:val="auto"/>
        </w:rPr>
        <w:t xml:space="preserve">Using the fair value recognition provisions as prescribed by ASC 718, </w:t>
      </w:r>
      <w:r>
        <w:rPr>
          <w:rFonts w:ascii="Times New Roman" w:cs="Times New Roman" w:eastAsia="Times New Roman" w:hAnsi="Times New Roman"/>
          <w:sz w:val="17"/>
          <w:szCs w:val="17"/>
          <w:i w:val="1"/>
          <w:iCs w:val="1"/>
          <w:color w:val="auto"/>
        </w:rPr>
        <w:t>Stock Compensation</w:t>
      </w:r>
      <w:r>
        <w:rPr>
          <w:rFonts w:ascii="Times New Roman" w:cs="Times New Roman" w:eastAsia="Times New Roman" w:hAnsi="Times New Roman"/>
          <w:sz w:val="17"/>
          <w:szCs w:val="17"/>
          <w:color w:val="auto"/>
        </w:rPr>
        <w:t>, stock-based compensation cost is measured at the grant date based on the fair value of the award and is recognized as expense over the appropriate service period. Determining the fair value of stock-based awards requires considerable judgment, including estimating the expected term of stock options and the expected volatility of our stock price. Differences between actual results and these estimates could have a material effect on our financial results. Forfeitures are accounted for as they occur. Refer to “Note 11—Stock-Based Compensation” for further detail.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46"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Transaction Costs and Escrow Deposits</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As of March 31, 2022 and December 31, 2021, the Company had no material escrow deposits.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Unrealized Appreciation or Depreciation of Investments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Unrealized appreciation or depreciation is calculated as the difference between the fair value of the investment and the cost basis of such investment.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Federal and State Income Taxes</w:t>
      </w:r>
    </w:p>
    <w:p>
      <w:pPr>
        <w:spacing w:after="0" w:line="246" w:lineRule="exact"/>
        <w:rPr>
          <w:sz w:val="20"/>
          <w:szCs w:val="20"/>
          <w:color w:val="auto"/>
        </w:rPr>
      </w:pPr>
    </w:p>
    <w:p>
      <w:pPr>
        <w:jc w:val="both"/>
        <w:ind w:firstLine="349"/>
        <w:spacing w:after="0" w:line="259" w:lineRule="auto"/>
        <w:rPr>
          <w:sz w:val="20"/>
          <w:szCs w:val="20"/>
          <w:color w:val="auto"/>
        </w:rPr>
      </w:pPr>
      <w:r>
        <w:rPr>
          <w:rFonts w:ascii="Times New Roman" w:cs="Times New Roman" w:eastAsia="Times New Roman" w:hAnsi="Times New Roman"/>
          <w:sz w:val="17"/>
          <w:szCs w:val="17"/>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the sum of 90% of our investment company taxable income (“ICTI”), including payment-in-kind interest income, as defined by the Code, and 90% of our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If the Company meets the Annual Distribution Requirement, but does not distribute (or is not deemed to have distributed) each calendar year a sum of</w:t>
      </w:r>
    </w:p>
    <w:p>
      <w:pPr>
        <w:spacing w:after="0" w:line="30" w:lineRule="exact"/>
        <w:rPr>
          <w:sz w:val="20"/>
          <w:szCs w:val="20"/>
          <w:color w:val="auto"/>
        </w:rPr>
      </w:pPr>
    </w:p>
    <w:p>
      <w:pPr>
        <w:jc w:val="both"/>
        <w:ind w:firstLine="3"/>
        <w:spacing w:after="0" w:line="261" w:lineRule="auto"/>
        <w:tabs>
          <w:tab w:leader="none" w:pos="24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94"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So long as the Company qualifies and maintains its tax treatment as a RIC, it generally will not be subject to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Taxable Subsidiaries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199" w:lineRule="exact"/>
        <w:rPr>
          <w:sz w:val="20"/>
          <w:szCs w:val="20"/>
          <w:color w:val="auto"/>
        </w:rPr>
      </w:pPr>
    </w:p>
    <w:p>
      <w:pPr>
        <w:jc w:val="both"/>
        <w:ind w:firstLine="349"/>
        <w:spacing w:after="0" w:line="256" w:lineRule="auto"/>
        <w:rPr>
          <w:sz w:val="20"/>
          <w:szCs w:val="20"/>
          <w:color w:val="auto"/>
        </w:rPr>
      </w:pPr>
      <w:r>
        <w:rPr>
          <w:rFonts w:ascii="Times New Roman" w:cs="Times New Roman" w:eastAsia="Times New Roman" w:hAnsi="Times New Roman"/>
          <w:sz w:val="17"/>
          <w:szCs w:val="17"/>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9—Income Taxes” for further details.</w:t>
      </w:r>
    </w:p>
    <w:p>
      <w:pPr>
        <w:spacing w:after="0" w:line="200" w:lineRule="exact"/>
        <w:rPr>
          <w:sz w:val="20"/>
          <w:szCs w:val="20"/>
          <w:color w:val="auto"/>
        </w:rPr>
      </w:pPr>
    </w:p>
    <w:p>
      <w:pPr>
        <w:spacing w:after="0" w:line="2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 Share Information</w:t>
      </w:r>
    </w:p>
    <w:p>
      <w:pPr>
        <w:spacing w:after="0" w:line="246"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FASB ASC 260</w:t>
      </w:r>
      <w:r>
        <w:rPr>
          <w:rFonts w:ascii="Times New Roman" w:cs="Times New Roman" w:eastAsia="Times New Roman" w:hAnsi="Times New Roman"/>
          <w:sz w:val="17"/>
          <w:szCs w:val="17"/>
          <w:i w:val="1"/>
          <w:iCs w:val="1"/>
          <w:color w:val="auto"/>
        </w:rPr>
        <w:t>, Earnings Per Share</w:t>
      </w:r>
      <w:r>
        <w:rPr>
          <w:rFonts w:ascii="Times New Roman" w:cs="Times New Roman" w:eastAsia="Times New Roman" w:hAnsi="Times New Roman"/>
          <w:sz w:val="17"/>
          <w:szCs w:val="17"/>
          <w:color w:val="auto"/>
        </w:rPr>
        <w:t xml:space="preserve"> (“ASC 260”) to determine the number of potentially dilutive shares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Refer to “Note 6—Net Increase in Net Assets Resulting from Operations per Common Share—Basic and Diluted” for further detail.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or Adopted Accounting Standards</w:t>
      </w:r>
    </w:p>
    <w:p>
      <w:pPr>
        <w:spacing w:after="0" w:line="2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In April 2020, as part of the </w:t>
      </w:r>
      <w:r>
        <w:rPr>
          <w:rFonts w:ascii="Times New Roman" w:cs="Times New Roman" w:eastAsia="Times New Roman" w:hAnsi="Times New Roman"/>
          <w:sz w:val="17"/>
          <w:szCs w:val="17"/>
          <w:i w:val="1"/>
          <w:iCs w:val="1"/>
          <w:color w:val="auto"/>
        </w:rPr>
        <w:t>Securities Offering Reform for Closed-End Investment Companies</w:t>
      </w:r>
      <w:r>
        <w:rPr>
          <w:rFonts w:ascii="Times New Roman" w:cs="Times New Roman" w:eastAsia="Times New Roman" w:hAnsi="Times New Roman"/>
          <w:sz w:val="17"/>
          <w:szCs w:val="17"/>
          <w:color w:val="auto"/>
        </w:rPr>
        <w:t xml:space="preserve"> final rule, the SEC adopted certain structured data reporting requirements for BDCs to submit financial statement information using Inline eXtensible Business Reporting Language (XBRL) format to the extent required of operating companies. BDCs that are eligible to file a short-form registration statement will be subject to the above structuring requirements with respect to Forms filed on or after August 1, 2022. Other BDCs will be subject to the requirements with respect to Forms filed on or after February 1, 2023. The Company is currently assessing the impact of this standard on our financial condition and results of operations.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spacing w:after="0" w:line="19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 xml:space="preserve">In October 2020, the FASB issued ASU 2020-10, </w:t>
      </w:r>
      <w:r>
        <w:rPr>
          <w:rFonts w:ascii="Times New Roman" w:cs="Times New Roman" w:eastAsia="Times New Roman" w:hAnsi="Times New Roman"/>
          <w:sz w:val="17"/>
          <w:szCs w:val="17"/>
          <w:i w:val="1"/>
          <w:iCs w:val="1"/>
          <w:color w:val="auto"/>
        </w:rPr>
        <w:t>Codification Improvements</w:t>
      </w:r>
      <w:r>
        <w:rPr>
          <w:rFonts w:ascii="Times New Roman" w:cs="Times New Roman" w:eastAsia="Times New Roman" w:hAnsi="Times New Roman"/>
          <w:sz w:val="17"/>
          <w:szCs w:val="17"/>
          <w:color w:val="auto"/>
        </w:rPr>
        <w:t>, which made various technical changes and corrections intended to provide clarifications to existing guidance, as well as simplifications to wording or structure of existing guidance. The Company adopted the modified disclosure requirements during the period ended March 31, 2021.</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December 2020, the SEC adopted Rule 2a-5, which established requirements for satisfying a fund board's obligation to determine fair value in good faith for purposes of the Investment Company Act of 1940. The rule permits boards to assign the determination to a “valuation designee,” who may be the fund’s investment adviser or, if the fund is internally managed, an officer of the fund. The rule also defines a market quotation as “readily available” only when that quotation is a quoted price (unadjusted) in active markets for identical investments that the fund can access at the measurement date. In connection with the adoption of new Rule 2a-5, the Commission also adopted new Rule 31a-4, which requires funds to maintain documentation to support fair value determinations and documentation related to the designation of the valuation designee. The Company is evaluating the impact of adopting these new rules and intends to comply with their requirements on or before the compliance date in September 2022.</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In December 2021, the SEC published Staff Accounting Bulletin No. 120 (“SAB 120”) to provide accounting and disclosure guidance for stock compensation awards made to executives and conforming amendments to the Staff Accounting Bulletin Series to align with the current authoritative accounting guidance in ASC 718,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In part, SAB 120 requires that an entity disclose how it determines the current price of underlying shares for grant-date fair value, the policy for when an adjustment to the share price is required, how it determines the amount of an adjustment to the share price and any significant assumptions used in determining an adjustment to the share price. SAB 120 is effective for all stock compensation awards issued after December 1, 2021. The Company is in compliance with the guidance pursuant to SAB 120 for any share-based compensation disclosures. See "Note 11 – Stock-Based Compensation" for further discussion of the Company’s policies and procedures regarding share-based compensation. The Company does not expect the impact of SAB 120 to be material to the condensed consolidated financial statements and the notes thereto.</w:t>
      </w:r>
    </w:p>
    <w:p>
      <w:pPr>
        <w:spacing w:after="0" w:line="20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3—RELATED-PARTY ARRANGEMENTS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and effective March 12, 2019, we entered into a Consulting Agreement (the “Consulting Agreement”) with Michael T. Moe, the former Chairman of our Board of Directors and the Chief Executive Officer and Chief Investment Officer of GSV Asset Management, for the purpose of assisting us with certain transition services following the termination of the Investment Advisory Agreement and our Internalization. See "Note 1 — Nature of Operations." Pursuant to the Consulting Agreement, Mr. Moe provided certain transition services to us related to our existing portfolio investments for which Mr. Moe previously had oversight in his role as the Chief Executive Officer and Chief Investment Officer of GSV Asset Management. Such transition services included providing information to us regarding such portfolio companies, including as a member of a portfolio company’s board of directors, assisting with the transition of portfolio company board seats as requested by us, making appropriate introductions to representatives of portfolio companies, and providing other similar types of services that we may reasonably request.</w:t>
      </w:r>
    </w:p>
    <w:p>
      <w:pPr>
        <w:spacing w:after="0" w:line="200" w:lineRule="exact"/>
        <w:rPr>
          <w:sz w:val="20"/>
          <w:szCs w:val="20"/>
          <w:color w:val="auto"/>
        </w:rPr>
      </w:pPr>
    </w:p>
    <w:p>
      <w:pPr>
        <w:spacing w:after="0" w:line="21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term of the Consulting Agreement commenced on March 12, 2019 and continued for eighteen months in accordance with its terms. Pursuant to the Consulting Agreement, we paid Mr. Moe a total amount equal to $1,250,000. On September 12, 2020, the Consulting Agreement expired in accordance with its terms and was not renewed or extended.</w:t>
      </w:r>
    </w:p>
    <w:p>
      <w:pPr>
        <w:spacing w:after="0" w:line="189"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For the three months ended March 31, 2022 and 2021, the Company did not incur a consulting expense related to the Consulting Agreement as it was no longer in effect.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Trademark License Agreement</w:t>
      </w:r>
    </w:p>
    <w:p>
      <w:pPr>
        <w:spacing w:after="0" w:line="24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On and effective March 12, 2019, we entered into an Amended and Restated Trademark License Agreement (the “Amended and Restated License Agreement”) with GSV Asset Management in connection with the termination of the Investment Advisory Agreement. See “Note 1 —Nature of Operations.”</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GSV Asset Management is the owner of the trade name “GSV”, and other state or unregistered “GSV” marks, including the trading symbol “GSVC” (collectively, the “Licensed Marks”). Pursuant to the Amended and Restated License Agreement, GSV Asset Management granted us a non-transferable, non-sublicensable, and non-exclusive right and license to use the Licensed Marks, solely in connection with the operation of our existing business.</w:t>
      </w:r>
    </w:p>
    <w:p>
      <w:pPr>
        <w:spacing w:after="0" w:line="1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term of the Amended and Restated License Agreement commenced on March 12, 2019 and continued for eighteen months in accordance with its terms. Pursuant to the Amended and Restated License Agreement, we paid GSV Asset Management a total amount equal to $1,250,000. On September 12, 2020, the Amended and Restated License Agreement expired in accordance with its terms and was not renewed or extended.</w:t>
      </w:r>
    </w:p>
    <w:p>
      <w:pPr>
        <w:spacing w:after="0" w:line="189"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For the three months ended March 31, 2022 and 2021, the Company did not incur a licensing expense related to the Amended and Restated License Agreement as it was no longer in effect.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Arrangements</w:t>
      </w:r>
    </w:p>
    <w:p>
      <w:pPr>
        <w:spacing w:after="0" w:line="246"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The Company’s executive officers and directors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89"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transacting include its officers, directors, and employees and any person controlling or under common control with the Company, subject to certain exceptions.</w:t>
      </w: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Company’s investment in Churchill Sponsor VI LLC, the sponsor of Churchill Capital Corp VI, a special purpose acquisition company, constituted a “remote-affiliate” transaction for purposes of the 1940 Act in light of the fact that Mark D. Klein, our Chairman, Chief Executive Officer and President, has a non-controlling interest in the entity that controls Churchill Sponsor VI LLC, and is a non-controlling member of the board of directors of Churchill Capital Corp VI. The Company’s investment in Churchill Sponsor VII LLC, the sponsor of Churchill Capital Corp VII, a special purpose acquisition company, also constituted a “remote-affiliate” transaction for purposes of the 1940 Act in light of the fact that Mr. Klein has a non-controlling interest in the entity that controls Churchill Sponsor VII LLC, and is a non-controlling member of the board of directors of Churchill Capital Corp VII. In addition, Mr. Klein's brother, Michael Klein, is a control person of such Churchill entities. As of March 31, 2022, the fair values of the Company’s investments in Churchill Sponsor VI LLC and Churchill Sponsor VII LLC were $200,000 and $300,000, respectively.</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investment in Skillsoft Corp. (f/k/a Software Luxembourg Holding S.A.) (“Skillsoft”) constituted a “remote-affiliate” transaction for purposes of the 1940 Act in light of the fact that Mr. Klein has a non-controlling interest in the entity that controls Churchill Sponsor II LLC, the sponsor of Churchill Capital Corp II, a special purpose acquisition company, and is a non-controlling member of the board of directors of Churchill Capital Corp II, through which the Company executed a private investment in public equity transaction in order to acquire common shares of Skillsoft alongside the merger of Skillsoft and Churchill Capital Corp II. In addition, Mr. Klein's brother, Michael Klein, is a control person of such Churchill entities. As of March 31, 2022, the fair value of the Company’s investment in Skillsoft Corp. was $5,930,332.</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Keri Findley, a former senior managing director of the Company until her departure on March 9, 2022, is a non-controlling member of the board of directors of Shogun Enterprises, Inc., one of the Company’s portfolio companies, and holds a minority equity interest in such portfolio company. Ms. Findley also is a non-controlling member of the board of directors of the investment manager to Architect Capital PayJoy SPV, LLC, one of the Company’s portfolio companies, and holds a minority equity interest in such investment manager. As of March 31, 2022, the fair values of the Company’s investments in Shogun Enterprises, Inc. and Architect Capital PayJoy SPV, LLC were $6,999,992 and $10,000,000, respectively.</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Keri Findley and Claire Councill, a former investment professional of the Company until her departure on April 15, 2022, are non-controlling members of the board of directors of Colombier Acquisition Corp., a special purpose acquisition company, which is sponsored by Colombier Sponsor LLC, one of the Company's portfolio companies. The Company's investment in AltC Sponsor LLC, the sponsor of AltC Acquisition Corp, a special purpose acquisition company, constituted a “remote-affiliate” transaction for purposes of the 1940 Act in light of the fact that Mark D. Klein, the Company's Chairman, Chief Executive Officer and President, has a non-controlling interest in one of the entities that controls AltC Sponsor LLC, and Allison Green, the Company's Chief Financial Officer, Chief Compliance Officer, Treasurer and Secretary, is a non-controlling member of the board of directors of AltC Acquisition Corp. As of March 31, 2022, the fair values of the Company’s investments in Colombier Sponsor LLC and AltC Sponsor LLC were $2,711,841 and $250,000, respectively.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4—INVESTMENTS AT FAIR VALUE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Portfolio Composition</w:t>
      </w:r>
    </w:p>
    <w:p>
      <w:pPr>
        <w:spacing w:after="0" w:line="246"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The Company’s investments in portfolio companies consist primarily of equity securities (such as common stock, preferred stock and options to purchase common and preferred stock) and to a lesser extent, debt securities, issued by private and publicly traded companies. The Company may also, from time to time, invest in U.S. Treasury securities. Non-portfolio investments represent investments in U.S. Treasury securities. As of March 31, 2022, the Company had 63 positions in 38 portfolio companies. As of December 31, 2021, the Company had 64 positions in 38 portfolio companies.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following tables summarize the composition of the Company’s investment portfolio by security type at cost and fair value as of March 31, 2022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tcBorders>
              <w:top w:val="single" w:sz="8" w:color="auto"/>
            </w:tcBorders>
          </w:tcPr>
          <w:p>
            <w:pPr>
              <w:jc w:val="right"/>
              <w:ind w:right="177"/>
              <w:spacing w:after="0" w:line="123"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Net Assets</w:t>
            </w: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205"/>
        </w:trPr>
        <w:tc>
          <w:tcPr>
            <w:tcW w:w="24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Private Portfolio Companies</w:t>
            </w: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Preferred Stock</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97,704,331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147,645,693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38.9 %</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99,964,047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163,801,798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44.9 %</w:t>
            </w:r>
          </w:p>
        </w:tc>
        <w:tc>
          <w:tcPr>
            <w:tcW w:w="0" w:type="dxa"/>
            <w:vAlign w:val="bottom"/>
          </w:tcPr>
          <w:p>
            <w:pPr>
              <w:spacing w:after="0"/>
              <w:rPr>
                <w:sz w:val="1"/>
                <w:szCs w:val="1"/>
                <w:color w:val="auto"/>
              </w:rPr>
            </w:pPr>
          </w:p>
        </w:tc>
      </w:tr>
      <w:tr>
        <w:trPr>
          <w:trHeight w:val="220"/>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51,315,017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28,996,104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51,581,524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42,860,156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11.7 %</w:t>
            </w:r>
          </w:p>
        </w:tc>
        <w:tc>
          <w:tcPr>
            <w:tcW w:w="0" w:type="dxa"/>
            <w:vAlign w:val="bottom"/>
          </w:tcPr>
          <w:p>
            <w:pPr>
              <w:spacing w:after="0"/>
              <w:rPr>
                <w:sz w:val="1"/>
                <w:szCs w:val="1"/>
                <w:color w:val="auto"/>
              </w:rPr>
            </w:pPr>
          </w:p>
        </w:tc>
      </w:tr>
      <w:tr>
        <w:trPr>
          <w:trHeight w:val="220"/>
        </w:trPr>
        <w:tc>
          <w:tcPr>
            <w:tcW w:w="2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Debt Investments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5,557,373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2,761,438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5,807,373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3,011,438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0" w:type="dxa"/>
            <w:vAlign w:val="bottom"/>
          </w:tcPr>
          <w:p>
            <w:pPr>
              <w:spacing w:after="0"/>
              <w:rPr>
                <w:sz w:val="1"/>
                <w:szCs w:val="1"/>
                <w:color w:val="auto"/>
              </w:rPr>
            </w:pPr>
          </w:p>
        </w:tc>
      </w:tr>
      <w:tr>
        <w:trPr>
          <w:trHeight w:val="220"/>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Options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10,982,983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4,671,293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10,982,983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4,959,112</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148"/>
        </w:trPr>
        <w:tc>
          <w:tcPr>
            <w:tcW w:w="2480" w:type="dxa"/>
            <w:vAlign w:val="bottom"/>
          </w:tcPr>
          <w:p>
            <w:pPr>
              <w:ind w:left="180"/>
              <w:spacing w:after="0" w:line="148" w:lineRule="exact"/>
              <w:rPr>
                <w:sz w:val="20"/>
                <w:szCs w:val="20"/>
                <w:color w:val="auto"/>
              </w:rPr>
            </w:pPr>
            <w:r>
              <w:rPr>
                <w:rFonts w:ascii="Times New Roman" w:cs="Times New Roman" w:eastAsia="Times New Roman" w:hAnsi="Times New Roman"/>
                <w:sz w:val="17"/>
                <w:szCs w:val="17"/>
                <w:b w:val="1"/>
                <w:bCs w:val="1"/>
                <w:color w:val="auto"/>
              </w:rPr>
              <w:t>Total Private Portfolio</w:t>
            </w: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Companies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165,559,704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184,074,528</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48.4 %</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168,335,927</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214,632,504</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58.8 %</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ind w:left="180"/>
              <w:spacing w:after="0" w:line="148" w:lineRule="exact"/>
              <w:rPr>
                <w:sz w:val="20"/>
                <w:szCs w:val="20"/>
                <w:color w:val="auto"/>
              </w:rPr>
            </w:pPr>
            <w:r>
              <w:rPr>
                <w:rFonts w:ascii="Times New Roman" w:cs="Times New Roman" w:eastAsia="Times New Roman" w:hAnsi="Times New Roman"/>
                <w:sz w:val="17"/>
                <w:szCs w:val="17"/>
                <w:b w:val="1"/>
                <w:bCs w:val="1"/>
                <w:color w:val="auto"/>
              </w:rPr>
              <w:t>Publicly Traded Portfolio</w:t>
            </w: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Companies</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40,952,615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95,593,523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39,119,450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44,573,225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12.2 %</w:t>
            </w:r>
          </w:p>
        </w:tc>
        <w:tc>
          <w:tcPr>
            <w:tcW w:w="0" w:type="dxa"/>
            <w:vAlign w:val="bottom"/>
          </w:tcPr>
          <w:p>
            <w:pPr>
              <w:spacing w:after="0"/>
              <w:rPr>
                <w:sz w:val="1"/>
                <w:szCs w:val="1"/>
                <w:color w:val="auto"/>
              </w:rPr>
            </w:pPr>
          </w:p>
        </w:tc>
      </w:tr>
      <w:tr>
        <w:trPr>
          <w:trHeight w:val="220"/>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Options</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1,110,027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930,524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0" w:type="dxa"/>
            <w:vAlign w:val="bottom"/>
          </w:tcPr>
          <w:p>
            <w:pPr>
              <w:spacing w:after="0"/>
              <w:rPr>
                <w:sz w:val="1"/>
                <w:szCs w:val="1"/>
                <w:color w:val="auto"/>
              </w:rPr>
            </w:pPr>
          </w:p>
        </w:tc>
      </w:tr>
      <w:tr>
        <w:trPr>
          <w:trHeight w:val="148"/>
        </w:trPr>
        <w:tc>
          <w:tcPr>
            <w:tcW w:w="2480" w:type="dxa"/>
            <w:vAlign w:val="bottom"/>
          </w:tcPr>
          <w:p>
            <w:pPr>
              <w:ind w:left="180"/>
              <w:spacing w:after="0" w:line="148" w:lineRule="exact"/>
              <w:rPr>
                <w:sz w:val="20"/>
                <w:szCs w:val="20"/>
                <w:color w:val="auto"/>
              </w:rPr>
            </w:pPr>
            <w:r>
              <w:rPr>
                <w:rFonts w:ascii="Times New Roman" w:cs="Times New Roman" w:eastAsia="Times New Roman" w:hAnsi="Times New Roman"/>
                <w:sz w:val="17"/>
                <w:szCs w:val="17"/>
                <w:b w:val="1"/>
                <w:bCs w:val="1"/>
                <w:color w:val="auto"/>
              </w:rPr>
              <w:t>Total Publicly Traded</w:t>
            </w: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Portfolio Companies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40,952,615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96,703,550</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25.4 %</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39,119,450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45,503,749</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12.5 %</w:t>
            </w:r>
          </w:p>
        </w:tc>
        <w:tc>
          <w:tcPr>
            <w:tcW w:w="0" w:type="dxa"/>
            <w:vAlign w:val="bottom"/>
          </w:tcPr>
          <w:p>
            <w:pPr>
              <w:spacing w:after="0"/>
              <w:rPr>
                <w:sz w:val="1"/>
                <w:szCs w:val="1"/>
                <w:color w:val="auto"/>
              </w:rPr>
            </w:pPr>
          </w:p>
        </w:tc>
      </w:tr>
      <w:tr>
        <w:trPr>
          <w:trHeight w:val="238"/>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Investments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206,512,319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280,778,078</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73.8 %</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207,455,377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260,136,253</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geographic and industrial compositions of the Company’s portfolio at fair value as of March 31, 2022 and December 31, 2021 were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As of December 31, 2021</w:t>
            </w: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4"/>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1460" w:type="dxa"/>
            <w:vAlign w:val="bottom"/>
            <w:tcBorders>
              <w:top w:val="single" w:sz="8" w:color="auto"/>
            </w:tcBorders>
            <w:gridSpan w:val="3"/>
          </w:tcPr>
          <w:p>
            <w:pPr>
              <w:jc w:val="center"/>
              <w:ind w:right="20"/>
              <w:spacing w:after="0" w:line="124" w:lineRule="exact"/>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tcBorders>
              <w:top w:val="single" w:sz="8" w:color="auto"/>
            </w:tcBorders>
            <w:gridSpan w:val="4"/>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146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Portfolio</w:t>
            </w: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4"/>
            <w:vMerge w:val="continue"/>
          </w:tcPr>
          <w:p>
            <w:pPr>
              <w:spacing w:after="0"/>
              <w:rPr>
                <w:sz w:val="16"/>
                <w:szCs w:val="16"/>
                <w:color w:val="auto"/>
              </w:rPr>
            </w:pPr>
          </w:p>
        </w:tc>
        <w:tc>
          <w:tcPr>
            <w:tcW w:w="15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Portfolio</w:t>
            </w: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205"/>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Geographic Region</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West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212,558,585</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75.7 %</w:t>
            </w:r>
          </w:p>
        </w:tc>
        <w:tc>
          <w:tcPr>
            <w:tcW w:w="1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55.9 %</w:t>
            </w:r>
          </w:p>
        </w:tc>
        <w:tc>
          <w:tcPr>
            <w:tcW w:w="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188,304,542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72.4 %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Northeast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42,164,487</w:t>
            </w:r>
          </w:p>
        </w:tc>
        <w:tc>
          <w:tcPr>
            <w:tcW w:w="1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15.0 %</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47,666,629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18.3 %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Midwest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13,059,852</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4.7 %</w:t>
            </w:r>
          </w:p>
        </w:tc>
        <w:tc>
          <w:tcPr>
            <w:tcW w:w="1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12,722,423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4.9 %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12,995,154</w:t>
            </w:r>
          </w:p>
        </w:tc>
        <w:tc>
          <w:tcPr>
            <w:tcW w:w="1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4.6 %</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11,442,659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280,778,078</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73.8 %</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260,136,253</w:t>
            </w:r>
          </w:p>
        </w:tc>
        <w:tc>
          <w:tcPr>
            <w:tcW w:w="8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As of December 31, 2021</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1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4"/>
          </w:tcPr>
          <w:p>
            <w:pPr>
              <w:ind w:left="140"/>
              <w:spacing w:after="0" w:line="123"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340" w:type="dxa"/>
            <w:vAlign w:val="bottom"/>
            <w:tcBorders>
              <w:top w:val="single" w:sz="8" w:color="auto"/>
            </w:tcBorders>
          </w:tcPr>
          <w:p>
            <w:pPr>
              <w:jc w:val="right"/>
              <w:ind w:right="258"/>
              <w:spacing w:after="0" w:line="123"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tcBorders>
              <w:top w:val="single" w:sz="8" w:color="auto"/>
            </w:tcBorders>
            <w:gridSpan w:val="4"/>
          </w:tcPr>
          <w:p>
            <w:pPr>
              <w:jc w:val="center"/>
              <w:ind w:right="180"/>
              <w:spacing w:after="0" w:line="123" w:lineRule="exact"/>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1480" w:type="dxa"/>
            <w:vAlign w:val="bottom"/>
            <w:tcBorders>
              <w:top w:val="single" w:sz="8" w:color="auto"/>
            </w:tcBorders>
            <w:gridSpan w:val="2"/>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4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4"/>
            <w:vMerge w:val="continue"/>
          </w:tcPr>
          <w:p>
            <w:pPr>
              <w:spacing w:after="0"/>
              <w:rPr>
                <w:sz w:val="16"/>
                <w:szCs w:val="16"/>
                <w:color w:val="auto"/>
              </w:rPr>
            </w:pPr>
          </w:p>
        </w:tc>
        <w:tc>
          <w:tcPr>
            <w:tcW w:w="15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Portfolio</w:t>
            </w: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205"/>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Industry</w:t>
            </w: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Education Technology</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94,479,701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33.7 %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109,048,688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29.9 %</w:t>
            </w:r>
          </w:p>
        </w:tc>
        <w:tc>
          <w:tcPr>
            <w:tcW w:w="0" w:type="dxa"/>
            <w:vAlign w:val="bottom"/>
          </w:tcPr>
          <w:p>
            <w:pPr>
              <w:spacing w:after="0"/>
              <w:rPr>
                <w:sz w:val="1"/>
                <w:szCs w:val="1"/>
                <w:color w:val="auto"/>
              </w:rPr>
            </w:pPr>
          </w:p>
        </w:tc>
      </w:tr>
      <w:tr>
        <w:trPr>
          <w:trHeight w:val="22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Technology</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115,408,313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71,954,012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19.7 %</w:t>
            </w:r>
          </w:p>
        </w:tc>
        <w:tc>
          <w:tcPr>
            <w:tcW w:w="0" w:type="dxa"/>
            <w:vAlign w:val="bottom"/>
          </w:tcPr>
          <w:p>
            <w:pPr>
              <w:spacing w:after="0"/>
              <w:rPr>
                <w:sz w:val="1"/>
                <w:szCs w:val="1"/>
                <w:color w:val="auto"/>
              </w:rPr>
            </w:pPr>
          </w:p>
        </w:tc>
      </w:tr>
      <w:tr>
        <w:trPr>
          <w:trHeight w:val="220"/>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Marketplaces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45,214,620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16.1 %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49,346,174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13.5 %</w:t>
            </w:r>
          </w:p>
        </w:tc>
        <w:tc>
          <w:tcPr>
            <w:tcW w:w="0" w:type="dxa"/>
            <w:vAlign w:val="bottom"/>
          </w:tcPr>
          <w:p>
            <w:pPr>
              <w:spacing w:after="0"/>
              <w:rPr>
                <w:sz w:val="1"/>
                <w:szCs w:val="1"/>
                <w:color w:val="auto"/>
              </w:rPr>
            </w:pPr>
          </w:p>
        </w:tc>
      </w:tr>
      <w:tr>
        <w:trPr>
          <w:trHeight w:val="22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Social/Mobile</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13,986,737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16,439,523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4.5 %</w:t>
            </w:r>
          </w:p>
        </w:tc>
        <w:tc>
          <w:tcPr>
            <w:tcW w:w="0" w:type="dxa"/>
            <w:vAlign w:val="bottom"/>
          </w:tcPr>
          <w:p>
            <w:pPr>
              <w:spacing w:after="0"/>
              <w:rPr>
                <w:sz w:val="1"/>
                <w:szCs w:val="1"/>
                <w:color w:val="auto"/>
              </w:rPr>
            </w:pPr>
          </w:p>
        </w:tc>
      </w:tr>
      <w:tr>
        <w:trPr>
          <w:trHeight w:val="220"/>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Big Data/Cloud</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10,511,674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12,300,823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3.4 %</w:t>
            </w:r>
          </w:p>
        </w:tc>
        <w:tc>
          <w:tcPr>
            <w:tcW w:w="0" w:type="dxa"/>
            <w:vAlign w:val="bottom"/>
          </w:tcPr>
          <w:p>
            <w:pPr>
              <w:spacing w:after="0"/>
              <w:rPr>
                <w:sz w:val="1"/>
                <w:szCs w:val="1"/>
                <w:color w:val="auto"/>
              </w:rPr>
            </w:pPr>
          </w:p>
        </w:tc>
      </w:tr>
      <w:tr>
        <w:trPr>
          <w:trHeight w:val="22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Sustainability</w:t>
            </w: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1,177,033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1,047,033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0.3 %</w:t>
            </w:r>
          </w:p>
        </w:tc>
        <w:tc>
          <w:tcPr>
            <w:tcW w:w="0" w:type="dxa"/>
            <w:vAlign w:val="bottom"/>
          </w:tcPr>
          <w:p>
            <w:pPr>
              <w:spacing w:after="0"/>
              <w:rPr>
                <w:sz w:val="1"/>
                <w:szCs w:val="1"/>
                <w:color w:val="auto"/>
              </w:rPr>
            </w:pPr>
          </w:p>
        </w:tc>
      </w:tr>
      <w:tr>
        <w:trPr>
          <w:trHeight w:val="213"/>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280,778,078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73.8 %</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260,136,253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71.3 %</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9"/>
        </w:trPr>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details the composition of the Company’s industrial themes presented in the preceding tables:</w:t>
      </w:r>
    </w:p>
    <w:p>
      <w:pPr>
        <w:sectPr>
          <w:pgSz w:w="11900" w:h="16838" w:orient="portrait"/>
          <w:cols w:equalWidth="0" w:num="1">
            <w:col w:w="10139"/>
          </w:cols>
          <w:pgMar w:left="320" w:top="118" w:right="1440" w:bottom="1440" w:gutter="0" w:footer="0" w:header="0"/>
        </w:sect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2275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75205" cy="8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438150</wp:posOffset>
            </wp:positionV>
            <wp:extent cx="2275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75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Big Data/Cloud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298450</wp:posOffset>
            </wp:positionV>
            <wp:extent cx="2275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7520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996315</wp:posOffset>
            </wp:positionV>
            <wp:extent cx="22752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75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Financial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996315</wp:posOffset>
            </wp:positionV>
            <wp:extent cx="22752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75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Social/Mobile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716915</wp:posOffset>
            </wp:positionV>
            <wp:extent cx="22752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75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Sustainability</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47967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96790" cy="825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Education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Education Software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Interactive Learning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47967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9679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Data Analysis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Gaming Licensing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Retail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47967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9679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Global Innovation Platform</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Knowledge Networks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Micromobility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On-Demand Commerce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Peer-to-Peer Pet Services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Pharmaceutical Technology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Real Estate Platform</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Subscription Fashion Rental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47967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9679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Cannabis REIT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Services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Home Improvement Finance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Mobile Finance Technology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Online Marketplace Finance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Retail Technology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Special Purpose Acquisition Company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Venture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47967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9679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Digital Media Platform</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Digital Media Technology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Interactive Media &amp; Services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Mobile Access Technology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Social Data Platform</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Social Networking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47967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9679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Clean Technology</w:t>
      </w:r>
    </w:p>
    <w:p>
      <w:pPr>
        <w:spacing w:after="0" w:line="200" w:lineRule="exact"/>
        <w:rPr>
          <w:sz w:val="20"/>
          <w:szCs w:val="20"/>
          <w:color w:val="auto"/>
        </w:rPr>
      </w:pPr>
    </w:p>
    <w:p>
      <w:pPr>
        <w:sectPr>
          <w:pgSz w:w="11900" w:h="16838" w:orient="portrait"/>
          <w:cols w:equalWidth="0" w:num="2">
            <w:col w:w="2980" w:space="720"/>
            <w:col w:w="6439"/>
          </w:cols>
          <w:pgMar w:left="320" w:top="118" w:right="1440"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139"/>
          </w:cols>
          <w:pgMar w:left="320" w:top="118" w:right="1440"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Valuation Inputs</w:t>
      </w:r>
    </w:p>
    <w:p>
      <w:pPr>
        <w:spacing w:after="0" w:line="246" w:lineRule="exact"/>
        <w:rPr>
          <w:sz w:val="20"/>
          <w:szCs w:val="20"/>
          <w:color w:val="auto"/>
        </w:rPr>
      </w:pPr>
    </w:p>
    <w:p>
      <w:pPr>
        <w:ind w:firstLine="349"/>
        <w:spacing w:after="0" w:line="291" w:lineRule="auto"/>
        <w:rPr>
          <w:sz w:val="20"/>
          <w:szCs w:val="20"/>
          <w:color w:val="auto"/>
        </w:rPr>
      </w:pPr>
      <w:r>
        <w:rPr>
          <w:rFonts w:ascii="Times New Roman" w:cs="Times New Roman" w:eastAsia="Times New Roman" w:hAnsi="Times New Roman"/>
          <w:sz w:val="17"/>
          <w:szCs w:val="17"/>
          <w:color w:val="auto"/>
        </w:rPr>
        <w:t>The fair values of the Company’s investments disaggregated into the three levels of the fair value hierarchy based upon the lowest level of significant input used in the valuation as of March 31, 2022 and December 31, 2021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As of March 31, 2022</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4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220" w:type="dxa"/>
            <w:vAlign w:val="bottom"/>
          </w:tcPr>
          <w:p>
            <w:pPr>
              <w:spacing w:after="0"/>
              <w:rPr>
                <w:sz w:val="10"/>
                <w:szCs w:val="10"/>
                <w:color w:val="auto"/>
              </w:rPr>
            </w:pPr>
          </w:p>
        </w:tc>
        <w:tc>
          <w:tcPr>
            <w:tcW w:w="152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260" w:type="dxa"/>
            <w:vAlign w:val="bottom"/>
          </w:tcPr>
          <w:p>
            <w:pPr>
              <w:spacing w:after="0"/>
              <w:rPr>
                <w:sz w:val="10"/>
                <w:szCs w:val="10"/>
                <w:color w:val="auto"/>
              </w:rPr>
            </w:pPr>
          </w:p>
        </w:tc>
        <w:tc>
          <w:tcPr>
            <w:tcW w:w="150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220" w:type="dxa"/>
            <w:vAlign w:val="bottom"/>
          </w:tcPr>
          <w:p>
            <w:pPr>
              <w:spacing w:after="0"/>
              <w:rPr>
                <w:sz w:val="12"/>
                <w:szCs w:val="12"/>
                <w:color w:val="auto"/>
              </w:rPr>
            </w:pPr>
          </w:p>
        </w:tc>
        <w:tc>
          <w:tcPr>
            <w:tcW w:w="152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260" w:type="dxa"/>
            <w:vAlign w:val="bottom"/>
          </w:tcPr>
          <w:p>
            <w:pPr>
              <w:spacing w:after="0"/>
              <w:rPr>
                <w:sz w:val="12"/>
                <w:szCs w:val="12"/>
                <w:color w:val="auto"/>
              </w:rPr>
            </w:pPr>
          </w:p>
        </w:tc>
        <w:tc>
          <w:tcPr>
            <w:tcW w:w="150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w w:val="97"/>
              </w:rPr>
              <w:t>Identical Securities</w:t>
            </w:r>
          </w:p>
        </w:tc>
        <w:tc>
          <w:tcPr>
            <w:tcW w:w="220" w:type="dxa"/>
            <w:vAlign w:val="bottom"/>
          </w:tcPr>
          <w:p>
            <w:pPr>
              <w:spacing w:after="0"/>
              <w:rPr>
                <w:sz w:val="11"/>
                <w:szCs w:val="11"/>
                <w:color w:val="auto"/>
              </w:rPr>
            </w:pPr>
          </w:p>
        </w:tc>
        <w:tc>
          <w:tcPr>
            <w:tcW w:w="15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60" w:type="dxa"/>
            <w:vAlign w:val="bottom"/>
          </w:tcPr>
          <w:p>
            <w:pPr>
              <w:spacing w:after="0"/>
              <w:rPr>
                <w:sz w:val="11"/>
                <w:szCs w:val="11"/>
                <w:color w:val="auto"/>
              </w:rPr>
            </w:pPr>
          </w:p>
        </w:tc>
        <w:tc>
          <w:tcPr>
            <w:tcW w:w="150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80" w:type="dxa"/>
            <w:vAlign w:val="bottom"/>
          </w:tcPr>
          <w:p>
            <w:pPr>
              <w:spacing w:after="0"/>
              <w:rPr>
                <w:sz w:val="11"/>
                <w:szCs w:val="11"/>
                <w:color w:val="auto"/>
              </w:rPr>
            </w:pPr>
          </w:p>
        </w:tc>
        <w:tc>
          <w:tcPr>
            <w:tcW w:w="1260" w:type="dxa"/>
            <w:vAlign w:val="bottom"/>
            <w:vMerge w:val="restart"/>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20" w:type="dxa"/>
            <w:vAlign w:val="bottom"/>
          </w:tcPr>
          <w:p>
            <w:pPr>
              <w:spacing w:after="0"/>
              <w:rPr>
                <w:sz w:val="15"/>
                <w:szCs w:val="15"/>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60" w:type="dxa"/>
            <w:vAlign w:val="bottom"/>
          </w:tcPr>
          <w:p>
            <w:pPr>
              <w:spacing w:after="0"/>
              <w:rPr>
                <w:sz w:val="15"/>
                <w:szCs w:val="15"/>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Investments at Fair Value</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Private Portfolio Companies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Preferred Stock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147,645,693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147,645,693</w:t>
            </w:r>
          </w:p>
        </w:tc>
        <w:tc>
          <w:tcPr>
            <w:tcW w:w="0" w:type="dxa"/>
            <w:vAlign w:val="bottom"/>
          </w:tcPr>
          <w:p>
            <w:pPr>
              <w:spacing w:after="0"/>
              <w:rPr>
                <w:sz w:val="1"/>
                <w:szCs w:val="1"/>
                <w:color w:val="auto"/>
              </w:rPr>
            </w:pP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28,996,104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28,996,104</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 Investments</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2,761,438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2,761,438</w:t>
            </w:r>
          </w:p>
        </w:tc>
        <w:tc>
          <w:tcPr>
            <w:tcW w:w="0" w:type="dxa"/>
            <w:vAlign w:val="bottom"/>
          </w:tcPr>
          <w:p>
            <w:pPr>
              <w:spacing w:after="0"/>
              <w:rPr>
                <w:sz w:val="1"/>
                <w:szCs w:val="1"/>
                <w:color w:val="auto"/>
              </w:rPr>
            </w:pP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Options</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4,671,293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4,671,293</w:t>
            </w:r>
          </w:p>
        </w:tc>
        <w:tc>
          <w:tcPr>
            <w:tcW w:w="0" w:type="dxa"/>
            <w:vAlign w:val="bottom"/>
          </w:tcPr>
          <w:p>
            <w:pPr>
              <w:spacing w:after="0"/>
              <w:rPr>
                <w:sz w:val="1"/>
                <w:szCs w:val="1"/>
                <w:color w:val="auto"/>
              </w:rPr>
            </w:pPr>
          </w:p>
        </w:tc>
      </w:tr>
      <w:tr>
        <w:trPr>
          <w:trHeight w:val="213"/>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Private Portfolio Companies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184,074,528</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184,074,528</w:t>
            </w:r>
          </w:p>
        </w:tc>
        <w:tc>
          <w:tcPr>
            <w:tcW w:w="0" w:type="dxa"/>
            <w:vAlign w:val="bottom"/>
          </w:tcPr>
          <w:p>
            <w:pPr>
              <w:spacing w:after="0"/>
              <w:rPr>
                <w:sz w:val="1"/>
                <w:szCs w:val="1"/>
                <w:color w:val="auto"/>
              </w:rPr>
            </w:pPr>
          </w:p>
        </w:tc>
      </w:tr>
      <w:tr>
        <w:trPr>
          <w:trHeight w:val="200"/>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Publicly Traded Portfolio Companies</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16,799,132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78,794,391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95,593,523</w:t>
            </w:r>
          </w:p>
        </w:tc>
        <w:tc>
          <w:tcPr>
            <w:tcW w:w="0" w:type="dxa"/>
            <w:vAlign w:val="bottom"/>
          </w:tcPr>
          <w:p>
            <w:pPr>
              <w:spacing w:after="0"/>
              <w:rPr>
                <w:sz w:val="1"/>
                <w:szCs w:val="1"/>
                <w:color w:val="auto"/>
              </w:rPr>
            </w:pP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Options</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1,110,027</w:t>
            </w:r>
          </w:p>
        </w:tc>
        <w:tc>
          <w:tcPr>
            <w:tcW w:w="0" w:type="dxa"/>
            <w:vAlign w:val="bottom"/>
          </w:tcPr>
          <w:p>
            <w:pPr>
              <w:spacing w:after="0"/>
              <w:rPr>
                <w:sz w:val="1"/>
                <w:szCs w:val="1"/>
                <w:color w:val="auto"/>
              </w:rPr>
            </w:pPr>
          </w:p>
        </w:tc>
      </w:tr>
      <w:tr>
        <w:trPr>
          <w:trHeight w:val="213"/>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Publicly Traded Portfolio Companies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16,799,132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79,904,418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96,703,550</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Investments at Fair Value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16,799,132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79,904,418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184,074,528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280,778,078</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4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As of December 31, 2021</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4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tcPr>
          <w:p>
            <w:pPr>
              <w:jc w:val="center"/>
              <w:ind w:right="300"/>
              <w:spacing w:after="0" w:line="123"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220" w:type="dxa"/>
            <w:vAlign w:val="bottom"/>
          </w:tcPr>
          <w:p>
            <w:pPr>
              <w:spacing w:after="0"/>
              <w:rPr>
                <w:sz w:val="10"/>
                <w:szCs w:val="10"/>
                <w:color w:val="auto"/>
              </w:rPr>
            </w:pPr>
          </w:p>
        </w:tc>
        <w:tc>
          <w:tcPr>
            <w:tcW w:w="1520" w:type="dxa"/>
            <w:vAlign w:val="bottom"/>
            <w:gridSpan w:val="2"/>
          </w:tcPr>
          <w:p>
            <w:pPr>
              <w:jc w:val="center"/>
              <w:ind w:right="300"/>
              <w:spacing w:after="0" w:line="123" w:lineRule="exact"/>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260" w:type="dxa"/>
            <w:vAlign w:val="bottom"/>
          </w:tcPr>
          <w:p>
            <w:pPr>
              <w:spacing w:after="0"/>
              <w:rPr>
                <w:sz w:val="10"/>
                <w:szCs w:val="10"/>
                <w:color w:val="auto"/>
              </w:rPr>
            </w:pPr>
          </w:p>
        </w:tc>
        <w:tc>
          <w:tcPr>
            <w:tcW w:w="1500" w:type="dxa"/>
            <w:vAlign w:val="bottom"/>
            <w:gridSpan w:val="2"/>
          </w:tcPr>
          <w:p>
            <w:pPr>
              <w:jc w:val="center"/>
              <w:ind w:right="360"/>
              <w:spacing w:after="0" w:line="123"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220" w:type="dxa"/>
            <w:vAlign w:val="bottom"/>
          </w:tcPr>
          <w:p>
            <w:pPr>
              <w:spacing w:after="0"/>
              <w:rPr>
                <w:sz w:val="11"/>
                <w:szCs w:val="11"/>
                <w:color w:val="auto"/>
              </w:rPr>
            </w:pPr>
          </w:p>
        </w:tc>
        <w:tc>
          <w:tcPr>
            <w:tcW w:w="15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260" w:type="dxa"/>
            <w:vAlign w:val="bottom"/>
          </w:tcPr>
          <w:p>
            <w:pPr>
              <w:spacing w:after="0"/>
              <w:rPr>
                <w:sz w:val="11"/>
                <w:szCs w:val="11"/>
                <w:color w:val="auto"/>
              </w:rPr>
            </w:pPr>
          </w:p>
        </w:tc>
        <w:tc>
          <w:tcPr>
            <w:tcW w:w="150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w w:val="97"/>
              </w:rPr>
              <w:t>Identical Securities</w:t>
            </w:r>
          </w:p>
        </w:tc>
        <w:tc>
          <w:tcPr>
            <w:tcW w:w="220" w:type="dxa"/>
            <w:vAlign w:val="bottom"/>
          </w:tcPr>
          <w:p>
            <w:pPr>
              <w:spacing w:after="0"/>
              <w:rPr>
                <w:sz w:val="12"/>
                <w:szCs w:val="12"/>
                <w:color w:val="auto"/>
              </w:rPr>
            </w:pPr>
          </w:p>
        </w:tc>
        <w:tc>
          <w:tcPr>
            <w:tcW w:w="152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60" w:type="dxa"/>
            <w:vAlign w:val="bottom"/>
          </w:tcPr>
          <w:p>
            <w:pPr>
              <w:spacing w:after="0"/>
              <w:rPr>
                <w:sz w:val="12"/>
                <w:szCs w:val="12"/>
                <w:color w:val="auto"/>
              </w:rPr>
            </w:pPr>
          </w:p>
        </w:tc>
        <w:tc>
          <w:tcPr>
            <w:tcW w:w="1500" w:type="dxa"/>
            <w:vAlign w:val="bottom"/>
            <w:gridSpan w:val="2"/>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80" w:type="dxa"/>
            <w:vAlign w:val="bottom"/>
          </w:tcPr>
          <w:p>
            <w:pPr>
              <w:spacing w:after="0"/>
              <w:rPr>
                <w:sz w:val="12"/>
                <w:szCs w:val="12"/>
                <w:color w:val="auto"/>
              </w:rPr>
            </w:pPr>
          </w:p>
        </w:tc>
        <w:tc>
          <w:tcPr>
            <w:tcW w:w="1260" w:type="dxa"/>
            <w:vAlign w:val="bottom"/>
            <w:vMerge w:val="restart"/>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20" w:type="dxa"/>
            <w:vAlign w:val="bottom"/>
          </w:tcPr>
          <w:p>
            <w:pPr>
              <w:spacing w:after="0"/>
              <w:rPr>
                <w:sz w:val="15"/>
                <w:szCs w:val="15"/>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60" w:type="dxa"/>
            <w:vAlign w:val="bottom"/>
          </w:tcPr>
          <w:p>
            <w:pPr>
              <w:spacing w:after="0"/>
              <w:rPr>
                <w:sz w:val="15"/>
                <w:szCs w:val="15"/>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Investments at Fair Value</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Private Portfolio Companies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Preferred Stock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163,801,798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163,801,798</w:t>
            </w:r>
          </w:p>
        </w:tc>
        <w:tc>
          <w:tcPr>
            <w:tcW w:w="0" w:type="dxa"/>
            <w:vAlign w:val="bottom"/>
          </w:tcPr>
          <w:p>
            <w:pPr>
              <w:spacing w:after="0"/>
              <w:rPr>
                <w:sz w:val="1"/>
                <w:szCs w:val="1"/>
                <w:color w:val="auto"/>
              </w:rPr>
            </w:pP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42,860,156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42,860,156</w:t>
            </w: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 Investments</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3,011,438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3,011,438</w:t>
            </w:r>
          </w:p>
        </w:tc>
        <w:tc>
          <w:tcPr>
            <w:tcW w:w="0" w:type="dxa"/>
            <w:vAlign w:val="bottom"/>
          </w:tcPr>
          <w:p>
            <w:pPr>
              <w:spacing w:after="0"/>
              <w:rPr>
                <w:sz w:val="1"/>
                <w:szCs w:val="1"/>
                <w:color w:val="auto"/>
              </w:rPr>
            </w:pP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Options</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4,959,112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4,959,112</w:t>
            </w:r>
          </w:p>
        </w:tc>
        <w:tc>
          <w:tcPr>
            <w:tcW w:w="0" w:type="dxa"/>
            <w:vAlign w:val="bottom"/>
          </w:tcPr>
          <w:p>
            <w:pPr>
              <w:spacing w:after="0"/>
              <w:rPr>
                <w:sz w:val="1"/>
                <w:szCs w:val="1"/>
                <w:color w:val="auto"/>
              </w:rPr>
            </w:pPr>
          </w:p>
        </w:tc>
      </w:tr>
      <w:tr>
        <w:trPr>
          <w:trHeight w:val="213"/>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Private Portfolio Companies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214,632,504</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214,632,504</w:t>
            </w:r>
          </w:p>
        </w:tc>
        <w:tc>
          <w:tcPr>
            <w:tcW w:w="0" w:type="dxa"/>
            <w:vAlign w:val="bottom"/>
          </w:tcPr>
          <w:p>
            <w:pPr>
              <w:spacing w:after="0"/>
              <w:rPr>
                <w:sz w:val="1"/>
                <w:szCs w:val="1"/>
                <w:color w:val="auto"/>
              </w:rPr>
            </w:pPr>
          </w:p>
        </w:tc>
      </w:tr>
      <w:tr>
        <w:trPr>
          <w:trHeight w:val="200"/>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Publicly Traded Portfolio Companies</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16,970,411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27,602,814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44,573,225</w:t>
            </w:r>
          </w:p>
        </w:tc>
        <w:tc>
          <w:tcPr>
            <w:tcW w:w="0" w:type="dxa"/>
            <w:vAlign w:val="bottom"/>
          </w:tcPr>
          <w:p>
            <w:pPr>
              <w:spacing w:after="0"/>
              <w:rPr>
                <w:sz w:val="1"/>
                <w:szCs w:val="1"/>
                <w:color w:val="auto"/>
              </w:rPr>
            </w:pPr>
          </w:p>
        </w:tc>
      </w:tr>
      <w:tr>
        <w:trPr>
          <w:trHeight w:val="220"/>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Options</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930,524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930,524</w:t>
            </w:r>
          </w:p>
        </w:tc>
        <w:tc>
          <w:tcPr>
            <w:tcW w:w="0" w:type="dxa"/>
            <w:vAlign w:val="bottom"/>
          </w:tcPr>
          <w:p>
            <w:pPr>
              <w:spacing w:after="0"/>
              <w:rPr>
                <w:sz w:val="1"/>
                <w:szCs w:val="1"/>
                <w:color w:val="auto"/>
              </w:rPr>
            </w:pPr>
          </w:p>
        </w:tc>
      </w:tr>
      <w:tr>
        <w:trPr>
          <w:trHeight w:val="213"/>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Publicly Traded Portfolio Companies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16,970,411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28,533,338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45,503,749</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Portfolio Investments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16,970,411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28,533,338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214,632,504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260,136,253</w:t>
            </w:r>
          </w:p>
        </w:tc>
        <w:tc>
          <w:tcPr>
            <w:tcW w:w="0" w:type="dxa"/>
            <w:vAlign w:val="bottom"/>
          </w:tcPr>
          <w:p>
            <w:pPr>
              <w:spacing w:after="0"/>
              <w:rPr>
                <w:sz w:val="1"/>
                <w:szCs w:val="1"/>
                <w:color w:val="auto"/>
              </w:rPr>
            </w:pPr>
          </w:p>
        </w:tc>
      </w:tr>
      <w:tr>
        <w:trPr>
          <w:trHeight w:val="23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Investments at Fair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16,970,411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28,533,338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214,632,504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260,136,253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4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179"/>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4906010</wp:posOffset>
            </wp:positionH>
            <wp:positionV relativeFrom="paragraph">
              <wp:posOffset>-4057015</wp:posOffset>
            </wp:positionV>
            <wp:extent cx="654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-4057015</wp:posOffset>
            </wp:positionV>
            <wp:extent cx="654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-722630</wp:posOffset>
            </wp:positionV>
            <wp:extent cx="654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-722630</wp:posOffset>
            </wp:positionV>
            <wp:extent cx="654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-1584960</wp:posOffset>
            </wp:positionV>
            <wp:extent cx="654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-1584960</wp:posOffset>
            </wp:positionV>
            <wp:extent cx="654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Unobservable Inputs for Level 3 Assets and Liabilities</w:t>
      </w:r>
    </w:p>
    <w:p>
      <w:pPr>
        <w:spacing w:after="0" w:line="246" w:lineRule="exact"/>
        <w:rPr>
          <w:sz w:val="20"/>
          <w:szCs w:val="20"/>
          <w:color w:val="auto"/>
        </w:rPr>
      </w:pPr>
    </w:p>
    <w:p>
      <w:pPr>
        <w:jc w:val="both"/>
        <w:ind w:right="20" w:firstLine="349"/>
        <w:spacing w:after="0" w:line="257" w:lineRule="auto"/>
        <w:rPr>
          <w:sz w:val="20"/>
          <w:szCs w:val="20"/>
          <w:color w:val="auto"/>
        </w:rPr>
      </w:pPr>
      <w:r>
        <w:rPr>
          <w:rFonts w:ascii="Times New Roman" w:cs="Times New Roman" w:eastAsia="Times New Roman" w:hAnsi="Times New Roman"/>
          <w:sz w:val="17"/>
          <w:szCs w:val="17"/>
          <w:color w:val="auto"/>
        </w:rPr>
        <w:t xml:space="preserve">In accordance with FASB ASC 820,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the tables below provide quantitative information about the Company’s fair value measurements of its Level 3 assets as of March 31, 2022 and December 31, 2021.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March 31, 2022 and December 31, 2021. Significant changes in the inputs in isolation would result in a significant change in the fair value measurement, depending on the input and the materiality of the investment. Refer to “Note 2—Significant Accounting Policies —</w:t>
      </w:r>
      <w:r>
        <w:rPr>
          <w:rFonts w:ascii="Times New Roman" w:cs="Times New Roman" w:eastAsia="Times New Roman" w:hAnsi="Times New Roman"/>
          <w:sz w:val="17"/>
          <w:szCs w:val="17"/>
          <w:i w:val="1"/>
          <w:iCs w:val="1"/>
          <w:color w:val="auto"/>
        </w:rPr>
        <w:t>Investments at Fair Value</w:t>
      </w:r>
      <w:r>
        <w:rPr>
          <w:rFonts w:ascii="Times New Roman" w:cs="Times New Roman" w:eastAsia="Times New Roman" w:hAnsi="Times New Roman"/>
          <w:sz w:val="17"/>
          <w:szCs w:val="17"/>
          <w:color w:val="auto"/>
        </w:rPr>
        <w:t>” for more detail.</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As of March 31, 2022</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37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880" w:type="dxa"/>
            <w:vAlign w:val="bottom"/>
            <w:tcBorders>
              <w:top w:val="single" w:sz="8" w:color="auto"/>
              <w:right w:val="single" w:sz="8" w:color="auto"/>
            </w:tcBorders>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80" w:type="dxa"/>
            <w:vAlign w:val="bottom"/>
            <w:tcBorders>
              <w:top w:val="single" w:sz="8" w:color="auto"/>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Valuation</w:t>
            </w:r>
          </w:p>
        </w:tc>
        <w:tc>
          <w:tcPr>
            <w:tcW w:w="19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Unobservable Inputs</w:t>
            </w:r>
            <w:r>
              <w:rPr>
                <w:rFonts w:ascii="Times New Roman" w:cs="Times New Roman" w:eastAsia="Times New Roman" w:hAnsi="Times New Roman"/>
                <w:sz w:val="17"/>
                <w:szCs w:val="17"/>
                <w:b w:val="1"/>
                <w:bCs w:val="1"/>
                <w:color w:val="auto"/>
                <w:w w:val="95"/>
                <w:vertAlign w:val="superscript"/>
              </w:rPr>
              <w:t>(2)</w:t>
            </w:r>
          </w:p>
        </w:tc>
        <w:tc>
          <w:tcPr>
            <w:tcW w:w="1460" w:type="dxa"/>
            <w:vAlign w:val="bottom"/>
            <w:tcBorders>
              <w:top w:val="single" w:sz="8" w:color="auto"/>
            </w:tcBorders>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4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720" w:type="dxa"/>
            <w:vAlign w:val="bottom"/>
            <w:tcBorders>
              <w:left w:val="single" w:sz="8" w:color="auto"/>
              <w:right w:val="single" w:sz="8" w:color="auto"/>
            </w:tcBorders>
            <w:vMerge w:val="continue"/>
          </w:tcPr>
          <w:p>
            <w:pPr>
              <w:spacing w:after="0"/>
              <w:rPr>
                <w:sz w:val="11"/>
                <w:szCs w:val="11"/>
                <w:color w:val="auto"/>
              </w:rPr>
            </w:pPr>
          </w:p>
        </w:tc>
        <w:tc>
          <w:tcPr>
            <w:tcW w:w="1880" w:type="dxa"/>
            <w:vAlign w:val="bottom"/>
            <w:tcBorders>
              <w:right w:val="single" w:sz="8" w:color="auto"/>
            </w:tcBorders>
            <w:vMerge w:val="continue"/>
          </w:tcPr>
          <w:p>
            <w:pPr>
              <w:spacing w:after="0"/>
              <w:rPr>
                <w:sz w:val="11"/>
                <w:szCs w:val="11"/>
                <w:color w:val="auto"/>
              </w:rPr>
            </w:pPr>
          </w:p>
        </w:tc>
        <w:tc>
          <w:tcPr>
            <w:tcW w:w="188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Approach/</w:t>
            </w:r>
          </w:p>
        </w:tc>
        <w:tc>
          <w:tcPr>
            <w:tcW w:w="1900" w:type="dxa"/>
            <w:vAlign w:val="bottom"/>
            <w:tcBorders>
              <w:right w:val="single" w:sz="8" w:color="auto"/>
            </w:tcBorders>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42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9"/>
                <w:szCs w:val="9"/>
                <w:b w:val="1"/>
                <w:bCs w:val="1"/>
                <w:color w:val="auto"/>
                <w:w w:val="75"/>
              </w:rPr>
              <w:t>(3)</w:t>
            </w:r>
          </w:p>
        </w:tc>
        <w:tc>
          <w:tcPr>
            <w:tcW w:w="0" w:type="dxa"/>
            <w:vAlign w:val="bottom"/>
          </w:tcPr>
          <w:p>
            <w:pPr>
              <w:spacing w:after="0"/>
              <w:rPr>
                <w:sz w:val="1"/>
                <w:szCs w:val="1"/>
                <w:color w:val="auto"/>
              </w:rPr>
            </w:pPr>
          </w:p>
        </w:tc>
      </w:tr>
      <w:tr>
        <w:trPr>
          <w:trHeight w:val="207"/>
        </w:trPr>
        <w:tc>
          <w:tcPr>
            <w:tcW w:w="3720" w:type="dxa"/>
            <w:vAlign w:val="bottom"/>
            <w:tcBorders>
              <w:left w:val="single" w:sz="8" w:color="auto"/>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Technique</w:t>
            </w:r>
            <w:r>
              <w:rPr>
                <w:rFonts w:ascii="Times New Roman" w:cs="Times New Roman" w:eastAsia="Times New Roman" w:hAnsi="Times New Roman"/>
                <w:sz w:val="17"/>
                <w:szCs w:val="17"/>
                <w:b w:val="1"/>
                <w:bCs w:val="1"/>
                <w:color w:val="auto"/>
                <w:w w:val="91"/>
                <w:vertAlign w:val="superscript"/>
              </w:rPr>
              <w:t>(1)</w:t>
            </w:r>
          </w:p>
        </w:tc>
        <w:tc>
          <w:tcPr>
            <w:tcW w:w="19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w w:val="94"/>
              </w:rPr>
              <w:t>(Weighted Average)</w:t>
            </w: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Market approach</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Revenue multiples</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1.49x - 6.82x (3.20x)</w:t>
            </w:r>
          </w:p>
        </w:tc>
        <w:tc>
          <w:tcPr>
            <w:tcW w:w="0" w:type="dxa"/>
            <w:vAlign w:val="bottom"/>
          </w:tcPr>
          <w:p>
            <w:pPr>
              <w:spacing w:after="0"/>
              <w:rPr>
                <w:sz w:val="1"/>
                <w:szCs w:val="1"/>
                <w:color w:val="auto"/>
              </w:rPr>
            </w:pPr>
          </w:p>
        </w:tc>
      </w:tr>
      <w:tr>
        <w:trPr>
          <w:trHeight w:val="90"/>
        </w:trPr>
        <w:tc>
          <w:tcPr>
            <w:tcW w:w="3720" w:type="dxa"/>
            <w:vAlign w:val="bottom"/>
            <w:tcBorders>
              <w:left w:val="single" w:sz="8" w:color="auto"/>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3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in private companies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$28,996,104</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Discounted cash flow</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 rate</w:t>
            </w:r>
          </w:p>
        </w:tc>
        <w:tc>
          <w:tcPr>
            <w:tcW w:w="1460" w:type="dxa"/>
            <w:vAlign w:val="bottom"/>
          </w:tcPr>
          <w:p>
            <w:pPr>
              <w:jc w:val="center"/>
              <w:ind w:left="316"/>
              <w:spacing w:after="0"/>
              <w:rPr>
                <w:sz w:val="20"/>
                <w:szCs w:val="20"/>
                <w:color w:val="auto"/>
              </w:rPr>
            </w:pPr>
            <w:r>
              <w:rPr>
                <w:rFonts w:ascii="Times New Roman" w:cs="Times New Roman" w:eastAsia="Times New Roman" w:hAnsi="Times New Roman"/>
                <w:sz w:val="17"/>
                <w:szCs w:val="17"/>
                <w:color w:val="auto"/>
              </w:rPr>
              <w:t>15.0% (15.0%)</w:t>
            </w:r>
          </w:p>
        </w:tc>
        <w:tc>
          <w:tcPr>
            <w:tcW w:w="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372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PWERM</w:t>
            </w:r>
            <w:r>
              <w:rPr>
                <w:rFonts w:ascii="Times New Roman" w:cs="Times New Roman" w:eastAsia="Times New Roman" w:hAnsi="Times New Roman"/>
                <w:sz w:val="22"/>
                <w:szCs w:val="22"/>
                <w:color w:val="auto"/>
                <w:w w:val="98"/>
                <w:vertAlign w:val="superscript"/>
              </w:rPr>
              <w:t>(5)</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AFFO</w:t>
            </w:r>
            <w:r>
              <w:rPr>
                <w:rFonts w:ascii="Times New Roman" w:cs="Times New Roman" w:eastAsia="Times New Roman" w:hAnsi="Times New Roman"/>
                <w:sz w:val="22"/>
                <w:szCs w:val="22"/>
                <w:color w:val="auto"/>
                <w:w w:val="98"/>
                <w:vertAlign w:val="superscript"/>
              </w:rPr>
              <w:t>(4)</w:t>
            </w:r>
            <w:r>
              <w:rPr>
                <w:rFonts w:ascii="Times New Roman" w:cs="Times New Roman" w:eastAsia="Times New Roman" w:hAnsi="Times New Roman"/>
                <w:sz w:val="17"/>
                <w:szCs w:val="17"/>
                <w:color w:val="auto"/>
                <w:w w:val="98"/>
              </w:rPr>
              <w:t xml:space="preserve"> multiple</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19.4 -23.1x (21.3x)</w:t>
            </w:r>
          </w:p>
        </w:tc>
        <w:tc>
          <w:tcPr>
            <w:tcW w:w="0" w:type="dxa"/>
            <w:vAlign w:val="bottom"/>
          </w:tcPr>
          <w:p>
            <w:pPr>
              <w:spacing w:after="0"/>
              <w:rPr>
                <w:sz w:val="1"/>
                <w:szCs w:val="1"/>
                <w:color w:val="auto"/>
              </w:rPr>
            </w:pPr>
          </w:p>
        </w:tc>
      </w:tr>
      <w:tr>
        <w:trPr>
          <w:trHeight w:val="23"/>
        </w:trPr>
        <w:tc>
          <w:tcPr>
            <w:tcW w:w="372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3720" w:type="dxa"/>
            <w:vAlign w:val="bottom"/>
            <w:tcBorders>
              <w:left w:val="single" w:sz="8" w:color="auto"/>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Market approach</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Revenue multiples</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0.35x - 6.82x (3.33x)</w:t>
            </w:r>
          </w:p>
        </w:tc>
        <w:tc>
          <w:tcPr>
            <w:tcW w:w="0" w:type="dxa"/>
            <w:vAlign w:val="bottom"/>
          </w:tcPr>
          <w:p>
            <w:pPr>
              <w:spacing w:after="0"/>
              <w:rPr>
                <w:sz w:val="1"/>
                <w:szCs w:val="1"/>
                <w:color w:val="auto"/>
              </w:rPr>
            </w:pPr>
          </w:p>
        </w:tc>
      </w:tr>
      <w:tr>
        <w:trPr>
          <w:trHeight w:val="64"/>
        </w:trPr>
        <w:tc>
          <w:tcPr>
            <w:tcW w:w="372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3720" w:type="dxa"/>
            <w:vAlign w:val="bottom"/>
            <w:tcBorders>
              <w:left w:val="single" w:sz="8" w:color="auto"/>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Discounted cash flow</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 rate</w:t>
            </w:r>
          </w:p>
        </w:tc>
        <w:tc>
          <w:tcPr>
            <w:tcW w:w="1460" w:type="dxa"/>
            <w:vAlign w:val="bottom"/>
          </w:tcPr>
          <w:p>
            <w:pPr>
              <w:jc w:val="center"/>
              <w:ind w:left="316"/>
              <w:spacing w:after="0"/>
              <w:rPr>
                <w:sz w:val="20"/>
                <w:szCs w:val="20"/>
                <w:color w:val="auto"/>
              </w:rPr>
            </w:pPr>
            <w:r>
              <w:rPr>
                <w:rFonts w:ascii="Times New Roman" w:cs="Times New Roman" w:eastAsia="Times New Roman" w:hAnsi="Times New Roman"/>
                <w:sz w:val="17"/>
                <w:szCs w:val="17"/>
                <w:color w:val="auto"/>
              </w:rPr>
              <w:t>15.0% (15.0%)</w:t>
            </w:r>
          </w:p>
        </w:tc>
        <w:tc>
          <w:tcPr>
            <w:tcW w:w="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372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42"/>
        </w:trPr>
        <w:tc>
          <w:tcPr>
            <w:tcW w:w="3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Preferred stock in private companies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$147,645,693</w:t>
            </w: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Revenue multiples</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0.87x - 6.82x (2.65x)</w:t>
            </w:r>
          </w:p>
        </w:tc>
        <w:tc>
          <w:tcPr>
            <w:tcW w:w="0" w:type="dxa"/>
            <w:vAlign w:val="bottom"/>
          </w:tcPr>
          <w:p>
            <w:pPr>
              <w:spacing w:after="0"/>
              <w:rPr>
                <w:sz w:val="1"/>
                <w:szCs w:val="1"/>
                <w:color w:val="auto"/>
              </w:rPr>
            </w:pPr>
          </w:p>
        </w:tc>
      </w:tr>
      <w:tr>
        <w:trPr>
          <w:trHeight w:val="39"/>
        </w:trPr>
        <w:tc>
          <w:tcPr>
            <w:tcW w:w="3720" w:type="dxa"/>
            <w:vAlign w:val="bottom"/>
            <w:tcBorders>
              <w:left w:val="single" w:sz="8" w:color="auto"/>
              <w:right w:val="single" w:sz="8" w:color="auto"/>
            </w:tcBorders>
          </w:tcPr>
          <w:p>
            <w:pPr>
              <w:spacing w:after="0"/>
              <w:rPr>
                <w:sz w:val="3"/>
                <w:szCs w:val="3"/>
                <w:color w:val="auto"/>
              </w:rPr>
            </w:pPr>
          </w:p>
        </w:tc>
        <w:tc>
          <w:tcPr>
            <w:tcW w:w="1880" w:type="dxa"/>
            <w:vAlign w:val="bottom"/>
            <w:tcBorders>
              <w:right w:val="single" w:sz="8" w:color="auto"/>
            </w:tcBorders>
          </w:tcPr>
          <w:p>
            <w:pPr>
              <w:spacing w:after="0"/>
              <w:rPr>
                <w:sz w:val="3"/>
                <w:szCs w:val="3"/>
                <w:color w:val="auto"/>
              </w:rPr>
            </w:pPr>
          </w:p>
        </w:tc>
        <w:tc>
          <w:tcPr>
            <w:tcW w:w="1880" w:type="dxa"/>
            <w:vAlign w:val="bottom"/>
            <w:tcBorders>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PWERM</w:t>
            </w:r>
            <w:r>
              <w:rPr>
                <w:rFonts w:ascii="Times New Roman" w:cs="Times New Roman" w:eastAsia="Times New Roman" w:hAnsi="Times New Roman"/>
                <w:sz w:val="22"/>
                <w:szCs w:val="22"/>
                <w:color w:val="auto"/>
                <w:w w:val="98"/>
                <w:vertAlign w:val="superscript"/>
              </w:rPr>
              <w:t>(5)</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DLOM</w:t>
            </w:r>
            <w:r>
              <w:rPr>
                <w:rFonts w:ascii="Times New Roman" w:cs="Times New Roman" w:eastAsia="Times New Roman" w:hAnsi="Times New Roman"/>
                <w:sz w:val="22"/>
                <w:szCs w:val="22"/>
                <w:color w:val="auto"/>
                <w:w w:val="95"/>
                <w:vertAlign w:val="superscript"/>
              </w:rPr>
              <w:t>(6)</w:t>
            </w:r>
          </w:p>
        </w:tc>
        <w:tc>
          <w:tcPr>
            <w:tcW w:w="1460" w:type="dxa"/>
            <w:vAlign w:val="bottom"/>
          </w:tcPr>
          <w:p>
            <w:pPr>
              <w:jc w:val="center"/>
              <w:ind w:left="316"/>
              <w:spacing w:after="0"/>
              <w:rPr>
                <w:sz w:val="20"/>
                <w:szCs w:val="20"/>
                <w:color w:val="auto"/>
              </w:rPr>
            </w:pPr>
            <w:r>
              <w:rPr>
                <w:rFonts w:ascii="Times New Roman" w:cs="Times New Roman" w:eastAsia="Times New Roman" w:hAnsi="Times New Roman"/>
                <w:sz w:val="17"/>
                <w:szCs w:val="17"/>
                <w:color w:val="auto"/>
              </w:rPr>
              <w:t>10.0% (10.0%)</w:t>
            </w: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20" w:type="dxa"/>
            <w:vAlign w:val="bottom"/>
            <w:tcBorders>
              <w:left w:val="single" w:sz="8" w:color="auto"/>
              <w:right w:val="single" w:sz="8" w:color="auto"/>
            </w:tcBorders>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Financing Risk</w:t>
            </w:r>
          </w:p>
        </w:tc>
        <w:tc>
          <w:tcPr>
            <w:tcW w:w="1460" w:type="dxa"/>
            <w:vAlign w:val="bottom"/>
          </w:tcPr>
          <w:p>
            <w:pPr>
              <w:jc w:val="center"/>
              <w:ind w:left="316"/>
              <w:spacing w:after="0"/>
              <w:rPr>
                <w:sz w:val="20"/>
                <w:szCs w:val="20"/>
                <w:color w:val="auto"/>
              </w:rPr>
            </w:pPr>
            <w:r>
              <w:rPr>
                <w:rFonts w:ascii="Times New Roman" w:cs="Times New Roman" w:eastAsia="Times New Roman" w:hAnsi="Times New Roman"/>
                <w:sz w:val="17"/>
                <w:szCs w:val="17"/>
                <w:color w:val="auto"/>
              </w:rPr>
              <w:t>10.0% (10.0%)</w:t>
            </w: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72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Debt investments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$2,761,438</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Market approach</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Revenue multiples</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1.40x - 5.46x (4.41x)</w:t>
            </w:r>
          </w:p>
        </w:tc>
        <w:tc>
          <w:tcPr>
            <w:tcW w:w="0" w:type="dxa"/>
            <w:vAlign w:val="bottom"/>
          </w:tcPr>
          <w:p>
            <w:pPr>
              <w:spacing w:after="0"/>
              <w:rPr>
                <w:sz w:val="1"/>
                <w:szCs w:val="1"/>
                <w:color w:val="auto"/>
              </w:rPr>
            </w:pPr>
          </w:p>
        </w:tc>
      </w:tr>
      <w:tr>
        <w:trPr>
          <w:trHeight w:val="90"/>
        </w:trPr>
        <w:tc>
          <w:tcPr>
            <w:tcW w:w="372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Option pricing model</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Term to expiration (Years)</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0.42 - 6.36 (2.83)</w:t>
            </w:r>
          </w:p>
        </w:tc>
        <w:tc>
          <w:tcPr>
            <w:tcW w:w="0" w:type="dxa"/>
            <w:vAlign w:val="bottom"/>
          </w:tcPr>
          <w:p>
            <w:pPr>
              <w:spacing w:after="0"/>
              <w:rPr>
                <w:sz w:val="1"/>
                <w:szCs w:val="1"/>
                <w:color w:val="auto"/>
              </w:rPr>
            </w:pPr>
          </w:p>
        </w:tc>
      </w:tr>
      <w:tr>
        <w:trPr>
          <w:trHeight w:val="90"/>
        </w:trPr>
        <w:tc>
          <w:tcPr>
            <w:tcW w:w="3720" w:type="dxa"/>
            <w:vAlign w:val="bottom"/>
            <w:tcBorders>
              <w:left w:val="single" w:sz="8" w:color="auto"/>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37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Options</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$4,671,293</w:t>
            </w:r>
          </w:p>
        </w:tc>
        <w:tc>
          <w:tcPr>
            <w:tcW w:w="188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Volatility</w:t>
            </w:r>
          </w:p>
        </w:tc>
        <w:tc>
          <w:tcPr>
            <w:tcW w:w="18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rPr>
              <w:t>38% - 69% (38%)</w:t>
            </w:r>
          </w:p>
        </w:tc>
        <w:tc>
          <w:tcPr>
            <w:tcW w:w="0" w:type="dxa"/>
            <w:vAlign w:val="bottom"/>
          </w:tcPr>
          <w:p>
            <w:pPr>
              <w:spacing w:after="0"/>
              <w:rPr>
                <w:sz w:val="1"/>
                <w:szCs w:val="1"/>
                <w:color w:val="auto"/>
              </w:rPr>
            </w:pPr>
          </w:p>
        </w:tc>
      </w:tr>
      <w:tr>
        <w:trPr>
          <w:trHeight w:val="213"/>
        </w:trPr>
        <w:tc>
          <w:tcPr>
            <w:tcW w:w="3720" w:type="dxa"/>
            <w:vAlign w:val="bottom"/>
            <w:tcBorders>
              <w:left w:val="single" w:sz="8" w:color="auto"/>
              <w:right w:val="single" w:sz="8" w:color="auto"/>
            </w:tcBorders>
            <w:vMerge w:val="continue"/>
          </w:tcPr>
          <w:p>
            <w:pPr>
              <w:spacing w:after="0"/>
              <w:rPr>
                <w:sz w:val="18"/>
                <w:szCs w:val="18"/>
                <w:color w:val="auto"/>
              </w:rPr>
            </w:pPr>
          </w:p>
        </w:tc>
        <w:tc>
          <w:tcPr>
            <w:tcW w:w="1880" w:type="dxa"/>
            <w:vAlign w:val="bottom"/>
            <w:tcBorders>
              <w:right w:val="single" w:sz="8" w:color="auto"/>
            </w:tcBorders>
            <w:vMerge w:val="continue"/>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vMerge w:val="continue"/>
          </w:tcPr>
          <w:p>
            <w:pPr>
              <w:spacing w:after="0"/>
              <w:rPr>
                <w:sz w:val="18"/>
                <w:szCs w:val="18"/>
                <w:color w:val="auto"/>
              </w:rPr>
            </w:pPr>
          </w:p>
        </w:tc>
        <w:tc>
          <w:tcPr>
            <w:tcW w:w="188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3720" w:type="dxa"/>
            <w:vAlign w:val="bottom"/>
            <w:tcBorders>
              <w:left w:val="single" w:sz="8" w:color="auto"/>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Discounted cash flow</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 Rate</w:t>
            </w:r>
          </w:p>
        </w:tc>
        <w:tc>
          <w:tcPr>
            <w:tcW w:w="1460" w:type="dxa"/>
            <w:vAlign w:val="bottom"/>
          </w:tcPr>
          <w:p>
            <w:pPr>
              <w:jc w:val="center"/>
              <w:ind w:left="316"/>
              <w:spacing w:after="0"/>
              <w:rPr>
                <w:sz w:val="20"/>
                <w:szCs w:val="20"/>
                <w:color w:val="auto"/>
              </w:rPr>
            </w:pPr>
            <w:r>
              <w:rPr>
                <w:rFonts w:ascii="Times New Roman" w:cs="Times New Roman" w:eastAsia="Times New Roman" w:hAnsi="Times New Roman"/>
                <w:sz w:val="17"/>
                <w:szCs w:val="17"/>
                <w:color w:val="auto"/>
              </w:rPr>
              <w:t>15.0% (15.0%)</w:t>
            </w: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72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119" w:lineRule="exact"/>
        <w:rPr>
          <w:sz w:val="20"/>
          <w:szCs w:val="20"/>
          <w:color w:val="auto"/>
        </w:rPr>
      </w:pPr>
    </w:p>
    <w:p>
      <w:pPr>
        <w:ind w:left="620" w:right="20" w:hanging="617"/>
        <w:spacing w:after="0" w:line="247" w:lineRule="auto"/>
        <w:tabs>
          <w:tab w:leader="none" w:pos="34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2022, the Company used a hybrid market and income approach to value certain common and preferred stock investments as the Company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2" w:lineRule="exact"/>
        <w:rPr>
          <w:rFonts w:ascii="Times New Roman" w:cs="Times New Roman" w:eastAsia="Times New Roman" w:hAnsi="Times New Roman"/>
          <w:sz w:val="16"/>
          <w:szCs w:val="16"/>
          <w:color w:val="auto"/>
        </w:rPr>
      </w:pPr>
    </w:p>
    <w:p>
      <w:pPr>
        <w:ind w:left="620" w:right="20" w:hanging="617"/>
        <w:spacing w:after="0" w:line="243" w:lineRule="auto"/>
        <w:tabs>
          <w:tab w:leader="none" w:pos="43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60"/>
          </w:cols>
          <w:pgMar w:left="320" w:top="118"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72" w:lineRule="exact"/>
        <w:rPr>
          <w:sz w:val="20"/>
          <w:szCs w:val="20"/>
          <w:color w:val="auto"/>
        </w:rPr>
      </w:pPr>
    </w:p>
    <w:p>
      <w:pPr>
        <w:jc w:val="both"/>
        <w:ind w:left="620" w:right="20"/>
        <w:spacing w:after="0" w:line="285" w:lineRule="auto"/>
        <w:rPr>
          <w:sz w:val="20"/>
          <w:szCs w:val="20"/>
          <w:color w:val="auto"/>
        </w:rPr>
      </w:pPr>
      <w:r>
        <w:rPr>
          <w:rFonts w:ascii="Times New Roman" w:cs="Times New Roman" w:eastAsia="Times New Roman" w:hAnsi="Times New Roman"/>
          <w:sz w:val="14"/>
          <w:szCs w:val="14"/>
          <w:color w:val="auto"/>
        </w:rPr>
        <w:t>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4"/>
          <w:szCs w:val="14"/>
          <w:i w:val="1"/>
          <w:iCs w:val="1"/>
          <w:color w:val="auto"/>
        </w:rPr>
        <w:t>Investments at Fair Value</w:t>
      </w:r>
      <w:r>
        <w:rPr>
          <w:rFonts w:ascii="Times New Roman" w:cs="Times New Roman" w:eastAsia="Times New Roman" w:hAnsi="Times New Roman"/>
          <w:sz w:val="14"/>
          <w:szCs w:val="14"/>
          <w:color w:val="auto"/>
        </w:rPr>
        <w:t>” for more detail.</w:t>
      </w:r>
    </w:p>
    <w:p>
      <w:pPr>
        <w:spacing w:after="0" w:line="1" w:lineRule="exact"/>
        <w:rPr>
          <w:sz w:val="20"/>
          <w:szCs w:val="20"/>
          <w:color w:val="auto"/>
        </w:rPr>
      </w:pPr>
    </w:p>
    <w:p>
      <w:pPr>
        <w:ind w:left="340" w:hanging="337"/>
        <w:spacing w:after="0"/>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averages are calculated based on the fair market value of each investment.</w:t>
      </w:r>
    </w:p>
    <w:p>
      <w:pPr>
        <w:ind w:left="340" w:hanging="337"/>
        <w:spacing w:after="0"/>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Funds From Operations, or "AFFO"</w:t>
      </w:r>
    </w:p>
    <w:p>
      <w:pPr>
        <w:spacing w:after="0" w:line="6" w:lineRule="exact"/>
        <w:rPr>
          <w:rFonts w:ascii="Times New Roman" w:cs="Times New Roman" w:eastAsia="Times New Roman" w:hAnsi="Times New Roman"/>
          <w:sz w:val="16"/>
          <w:szCs w:val="16"/>
          <w:color w:val="auto"/>
        </w:rPr>
      </w:pPr>
    </w:p>
    <w:p>
      <w:pPr>
        <w:ind w:left="340" w:hanging="337"/>
        <w:spacing w:after="0" w:line="236"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Probability-Weighted Expected Return Method, or "PWERM"</w:t>
      </w:r>
    </w:p>
    <w:p>
      <w:pPr>
        <w:ind w:left="340" w:hanging="337"/>
        <w:spacing w:after="0"/>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Discount for Lack of Marketability, or "DLOM"</w:t>
      </w: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As of December 31, 2021</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37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880" w:type="dxa"/>
            <w:vAlign w:val="bottom"/>
            <w:tcBorders>
              <w:top w:val="single" w:sz="8" w:color="auto"/>
              <w:right w:val="single" w:sz="8" w:color="auto"/>
            </w:tcBorders>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80" w:type="dxa"/>
            <w:vAlign w:val="bottom"/>
            <w:tcBorders>
              <w:top w:val="single" w:sz="8" w:color="auto"/>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Valuation</w:t>
            </w:r>
          </w:p>
        </w:tc>
        <w:tc>
          <w:tcPr>
            <w:tcW w:w="19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Unobservable Inputs</w:t>
            </w:r>
            <w:r>
              <w:rPr>
                <w:rFonts w:ascii="Times New Roman" w:cs="Times New Roman" w:eastAsia="Times New Roman" w:hAnsi="Times New Roman"/>
                <w:sz w:val="17"/>
                <w:szCs w:val="17"/>
                <w:b w:val="1"/>
                <w:bCs w:val="1"/>
                <w:color w:val="auto"/>
                <w:w w:val="95"/>
                <w:vertAlign w:val="superscript"/>
              </w:rPr>
              <w:t>(2)</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Range</w:t>
            </w:r>
          </w:p>
        </w:tc>
        <w:tc>
          <w:tcPr>
            <w:tcW w:w="7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720" w:type="dxa"/>
            <w:vAlign w:val="bottom"/>
            <w:tcBorders>
              <w:left w:val="single" w:sz="8" w:color="auto"/>
              <w:right w:val="single" w:sz="8" w:color="auto"/>
            </w:tcBorders>
            <w:vMerge w:val="continue"/>
          </w:tcPr>
          <w:p>
            <w:pPr>
              <w:spacing w:after="0"/>
              <w:rPr>
                <w:sz w:val="11"/>
                <w:szCs w:val="11"/>
                <w:color w:val="auto"/>
              </w:rPr>
            </w:pPr>
          </w:p>
        </w:tc>
        <w:tc>
          <w:tcPr>
            <w:tcW w:w="1880" w:type="dxa"/>
            <w:vAlign w:val="bottom"/>
            <w:tcBorders>
              <w:right w:val="single" w:sz="8" w:color="auto"/>
            </w:tcBorders>
            <w:vMerge w:val="continue"/>
          </w:tcPr>
          <w:p>
            <w:pPr>
              <w:spacing w:after="0"/>
              <w:rPr>
                <w:sz w:val="11"/>
                <w:szCs w:val="11"/>
                <w:color w:val="auto"/>
              </w:rPr>
            </w:pPr>
          </w:p>
        </w:tc>
        <w:tc>
          <w:tcPr>
            <w:tcW w:w="188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Approach/</w:t>
            </w:r>
          </w:p>
        </w:tc>
        <w:tc>
          <w:tcPr>
            <w:tcW w:w="1900" w:type="dxa"/>
            <w:vAlign w:val="bottom"/>
            <w:tcBorders>
              <w:right w:val="single" w:sz="8" w:color="auto"/>
            </w:tcBorders>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207"/>
        </w:trPr>
        <w:tc>
          <w:tcPr>
            <w:tcW w:w="3720" w:type="dxa"/>
            <w:vAlign w:val="bottom"/>
            <w:tcBorders>
              <w:left w:val="single" w:sz="8" w:color="auto"/>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Technique</w:t>
            </w:r>
            <w:r>
              <w:rPr>
                <w:rFonts w:ascii="Times New Roman" w:cs="Times New Roman" w:eastAsia="Times New Roman" w:hAnsi="Times New Roman"/>
                <w:sz w:val="17"/>
                <w:szCs w:val="17"/>
                <w:b w:val="1"/>
                <w:bCs w:val="1"/>
                <w:color w:val="auto"/>
                <w:w w:val="91"/>
                <w:vertAlign w:val="superscript"/>
              </w:rPr>
              <w:t>(1)</w:t>
            </w:r>
          </w:p>
        </w:tc>
        <w:tc>
          <w:tcPr>
            <w:tcW w:w="190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91"/>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Market approach</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Revenue multiples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1.80x - 9.62x</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(6.00x)</w:t>
            </w:r>
          </w:p>
        </w:tc>
        <w:tc>
          <w:tcPr>
            <w:tcW w:w="0" w:type="dxa"/>
            <w:vAlign w:val="bottom"/>
          </w:tcPr>
          <w:p>
            <w:pPr>
              <w:spacing w:after="0"/>
              <w:rPr>
                <w:sz w:val="1"/>
                <w:szCs w:val="1"/>
                <w:color w:val="auto"/>
              </w:rPr>
            </w:pPr>
          </w:p>
        </w:tc>
      </w:tr>
      <w:tr>
        <w:trPr>
          <w:trHeight w:val="90"/>
        </w:trPr>
        <w:tc>
          <w:tcPr>
            <w:tcW w:w="3720" w:type="dxa"/>
            <w:vAlign w:val="bottom"/>
            <w:tcBorders>
              <w:left w:val="single" w:sz="8" w:color="auto"/>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3720" w:type="dxa"/>
            <w:vAlign w:val="bottom"/>
            <w:tcBorders>
              <w:left w:val="single" w:sz="8" w:color="auto"/>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Discounted cash flow</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 rate</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15.0% (15.0%)</w:t>
            </w:r>
          </w:p>
        </w:tc>
        <w:tc>
          <w:tcPr>
            <w:tcW w:w="0" w:type="dxa"/>
            <w:vAlign w:val="bottom"/>
          </w:tcPr>
          <w:p>
            <w:pPr>
              <w:spacing w:after="0"/>
              <w:rPr>
                <w:sz w:val="1"/>
                <w:szCs w:val="1"/>
                <w:color w:val="auto"/>
              </w:rPr>
            </w:pPr>
          </w:p>
        </w:tc>
      </w:tr>
      <w:tr>
        <w:trPr>
          <w:trHeight w:val="64"/>
        </w:trPr>
        <w:tc>
          <w:tcPr>
            <w:tcW w:w="372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3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in private companies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$42,860,156</w:t>
            </w: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DLOM</w:t>
            </w:r>
            <w:r>
              <w:rPr>
                <w:rFonts w:ascii="Times New Roman" w:cs="Times New Roman" w:eastAsia="Times New Roman" w:hAnsi="Times New Roman"/>
                <w:sz w:val="22"/>
                <w:szCs w:val="22"/>
                <w:color w:val="auto"/>
                <w:w w:val="95"/>
                <w:vertAlign w:val="superscript"/>
              </w:rPr>
              <w:t>(6)</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10.0% (10.0%)</w:t>
            </w:r>
          </w:p>
        </w:tc>
        <w:tc>
          <w:tcPr>
            <w:tcW w:w="0" w:type="dxa"/>
            <w:vAlign w:val="bottom"/>
          </w:tcPr>
          <w:p>
            <w:pPr>
              <w:spacing w:after="0"/>
              <w:rPr>
                <w:sz w:val="1"/>
                <w:szCs w:val="1"/>
                <w:color w:val="auto"/>
              </w:rPr>
            </w:pPr>
          </w:p>
        </w:tc>
      </w:tr>
      <w:tr>
        <w:trPr>
          <w:trHeight w:val="23"/>
        </w:trPr>
        <w:tc>
          <w:tcPr>
            <w:tcW w:w="3720" w:type="dxa"/>
            <w:vAlign w:val="bottom"/>
            <w:tcBorders>
              <w:left w:val="single" w:sz="8" w:color="auto"/>
              <w:right w:val="single" w:sz="8" w:color="auto"/>
            </w:tcBorders>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PWERM</w:t>
            </w:r>
            <w:r>
              <w:rPr>
                <w:rFonts w:ascii="Times New Roman" w:cs="Times New Roman" w:eastAsia="Times New Roman" w:hAnsi="Times New Roman"/>
                <w:sz w:val="22"/>
                <w:szCs w:val="22"/>
                <w:color w:val="auto"/>
                <w:w w:val="98"/>
                <w:vertAlign w:val="superscript"/>
              </w:rPr>
              <w:t>(5)</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AFFO</w:t>
            </w:r>
            <w:r>
              <w:rPr>
                <w:rFonts w:ascii="Times New Roman" w:cs="Times New Roman" w:eastAsia="Times New Roman" w:hAnsi="Times New Roman"/>
                <w:sz w:val="22"/>
                <w:szCs w:val="22"/>
                <w:color w:val="auto"/>
                <w:w w:val="98"/>
                <w:vertAlign w:val="superscript"/>
              </w:rPr>
              <w:t>(4)</w:t>
            </w:r>
            <w:r>
              <w:rPr>
                <w:rFonts w:ascii="Times New Roman" w:cs="Times New Roman" w:eastAsia="Times New Roman" w:hAnsi="Times New Roman"/>
                <w:sz w:val="17"/>
                <w:szCs w:val="17"/>
                <w:color w:val="auto"/>
                <w:w w:val="98"/>
              </w:rPr>
              <w:t xml:space="preserve"> multiple</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23.03 - 36.28x</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(23.03x)</w:t>
            </w:r>
          </w:p>
        </w:tc>
        <w:tc>
          <w:tcPr>
            <w:tcW w:w="0" w:type="dxa"/>
            <w:vAlign w:val="bottom"/>
          </w:tcPr>
          <w:p>
            <w:pPr>
              <w:spacing w:after="0"/>
              <w:rPr>
                <w:sz w:val="1"/>
                <w:szCs w:val="1"/>
                <w:color w:val="auto"/>
              </w:rPr>
            </w:pPr>
          </w:p>
        </w:tc>
      </w:tr>
      <w:tr>
        <w:trPr>
          <w:trHeight w:val="23"/>
        </w:trPr>
        <w:tc>
          <w:tcPr>
            <w:tcW w:w="3720" w:type="dxa"/>
            <w:vAlign w:val="bottom"/>
            <w:tcBorders>
              <w:left w:val="single" w:sz="8" w:color="auto"/>
              <w:right w:val="single" w:sz="8" w:color="auto"/>
            </w:tcBorders>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Financing Risk</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10.0% (10.0%)</w:t>
            </w:r>
          </w:p>
        </w:tc>
        <w:tc>
          <w:tcPr>
            <w:tcW w:w="0" w:type="dxa"/>
            <w:vAlign w:val="bottom"/>
          </w:tcPr>
          <w:p>
            <w:pPr>
              <w:spacing w:after="0"/>
              <w:rPr>
                <w:sz w:val="1"/>
                <w:szCs w:val="1"/>
                <w:color w:val="auto"/>
              </w:rPr>
            </w:pPr>
          </w:p>
        </w:tc>
      </w:tr>
      <w:tr>
        <w:trPr>
          <w:trHeight w:val="90"/>
        </w:trPr>
        <w:tc>
          <w:tcPr>
            <w:tcW w:w="372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3720" w:type="dxa"/>
            <w:vAlign w:val="bottom"/>
            <w:tcBorders>
              <w:left w:val="single" w:sz="8" w:color="auto"/>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Market approach</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Revenue multiples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0.53x - 9.62x</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(6.63x)</w:t>
            </w:r>
          </w:p>
        </w:tc>
        <w:tc>
          <w:tcPr>
            <w:tcW w:w="0" w:type="dxa"/>
            <w:vAlign w:val="bottom"/>
          </w:tcPr>
          <w:p>
            <w:pPr>
              <w:spacing w:after="0"/>
              <w:rPr>
                <w:sz w:val="1"/>
                <w:szCs w:val="1"/>
                <w:color w:val="auto"/>
              </w:rPr>
            </w:pPr>
          </w:p>
        </w:tc>
      </w:tr>
      <w:tr>
        <w:trPr>
          <w:trHeight w:val="64"/>
        </w:trPr>
        <w:tc>
          <w:tcPr>
            <w:tcW w:w="372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3720" w:type="dxa"/>
            <w:vAlign w:val="bottom"/>
            <w:tcBorders>
              <w:left w:val="single" w:sz="8" w:color="auto"/>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Discounted cash flow</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 rate</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15.0% (15.0%)</w:t>
            </w:r>
          </w:p>
        </w:tc>
        <w:tc>
          <w:tcPr>
            <w:tcW w:w="0" w:type="dxa"/>
            <w:vAlign w:val="bottom"/>
          </w:tcPr>
          <w:p>
            <w:pPr>
              <w:spacing w:after="0"/>
              <w:rPr>
                <w:sz w:val="1"/>
                <w:szCs w:val="1"/>
                <w:color w:val="auto"/>
              </w:rPr>
            </w:pPr>
          </w:p>
        </w:tc>
      </w:tr>
      <w:tr>
        <w:trPr>
          <w:trHeight w:val="64"/>
        </w:trPr>
        <w:tc>
          <w:tcPr>
            <w:tcW w:w="372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2"/>
        </w:trPr>
        <w:tc>
          <w:tcPr>
            <w:tcW w:w="3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Preferred stock in private companies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$163,801,798</w:t>
            </w: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Revenue multiples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1.05x - 9.62x</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(3.04x)</w:t>
            </w:r>
          </w:p>
        </w:tc>
        <w:tc>
          <w:tcPr>
            <w:tcW w:w="0" w:type="dxa"/>
            <w:vAlign w:val="bottom"/>
          </w:tcPr>
          <w:p>
            <w:pPr>
              <w:spacing w:after="0"/>
              <w:rPr>
                <w:sz w:val="1"/>
                <w:szCs w:val="1"/>
                <w:color w:val="auto"/>
              </w:rPr>
            </w:pPr>
          </w:p>
        </w:tc>
      </w:tr>
      <w:tr>
        <w:trPr>
          <w:trHeight w:val="39"/>
        </w:trPr>
        <w:tc>
          <w:tcPr>
            <w:tcW w:w="3720" w:type="dxa"/>
            <w:vAlign w:val="bottom"/>
            <w:tcBorders>
              <w:left w:val="single" w:sz="8" w:color="auto"/>
              <w:right w:val="single" w:sz="8" w:color="auto"/>
            </w:tcBorders>
          </w:tcPr>
          <w:p>
            <w:pPr>
              <w:spacing w:after="0"/>
              <w:rPr>
                <w:sz w:val="3"/>
                <w:szCs w:val="3"/>
                <w:color w:val="auto"/>
              </w:rPr>
            </w:pPr>
          </w:p>
        </w:tc>
        <w:tc>
          <w:tcPr>
            <w:tcW w:w="1880" w:type="dxa"/>
            <w:vAlign w:val="bottom"/>
            <w:tcBorders>
              <w:right w:val="single" w:sz="8" w:color="auto"/>
            </w:tcBorders>
          </w:tcPr>
          <w:p>
            <w:pPr>
              <w:spacing w:after="0"/>
              <w:rPr>
                <w:sz w:val="3"/>
                <w:szCs w:val="3"/>
                <w:color w:val="auto"/>
              </w:rPr>
            </w:pPr>
          </w:p>
        </w:tc>
        <w:tc>
          <w:tcPr>
            <w:tcW w:w="1880" w:type="dxa"/>
            <w:vAlign w:val="bottom"/>
            <w:tcBorders>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PWERM</w:t>
            </w:r>
            <w:r>
              <w:rPr>
                <w:rFonts w:ascii="Times New Roman" w:cs="Times New Roman" w:eastAsia="Times New Roman" w:hAnsi="Times New Roman"/>
                <w:sz w:val="22"/>
                <w:szCs w:val="22"/>
                <w:color w:val="auto"/>
                <w:w w:val="98"/>
                <w:vertAlign w:val="superscript"/>
              </w:rPr>
              <w:t>(5)</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DLOM</w:t>
            </w:r>
            <w:r>
              <w:rPr>
                <w:rFonts w:ascii="Times New Roman" w:cs="Times New Roman" w:eastAsia="Times New Roman" w:hAnsi="Times New Roman"/>
                <w:sz w:val="22"/>
                <w:szCs w:val="22"/>
                <w:color w:val="auto"/>
                <w:w w:val="95"/>
                <w:vertAlign w:val="superscript"/>
              </w:rPr>
              <w:t>(6)</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10.0% (10.0%)</w:t>
            </w:r>
          </w:p>
        </w:tc>
        <w:tc>
          <w:tcPr>
            <w:tcW w:w="0" w:type="dxa"/>
            <w:vAlign w:val="bottom"/>
          </w:tcPr>
          <w:p>
            <w:pPr>
              <w:spacing w:after="0"/>
              <w:rPr>
                <w:sz w:val="1"/>
                <w:szCs w:val="1"/>
                <w:color w:val="auto"/>
              </w:rPr>
            </w:pPr>
          </w:p>
        </w:tc>
      </w:tr>
      <w:tr>
        <w:trPr>
          <w:trHeight w:val="23"/>
        </w:trPr>
        <w:tc>
          <w:tcPr>
            <w:tcW w:w="3720" w:type="dxa"/>
            <w:vAlign w:val="bottom"/>
            <w:tcBorders>
              <w:left w:val="single" w:sz="8" w:color="auto"/>
              <w:right w:val="single" w:sz="8" w:color="auto"/>
            </w:tcBorders>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Financing Risk</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10.0% (10.0%)</w:t>
            </w:r>
          </w:p>
        </w:tc>
        <w:tc>
          <w:tcPr>
            <w:tcW w:w="0" w:type="dxa"/>
            <w:vAlign w:val="bottom"/>
          </w:tcPr>
          <w:p>
            <w:pPr>
              <w:spacing w:after="0"/>
              <w:rPr>
                <w:sz w:val="1"/>
                <w:szCs w:val="1"/>
                <w:color w:val="auto"/>
              </w:rPr>
            </w:pPr>
          </w:p>
        </w:tc>
      </w:tr>
      <w:tr>
        <w:trPr>
          <w:trHeight w:val="90"/>
        </w:trPr>
        <w:tc>
          <w:tcPr>
            <w:tcW w:w="372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Debt investments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$3,011,438</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Market approach</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Revenue multiples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1.74x - 2.91x</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(1.95x)</w:t>
            </w:r>
          </w:p>
        </w:tc>
        <w:tc>
          <w:tcPr>
            <w:tcW w:w="0" w:type="dxa"/>
            <w:vAlign w:val="bottom"/>
          </w:tcPr>
          <w:p>
            <w:pPr>
              <w:spacing w:after="0"/>
              <w:rPr>
                <w:sz w:val="1"/>
                <w:szCs w:val="1"/>
                <w:color w:val="auto"/>
              </w:rPr>
            </w:pPr>
          </w:p>
        </w:tc>
      </w:tr>
      <w:tr>
        <w:trPr>
          <w:trHeight w:val="90"/>
        </w:trPr>
        <w:tc>
          <w:tcPr>
            <w:tcW w:w="372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Option pricing model</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Term to expiration (Years)</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0.17 - 6.61 (3.08)</w:t>
            </w:r>
          </w:p>
        </w:tc>
        <w:tc>
          <w:tcPr>
            <w:tcW w:w="0" w:type="dxa"/>
            <w:vAlign w:val="bottom"/>
          </w:tcPr>
          <w:p>
            <w:pPr>
              <w:spacing w:after="0"/>
              <w:rPr>
                <w:sz w:val="1"/>
                <w:szCs w:val="1"/>
                <w:color w:val="auto"/>
              </w:rPr>
            </w:pPr>
          </w:p>
        </w:tc>
      </w:tr>
      <w:tr>
        <w:trPr>
          <w:trHeight w:val="90"/>
        </w:trPr>
        <w:tc>
          <w:tcPr>
            <w:tcW w:w="3720" w:type="dxa"/>
            <w:vAlign w:val="bottom"/>
            <w:tcBorders>
              <w:left w:val="single" w:sz="8" w:color="auto"/>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37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Options</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$4,959,112</w:t>
            </w:r>
          </w:p>
        </w:tc>
        <w:tc>
          <w:tcPr>
            <w:tcW w:w="188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Volatility</w:t>
            </w:r>
          </w:p>
        </w:tc>
        <w:tc>
          <w:tcPr>
            <w:tcW w:w="18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rPr>
              <w:t>37.7% - 56.5% (37.7%)</w:t>
            </w:r>
          </w:p>
        </w:tc>
        <w:tc>
          <w:tcPr>
            <w:tcW w:w="0" w:type="dxa"/>
            <w:vAlign w:val="bottom"/>
          </w:tcPr>
          <w:p>
            <w:pPr>
              <w:spacing w:after="0"/>
              <w:rPr>
                <w:sz w:val="1"/>
                <w:szCs w:val="1"/>
                <w:color w:val="auto"/>
              </w:rPr>
            </w:pPr>
          </w:p>
        </w:tc>
      </w:tr>
      <w:tr>
        <w:trPr>
          <w:trHeight w:val="213"/>
        </w:trPr>
        <w:tc>
          <w:tcPr>
            <w:tcW w:w="3720" w:type="dxa"/>
            <w:vAlign w:val="bottom"/>
            <w:tcBorders>
              <w:left w:val="single" w:sz="8" w:color="auto"/>
              <w:right w:val="single" w:sz="8" w:color="auto"/>
            </w:tcBorders>
            <w:vMerge w:val="continue"/>
          </w:tcPr>
          <w:p>
            <w:pPr>
              <w:spacing w:after="0"/>
              <w:rPr>
                <w:sz w:val="18"/>
                <w:szCs w:val="18"/>
                <w:color w:val="auto"/>
              </w:rPr>
            </w:pPr>
          </w:p>
        </w:tc>
        <w:tc>
          <w:tcPr>
            <w:tcW w:w="1880" w:type="dxa"/>
            <w:vAlign w:val="bottom"/>
            <w:tcBorders>
              <w:right w:val="single" w:sz="8" w:color="auto"/>
            </w:tcBorders>
            <w:vMerge w:val="continue"/>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vMerge w:val="continue"/>
          </w:tcPr>
          <w:p>
            <w:pPr>
              <w:spacing w:after="0"/>
              <w:rPr>
                <w:sz w:val="18"/>
                <w:szCs w:val="18"/>
                <w:color w:val="auto"/>
              </w:rPr>
            </w:pPr>
          </w:p>
        </w:tc>
        <w:tc>
          <w:tcPr>
            <w:tcW w:w="188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3720" w:type="dxa"/>
            <w:vAlign w:val="bottom"/>
            <w:tcBorders>
              <w:left w:val="single" w:sz="8" w:color="auto"/>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72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Discounted cash flow</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Discount Rate</w:t>
            </w:r>
          </w:p>
        </w:tc>
        <w:tc>
          <w:tcPr>
            <w:tcW w:w="18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15.0% (15.0%)</w:t>
            </w:r>
          </w:p>
        </w:tc>
        <w:tc>
          <w:tcPr>
            <w:tcW w:w="0" w:type="dxa"/>
            <w:vAlign w:val="bottom"/>
          </w:tcPr>
          <w:p>
            <w:pPr>
              <w:spacing w:after="0"/>
              <w:rPr>
                <w:sz w:val="1"/>
                <w:szCs w:val="1"/>
                <w:color w:val="auto"/>
              </w:rPr>
            </w:pPr>
          </w:p>
        </w:tc>
      </w:tr>
      <w:tr>
        <w:trPr>
          <w:trHeight w:val="90"/>
        </w:trPr>
        <w:tc>
          <w:tcPr>
            <w:tcW w:w="372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119" w:lineRule="exact"/>
        <w:rPr>
          <w:sz w:val="20"/>
          <w:szCs w:val="20"/>
          <w:color w:val="auto"/>
        </w:rPr>
      </w:pPr>
    </w:p>
    <w:p>
      <w:pPr>
        <w:ind w:left="620" w:right="20" w:hanging="617"/>
        <w:spacing w:after="0" w:line="247" w:lineRule="auto"/>
        <w:tabs>
          <w:tab w:leader="none" w:pos="39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the Company used a hybrid market and income approach to value certain common and preferred stock investments as the Company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2" w:lineRule="exact"/>
        <w:rPr>
          <w:rFonts w:ascii="Times New Roman" w:cs="Times New Roman" w:eastAsia="Times New Roman" w:hAnsi="Times New Roman"/>
          <w:sz w:val="16"/>
          <w:szCs w:val="16"/>
          <w:color w:val="auto"/>
        </w:rPr>
      </w:pPr>
    </w:p>
    <w:p>
      <w:pPr>
        <w:ind w:left="620" w:right="20" w:hanging="617"/>
        <w:spacing w:after="0" w:line="243" w:lineRule="auto"/>
        <w:tabs>
          <w:tab w:leader="none" w:pos="43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w:t>
      </w: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60"/>
          </w:cols>
          <w:pgMar w:left="320" w:top="118"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72" w:lineRule="exact"/>
        <w:rPr>
          <w:sz w:val="20"/>
          <w:szCs w:val="20"/>
          <w:color w:val="auto"/>
        </w:rPr>
      </w:pPr>
    </w:p>
    <w:p>
      <w:pPr>
        <w:jc w:val="both"/>
        <w:ind w:left="620"/>
        <w:spacing w:after="0" w:line="285" w:lineRule="auto"/>
        <w:rPr>
          <w:sz w:val="20"/>
          <w:szCs w:val="20"/>
          <w:color w:val="auto"/>
        </w:rPr>
      </w:pPr>
      <w:r>
        <w:rPr>
          <w:rFonts w:ascii="Times New Roman" w:cs="Times New Roman" w:eastAsia="Times New Roman" w:hAnsi="Times New Roman"/>
          <w:sz w:val="14"/>
          <w:szCs w:val="14"/>
          <w:color w:val="auto"/>
        </w:rPr>
        <w:t>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4"/>
          <w:szCs w:val="14"/>
          <w:i w:val="1"/>
          <w:iCs w:val="1"/>
          <w:color w:val="auto"/>
        </w:rPr>
        <w:t>Investments at Fair Value</w:t>
      </w:r>
      <w:r>
        <w:rPr>
          <w:rFonts w:ascii="Times New Roman" w:cs="Times New Roman" w:eastAsia="Times New Roman" w:hAnsi="Times New Roman"/>
          <w:sz w:val="14"/>
          <w:szCs w:val="14"/>
          <w:color w:val="auto"/>
        </w:rPr>
        <w:t>” for more detail.</w:t>
      </w:r>
    </w:p>
    <w:p>
      <w:pPr>
        <w:spacing w:after="0" w:line="1" w:lineRule="exact"/>
        <w:rPr>
          <w:sz w:val="20"/>
          <w:szCs w:val="20"/>
          <w:color w:val="auto"/>
        </w:rPr>
      </w:pPr>
    </w:p>
    <w:p>
      <w:pPr>
        <w:ind w:left="340" w:hanging="337"/>
        <w:spacing w:after="0"/>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averages are calculated based on the fair market value of each investment.</w:t>
      </w:r>
    </w:p>
    <w:p>
      <w:pPr>
        <w:ind w:left="340" w:hanging="337"/>
        <w:spacing w:after="0"/>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Funds From Operations, or "AFFO"</w:t>
      </w:r>
    </w:p>
    <w:p>
      <w:pPr>
        <w:spacing w:after="0" w:line="6" w:lineRule="exact"/>
        <w:rPr>
          <w:rFonts w:ascii="Times New Roman" w:cs="Times New Roman" w:eastAsia="Times New Roman" w:hAnsi="Times New Roman"/>
          <w:sz w:val="16"/>
          <w:szCs w:val="16"/>
          <w:color w:val="auto"/>
        </w:rPr>
      </w:pPr>
    </w:p>
    <w:p>
      <w:pPr>
        <w:ind w:left="340" w:hanging="337"/>
        <w:spacing w:after="0" w:line="236"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Probability-Weighted Expected Return Method, or "PWERM"</w:t>
      </w:r>
    </w:p>
    <w:p>
      <w:pPr>
        <w:ind w:left="340" w:hanging="337"/>
        <w:spacing w:after="0"/>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Discount for Lack of Marketability, or "DLOM"</w:t>
      </w:r>
    </w:p>
    <w:p>
      <w:pPr>
        <w:spacing w:after="0" w:line="91" w:lineRule="exact"/>
        <w:rPr>
          <w:rFonts w:ascii="Times New Roman" w:cs="Times New Roman" w:eastAsia="Times New Roman" w:hAnsi="Times New Roman"/>
          <w:sz w:val="16"/>
          <w:szCs w:val="16"/>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The aggregate values of Level 3 assets and liabilities changed during the three months ended March 31, 2022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80" w:type="dxa"/>
            <w:vAlign w:val="bottom"/>
            <w:gridSpan w:val="6"/>
          </w:tcPr>
          <w:p>
            <w:pPr>
              <w:jc w:val="center"/>
              <w:ind w:left="705"/>
              <w:spacing w:after="0"/>
              <w:rPr>
                <w:sz w:val="20"/>
                <w:szCs w:val="20"/>
                <w:color w:val="auto"/>
              </w:rPr>
            </w:pPr>
            <w:r>
              <w:rPr>
                <w:rFonts w:ascii="Times New Roman" w:cs="Times New Roman" w:eastAsia="Times New Roman" w:hAnsi="Times New Roman"/>
                <w:sz w:val="14"/>
                <w:szCs w:val="14"/>
                <w:b w:val="1"/>
                <w:bCs w:val="1"/>
                <w:color w:val="auto"/>
                <w:w w:val="98"/>
              </w:rPr>
              <w:t>Three Months Ended March 31, 2022</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3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0"/>
                <w:szCs w:val="10"/>
                <w:color w:val="auto"/>
              </w:rPr>
            </w:pPr>
          </w:p>
        </w:tc>
        <w:tc>
          <w:tcPr>
            <w:tcW w:w="1260" w:type="dxa"/>
            <w:vAlign w:val="bottom"/>
            <w:gridSpan w:val="2"/>
          </w:tcPr>
          <w:p>
            <w:pPr>
              <w:jc w:val="center"/>
              <w:ind w:right="380"/>
              <w:spacing w:after="0" w:line="124"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220" w:type="dxa"/>
            <w:vAlign w:val="bottom"/>
          </w:tcPr>
          <w:p>
            <w:pPr>
              <w:spacing w:after="0"/>
              <w:rPr>
                <w:sz w:val="10"/>
                <w:szCs w:val="10"/>
                <w:color w:val="auto"/>
              </w:rPr>
            </w:pPr>
          </w:p>
        </w:tc>
        <w:tc>
          <w:tcPr>
            <w:tcW w:w="130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400" w:type="dxa"/>
            <w:vAlign w:val="bottom"/>
          </w:tcPr>
          <w:p>
            <w:pPr>
              <w:spacing w:after="0"/>
              <w:rPr>
                <w:sz w:val="10"/>
                <w:szCs w:val="10"/>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40" w:type="dxa"/>
            <w:vAlign w:val="bottom"/>
          </w:tcPr>
          <w:p>
            <w:pPr>
              <w:spacing w:after="0"/>
              <w:rPr>
                <w:sz w:val="10"/>
                <w:szCs w:val="10"/>
                <w:color w:val="auto"/>
              </w:rPr>
            </w:pPr>
          </w:p>
        </w:tc>
        <w:tc>
          <w:tcPr>
            <w:tcW w:w="1100" w:type="dxa"/>
            <w:vAlign w:val="bottom"/>
            <w:vMerge w:val="restart"/>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Investments</w:t>
            </w:r>
          </w:p>
        </w:tc>
        <w:tc>
          <w:tcPr>
            <w:tcW w:w="4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as of December 31, 2021</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42,860,156</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163,801,798</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3,011,438</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4,959,112</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214,632,504</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Transfers out of Level 3</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(6,918,251)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(1,775,506)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(8,742,396)</w:t>
            </w:r>
          </w:p>
        </w:tc>
        <w:tc>
          <w:tcPr>
            <w:tcW w:w="0" w:type="dxa"/>
            <w:vAlign w:val="bottom"/>
          </w:tcPr>
          <w:p>
            <w:pPr>
              <w:spacing w:after="0"/>
              <w:rPr>
                <w:sz w:val="1"/>
                <w:szCs w:val="1"/>
                <w:color w:val="auto"/>
              </w:rPr>
            </w:pPr>
          </w:p>
        </w:tc>
      </w:tr>
      <w:tr>
        <w:trPr>
          <w:trHeight w:val="205"/>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Sales/Maturity of investments</w:t>
            </w:r>
          </w:p>
        </w:tc>
        <w:tc>
          <w:tcPr>
            <w:tcW w:w="2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158"/>
        </w:trPr>
        <w:tc>
          <w:tcPr>
            <w:tcW w:w="37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Net change in unrealized appreciation/(depreciation)</w:t>
            </w: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(6,945,801)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(14,380,599)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(239,180)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(21,565,580)</w:t>
            </w: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included in earnings</w:t>
            </w:r>
          </w:p>
        </w:tc>
        <w:tc>
          <w:tcPr>
            <w:tcW w:w="26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as of March 31, 2022</w:t>
            </w: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28,996,104</w:t>
            </w: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147,645,693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2,761,438</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4,671,293</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184,074,528</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7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color w:val="auto"/>
              </w:rPr>
              <w:t>Net change in unrealized appreciation/ (depreciation) of</w:t>
            </w:r>
          </w:p>
        </w:tc>
        <w:tc>
          <w:tcPr>
            <w:tcW w:w="26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2,566,504</w:t>
            </w:r>
          </w:p>
        </w:tc>
        <w:tc>
          <w:tcPr>
            <w:tcW w:w="10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(11,939,349)</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vMerge w:val="restart"/>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80,655</w:t>
            </w:r>
          </w:p>
        </w:tc>
        <w:tc>
          <w:tcPr>
            <w:tcW w:w="1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(9,292,190)</w:t>
            </w:r>
          </w:p>
        </w:tc>
        <w:tc>
          <w:tcPr>
            <w:tcW w:w="0" w:type="dxa"/>
            <w:vAlign w:val="bottom"/>
          </w:tcPr>
          <w:p>
            <w:pPr>
              <w:spacing w:after="0"/>
              <w:rPr>
                <w:sz w:val="1"/>
                <w:szCs w:val="1"/>
                <w:color w:val="auto"/>
              </w:rPr>
            </w:pPr>
          </w:p>
        </w:tc>
      </w:tr>
      <w:tr>
        <w:trPr>
          <w:trHeight w:val="201"/>
        </w:trPr>
        <w:tc>
          <w:tcPr>
            <w:tcW w:w="37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Level 3 investments still held as of March 31, 2022</w:t>
            </w:r>
          </w:p>
        </w:tc>
        <w:tc>
          <w:tcPr>
            <w:tcW w:w="26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30" w:lineRule="exact"/>
        <w:rPr>
          <w:sz w:val="20"/>
          <w:szCs w:val="20"/>
          <w:color w:val="auto"/>
        </w:rPr>
      </w:pPr>
    </w:p>
    <w:p>
      <w:pPr>
        <w:ind w:left="340" w:hanging="337"/>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March 31, 2022, the Company’s portfolio investments had the following corporate actions which are reflected above: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3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Conversion from</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Conversion to</w:t>
            </w:r>
          </w:p>
        </w:tc>
        <w:tc>
          <w:tcPr>
            <w:tcW w:w="0" w:type="dxa"/>
            <w:vAlign w:val="bottom"/>
          </w:tcPr>
          <w:p>
            <w:pPr>
              <w:spacing w:after="0"/>
              <w:rPr>
                <w:sz w:val="1"/>
                <w:szCs w:val="1"/>
                <w:color w:val="auto"/>
              </w:rPr>
            </w:pPr>
          </w:p>
        </w:tc>
      </w:tr>
      <w:tr>
        <w:trPr>
          <w:trHeight w:val="151"/>
        </w:trPr>
        <w:tc>
          <w:tcPr>
            <w:tcW w:w="3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580" w:type="dxa"/>
            <w:vAlign w:val="bottom"/>
            <w:tcBorders>
              <w:top w:val="single" w:sz="8" w:color="auto"/>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color w:val="auto"/>
                <w:w w:val="96"/>
              </w:rPr>
              <w:t>Common Shares, Class AA</w:t>
            </w:r>
          </w:p>
        </w:tc>
        <w:tc>
          <w:tcPr>
            <w:tcW w:w="100" w:type="dxa"/>
            <w:vAlign w:val="bottom"/>
            <w:tcBorders>
              <w:top w:val="single" w:sz="8" w:color="CCEEFF"/>
            </w:tcBorders>
            <w:shd w:val="clear" w:color="auto" w:fill="CCEEFF"/>
          </w:tcPr>
          <w:p>
            <w:pPr>
              <w:spacing w:after="0"/>
              <w:rPr>
                <w:sz w:val="13"/>
                <w:szCs w:val="13"/>
                <w:color w:val="auto"/>
              </w:rPr>
            </w:pPr>
          </w:p>
        </w:tc>
        <w:tc>
          <w:tcPr>
            <w:tcW w:w="382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Public Common shares (Level 2)</w:t>
            </w:r>
          </w:p>
        </w:tc>
        <w:tc>
          <w:tcPr>
            <w:tcW w:w="0" w:type="dxa"/>
            <w:vAlign w:val="bottom"/>
          </w:tcPr>
          <w:p>
            <w:pPr>
              <w:spacing w:after="0"/>
              <w:rPr>
                <w:sz w:val="1"/>
                <w:szCs w:val="1"/>
                <w:color w:val="auto"/>
              </w:rPr>
            </w:pPr>
          </w:p>
        </w:tc>
      </w:tr>
      <w:tr>
        <w:trPr>
          <w:trHeight w:val="78"/>
        </w:trPr>
        <w:tc>
          <w:tcPr>
            <w:tcW w:w="3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80" w:type="dxa"/>
            <w:vAlign w:val="bottom"/>
            <w:gridSpan w:val="2"/>
            <w:vMerge w:val="restart"/>
            <w:shd w:val="clear" w:color="auto" w:fill="CCEEFF"/>
          </w:tcPr>
          <w:p>
            <w:pPr>
              <w:jc w:val="center"/>
              <w:ind w:right="100"/>
              <w:spacing w:after="0" w:line="155" w:lineRule="exact"/>
              <w:rPr>
                <w:sz w:val="20"/>
                <w:szCs w:val="20"/>
                <w:color w:val="auto"/>
              </w:rPr>
            </w:pPr>
            <w:r>
              <w:rPr>
                <w:rFonts w:ascii="Times New Roman" w:cs="Times New Roman" w:eastAsia="Times New Roman" w:hAnsi="Times New Roman"/>
                <w:sz w:val="16"/>
                <w:szCs w:val="16"/>
                <w:color w:val="auto"/>
                <w:w w:val="97"/>
              </w:rPr>
              <w:t>Junior Preferred Shares</w:t>
            </w:r>
          </w:p>
        </w:tc>
        <w:tc>
          <w:tcPr>
            <w:tcW w:w="3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3120" w:type="dxa"/>
            <w:vAlign w:val="bottom"/>
            <w:gridSpan w:val="2"/>
            <w:vMerge w:val="restart"/>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Forge Global, Inc.</w:t>
            </w:r>
          </w:p>
        </w:tc>
        <w:tc>
          <w:tcPr>
            <w:tcW w:w="3680" w:type="dxa"/>
            <w:vAlign w:val="bottom"/>
            <w:gridSpan w:val="2"/>
            <w:vMerge w:val="continue"/>
            <w:shd w:val="clear" w:color="auto" w:fill="CCEEFF"/>
          </w:tcPr>
          <w:p>
            <w:pPr>
              <w:spacing w:after="0"/>
              <w:rPr>
                <w:sz w:val="6"/>
                <w:szCs w:val="6"/>
                <w:color w:val="auto"/>
              </w:rPr>
            </w:pPr>
          </w:p>
        </w:tc>
        <w:tc>
          <w:tcPr>
            <w:tcW w:w="3820" w:type="dxa"/>
            <w:vAlign w:val="bottom"/>
            <w:vMerge w:val="restart"/>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6"/>
              </w:rPr>
              <w:t>Common warrants, Strike Price $3.98, Expiration Date</w:t>
            </w:r>
          </w:p>
        </w:tc>
        <w:tc>
          <w:tcPr>
            <w:tcW w:w="0" w:type="dxa"/>
            <w:vAlign w:val="bottom"/>
          </w:tcPr>
          <w:p>
            <w:pPr>
              <w:spacing w:after="0"/>
              <w:rPr>
                <w:sz w:val="1"/>
                <w:szCs w:val="1"/>
                <w:color w:val="auto"/>
              </w:rPr>
            </w:pPr>
          </w:p>
        </w:tc>
      </w:tr>
      <w:tr>
        <w:trPr>
          <w:trHeight w:val="78"/>
        </w:trPr>
        <w:tc>
          <w:tcPr>
            <w:tcW w:w="3120" w:type="dxa"/>
            <w:vAlign w:val="bottom"/>
            <w:gridSpan w:val="2"/>
            <w:vMerge w:val="continue"/>
            <w:shd w:val="clear" w:color="auto" w:fill="CCEEFF"/>
          </w:tcPr>
          <w:p>
            <w:pPr>
              <w:spacing w:after="0"/>
              <w:rPr>
                <w:sz w:val="6"/>
                <w:szCs w:val="6"/>
                <w:color w:val="auto"/>
              </w:rPr>
            </w:pPr>
          </w:p>
        </w:tc>
        <w:tc>
          <w:tcPr>
            <w:tcW w:w="3680" w:type="dxa"/>
            <w:vAlign w:val="bottom"/>
            <w:gridSpan w:val="2"/>
            <w:vMerge w:val="restart"/>
            <w:shd w:val="clear" w:color="auto" w:fill="CCEEFF"/>
          </w:tcPr>
          <w:p>
            <w:pPr>
              <w:jc w:val="center"/>
              <w:ind w:right="100"/>
              <w:spacing w:after="0" w:line="155" w:lineRule="exact"/>
              <w:rPr>
                <w:sz w:val="20"/>
                <w:szCs w:val="20"/>
                <w:color w:val="auto"/>
              </w:rPr>
            </w:pPr>
            <w:r>
              <w:rPr>
                <w:rFonts w:ascii="Times New Roman" w:cs="Times New Roman" w:eastAsia="Times New Roman" w:hAnsi="Times New Roman"/>
                <w:sz w:val="16"/>
                <w:szCs w:val="16"/>
                <w:color w:val="auto"/>
                <w:w w:val="96"/>
              </w:rPr>
              <w:t>Junior Preferred Warrants, Strike Price $12.42,</w:t>
            </w:r>
          </w:p>
        </w:tc>
        <w:tc>
          <w:tcPr>
            <w:tcW w:w="3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3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80" w:type="dxa"/>
            <w:vAlign w:val="bottom"/>
            <w:gridSpan w:val="2"/>
            <w:vMerge w:val="continue"/>
            <w:shd w:val="clear" w:color="auto" w:fill="CCEEFF"/>
          </w:tcPr>
          <w:p>
            <w:pPr>
              <w:spacing w:after="0"/>
              <w:rPr>
                <w:sz w:val="6"/>
                <w:szCs w:val="6"/>
                <w:color w:val="auto"/>
              </w:rPr>
            </w:pPr>
          </w:p>
        </w:tc>
        <w:tc>
          <w:tcPr>
            <w:tcW w:w="3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11/9/2025 (Level 2)</w:t>
            </w:r>
          </w:p>
        </w:tc>
        <w:tc>
          <w:tcPr>
            <w:tcW w:w="0" w:type="dxa"/>
            <w:vAlign w:val="bottom"/>
          </w:tcPr>
          <w:p>
            <w:pPr>
              <w:spacing w:after="0"/>
              <w:rPr>
                <w:sz w:val="1"/>
                <w:szCs w:val="1"/>
                <w:color w:val="auto"/>
              </w:rPr>
            </w:pPr>
          </w:p>
        </w:tc>
      </w:tr>
      <w:tr>
        <w:trPr>
          <w:trHeight w:val="125"/>
        </w:trPr>
        <w:tc>
          <w:tcPr>
            <w:tcW w:w="3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Expiration Date 11/9/2025</w:t>
            </w:r>
          </w:p>
        </w:tc>
        <w:tc>
          <w:tcPr>
            <w:tcW w:w="3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3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80" w:type="dxa"/>
            <w:vAlign w:val="bottom"/>
            <w:gridSpan w:val="2"/>
            <w:vMerge w:val="continue"/>
            <w:shd w:val="clear" w:color="auto" w:fill="CCEEFF"/>
          </w:tcPr>
          <w:p>
            <w:pPr>
              <w:spacing w:after="0"/>
              <w:rPr>
                <w:sz w:val="7"/>
                <w:szCs w:val="7"/>
                <w:color w:val="auto"/>
              </w:rPr>
            </w:pPr>
          </w:p>
        </w:tc>
        <w:tc>
          <w:tcPr>
            <w:tcW w:w="3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-434975</wp:posOffset>
            </wp:positionV>
            <wp:extent cx="654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1915795</wp:posOffset>
            </wp:positionH>
            <wp:positionV relativeFrom="paragraph">
              <wp:posOffset>-434975</wp:posOffset>
            </wp:positionV>
            <wp:extent cx="654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aggregate values of Level 3 assets and liabilities changed during the year ended December 31, 2021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gridSpan w:val="6"/>
          </w:tcPr>
          <w:p>
            <w:pPr>
              <w:jc w:val="center"/>
              <w:ind w:left="805"/>
              <w:spacing w:after="0"/>
              <w:rPr>
                <w:sz w:val="20"/>
                <w:szCs w:val="20"/>
                <w:color w:val="auto"/>
              </w:rPr>
            </w:pPr>
            <w:r>
              <w:rPr>
                <w:rFonts w:ascii="Times New Roman" w:cs="Times New Roman" w:eastAsia="Times New Roman" w:hAnsi="Times New Roman"/>
                <w:sz w:val="14"/>
                <w:szCs w:val="14"/>
                <w:b w:val="1"/>
                <w:bCs w:val="1"/>
                <w:color w:val="auto"/>
                <w:w w:val="97"/>
              </w:rPr>
              <w:t>Year Ended December 31, 2021</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3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0"/>
                <w:szCs w:val="10"/>
                <w:color w:val="auto"/>
              </w:rPr>
            </w:pPr>
          </w:p>
        </w:tc>
        <w:tc>
          <w:tcPr>
            <w:tcW w:w="1260" w:type="dxa"/>
            <w:vAlign w:val="bottom"/>
            <w:gridSpan w:val="2"/>
          </w:tcPr>
          <w:p>
            <w:pPr>
              <w:jc w:val="center"/>
              <w:ind w:right="380"/>
              <w:spacing w:after="0" w:line="124"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220" w:type="dxa"/>
            <w:vAlign w:val="bottom"/>
          </w:tcPr>
          <w:p>
            <w:pPr>
              <w:spacing w:after="0"/>
              <w:rPr>
                <w:sz w:val="10"/>
                <w:szCs w:val="10"/>
                <w:color w:val="auto"/>
              </w:rPr>
            </w:pPr>
          </w:p>
        </w:tc>
        <w:tc>
          <w:tcPr>
            <w:tcW w:w="130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300" w:type="dxa"/>
            <w:vAlign w:val="bottom"/>
          </w:tcPr>
          <w:p>
            <w:pPr>
              <w:spacing w:after="0"/>
              <w:rPr>
                <w:sz w:val="10"/>
                <w:szCs w:val="10"/>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0"/>
                <w:szCs w:val="10"/>
                <w:color w:val="auto"/>
              </w:rPr>
            </w:pPr>
          </w:p>
        </w:tc>
        <w:tc>
          <w:tcPr>
            <w:tcW w:w="112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Investments</w:t>
            </w: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as of December 31, 2020</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34,190,839</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141,235,987</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4,845,340</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5,872,210</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186,144,376</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Transfers out of Level 3</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(31,652,675)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(155,414,652)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(5,211,120)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(1,619,463)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(193,897,910)</w:t>
            </w:r>
          </w:p>
        </w:tc>
        <w:tc>
          <w:tcPr>
            <w:tcW w:w="0" w:type="dxa"/>
            <w:vAlign w:val="bottom"/>
          </w:tcPr>
          <w:p>
            <w:pPr>
              <w:spacing w:after="0"/>
              <w:rPr>
                <w:sz w:val="1"/>
                <w:szCs w:val="1"/>
                <w:color w:val="auto"/>
              </w:rPr>
            </w:pPr>
          </w:p>
        </w:tc>
      </w:tr>
      <w:tr>
        <w:trPr>
          <w:trHeight w:val="205"/>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capitalized fees and interest</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36,154,823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43,239,463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2,321,752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81,716,038</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Sales/Maturity of investments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(10,646,457)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(2,344,979)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(13,053,111)</w:t>
            </w:r>
          </w:p>
        </w:tc>
        <w:tc>
          <w:tcPr>
            <w:tcW w:w="0" w:type="dxa"/>
            <w:vAlign w:val="bottom"/>
          </w:tcPr>
          <w:p>
            <w:pPr>
              <w:spacing w:after="0"/>
              <w:rPr>
                <w:sz w:val="1"/>
                <w:szCs w:val="1"/>
                <w:color w:val="auto"/>
              </w:rPr>
            </w:pPr>
          </w:p>
        </w:tc>
      </w:tr>
      <w:tr>
        <w:trPr>
          <w:trHeight w:val="205"/>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Realized gains/(losses)</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204,195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5,551,864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(103,655)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5,741,192</w:t>
            </w:r>
          </w:p>
        </w:tc>
        <w:tc>
          <w:tcPr>
            <w:tcW w:w="0" w:type="dxa"/>
            <w:vAlign w:val="bottom"/>
          </w:tcPr>
          <w:p>
            <w:pPr>
              <w:spacing w:after="0"/>
              <w:rPr>
                <w:sz w:val="1"/>
                <w:szCs w:val="1"/>
                <w:color w:val="auto"/>
              </w:rPr>
            </w:pPr>
          </w:p>
        </w:tc>
      </w:tr>
      <w:tr>
        <w:trPr>
          <w:trHeight w:val="158"/>
        </w:trPr>
        <w:tc>
          <w:tcPr>
            <w:tcW w:w="37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Net change in unrealized appreciation/(depreciation)</w:t>
            </w: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4,024,649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139,835,593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5,633,409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(1,511,732)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147,981,919</w:t>
            </w: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included in earnings</w:t>
            </w: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as of December 31, 2021</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42,860,156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163,801,798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3,011,438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4,959,112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214,632,504</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7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color w:val="auto"/>
              </w:rPr>
              <w:t>Net change in unrealized appreciation/ (depreciation) of</w:t>
            </w:r>
          </w:p>
        </w:tc>
        <w:tc>
          <w:tcPr>
            <w:tcW w:w="26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6,117,069</w:t>
            </w:r>
          </w:p>
        </w:tc>
        <w:tc>
          <w:tcPr>
            <w:tcW w:w="10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46,943,434</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(586,899)</w:t>
            </w: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52,473,604</w:t>
            </w:r>
          </w:p>
        </w:tc>
        <w:tc>
          <w:tcPr>
            <w:tcW w:w="0" w:type="dxa"/>
            <w:vAlign w:val="bottom"/>
          </w:tcPr>
          <w:p>
            <w:pPr>
              <w:spacing w:after="0"/>
              <w:rPr>
                <w:sz w:val="1"/>
                <w:szCs w:val="1"/>
                <w:color w:val="auto"/>
              </w:rPr>
            </w:pPr>
          </w:p>
        </w:tc>
      </w:tr>
      <w:tr>
        <w:trPr>
          <w:trHeight w:val="201"/>
        </w:trPr>
        <w:tc>
          <w:tcPr>
            <w:tcW w:w="37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Level 3 investments still held as of December 31, 2021</w:t>
            </w:r>
          </w:p>
        </w:tc>
        <w:tc>
          <w:tcPr>
            <w:tcW w:w="26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8" w:lineRule="exact"/>
        <w:rPr>
          <w:sz w:val="20"/>
          <w:szCs w:val="20"/>
          <w:color w:val="auto"/>
        </w:rPr>
      </w:pPr>
    </w:p>
    <w:p>
      <w:pPr>
        <w:ind w:left="340" w:hanging="337"/>
        <w:spacing w:after="0"/>
        <w:tabs>
          <w:tab w:leader="none" w:pos="3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During the year ended </w:t>
      </w:r>
      <w:r>
        <w:rPr>
          <w:rFonts w:ascii="Times New Roman" w:cs="Times New Roman" w:eastAsia="Times New Roman" w:hAnsi="Times New Roman"/>
          <w:sz w:val="16"/>
          <w:szCs w:val="16"/>
          <w:color w:val="auto"/>
        </w:rPr>
        <w:t>December 31, 2021</w:t>
      </w:r>
      <w:r>
        <w:rPr>
          <w:rFonts w:ascii="Times New Roman" w:cs="Times New Roman" w:eastAsia="Times New Roman" w:hAnsi="Times New Roman"/>
          <w:sz w:val="15"/>
          <w:szCs w:val="15"/>
          <w:color w:val="auto"/>
        </w:rPr>
        <w:t>, the Company’s portfolio investments had the following corporate actions which are reflected above:</w:t>
      </w:r>
    </w:p>
    <w:p>
      <w:pPr>
        <w:sectPr>
          <w:pgSz w:w="11900" w:h="16838" w:orient="portrait"/>
          <w:cols w:equalWidth="0" w:num="1">
            <w:col w:w="10720"/>
          </w:cols>
          <w:pgMar w:left="320" w:top="118" w:right="859" w:bottom="1440" w:gutter="0" w:footer="0" w:header="0"/>
        </w:sectPr>
      </w:pP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Coursera, Inc.</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Churchill Capital Corp. II</w:t>
      </w:r>
    </w:p>
    <w:p>
      <w:pPr>
        <w:spacing w:after="0" w:line="23" w:lineRule="exact"/>
        <w:rPr>
          <w:sz w:val="20"/>
          <w:szCs w:val="20"/>
          <w:color w:val="auto"/>
        </w:rPr>
      </w:pPr>
    </w:p>
    <w:p>
      <w:pPr>
        <w:ind w:left="20" w:right="580"/>
        <w:spacing w:after="0" w:line="293" w:lineRule="auto"/>
        <w:rPr>
          <w:sz w:val="20"/>
          <w:szCs w:val="20"/>
          <w:color w:val="auto"/>
        </w:rPr>
      </w:pPr>
      <w:r>
        <w:rPr>
          <w:rFonts w:ascii="Times New Roman" w:cs="Times New Roman" w:eastAsia="Times New Roman" w:hAnsi="Times New Roman"/>
          <w:sz w:val="14"/>
          <w:szCs w:val="14"/>
          <w:color w:val="auto"/>
        </w:rPr>
        <w:t>NewLake Capital Partners, Inc. (f/k/a GreenAcreage Real Estate Corp.)</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 Place for Rover, Inc. (f/k/a DogVacay, Inc.)</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Enjoy Technology, Inc.</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Nextdoor Holdings,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Rent the Runway, Inc.</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Conversion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16510</wp:posOffset>
            </wp:positionV>
            <wp:extent cx="7138035" cy="238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035" cy="238125"/>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Preferred shares, Series F 8%</w:t>
      </w:r>
    </w:p>
    <w:p>
      <w:pPr>
        <w:jc w:val="center"/>
        <w:ind w:right="260"/>
        <w:spacing w:after="0"/>
        <w:rPr>
          <w:sz w:val="20"/>
          <w:szCs w:val="20"/>
          <w:color w:val="auto"/>
        </w:rPr>
      </w:pPr>
      <w:r>
        <w:rPr>
          <w:rFonts w:ascii="Times New Roman" w:cs="Times New Roman" w:eastAsia="Times New Roman" w:hAnsi="Times New Roman"/>
          <w:sz w:val="16"/>
          <w:szCs w:val="16"/>
          <w:color w:val="auto"/>
        </w:rPr>
        <w:t>Preferred shares, Series B 8%</w:t>
      </w:r>
    </w:p>
    <w:p>
      <w:pPr>
        <w:spacing w:after="0" w:line="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Common shares, 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15240</wp:posOffset>
            </wp:positionV>
            <wp:extent cx="7138035" cy="229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035" cy="229870"/>
                    </a:xfrm>
                    <a:prstGeom prst="rect">
                      <a:avLst/>
                    </a:prstGeom>
                    <a:noFill/>
                  </pic:spPr>
                </pic:pic>
              </a:graphicData>
            </a:graphic>
          </wp:anchor>
        </w:drawing>
      </w:r>
    </w:p>
    <w:p>
      <w:pPr>
        <w:spacing w:after="0" w:line="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Common shares</w:t>
      </w:r>
    </w:p>
    <w:p>
      <w:pPr>
        <w:spacing w:after="0" w:line="17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Common shares</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Preferred shares, Series B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-108585</wp:posOffset>
            </wp:positionV>
            <wp:extent cx="7138035" cy="3282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035" cy="328295"/>
                    </a:xfrm>
                    <a:prstGeom prst="rect">
                      <a:avLst/>
                    </a:prstGeom>
                    <a:noFill/>
                  </pic:spPr>
                </pic:pic>
              </a:graphicData>
            </a:graphic>
          </wp:anchor>
        </w:drawing>
      </w:r>
    </w:p>
    <w:p>
      <w:pPr>
        <w:ind w:left="620"/>
        <w:spacing w:after="0" w:line="202" w:lineRule="auto"/>
        <w:rPr>
          <w:sz w:val="20"/>
          <w:szCs w:val="20"/>
          <w:color w:val="auto"/>
        </w:rPr>
      </w:pPr>
      <w:r>
        <w:rPr>
          <w:rFonts w:ascii="Times New Roman" w:cs="Times New Roman" w:eastAsia="Times New Roman" w:hAnsi="Times New Roman"/>
          <w:sz w:val="16"/>
          <w:szCs w:val="16"/>
          <w:color w:val="auto"/>
        </w:rPr>
        <w:t>Preferred shares, Series A 6%</w:t>
      </w:r>
    </w:p>
    <w:p>
      <w:pPr>
        <w:jc w:val="center"/>
        <w:ind w:right="260"/>
        <w:spacing w:after="0"/>
        <w:rPr>
          <w:sz w:val="20"/>
          <w:szCs w:val="20"/>
          <w:color w:val="auto"/>
        </w:rPr>
      </w:pPr>
      <w:r>
        <w:rPr>
          <w:rFonts w:ascii="Times New Roman" w:cs="Times New Roman" w:eastAsia="Times New Roman" w:hAnsi="Times New Roman"/>
          <w:sz w:val="14"/>
          <w:szCs w:val="14"/>
          <w:color w:val="auto"/>
        </w:rPr>
        <w:t>Convertible Promissory Note 14% Due 1/30/2024</w:t>
      </w:r>
    </w:p>
    <w:p>
      <w:pPr>
        <w:spacing w:after="0" w:line="2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Common shares</w:t>
      </w:r>
    </w:p>
    <w:p>
      <w:pPr>
        <w:spacing w:after="0" w:line="2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Preferred shares, Series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-115570</wp:posOffset>
            </wp:positionV>
            <wp:extent cx="7138035" cy="1314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color w:val="auto"/>
        </w:rPr>
        <w:t>Conversion to</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Public Common shares (Level 2)</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Skillsoft Corp. Public Common shares (Level 2)</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Public Common shares (Level 2)</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Rover Group, Inc. Public Common shares</w:t>
      </w:r>
    </w:p>
    <w:p>
      <w:pPr>
        <w:jc w:val="center"/>
        <w:spacing w:after="0"/>
        <w:rPr>
          <w:sz w:val="20"/>
          <w:szCs w:val="20"/>
          <w:color w:val="auto"/>
        </w:rPr>
      </w:pPr>
      <w:r>
        <w:rPr>
          <w:rFonts w:ascii="Times New Roman" w:cs="Times New Roman" w:eastAsia="Times New Roman" w:hAnsi="Times New Roman"/>
          <w:sz w:val="16"/>
          <w:szCs w:val="16"/>
          <w:color w:val="auto"/>
        </w:rPr>
        <w:t>(Level 2)</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Public Common shares (Level 2)</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Public Common shares (Level 2)</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Public Common shares (Level 2)</w:t>
      </w:r>
    </w:p>
    <w:p>
      <w:pPr>
        <w:spacing w:after="0" w:line="200" w:lineRule="exact"/>
        <w:rPr>
          <w:sz w:val="20"/>
          <w:szCs w:val="20"/>
          <w:color w:val="auto"/>
        </w:rPr>
      </w:pPr>
    </w:p>
    <w:p>
      <w:pPr>
        <w:sectPr>
          <w:pgSz w:w="11900" w:h="16838" w:orient="portrait"/>
          <w:cols w:equalWidth="0" w:num="3">
            <w:col w:w="2920" w:space="720"/>
            <w:col w:w="3360" w:space="720"/>
            <w:col w:w="3000"/>
          </w:cols>
          <w:pgMar w:left="320" w:top="118" w:right="85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0720"/>
          </w:cols>
          <w:pgMar w:left="320" w:top="118" w:right="8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Schedule of Investments In, and Advances to, Affiliates</w:t>
      </w:r>
    </w:p>
    <w:p>
      <w:pPr>
        <w:spacing w:after="0" w:line="246" w:lineRule="exact"/>
        <w:rPr>
          <w:sz w:val="20"/>
          <w:szCs w:val="20"/>
          <w:color w:val="auto"/>
        </w:rPr>
      </w:pPr>
    </w:p>
    <w:p>
      <w:pPr>
        <w:ind w:right="260" w:firstLine="349"/>
        <w:spacing w:after="0" w:line="274" w:lineRule="auto"/>
        <w:rPr>
          <w:sz w:val="20"/>
          <w:szCs w:val="20"/>
          <w:color w:val="auto"/>
        </w:rPr>
      </w:pPr>
      <w:r>
        <w:rPr>
          <w:rFonts w:ascii="Times New Roman" w:cs="Times New Roman" w:eastAsia="Times New Roman" w:hAnsi="Times New Roman"/>
          <w:sz w:val="17"/>
          <w:szCs w:val="17"/>
          <w:color w:val="auto"/>
        </w:rPr>
        <w:t>Transactions during the three months ended March 31, 2022 involving the Company’s controlled investments and non-controlled/affiliate investments were as follows:</w:t>
      </w:r>
    </w:p>
    <w:tbl>
      <w:tblPr>
        <w:tblLayout w:type="fixed"/>
        <w:tblInd w:w="360" w:type="dxa"/>
        <w:tblCellMar>
          <w:top w:w="0" w:type="dxa"/>
          <w:left w:w="0" w:type="dxa"/>
          <w:bottom w:w="0" w:type="dxa"/>
          <w:right w:w="0" w:type="dxa"/>
        </w:tblCellMar>
      </w:tblPr>
      <w:tr>
        <w:trPr>
          <w:trHeight w:val="143"/>
        </w:trPr>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Interest,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Purchases,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Fees, or</w:t>
            </w:r>
          </w:p>
        </w:tc>
        <w:tc>
          <w:tcPr>
            <w:tcW w:w="9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Capitalized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Fair Value at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w:t>
            </w:r>
          </w:p>
        </w:tc>
        <w:tc>
          <w:tcPr>
            <w:tcW w:w="0" w:type="dxa"/>
            <w:vAlign w:val="bottom"/>
          </w:tcPr>
          <w:p>
            <w:pPr>
              <w:spacing w:after="0"/>
              <w:rPr>
                <w:sz w:val="1"/>
                <w:szCs w:val="1"/>
                <w:color w:val="auto"/>
              </w:rPr>
            </w:pPr>
          </w:p>
        </w:tc>
      </w:tr>
      <w:tr>
        <w:trPr>
          <w:trHeight w:val="131"/>
        </w:trPr>
        <w:tc>
          <w:tcPr>
            <w:tcW w:w="2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80" w:type="dxa"/>
            <w:vAlign w:val="bottom"/>
          </w:tcPr>
          <w:p>
            <w:pPr>
              <w:spacing w:after="0"/>
              <w:rPr>
                <w:sz w:val="11"/>
                <w:szCs w:val="11"/>
                <w:color w:val="auto"/>
              </w:rPr>
            </w:pP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Principal/</w:t>
            </w:r>
          </w:p>
        </w:tc>
        <w:tc>
          <w:tcPr>
            <w:tcW w:w="760" w:type="dxa"/>
            <w:vAlign w:val="bottom"/>
            <w:gridSpan w:val="3"/>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w w:val="96"/>
              </w:rPr>
              <w:t>Dividends</w:t>
            </w:r>
          </w:p>
        </w:tc>
        <w:tc>
          <w:tcPr>
            <w:tcW w:w="9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Fees,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gridSpan w:val="3"/>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3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6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98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0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Interest and</w:t>
            </w:r>
          </w:p>
        </w:tc>
        <w:tc>
          <w:tcPr>
            <w:tcW w:w="12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6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9"/>
        </w:trPr>
        <w:tc>
          <w:tcPr>
            <w:tcW w:w="2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80" w:type="dxa"/>
            <w:vAlign w:val="bottom"/>
          </w:tcPr>
          <w:p>
            <w:pPr>
              <w:spacing w:after="0"/>
              <w:rPr>
                <w:sz w:val="16"/>
                <w:szCs w:val="16"/>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in Income</w:t>
            </w:r>
          </w:p>
        </w:tc>
        <w:tc>
          <w:tcPr>
            <w:tcW w:w="120" w:type="dxa"/>
            <w:vAlign w:val="bottom"/>
          </w:tcPr>
          <w:p>
            <w:pPr>
              <w:spacing w:after="0"/>
              <w:rPr>
                <w:sz w:val="16"/>
                <w:szCs w:val="16"/>
                <w:color w:val="auto"/>
              </w:rPr>
            </w:pPr>
          </w:p>
        </w:tc>
        <w:tc>
          <w:tcPr>
            <w:tcW w:w="78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(Out)</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6"/>
                <w:szCs w:val="16"/>
                <w:color w:val="auto"/>
              </w:rPr>
            </w:pPr>
          </w:p>
        </w:tc>
        <w:tc>
          <w:tcPr>
            <w:tcW w:w="7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66"/>
        </w:trPr>
        <w:tc>
          <w:tcPr>
            <w:tcW w:w="2300" w:type="dxa"/>
            <w:vAlign w:val="bottom"/>
            <w:tcBorders>
              <w:top w:val="single" w:sz="8" w:color="auto"/>
            </w:tcBorders>
            <w:gridSpan w:val="3"/>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b w:val="1"/>
                <w:bCs w:val="1"/>
                <w:color w:val="auto"/>
              </w:rPr>
              <w:t>CONTROLLED</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20" w:type="dxa"/>
            <w:vAlign w:val="bottom"/>
            <w:tcBorders>
              <w:top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1180" w:type="dxa"/>
            <w:vAlign w:val="bottom"/>
            <w:tcBorders>
              <w:top w:val="single" w:sz="8" w:color="CCEEFF"/>
            </w:tcBorders>
            <w:gridSpan w:val="2"/>
            <w:shd w:val="clear" w:color="auto" w:fill="CCEEFF"/>
          </w:tcPr>
          <w:p>
            <w:pPr>
              <w:jc w:val="right"/>
              <w:ind w:right="960"/>
              <w:spacing w:after="0" w:line="136"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7"/>
                <w:szCs w:val="7"/>
                <w:b w:val="1"/>
                <w:bCs w:val="1"/>
                <w:color w:val="auto"/>
              </w:rPr>
              <w:t>(2)</w:t>
            </w: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300" w:type="dxa"/>
            <w:vAlign w:val="bottom"/>
            <w:gridSpan w:val="3"/>
            <w:shd w:val="clear" w:color="auto" w:fill="CCEEFF"/>
          </w:tcPr>
          <w:p>
            <w:pPr>
              <w:ind w:left="120"/>
              <w:spacing w:after="0" w:line="157" w:lineRule="exact"/>
              <w:rPr>
                <w:sz w:val="20"/>
                <w:szCs w:val="20"/>
                <w:color w:val="auto"/>
              </w:rPr>
            </w:pPr>
            <w:r>
              <w:rPr>
                <w:rFonts w:ascii="Times New Roman" w:cs="Times New Roman" w:eastAsia="Times New Roman" w:hAnsi="Times New Roman"/>
                <w:sz w:val="16"/>
                <w:szCs w:val="16"/>
                <w:i w:val="1"/>
                <w:iCs w:val="1"/>
                <w:color w:val="auto"/>
              </w:rPr>
              <w:t>Special Purpose Acquisition</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Company</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300" w:type="dxa"/>
            <w:vAlign w:val="bottom"/>
            <w:gridSpan w:val="3"/>
          </w:tcPr>
          <w:p>
            <w:pPr>
              <w:ind w:left="200"/>
              <w:spacing w:after="0" w:line="155" w:lineRule="exact"/>
              <w:rPr>
                <w:sz w:val="20"/>
                <w:szCs w:val="20"/>
                <w:color w:val="auto"/>
              </w:rPr>
            </w:pPr>
            <w:r>
              <w:rPr>
                <w:rFonts w:ascii="Times New Roman" w:cs="Times New Roman" w:eastAsia="Times New Roman" w:hAnsi="Times New Roman"/>
                <w:sz w:val="16"/>
                <w:szCs w:val="16"/>
                <w:color w:val="auto"/>
              </w:rPr>
              <w:t>Colombier Sponsor LLC**–</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2,700,000</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1,157,487</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1,157,487</w:t>
            </w:r>
          </w:p>
        </w:tc>
        <w:tc>
          <w:tcPr>
            <w:tcW w:w="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0" w:type="dxa"/>
            <w:vAlign w:val="bottom"/>
          </w:tcPr>
          <w:p>
            <w:pPr>
              <w:spacing w:after="0"/>
              <w:rPr>
                <w:sz w:val="1"/>
                <w:szCs w:val="1"/>
                <w:color w:val="auto"/>
              </w:rPr>
            </w:pPr>
          </w:p>
        </w:tc>
      </w:tr>
      <w:tr>
        <w:trPr>
          <w:trHeight w:val="207"/>
        </w:trPr>
        <w:tc>
          <w:tcPr>
            <w:tcW w:w="2300" w:type="dxa"/>
            <w:vAlign w:val="bottom"/>
            <w:gridSpan w:val="3"/>
          </w:tcPr>
          <w:p>
            <w:pPr>
              <w:ind w:left="200"/>
              <w:spacing w:after="0" w:line="207" w:lineRule="exact"/>
              <w:rPr>
                <w:sz w:val="20"/>
                <w:szCs w:val="20"/>
                <w:color w:val="auto"/>
              </w:rPr>
            </w:pPr>
            <w:r>
              <w:rPr>
                <w:rFonts w:ascii="Times New Roman" w:cs="Times New Roman" w:eastAsia="Times New Roman" w:hAnsi="Times New Roman"/>
                <w:sz w:val="16"/>
                <w:szCs w:val="16"/>
                <w:color w:val="auto"/>
              </w:rPr>
              <w:t>Class W Units</w:t>
            </w:r>
            <w:r>
              <w:rPr>
                <w:rFonts w:ascii="Times New Roman" w:cs="Times New Roman" w:eastAsia="Times New Roman" w:hAnsi="Times New Roman"/>
                <w:sz w:val="20"/>
                <w:szCs w:val="20"/>
                <w:color w:val="auto"/>
                <w:vertAlign w:val="superscript"/>
              </w:rPr>
              <w:t>(7)</w:t>
            </w:r>
          </w:p>
        </w:tc>
        <w:tc>
          <w:tcPr>
            <w:tcW w:w="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1,157,487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1,157,487</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0" w:type="dxa"/>
            <w:vAlign w:val="bottom"/>
          </w:tcPr>
          <w:p>
            <w:pPr>
              <w:spacing w:after="0"/>
              <w:rPr>
                <w:sz w:val="1"/>
                <w:szCs w:val="1"/>
                <w:color w:val="auto"/>
              </w:rPr>
            </w:pPr>
          </w:p>
        </w:tc>
      </w:tr>
      <w:tr>
        <w:trPr>
          <w:trHeight w:val="206"/>
        </w:trPr>
        <w:tc>
          <w:tcPr>
            <w:tcW w:w="2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300" w:type="dxa"/>
            <w:vAlign w:val="bottom"/>
            <w:gridSpan w:val="3"/>
          </w:tcPr>
          <w:p>
            <w:pPr>
              <w:ind w:left="200"/>
              <w:spacing w:after="0" w:line="155" w:lineRule="exact"/>
              <w:rPr>
                <w:sz w:val="20"/>
                <w:szCs w:val="20"/>
                <w:color w:val="auto"/>
              </w:rPr>
            </w:pPr>
            <w:r>
              <w:rPr>
                <w:rFonts w:ascii="Times New Roman" w:cs="Times New Roman" w:eastAsia="Times New Roman" w:hAnsi="Times New Roman"/>
                <w:sz w:val="16"/>
                <w:szCs w:val="16"/>
                <w:color w:val="auto"/>
              </w:rPr>
              <w:t>SPBRX, INC. (f/k/a GSV</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00" w:type="dxa"/>
            <w:vAlign w:val="bottom"/>
            <w:gridSpan w:val="3"/>
          </w:tcPr>
          <w:p>
            <w:pPr>
              <w:ind w:left="200"/>
              <w:spacing w:after="0" w:line="155" w:lineRule="exact"/>
              <w:rPr>
                <w:sz w:val="20"/>
                <w:szCs w:val="20"/>
                <w:color w:val="auto"/>
              </w:rPr>
            </w:pPr>
            <w:r>
              <w:rPr>
                <w:rFonts w:ascii="Times New Roman" w:cs="Times New Roman" w:eastAsia="Times New Roman" w:hAnsi="Times New Roman"/>
                <w:sz w:val="16"/>
                <w:szCs w:val="16"/>
                <w:color w:val="auto"/>
              </w:rPr>
              <w:t>Sustainability Partners, Inc.)–</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14,300,000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1,047,033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1,177,033</w:t>
            </w:r>
          </w:p>
        </w:tc>
        <w:tc>
          <w:tcPr>
            <w:tcW w:w="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207"/>
        </w:trPr>
        <w:tc>
          <w:tcPr>
            <w:tcW w:w="2300" w:type="dxa"/>
            <w:vAlign w:val="bottom"/>
            <w:gridSpan w:val="3"/>
          </w:tcPr>
          <w:p>
            <w:pPr>
              <w:ind w:left="200"/>
              <w:spacing w:after="0" w:line="207" w:lineRule="exact"/>
              <w:rPr>
                <w:sz w:val="20"/>
                <w:szCs w:val="20"/>
                <w:color w:val="auto"/>
              </w:rPr>
            </w:pPr>
            <w:r>
              <w:rPr>
                <w:rFonts w:ascii="Times New Roman" w:cs="Times New Roman" w:eastAsia="Times New Roman" w:hAnsi="Times New Roman"/>
                <w:sz w:val="16"/>
                <w:szCs w:val="16"/>
                <w:color w:val="auto"/>
              </w:rPr>
              <w:t>Preferred shares, Class A</w:t>
            </w:r>
            <w:r>
              <w:rPr>
                <w:rFonts w:ascii="Times New Roman" w:cs="Times New Roman" w:eastAsia="Times New Roman" w:hAnsi="Times New Roman"/>
                <w:sz w:val="20"/>
                <w:szCs w:val="20"/>
                <w:color w:val="auto"/>
                <w:vertAlign w:val="superscript"/>
              </w:rPr>
              <w:t>(4)</w:t>
            </w:r>
          </w:p>
        </w:tc>
        <w:tc>
          <w:tcPr>
            <w:tcW w:w="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1,047,033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1,177,033</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206"/>
        </w:trPr>
        <w:tc>
          <w:tcPr>
            <w:tcW w:w="2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300" w:type="dxa"/>
            <w:vAlign w:val="bottom"/>
            <w:gridSpan w:val="3"/>
          </w:tcPr>
          <w:p>
            <w:pPr>
              <w:ind w:left="200"/>
              <w:spacing w:after="0" w:line="155" w:lineRule="exact"/>
              <w:rPr>
                <w:sz w:val="20"/>
                <w:szCs w:val="20"/>
                <w:color w:val="auto"/>
              </w:rPr>
            </w:pPr>
            <w:r>
              <w:rPr>
                <w:rFonts w:ascii="Times New Roman" w:cs="Times New Roman" w:eastAsia="Times New Roman" w:hAnsi="Times New Roman"/>
                <w:sz w:val="16"/>
                <w:szCs w:val="16"/>
                <w:color w:val="auto"/>
              </w:rPr>
              <w:t>SPBRX, INC. (f/k/a GSV</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00" w:type="dxa"/>
            <w:vAlign w:val="bottom"/>
            <w:gridSpan w:val="3"/>
          </w:tcPr>
          <w:p>
            <w:pPr>
              <w:ind w:left="200"/>
              <w:spacing w:after="0" w:line="155" w:lineRule="exact"/>
              <w:rPr>
                <w:sz w:val="20"/>
                <w:szCs w:val="20"/>
                <w:color w:val="auto"/>
              </w:rPr>
            </w:pPr>
            <w:r>
              <w:rPr>
                <w:rFonts w:ascii="Times New Roman" w:cs="Times New Roman" w:eastAsia="Times New Roman" w:hAnsi="Times New Roman"/>
                <w:sz w:val="16"/>
                <w:szCs w:val="16"/>
                <w:color w:val="auto"/>
              </w:rPr>
              <w:t>Sustainability Partners, Inc.)–</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3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Common shares</w:t>
            </w:r>
          </w:p>
        </w:tc>
        <w:tc>
          <w:tcPr>
            <w:tcW w:w="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Mobile Finance Technology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300" w:type="dxa"/>
            <w:vAlign w:val="bottom"/>
            <w:gridSpan w:val="3"/>
          </w:tcPr>
          <w:p>
            <w:pPr>
              <w:ind w:left="200"/>
              <w:spacing w:after="0" w:line="155" w:lineRule="exact"/>
              <w:rPr>
                <w:sz w:val="20"/>
                <w:szCs w:val="20"/>
                <w:color w:val="auto"/>
              </w:rPr>
            </w:pPr>
            <w:r>
              <w:rPr>
                <w:rFonts w:ascii="Times New Roman" w:cs="Times New Roman" w:eastAsia="Times New Roman" w:hAnsi="Times New Roman"/>
                <w:sz w:val="16"/>
                <w:szCs w:val="16"/>
                <w:color w:val="auto"/>
              </w:rPr>
              <w:t>Architect Capital PayJoy SPV,</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00" w:type="dxa"/>
            <w:vAlign w:val="bottom"/>
            <w:gridSpan w:val="3"/>
          </w:tcPr>
          <w:p>
            <w:pPr>
              <w:ind w:left="200"/>
              <w:spacing w:after="0" w:line="155" w:lineRule="exact"/>
              <w:rPr>
                <w:sz w:val="20"/>
                <w:szCs w:val="20"/>
                <w:color w:val="auto"/>
              </w:rPr>
            </w:pPr>
            <w:r>
              <w:rPr>
                <w:rFonts w:ascii="Times New Roman" w:cs="Times New Roman" w:eastAsia="Times New Roman" w:hAnsi="Times New Roman"/>
                <w:sz w:val="16"/>
                <w:szCs w:val="16"/>
                <w:color w:val="auto"/>
              </w:rPr>
              <w:t>LLC**–Membership Interest in</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$ 10,000,000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6"/>
              </w:rPr>
              <w:t>290,000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10,000,000</w:t>
            </w:r>
          </w:p>
        </w:tc>
        <w:tc>
          <w:tcPr>
            <w:tcW w:w="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07"/>
        </w:trPr>
        <w:tc>
          <w:tcPr>
            <w:tcW w:w="2300" w:type="dxa"/>
            <w:vAlign w:val="bottom"/>
            <w:gridSpan w:val="3"/>
          </w:tcPr>
          <w:p>
            <w:pPr>
              <w:ind w:left="200"/>
              <w:spacing w:after="0" w:line="207" w:lineRule="exact"/>
              <w:rPr>
                <w:sz w:val="20"/>
                <w:szCs w:val="20"/>
                <w:color w:val="auto"/>
              </w:rPr>
            </w:pPr>
            <w:r>
              <w:rPr>
                <w:rFonts w:ascii="Times New Roman" w:cs="Times New Roman" w:eastAsia="Times New Roman" w:hAnsi="Times New Roman"/>
                <w:sz w:val="16"/>
                <w:szCs w:val="16"/>
                <w:color w:val="auto"/>
              </w:rPr>
              <w:t>Lending SPV***</w:t>
            </w:r>
            <w:r>
              <w:rPr>
                <w:rFonts w:ascii="Times New Roman" w:cs="Times New Roman" w:eastAsia="Times New Roman" w:hAnsi="Times New Roman"/>
                <w:sz w:val="20"/>
                <w:szCs w:val="20"/>
                <w:color w:val="auto"/>
                <w:vertAlign w:val="superscript"/>
              </w:rPr>
              <w:t>(7)</w:t>
            </w:r>
          </w:p>
        </w:tc>
        <w:tc>
          <w:tcPr>
            <w:tcW w:w="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300" w:type="dxa"/>
            <w:vAlign w:val="bottom"/>
            <w:gridSpan w:val="3"/>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i w:val="1"/>
                <w:iCs w:val="1"/>
                <w:color w:val="auto"/>
              </w:rPr>
              <w:t>Special Purpose Acquisition</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Company</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300" w:type="dxa"/>
            <w:vAlign w:val="bottom"/>
            <w:gridSpan w:val="3"/>
          </w:tcPr>
          <w:p>
            <w:pPr>
              <w:ind w:left="200"/>
              <w:spacing w:after="0" w:line="155" w:lineRule="exact"/>
              <w:rPr>
                <w:sz w:val="20"/>
                <w:szCs w:val="20"/>
                <w:color w:val="auto"/>
              </w:rPr>
            </w:pPr>
            <w:r>
              <w:rPr>
                <w:rFonts w:ascii="Times New Roman" w:cs="Times New Roman" w:eastAsia="Times New Roman" w:hAnsi="Times New Roman"/>
                <w:sz w:val="16"/>
                <w:szCs w:val="16"/>
                <w:color w:val="auto"/>
              </w:rPr>
              <w:t>Colombier Sponsor LLC**–</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1,976,033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1,554,354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1,554,354</w:t>
            </w:r>
          </w:p>
        </w:tc>
        <w:tc>
          <w:tcPr>
            <w:tcW w:w="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207"/>
        </w:trPr>
        <w:tc>
          <w:tcPr>
            <w:tcW w:w="2300" w:type="dxa"/>
            <w:vAlign w:val="bottom"/>
            <w:gridSpan w:val="3"/>
          </w:tcPr>
          <w:p>
            <w:pPr>
              <w:ind w:left="200"/>
              <w:spacing w:after="0" w:line="207" w:lineRule="exact"/>
              <w:rPr>
                <w:sz w:val="20"/>
                <w:szCs w:val="20"/>
                <w:color w:val="auto"/>
              </w:rPr>
            </w:pPr>
            <w:r>
              <w:rPr>
                <w:rFonts w:ascii="Times New Roman" w:cs="Times New Roman" w:eastAsia="Times New Roman" w:hAnsi="Times New Roman"/>
                <w:sz w:val="16"/>
                <w:szCs w:val="16"/>
                <w:color w:val="auto"/>
              </w:rPr>
              <w:t>Class B Units</w:t>
            </w:r>
            <w:r>
              <w:rPr>
                <w:rFonts w:ascii="Times New Roman" w:cs="Times New Roman" w:eastAsia="Times New Roman" w:hAnsi="Times New Roman"/>
                <w:sz w:val="20"/>
                <w:szCs w:val="20"/>
                <w:color w:val="auto"/>
                <w:vertAlign w:val="superscript"/>
              </w:rPr>
              <w:t>(7)</w:t>
            </w:r>
          </w:p>
        </w:tc>
        <w:tc>
          <w:tcPr>
            <w:tcW w:w="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290,000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11,554,354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11,554,354</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149"/>
        </w:trPr>
        <w:tc>
          <w:tcPr>
            <w:tcW w:w="2300" w:type="dxa"/>
            <w:vAlign w:val="bottom"/>
            <w:gridSpan w:val="3"/>
          </w:tcPr>
          <w:p>
            <w:pPr>
              <w:ind w:left="20"/>
              <w:spacing w:after="0" w:line="150" w:lineRule="exact"/>
              <w:rPr>
                <w:sz w:val="20"/>
                <w:szCs w:val="20"/>
                <w:color w:val="auto"/>
              </w:rPr>
            </w:pPr>
            <w:r>
              <w:rPr>
                <w:rFonts w:ascii="Times New Roman" w:cs="Times New Roman" w:eastAsia="Times New Roman" w:hAnsi="Times New Roman"/>
                <w:sz w:val="16"/>
                <w:szCs w:val="16"/>
                <w:b w:val="1"/>
                <w:bCs w:val="1"/>
                <w:color w:val="auto"/>
              </w:rPr>
              <w:t>TOTAL CONTROLLED</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290,000</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13,758,874</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130,000</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13,888,874</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3.65</w:t>
            </w:r>
          </w:p>
        </w:tc>
        <w:tc>
          <w:tcPr>
            <w:tcW w:w="0" w:type="dxa"/>
            <w:vAlign w:val="bottom"/>
          </w:tcPr>
          <w:p>
            <w:pPr>
              <w:spacing w:after="0"/>
              <w:rPr>
                <w:sz w:val="1"/>
                <w:szCs w:val="1"/>
                <w:color w:val="auto"/>
              </w:rPr>
            </w:pPr>
          </w:p>
        </w:tc>
      </w:tr>
      <w:tr>
        <w:trPr>
          <w:trHeight w:val="181"/>
        </w:trPr>
        <w:tc>
          <w:tcPr>
            <w:tcW w:w="230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0"/>
                <w:szCs w:val="20"/>
                <w:b w:val="1"/>
                <w:bCs w:val="1"/>
                <w:color w:val="auto"/>
                <w:vertAlign w:val="superscript"/>
              </w:rPr>
              <w:t>(2)</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340"/>
          </w:cols>
          <w:pgMar w:left="320" w:top="11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Interest,</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Purchases,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Fees, or</w:t>
            </w: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Fair Value at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Capitalized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Fees,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Principal/</w:t>
            </w: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Credited</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Interest and</w:t>
            </w: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68"/>
        </w:trPr>
        <w:tc>
          <w:tcPr>
            <w:tcW w:w="25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(Out)</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640" w:type="dxa"/>
            <w:vAlign w:val="bottom"/>
            <w:gridSpan w:val="2"/>
            <w:vMerge w:val="continue"/>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45"/>
        </w:trPr>
        <w:tc>
          <w:tcPr>
            <w:tcW w:w="1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top w:val="single" w:sz="8" w:color="auto"/>
              <w:bottom w:val="single" w:sz="8" w:color="CCEEFF"/>
            </w:tcBorders>
          </w:tcPr>
          <w:p>
            <w:pPr>
              <w:spacing w:after="0"/>
              <w:rPr>
                <w:sz w:val="3"/>
                <w:szCs w:val="3"/>
                <w:color w:val="auto"/>
              </w:rPr>
            </w:pPr>
          </w:p>
        </w:tc>
        <w:tc>
          <w:tcPr>
            <w:tcW w:w="58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top w:val="single" w:sz="8" w:color="auto"/>
              <w:bottom w:val="single" w:sz="8" w:color="CCEEFF"/>
            </w:tcBorders>
          </w:tcPr>
          <w:p>
            <w:pPr>
              <w:spacing w:after="0"/>
              <w:rPr>
                <w:sz w:val="3"/>
                <w:szCs w:val="3"/>
                <w:color w:val="auto"/>
              </w:rPr>
            </w:pPr>
          </w:p>
        </w:tc>
        <w:tc>
          <w:tcPr>
            <w:tcW w:w="640" w:type="dxa"/>
            <w:vAlign w:val="bottom"/>
            <w:tcBorders>
              <w:top w:val="single" w:sz="8" w:color="auto"/>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top w:val="single" w:sz="8" w:color="auto"/>
              <w:bottom w:val="single" w:sz="8" w:color="CCEEFF"/>
            </w:tcBorders>
          </w:tcPr>
          <w:p>
            <w:pPr>
              <w:spacing w:after="0"/>
              <w:rPr>
                <w:sz w:val="3"/>
                <w:szCs w:val="3"/>
                <w:color w:val="auto"/>
              </w:rPr>
            </w:pPr>
          </w:p>
        </w:tc>
        <w:tc>
          <w:tcPr>
            <w:tcW w:w="74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top w:val="single" w:sz="8" w:color="auto"/>
              <w:bottom w:val="single" w:sz="8" w:color="CCEEFF"/>
            </w:tcBorders>
          </w:tcPr>
          <w:p>
            <w:pPr>
              <w:spacing w:after="0"/>
              <w:rPr>
                <w:sz w:val="3"/>
                <w:szCs w:val="3"/>
                <w:color w:val="auto"/>
              </w:rPr>
            </w:pPr>
          </w:p>
        </w:tc>
        <w:tc>
          <w:tcPr>
            <w:tcW w:w="76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top w:val="single" w:sz="8" w:color="auto"/>
              <w:bottom w:val="single" w:sz="8" w:color="CCEEFF"/>
            </w:tcBorders>
          </w:tcPr>
          <w:p>
            <w:pPr>
              <w:spacing w:after="0"/>
              <w:rPr>
                <w:sz w:val="3"/>
                <w:szCs w:val="3"/>
                <w:color w:val="auto"/>
              </w:rPr>
            </w:pPr>
          </w:p>
        </w:tc>
        <w:tc>
          <w:tcPr>
            <w:tcW w:w="78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6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top w:val="single" w:sz="8" w:color="auto"/>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2480" w:type="dxa"/>
            <w:vAlign w:val="bottom"/>
            <w:tcBorders>
              <w:top w:val="single" w:sz="8" w:color="CCEEFF"/>
            </w:tcBorders>
            <w:gridSpan w:val="3"/>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NON-CONTROLLED/AFFILIATE</w:t>
            </w: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Borders>
              <w:top w:val="single" w:sz="8" w:color="auto"/>
            </w:tcBorders>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b w:val="1"/>
                <w:bCs w:val="1"/>
                <w:color w:val="auto"/>
              </w:rPr>
              <w:t>INVESTMENTS*</w:t>
            </w:r>
            <w:r>
              <w:rPr>
                <w:rFonts w:ascii="Times New Roman" w:cs="Times New Roman" w:eastAsia="Times New Roman" w:hAnsi="Times New Roman"/>
                <w:sz w:val="15"/>
                <w:szCs w:val="15"/>
                <w:b w:val="1"/>
                <w:bCs w:val="1"/>
                <w:color w:val="auto"/>
                <w:vertAlign w:val="superscript"/>
              </w:rPr>
              <w:t>(1)</w:t>
            </w:r>
          </w:p>
        </w:tc>
        <w:tc>
          <w:tcPr>
            <w:tcW w:w="180" w:type="dxa"/>
            <w:vAlign w:val="bottom"/>
            <w:tcBorders>
              <w:top w:val="single" w:sz="8" w:color="CCEEFF"/>
            </w:tcBorders>
            <w:gridSpan w:val="2"/>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1140" w:type="dxa"/>
            <w:vAlign w:val="bottom"/>
            <w:shd w:val="clear" w:color="auto" w:fill="000000"/>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25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6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OneValley, Inc. (f/k/a NestGSV,</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6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Inc.) –Convertible Promissory Note</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$ 1,010,198</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505,099</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505,099</w:t>
            </w:r>
          </w:p>
        </w:tc>
        <w:tc>
          <w:tcPr>
            <w:tcW w:w="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2560" w:type="dxa"/>
            <w:vAlign w:val="bottom"/>
            <w:gridSpan w:val="4"/>
          </w:tcPr>
          <w:p>
            <w:pPr>
              <w:ind w:left="200"/>
              <w:spacing w:after="0" w:line="207" w:lineRule="exact"/>
              <w:rPr>
                <w:sz w:val="20"/>
                <w:szCs w:val="20"/>
                <w:color w:val="auto"/>
              </w:rPr>
            </w:pPr>
            <w:r>
              <w:rPr>
                <w:rFonts w:ascii="Times New Roman" w:cs="Times New Roman" w:eastAsia="Times New Roman" w:hAnsi="Times New Roman"/>
                <w:sz w:val="16"/>
                <w:szCs w:val="16"/>
                <w:color w:val="auto"/>
              </w:rPr>
              <w:t>8% Due 8/23/2024</w:t>
            </w:r>
            <w:r>
              <w:rPr>
                <w:rFonts w:ascii="Times New Roman" w:cs="Times New Roman" w:eastAsia="Times New Roman" w:hAnsi="Times New Roman"/>
                <w:sz w:val="20"/>
                <w:szCs w:val="20"/>
                <w:color w:val="auto"/>
                <w:vertAlign w:val="superscript"/>
              </w:rPr>
              <w:t>(3)(6)</w:t>
            </w: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505,099</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6"/>
        </w:trPr>
        <w:tc>
          <w:tcPr>
            <w:tcW w:w="25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Knowledge Networks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6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Maven Research, Inc.–Preferred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318,979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56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shares, Series C</w:t>
            </w: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560" w:type="dxa"/>
            <w:vAlign w:val="bottom"/>
            <w:gridSpan w:val="4"/>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Maven Research, Inc.–Preferred</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5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shares, Series B</w:t>
            </w: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60" w:type="dxa"/>
            <w:vAlign w:val="bottom"/>
            <w:gridSpan w:val="4"/>
          </w:tcPr>
          <w:p>
            <w:pPr>
              <w:ind w:left="120"/>
              <w:spacing w:after="0"/>
              <w:rPr>
                <w:sz w:val="20"/>
                <w:szCs w:val="20"/>
                <w:color w:val="auto"/>
              </w:rPr>
            </w:pPr>
            <w:r>
              <w:rPr>
                <w:rFonts w:ascii="Times New Roman" w:cs="Times New Roman" w:eastAsia="Times New Roman" w:hAnsi="Times New Roman"/>
                <w:sz w:val="16"/>
                <w:szCs w:val="16"/>
                <w:i w:val="1"/>
                <w:iCs w:val="1"/>
                <w:color w:val="auto"/>
              </w:rPr>
              <w:t>Total Knowledge Networks</w:t>
            </w:r>
          </w:p>
        </w:tc>
        <w:tc>
          <w:tcPr>
            <w:tcW w:w="8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5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6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OzyMedia, Inc.–Preferred shares,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683,482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56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Series C-2 6%</w:t>
            </w: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560" w:type="dxa"/>
            <w:vAlign w:val="bottom"/>
            <w:gridSpan w:val="4"/>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OzyMedia, Inc.–Preferred shares,</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922,509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5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Series B 6%</w:t>
            </w: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56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OzyMedia, Inc.–Preferred shares,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1,090,909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56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Series A 6%</w:t>
            </w: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560" w:type="dxa"/>
            <w:vAlign w:val="bottom"/>
            <w:gridSpan w:val="4"/>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OzyMedia, Inc.–Preferred shares,</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5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Series Seed 6%</w:t>
            </w: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60" w:type="dxa"/>
            <w:vAlign w:val="bottom"/>
            <w:gridSpan w:val="4"/>
          </w:tcPr>
          <w:p>
            <w:pPr>
              <w:ind w:left="120"/>
              <w:spacing w:after="0"/>
              <w:rPr>
                <w:sz w:val="20"/>
                <w:szCs w:val="20"/>
                <w:color w:val="auto"/>
              </w:rPr>
            </w:pPr>
            <w:r>
              <w:rPr>
                <w:rFonts w:ascii="Times New Roman" w:cs="Times New Roman" w:eastAsia="Times New Roman" w:hAnsi="Times New Roman"/>
                <w:sz w:val="16"/>
                <w:szCs w:val="16"/>
                <w:i w:val="1"/>
                <w:iCs w:val="1"/>
                <w:color w:val="auto"/>
              </w:rPr>
              <w:t>Total Digital Media Platform</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5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Interactive Learning</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6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StormWind, LLC–Preferred shares,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329,337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621,093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(17,243)</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603,850</w:t>
            </w:r>
          </w:p>
        </w:tc>
        <w:tc>
          <w:tcPr>
            <w:tcW w:w="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2560" w:type="dxa"/>
            <w:vAlign w:val="bottom"/>
            <w:gridSpan w:val="4"/>
          </w:tcPr>
          <w:p>
            <w:pPr>
              <w:ind w:left="200"/>
              <w:spacing w:after="0" w:line="207" w:lineRule="exact"/>
              <w:rPr>
                <w:sz w:val="20"/>
                <w:szCs w:val="20"/>
                <w:color w:val="auto"/>
              </w:rPr>
            </w:pPr>
            <w:r>
              <w:rPr>
                <w:rFonts w:ascii="Times New Roman" w:cs="Times New Roman" w:eastAsia="Times New Roman" w:hAnsi="Times New Roman"/>
                <w:sz w:val="16"/>
                <w:szCs w:val="16"/>
                <w:color w:val="auto"/>
              </w:rPr>
              <w:t>Series D 8%</w:t>
            </w:r>
            <w:r>
              <w:rPr>
                <w:rFonts w:ascii="Times New Roman" w:cs="Times New Roman" w:eastAsia="Times New Roman" w:hAnsi="Times New Roman"/>
                <w:sz w:val="20"/>
                <w:szCs w:val="20"/>
                <w:color w:val="auto"/>
                <w:vertAlign w:val="superscript"/>
              </w:rPr>
              <w:t>(5)</w:t>
            </w: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560" w:type="dxa"/>
            <w:vAlign w:val="bottom"/>
            <w:gridSpan w:val="4"/>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StormWind, LLC–Preferred shares,</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2,779,134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6,496,729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(161,611)</w:t>
            </w:r>
          </w:p>
        </w:tc>
        <w:tc>
          <w:tcPr>
            <w:tcW w:w="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6,335,118</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7"/>
        </w:trPr>
        <w:tc>
          <w:tcPr>
            <w:tcW w:w="2560" w:type="dxa"/>
            <w:vAlign w:val="bottom"/>
            <w:gridSpan w:val="4"/>
            <w:shd w:val="clear" w:color="auto" w:fill="CCEEFF"/>
          </w:tcPr>
          <w:p>
            <w:pPr>
              <w:ind w:left="200"/>
              <w:spacing w:after="0" w:line="207" w:lineRule="exact"/>
              <w:rPr>
                <w:sz w:val="20"/>
                <w:szCs w:val="20"/>
                <w:color w:val="auto"/>
              </w:rPr>
            </w:pPr>
            <w:r>
              <w:rPr>
                <w:rFonts w:ascii="Times New Roman" w:cs="Times New Roman" w:eastAsia="Times New Roman" w:hAnsi="Times New Roman"/>
                <w:sz w:val="16"/>
                <w:szCs w:val="16"/>
                <w:color w:val="auto"/>
              </w:rPr>
              <w:t>Series C 8%</w:t>
            </w:r>
            <w:r>
              <w:rPr>
                <w:rFonts w:ascii="Times New Roman" w:cs="Times New Roman" w:eastAsia="Times New Roman" w:hAnsi="Times New Roman"/>
                <w:sz w:val="20"/>
                <w:szCs w:val="20"/>
                <w:color w:val="auto"/>
                <w:vertAlign w:val="superscript"/>
              </w:rPr>
              <w:t>(5)</w:t>
            </w: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56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StormWind, LLC–Preferred shares,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3,279,629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4,423,607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(171,707)</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4,251,900</w:t>
            </w:r>
          </w:p>
        </w:tc>
        <w:tc>
          <w:tcPr>
            <w:tcW w:w="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7"/>
        </w:trPr>
        <w:tc>
          <w:tcPr>
            <w:tcW w:w="2560" w:type="dxa"/>
            <w:vAlign w:val="bottom"/>
            <w:gridSpan w:val="4"/>
          </w:tcPr>
          <w:p>
            <w:pPr>
              <w:ind w:left="200"/>
              <w:spacing w:after="0" w:line="207" w:lineRule="exact"/>
              <w:rPr>
                <w:sz w:val="20"/>
                <w:szCs w:val="20"/>
                <w:color w:val="auto"/>
              </w:rPr>
            </w:pPr>
            <w:r>
              <w:rPr>
                <w:rFonts w:ascii="Times New Roman" w:cs="Times New Roman" w:eastAsia="Times New Roman" w:hAnsi="Times New Roman"/>
                <w:sz w:val="16"/>
                <w:szCs w:val="16"/>
                <w:color w:val="auto"/>
              </w:rPr>
              <w:t>Series B 8%</w:t>
            </w:r>
            <w:r>
              <w:rPr>
                <w:rFonts w:ascii="Times New Roman" w:cs="Times New Roman" w:eastAsia="Times New Roman" w:hAnsi="Times New Roman"/>
                <w:sz w:val="20"/>
                <w:szCs w:val="20"/>
                <w:color w:val="auto"/>
                <w:vertAlign w:val="superscript"/>
              </w:rPr>
              <w:t>(5)</w:t>
            </w: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560" w:type="dxa"/>
            <w:vAlign w:val="bottom"/>
            <w:gridSpan w:val="4"/>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StormWind, LLC–Preferred shares,</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366,666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289,293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(19,197)</w:t>
            </w:r>
          </w:p>
        </w:tc>
        <w:tc>
          <w:tcPr>
            <w:tcW w:w="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270,096</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7"/>
        </w:trPr>
        <w:tc>
          <w:tcPr>
            <w:tcW w:w="2560" w:type="dxa"/>
            <w:vAlign w:val="bottom"/>
            <w:gridSpan w:val="4"/>
            <w:shd w:val="clear" w:color="auto" w:fill="CCEEFF"/>
          </w:tcPr>
          <w:p>
            <w:pPr>
              <w:ind w:left="200"/>
              <w:spacing w:after="0" w:line="207" w:lineRule="exact"/>
              <w:rPr>
                <w:sz w:val="20"/>
                <w:szCs w:val="20"/>
                <w:color w:val="auto"/>
              </w:rPr>
            </w:pPr>
            <w:r>
              <w:rPr>
                <w:rFonts w:ascii="Times New Roman" w:cs="Times New Roman" w:eastAsia="Times New Roman" w:hAnsi="Times New Roman"/>
                <w:sz w:val="16"/>
                <w:szCs w:val="16"/>
                <w:color w:val="auto"/>
              </w:rPr>
              <w:t>Series A 8%</w:t>
            </w:r>
            <w:r>
              <w:rPr>
                <w:rFonts w:ascii="Times New Roman" w:cs="Times New Roman" w:eastAsia="Times New Roman" w:hAnsi="Times New Roman"/>
                <w:sz w:val="20"/>
                <w:szCs w:val="20"/>
                <w:color w:val="auto"/>
                <w:vertAlign w:val="superscript"/>
              </w:rPr>
              <w:t>(5)</w:t>
            </w: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60" w:type="dxa"/>
            <w:vAlign w:val="bottom"/>
            <w:gridSpan w:val="4"/>
          </w:tcPr>
          <w:p>
            <w:pPr>
              <w:ind w:left="120"/>
              <w:spacing w:after="0"/>
              <w:rPr>
                <w:sz w:val="20"/>
                <w:szCs w:val="20"/>
                <w:color w:val="auto"/>
              </w:rPr>
            </w:pPr>
            <w:r>
              <w:rPr>
                <w:rFonts w:ascii="Times New Roman" w:cs="Times New Roman" w:eastAsia="Times New Roman" w:hAnsi="Times New Roman"/>
                <w:sz w:val="16"/>
                <w:szCs w:val="16"/>
                <w:i w:val="1"/>
                <w:iCs w:val="1"/>
                <w:color w:val="auto"/>
              </w:rPr>
              <w:t>Total Interactive Learning</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11,830,722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(369,758)</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11,460,964</w:t>
            </w:r>
          </w:p>
        </w:tc>
        <w:tc>
          <w:tcPr>
            <w:tcW w:w="8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9"/>
        </w:trPr>
        <w:tc>
          <w:tcPr>
            <w:tcW w:w="2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11,830,722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(369,758)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11,460,964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340"/>
          </w:cols>
          <w:pgMar w:left="320" w:top="11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Interest,</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Purchases,</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Fees, or</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Fair Value at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Capitalized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Fair Value at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w:t>
            </w:r>
          </w:p>
        </w:tc>
        <w:tc>
          <w:tcPr>
            <w:tcW w:w="0" w:type="dxa"/>
            <w:vAlign w:val="bottom"/>
          </w:tcPr>
          <w:p>
            <w:pPr>
              <w:spacing w:after="0"/>
              <w:rPr>
                <w:sz w:val="1"/>
                <w:szCs w:val="1"/>
                <w:color w:val="auto"/>
              </w:rPr>
            </w:pPr>
          </w:p>
        </w:tc>
      </w:tr>
      <w:tr>
        <w:trPr>
          <w:trHeight w:val="131"/>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Principal/</w:t>
            </w:r>
          </w:p>
        </w:tc>
        <w:tc>
          <w:tcPr>
            <w:tcW w:w="7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9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Fees,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gridSpan w:val="3"/>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5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6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96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Interest and</w:t>
            </w:r>
          </w:p>
        </w:tc>
        <w:tc>
          <w:tcPr>
            <w:tcW w:w="120" w:type="dxa"/>
            <w:vAlign w:val="bottom"/>
          </w:tcPr>
          <w:p>
            <w:pPr>
              <w:spacing w:after="0"/>
              <w:rPr>
                <w:sz w:val="12"/>
                <w:szCs w:val="12"/>
                <w:color w:val="auto"/>
              </w:rPr>
            </w:pP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6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Quantity</w:t>
            </w: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in Income</w:t>
            </w:r>
          </w:p>
        </w:tc>
        <w:tc>
          <w:tcPr>
            <w:tcW w:w="120" w:type="dxa"/>
            <w:vAlign w:val="bottom"/>
          </w:tcPr>
          <w:p>
            <w:pPr>
              <w:spacing w:after="0"/>
              <w:rPr>
                <w:sz w:val="16"/>
                <w:szCs w:val="16"/>
                <w:color w:val="auto"/>
              </w:rPr>
            </w:pPr>
          </w:p>
        </w:tc>
        <w:tc>
          <w:tcPr>
            <w:tcW w:w="78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(Out)</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2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6"/>
                <w:szCs w:val="16"/>
                <w:color w:val="auto"/>
              </w:rPr>
            </w:pPr>
          </w:p>
        </w:tc>
        <w:tc>
          <w:tcPr>
            <w:tcW w:w="7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3"/>
        </w:trPr>
        <w:tc>
          <w:tcPr>
            <w:tcW w:w="2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8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520" w:type="dxa"/>
            <w:vAlign w:val="bottom"/>
            <w:gridSpan w:val="2"/>
          </w:tcPr>
          <w:p>
            <w:pPr>
              <w:ind w:left="200"/>
              <w:spacing w:after="0" w:line="148" w:lineRule="exact"/>
              <w:rPr>
                <w:sz w:val="20"/>
                <w:szCs w:val="20"/>
                <w:color w:val="auto"/>
              </w:rPr>
            </w:pPr>
            <w:r>
              <w:rPr>
                <w:rFonts w:ascii="Times New Roman" w:cs="Times New Roman" w:eastAsia="Times New Roman" w:hAnsi="Times New Roman"/>
                <w:sz w:val="16"/>
                <w:szCs w:val="16"/>
                <w:color w:val="auto"/>
              </w:rPr>
              <w:t>Ozy Media, Inc.–Common</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2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Warrants, Strike Price $0.01,</w:t>
            </w:r>
          </w:p>
        </w:tc>
        <w:tc>
          <w:tcPr>
            <w:tcW w:w="82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295,565</w:t>
            </w:r>
          </w:p>
        </w:tc>
        <w:tc>
          <w:tcPr>
            <w:tcW w:w="6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Expiration Date 4/9/2028</w:t>
            </w: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2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OneValley, Inc. (f/k/a NestGSV,</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2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Inc.)–Preferred Warrant Series B,</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2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Strike Price $2.31, Expiration Date</w:t>
            </w:r>
          </w:p>
        </w:tc>
        <w:tc>
          <w:tcPr>
            <w:tcW w:w="82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125,000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5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5/29/2022</w:t>
            </w: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520" w:type="dxa"/>
            <w:vAlign w:val="bottom"/>
            <w:gridSpan w:val="2"/>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OneValley, Inc. (f/k/a NestGSV,</w:t>
            </w: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2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Inc.)–Preferred Warrant Series B,</w:t>
            </w: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2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Strike Price $2.31, Expiration Date</w:t>
            </w:r>
          </w:p>
        </w:tc>
        <w:tc>
          <w:tcPr>
            <w:tcW w:w="8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250,000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5,000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12"/>
        </w:trPr>
        <w:tc>
          <w:tcPr>
            <w:tcW w:w="2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12/31/2023</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52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4"/>
                <w:szCs w:val="14"/>
                <w:color w:val="auto"/>
              </w:rPr>
              <w:t>Derivative Security, Expiration</w:t>
            </w:r>
          </w:p>
        </w:tc>
        <w:tc>
          <w:tcPr>
            <w:tcW w:w="82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1"/>
                <w:szCs w:val="11"/>
                <w:color w:val="auto"/>
              </w:rPr>
            </w:pPr>
          </w:p>
        </w:tc>
        <w:tc>
          <w:tcPr>
            <w:tcW w:w="7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2,268,268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1"/>
                <w:szCs w:val="11"/>
                <w:color w:val="auto"/>
              </w:rPr>
            </w:pPr>
          </w:p>
        </w:tc>
        <w:tc>
          <w:tcPr>
            <w:tcW w:w="5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80,655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2,348,923</w:t>
            </w: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0" w:type="dxa"/>
            <w:vAlign w:val="bottom"/>
          </w:tcPr>
          <w:p>
            <w:pPr>
              <w:spacing w:after="0"/>
              <w:rPr>
                <w:sz w:val="1"/>
                <w:szCs w:val="1"/>
                <w:color w:val="auto"/>
              </w:rPr>
            </w:pPr>
          </w:p>
        </w:tc>
      </w:tr>
      <w:tr>
        <w:trPr>
          <w:trHeight w:val="207"/>
        </w:trPr>
        <w:tc>
          <w:tcPr>
            <w:tcW w:w="2520" w:type="dxa"/>
            <w:vAlign w:val="bottom"/>
            <w:gridSpan w:val="2"/>
          </w:tcPr>
          <w:p>
            <w:pPr>
              <w:ind w:left="200"/>
              <w:spacing w:after="0" w:line="207" w:lineRule="exact"/>
              <w:rPr>
                <w:sz w:val="20"/>
                <w:szCs w:val="20"/>
                <w:color w:val="auto"/>
              </w:rPr>
            </w:pPr>
            <w:r>
              <w:rPr>
                <w:rFonts w:ascii="Times New Roman" w:cs="Times New Roman" w:eastAsia="Times New Roman" w:hAnsi="Times New Roman"/>
                <w:sz w:val="16"/>
                <w:szCs w:val="16"/>
                <w:color w:val="auto"/>
              </w:rPr>
              <w:t>Date 8/23/2024</w:t>
            </w:r>
            <w:r>
              <w:rPr>
                <w:rFonts w:ascii="Times New Roman" w:cs="Times New Roman" w:eastAsia="Times New Roman" w:hAnsi="Times New Roman"/>
                <w:sz w:val="20"/>
                <w:szCs w:val="20"/>
                <w:color w:val="auto"/>
                <w:vertAlign w:val="superscript"/>
              </w:rPr>
              <w:t>(6)</w:t>
            </w: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Total Global Innovation Platform</w:t>
            </w:r>
          </w:p>
        </w:tc>
        <w:tc>
          <w:tcPr>
            <w:tcW w:w="8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2,273,268</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80,655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2,353,923</w:t>
            </w: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0" w:type="dxa"/>
            <w:vAlign w:val="bottom"/>
          </w:tcPr>
          <w:p>
            <w:pPr>
              <w:spacing w:after="0"/>
              <w:rPr>
                <w:sz w:val="1"/>
                <w:szCs w:val="1"/>
                <w:color w:val="auto"/>
              </w:rPr>
            </w:pPr>
          </w:p>
        </w:tc>
      </w:tr>
      <w:tr>
        <w:trPr>
          <w:trHeight w:val="206"/>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2,273,268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80,655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2,353,923</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0" w:type="dxa"/>
            <w:vAlign w:val="bottom"/>
          </w:tcPr>
          <w:p>
            <w:pPr>
              <w:spacing w:after="0"/>
              <w:rPr>
                <w:sz w:val="1"/>
                <w:szCs w:val="1"/>
                <w:color w:val="auto"/>
              </w:rPr>
            </w:pPr>
          </w:p>
        </w:tc>
      </w:tr>
      <w:tr>
        <w:trPr>
          <w:trHeight w:val="221"/>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2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Online Education</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Curious.com, Inc.–Common shares</w:t>
            </w:r>
          </w:p>
        </w:tc>
        <w:tc>
          <w:tcPr>
            <w:tcW w:w="8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1,135,944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ind w:left="36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00" w:type="dxa"/>
            <w:vAlign w:val="bottom"/>
            <w:gridSpan w:val="2"/>
          </w:tcPr>
          <w:p>
            <w:pPr>
              <w:ind w:left="40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00" w:type="dxa"/>
            <w:vAlign w:val="bottom"/>
            <w:gridSpan w:val="2"/>
          </w:tcPr>
          <w:p>
            <w:pPr>
              <w:ind w:left="50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520" w:type="dxa"/>
            <w:vAlign w:val="bottom"/>
            <w:gridSpan w:val="2"/>
          </w:tcPr>
          <w:p>
            <w:pPr>
              <w:ind w:left="2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20" w:type="dxa"/>
            <w:vAlign w:val="bottom"/>
            <w:gridSpan w:val="2"/>
          </w:tcPr>
          <w:p>
            <w:pPr>
              <w:ind w:left="5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9"/>
        </w:trPr>
        <w:tc>
          <w:tcPr>
            <w:tcW w:w="244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6"/>
                <w:szCs w:val="16"/>
                <w:b w:val="1"/>
                <w:bCs w:val="1"/>
                <w:color w:val="auto"/>
              </w:rPr>
              <w:t>TOTAL NON-</w:t>
            </w: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CONTROLLED/AFFILIATE</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w w:val="94"/>
              </w:rPr>
              <w:t>14,609,089</w:t>
            </w:r>
          </w:p>
        </w:tc>
        <w:tc>
          <w:tcPr>
            <w:tcW w:w="6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(289,103)</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14,319,986</w:t>
            </w:r>
          </w:p>
        </w:tc>
        <w:tc>
          <w:tcPr>
            <w:tcW w:w="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3.76</w:t>
            </w:r>
          </w:p>
        </w:tc>
        <w:tc>
          <w:tcPr>
            <w:tcW w:w="0" w:type="dxa"/>
            <w:vAlign w:val="bottom"/>
          </w:tcPr>
          <w:p>
            <w:pPr>
              <w:spacing w:after="0"/>
              <w:rPr>
                <w:sz w:val="1"/>
                <w:szCs w:val="1"/>
                <w:color w:val="auto"/>
              </w:rPr>
            </w:pPr>
          </w:p>
        </w:tc>
      </w:tr>
      <w:tr>
        <w:trPr>
          <w:trHeight w:val="241"/>
        </w:trPr>
        <w:tc>
          <w:tcPr>
            <w:tcW w:w="2440" w:type="dxa"/>
            <w:vAlign w:val="bottom"/>
            <w:tcBorders>
              <w:bottom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0"/>
                <w:szCs w:val="20"/>
                <w:b w:val="1"/>
                <w:bCs w:val="1"/>
                <w:color w:val="auto"/>
                <w:vertAlign w:val="superscript"/>
              </w:rPr>
              <w:t>(1)</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6762115</wp:posOffset>
            </wp:positionH>
            <wp:positionV relativeFrom="paragraph">
              <wp:posOffset>-1157605</wp:posOffset>
            </wp:positionV>
            <wp:extent cx="495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530" cy="8255"/>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-1157605</wp:posOffset>
            </wp:positionV>
            <wp:extent cx="495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530" cy="8255"/>
                    </a:xfrm>
                    <a:prstGeom prst="rect">
                      <a:avLst/>
                    </a:prstGeom>
                    <a:noFill/>
                  </pic:spPr>
                </pic:pic>
              </a:graphicData>
            </a:graphic>
          </wp:anchor>
        </w:drawing>
        <w:drawing>
          <wp:anchor simplePos="0" relativeHeight="251657728" behindDoc="1" locked="0" layoutInCell="0" allowOverlap="1">
            <wp:simplePos x="0" y="0"/>
            <wp:positionH relativeFrom="column">
              <wp:posOffset>4914265</wp:posOffset>
            </wp:positionH>
            <wp:positionV relativeFrom="paragraph">
              <wp:posOffset>-1157605</wp:posOffset>
            </wp:positionV>
            <wp:extent cx="495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530" cy="8255"/>
                    </a:xfrm>
                    <a:prstGeom prst="rect">
                      <a:avLst/>
                    </a:prstGeom>
                    <a:noFill/>
                  </pic:spPr>
                </pic:pic>
              </a:graphicData>
            </a:graphic>
          </wp:anchor>
        </w:drawing>
        <w:drawing>
          <wp:anchor simplePos="0" relativeHeight="251657728" behindDoc="1" locked="0" layoutInCell="0" allowOverlap="1">
            <wp:simplePos x="0" y="0"/>
            <wp:positionH relativeFrom="column">
              <wp:posOffset>1825625</wp:posOffset>
            </wp:positionH>
            <wp:positionV relativeFrom="paragraph">
              <wp:posOffset>-1157605</wp:posOffset>
            </wp:positionV>
            <wp:extent cx="5670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7055"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32" w:lineRule="exact"/>
        <w:rPr>
          <w:sz w:val="20"/>
          <w:szCs w:val="20"/>
          <w:color w:val="auto"/>
        </w:rPr>
      </w:pPr>
    </w:p>
    <w:p>
      <w:pPr>
        <w:jc w:val="both"/>
        <w:ind w:left="320" w:right="100" w:hanging="317"/>
        <w:spacing w:after="0" w:line="263" w:lineRule="auto"/>
        <w:tabs>
          <w:tab w:leader="none" w:pos="28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210" w:lineRule="exact"/>
        <w:rPr>
          <w:sz w:val="20"/>
          <w:szCs w:val="20"/>
          <w:color w:val="auto"/>
        </w:rPr>
      </w:pPr>
    </w:p>
    <w:p>
      <w:pPr>
        <w:ind w:left="320" w:right="100" w:hanging="317"/>
        <w:spacing w:after="0" w:line="260" w:lineRule="auto"/>
        <w:tabs>
          <w:tab w:leader="none" w:pos="20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Investment Company Act of 1940, as amended (the “1940 Act”). Of the Company’s total investments as of March 31, 2022, 43.76% of its total investments are non-qualifying assets.</w:t>
      </w:r>
    </w:p>
    <w:p>
      <w:pPr>
        <w:spacing w:after="0" w:line="196" w:lineRule="exact"/>
        <w:rPr>
          <w:rFonts w:ascii="Times New Roman" w:cs="Times New Roman" w:eastAsia="Times New Roman" w:hAnsi="Times New Roman"/>
          <w:sz w:val="16"/>
          <w:szCs w:val="16"/>
          <w:color w:val="auto"/>
        </w:rPr>
      </w:pPr>
    </w:p>
    <w:p>
      <w:pPr>
        <w:ind w:left="400" w:hanging="397"/>
        <w:spacing w:after="0"/>
        <w:tabs>
          <w:tab w:leader="none" w:pos="4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243" w:lineRule="exact"/>
        <w:rPr>
          <w:sz w:val="20"/>
          <w:szCs w:val="20"/>
          <w:color w:val="auto"/>
        </w:rPr>
      </w:pPr>
    </w:p>
    <w:p>
      <w:pPr>
        <w:ind w:left="460" w:right="100" w:hanging="457"/>
        <w:spacing w:after="0" w:line="256" w:lineRule="auto"/>
        <w:tabs>
          <w:tab w:leader="none" w:pos="39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w:t>
      </w: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340"/>
          </w:cols>
          <w:pgMar w:left="320" w:top="11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217" w:lineRule="exact"/>
        <w:rPr>
          <w:sz w:val="20"/>
          <w:szCs w:val="20"/>
          <w:color w:val="auto"/>
        </w:rPr>
      </w:pPr>
    </w:p>
    <w:p>
      <w:pPr>
        <w:ind w:left="460" w:hanging="457"/>
        <w:spacing w:after="0" w:line="256" w:lineRule="auto"/>
        <w:tabs>
          <w:tab w:leader="none" w:pos="334"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200" w:lineRule="exact"/>
        <w:rPr>
          <w:rFonts w:ascii="Times New Roman" w:cs="Times New Roman" w:eastAsia="Times New Roman" w:hAnsi="Times New Roman"/>
          <w:sz w:val="16"/>
          <w:szCs w:val="16"/>
          <w:color w:val="auto"/>
        </w:rPr>
      </w:pPr>
    </w:p>
    <w:p>
      <w:pPr>
        <w:ind w:left="340" w:hanging="337"/>
        <w:spacing w:after="0"/>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2022, the investments noted had been placed on non-accrual status.</w:t>
      </w:r>
    </w:p>
    <w:p>
      <w:pPr>
        <w:spacing w:after="0" w:line="242" w:lineRule="exact"/>
        <w:rPr>
          <w:rFonts w:ascii="Times New Roman" w:cs="Times New Roman" w:eastAsia="Times New Roman" w:hAnsi="Times New Roman"/>
          <w:sz w:val="16"/>
          <w:szCs w:val="16"/>
          <w:color w:val="auto"/>
        </w:rPr>
      </w:pPr>
    </w:p>
    <w:p>
      <w:pPr>
        <w:ind w:left="460" w:hanging="457"/>
        <w:spacing w:after="0" w:line="260" w:lineRule="auto"/>
        <w:tabs>
          <w:tab w:leader="none" w:pos="34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SPBRX, INC. (f/k/a GSV Sustainability Partners, Inc.) preferred shares held by SuRo Capital Corp. do not entitle SuRo Capital Corp. to a preferred dividend rate. SuRo Capital Corp. does not anticipate that SPBRX, INC. will pay distributions on a quarterly or regular basis or become a predictable distributor of distributions.</w:t>
      </w:r>
    </w:p>
    <w:p>
      <w:pPr>
        <w:spacing w:after="0" w:line="196" w:lineRule="exact"/>
        <w:rPr>
          <w:rFonts w:ascii="Times New Roman" w:cs="Times New Roman" w:eastAsia="Times New Roman" w:hAnsi="Times New Roman"/>
          <w:sz w:val="16"/>
          <w:szCs w:val="16"/>
          <w:color w:val="auto"/>
        </w:rPr>
      </w:pPr>
    </w:p>
    <w:p>
      <w:pPr>
        <w:ind w:left="340" w:hanging="337"/>
        <w:spacing w:after="0"/>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242" w:lineRule="exact"/>
        <w:rPr>
          <w:rFonts w:ascii="Times New Roman" w:cs="Times New Roman" w:eastAsia="Times New Roman" w:hAnsi="Times New Roman"/>
          <w:sz w:val="16"/>
          <w:szCs w:val="16"/>
          <w:color w:val="auto"/>
        </w:rPr>
      </w:pPr>
    </w:p>
    <w:p>
      <w:pPr>
        <w:ind w:left="460" w:hanging="457"/>
        <w:spacing w:after="0" w:line="256" w:lineRule="auto"/>
        <w:tabs>
          <w:tab w:leader="none" w:pos="37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while SuRo Capital Corp. can put the shares to OneValley, Inc. (f/k/a NestGSV, Inc.) at the end of the five year period.</w:t>
      </w:r>
    </w:p>
    <w:p>
      <w:pPr>
        <w:spacing w:after="0" w:line="200" w:lineRule="exact"/>
        <w:rPr>
          <w:rFonts w:ascii="Times New Roman" w:cs="Times New Roman" w:eastAsia="Times New Roman" w:hAnsi="Times New Roman"/>
          <w:sz w:val="16"/>
          <w:szCs w:val="16"/>
          <w:color w:val="auto"/>
        </w:rPr>
      </w:pPr>
    </w:p>
    <w:p>
      <w:pPr>
        <w:ind w:left="460" w:hanging="457"/>
        <w:spacing w:after="0" w:line="260" w:lineRule="auto"/>
        <w:tabs>
          <w:tab w:leader="none" w:pos="37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Schedule of Investments In, and Advances to, Affiliates</w:t>
      </w:r>
    </w:p>
    <w:p>
      <w:pPr>
        <w:spacing w:after="0" w:line="246" w:lineRule="exact"/>
        <w:rPr>
          <w:sz w:val="20"/>
          <w:szCs w:val="20"/>
          <w:color w:val="auto"/>
        </w:rPr>
      </w:pPr>
    </w:p>
    <w:p>
      <w:pPr>
        <w:ind w:right="420" w:firstLine="349"/>
        <w:spacing w:after="0" w:line="274" w:lineRule="auto"/>
        <w:rPr>
          <w:sz w:val="20"/>
          <w:szCs w:val="20"/>
          <w:color w:val="auto"/>
        </w:rPr>
      </w:pPr>
      <w:r>
        <w:rPr>
          <w:rFonts w:ascii="Times New Roman" w:cs="Times New Roman" w:eastAsia="Times New Roman" w:hAnsi="Times New Roman"/>
          <w:sz w:val="17"/>
          <w:szCs w:val="17"/>
          <w:color w:val="auto"/>
        </w:rPr>
        <w:t>Transactions during the year ended December 31, 2021 involving the Company’s controlled investments and non-controlled/affiliate investments were as follows:</w:t>
      </w:r>
    </w:p>
    <w:tbl>
      <w:tblPr>
        <w:tblLayout w:type="fixed"/>
        <w:tblInd w:w="360" w:type="dxa"/>
        <w:tblCellMar>
          <w:top w:w="0" w:type="dxa"/>
          <w:left w:w="0" w:type="dxa"/>
          <w:bottom w:w="0" w:type="dxa"/>
          <w:right w:w="0" w:type="dxa"/>
        </w:tblCellMar>
      </w:tblPr>
      <w:tr>
        <w:trPr>
          <w:trHeight w:val="143"/>
        </w:trPr>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5"/>
              </w:rPr>
              <w:t>Interest,</w:t>
            </w:r>
          </w:p>
        </w:tc>
        <w:tc>
          <w:tcPr>
            <w:tcW w:w="8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Purchases,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Fees, or</w:t>
            </w:r>
          </w:p>
        </w:tc>
        <w:tc>
          <w:tcPr>
            <w:tcW w:w="8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Capitalized</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w:t>
            </w:r>
          </w:p>
        </w:tc>
        <w:tc>
          <w:tcPr>
            <w:tcW w:w="0" w:type="dxa"/>
            <w:vAlign w:val="bottom"/>
          </w:tcPr>
          <w:p>
            <w:pPr>
              <w:spacing w:after="0"/>
              <w:rPr>
                <w:sz w:val="1"/>
                <w:szCs w:val="1"/>
                <w:color w:val="auto"/>
              </w:rPr>
            </w:pPr>
          </w:p>
        </w:tc>
      </w:tr>
      <w:tr>
        <w:trPr>
          <w:trHeight w:val="129"/>
        </w:trPr>
        <w:tc>
          <w:tcPr>
            <w:tcW w:w="2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Principal/</w:t>
            </w:r>
          </w:p>
        </w:tc>
        <w:tc>
          <w:tcPr>
            <w:tcW w:w="76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20" w:type="dxa"/>
            <w:vAlign w:val="bottom"/>
          </w:tcPr>
          <w:p>
            <w:pPr>
              <w:spacing w:after="0"/>
              <w:rPr>
                <w:sz w:val="11"/>
                <w:szCs w:val="11"/>
                <w:color w:val="auto"/>
              </w:rPr>
            </w:pPr>
          </w:p>
        </w:tc>
        <w:tc>
          <w:tcPr>
            <w:tcW w:w="7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at</w:t>
            </w:r>
          </w:p>
        </w:tc>
        <w:tc>
          <w:tcPr>
            <w:tcW w:w="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80" w:type="dxa"/>
            <w:vAlign w:val="bottom"/>
          </w:tcPr>
          <w:p>
            <w:pPr>
              <w:spacing w:after="0"/>
              <w:rPr>
                <w:sz w:val="11"/>
                <w:szCs w:val="11"/>
                <w:color w:val="auto"/>
              </w:rPr>
            </w:pPr>
          </w:p>
        </w:tc>
        <w:tc>
          <w:tcPr>
            <w:tcW w:w="86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Fees,</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0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40" w:type="dxa"/>
            <w:vAlign w:val="bottom"/>
            <w:gridSpan w:val="3"/>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60" w:type="dxa"/>
            <w:vAlign w:val="bottom"/>
            <w:gridSpan w:val="3"/>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840" w:type="dxa"/>
            <w:vAlign w:val="bottom"/>
            <w:gridSpan w:val="3"/>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December</w:t>
            </w:r>
          </w:p>
        </w:tc>
        <w:tc>
          <w:tcPr>
            <w:tcW w:w="760" w:type="dxa"/>
            <w:vAlign w:val="bottom"/>
            <w:gridSpan w:val="3"/>
            <w:vMerge w:val="continue"/>
          </w:tcPr>
          <w:p>
            <w:pPr>
              <w:spacing w:after="0"/>
              <w:rPr>
                <w:sz w:val="12"/>
                <w:szCs w:val="12"/>
                <w:color w:val="auto"/>
              </w:rPr>
            </w:pPr>
          </w:p>
        </w:tc>
        <w:tc>
          <w:tcPr>
            <w:tcW w:w="940" w:type="dxa"/>
            <w:vAlign w:val="bottom"/>
            <w:gridSpan w:val="3"/>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6"/>
              </w:rPr>
              <w:t>Interest and</w:t>
            </w:r>
          </w:p>
        </w:tc>
        <w:tc>
          <w:tcPr>
            <w:tcW w:w="100" w:type="dxa"/>
            <w:vAlign w:val="bottom"/>
          </w:tcPr>
          <w:p>
            <w:pPr>
              <w:spacing w:after="0"/>
              <w:rPr>
                <w:sz w:val="12"/>
                <w:szCs w:val="12"/>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3"/>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9"/>
        </w:trPr>
        <w:tc>
          <w:tcPr>
            <w:tcW w:w="22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Quantity</w:t>
            </w: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20" w:type="dxa"/>
            <w:vAlign w:val="bottom"/>
          </w:tcPr>
          <w:p>
            <w:pPr>
              <w:spacing w:after="0"/>
              <w:rPr>
                <w:sz w:val="16"/>
                <w:szCs w:val="16"/>
                <w:color w:val="auto"/>
              </w:rPr>
            </w:pPr>
          </w:p>
        </w:tc>
        <w:tc>
          <w:tcPr>
            <w:tcW w:w="6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7"/>
              </w:rPr>
              <w:t>31, 2020</w:t>
            </w:r>
          </w:p>
        </w:tc>
        <w:tc>
          <w:tcPr>
            <w:tcW w:w="80" w:type="dxa"/>
            <w:vAlign w:val="bottom"/>
          </w:tcPr>
          <w:p>
            <w:pPr>
              <w:spacing w:after="0"/>
              <w:rPr>
                <w:sz w:val="16"/>
                <w:szCs w:val="16"/>
                <w:color w:val="auto"/>
              </w:rPr>
            </w:pP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 (Out)</w:t>
            </w: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6"/>
                <w:szCs w:val="16"/>
                <w:color w:val="auto"/>
              </w:rPr>
            </w:pPr>
          </w:p>
        </w:tc>
        <w:tc>
          <w:tcPr>
            <w:tcW w:w="76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66"/>
        </w:trPr>
        <w:tc>
          <w:tcPr>
            <w:tcW w:w="2200" w:type="dxa"/>
            <w:vAlign w:val="bottom"/>
            <w:tcBorders>
              <w:top w:val="single" w:sz="8" w:color="auto"/>
            </w:tcBorders>
            <w:gridSpan w:val="4"/>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b w:val="1"/>
                <w:bCs w:val="1"/>
                <w:color w:val="auto"/>
              </w:rPr>
              <w:t>CONTROLLED</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40" w:type="dxa"/>
            <w:vAlign w:val="bottom"/>
            <w:tcBorders>
              <w:top w:val="single" w:sz="8" w:color="auto"/>
              <w:righ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860" w:type="dxa"/>
            <w:vAlign w:val="bottom"/>
            <w:tcBorders>
              <w:top w:val="single" w:sz="8" w:color="CCEEFF"/>
            </w:tcBorders>
            <w:shd w:val="clear" w:color="auto" w:fill="CCEEFF"/>
          </w:tcPr>
          <w:p>
            <w:pPr>
              <w:jc w:val="right"/>
              <w:ind w:right="623"/>
              <w:spacing w:after="0" w:line="136"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7"/>
                <w:szCs w:val="7"/>
                <w:b w:val="1"/>
                <w:bCs w:val="1"/>
                <w:color w:val="auto"/>
              </w:rPr>
              <w:t>(2)</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6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200" w:type="dxa"/>
            <w:vAlign w:val="bottom"/>
            <w:gridSpan w:val="4"/>
            <w:shd w:val="clear" w:color="auto" w:fill="CCEEFF"/>
          </w:tcPr>
          <w:p>
            <w:pPr>
              <w:ind w:left="120"/>
              <w:spacing w:after="0" w:line="157" w:lineRule="exact"/>
              <w:rPr>
                <w:sz w:val="20"/>
                <w:szCs w:val="20"/>
                <w:color w:val="auto"/>
              </w:rPr>
            </w:pPr>
            <w:r>
              <w:rPr>
                <w:rFonts w:ascii="Times New Roman" w:cs="Times New Roman" w:eastAsia="Times New Roman" w:hAnsi="Times New Roman"/>
                <w:sz w:val="16"/>
                <w:szCs w:val="16"/>
                <w:i w:val="1"/>
                <w:iCs w:val="1"/>
                <w:color w:val="auto"/>
              </w:rPr>
              <w:t>Special Purpose Acquisition</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Company</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Colombier Sponsor LLC**–</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2,700,000</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vMerge w:val="restart"/>
          </w:tcPr>
          <w:p>
            <w:pPr>
              <w:jc w:val="right"/>
              <w:ind w:right="126"/>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1,159,150</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80" w:type="dxa"/>
            <w:vAlign w:val="bottom"/>
          </w:tcPr>
          <w:p>
            <w:pPr>
              <w:spacing w:after="0"/>
              <w:rPr>
                <w:sz w:val="13"/>
                <w:szCs w:val="13"/>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1,157,487</w:t>
            </w:r>
          </w:p>
        </w:tc>
        <w:tc>
          <w:tcPr>
            <w:tcW w:w="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207"/>
        </w:trPr>
        <w:tc>
          <w:tcPr>
            <w:tcW w:w="2200" w:type="dxa"/>
            <w:vAlign w:val="bottom"/>
            <w:gridSpan w:val="4"/>
          </w:tcPr>
          <w:p>
            <w:pPr>
              <w:ind w:left="200"/>
              <w:spacing w:after="0" w:line="207" w:lineRule="exact"/>
              <w:rPr>
                <w:sz w:val="20"/>
                <w:szCs w:val="20"/>
                <w:color w:val="auto"/>
              </w:rPr>
            </w:pPr>
            <w:r>
              <w:rPr>
                <w:rFonts w:ascii="Times New Roman" w:cs="Times New Roman" w:eastAsia="Times New Roman" w:hAnsi="Times New Roman"/>
                <w:sz w:val="16"/>
                <w:szCs w:val="16"/>
                <w:color w:val="auto"/>
              </w:rPr>
              <w:t>Class W Units</w:t>
            </w:r>
            <w:r>
              <w:rPr>
                <w:rFonts w:ascii="Times New Roman" w:cs="Times New Roman" w:eastAsia="Times New Roman" w:hAnsi="Times New Roman"/>
                <w:sz w:val="20"/>
                <w:szCs w:val="20"/>
                <w:color w:val="auto"/>
                <w:vertAlign w:val="superscript"/>
              </w:rPr>
              <w:t>(9)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1,159,150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1,157,487</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206"/>
        </w:trPr>
        <w:tc>
          <w:tcPr>
            <w:tcW w:w="22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SPBRX, INC. (f/k/a GSV</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Sustainability Partners, Inc.)–</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14,300,000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809,198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237,835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1,047,033</w:t>
            </w:r>
          </w:p>
        </w:tc>
        <w:tc>
          <w:tcPr>
            <w:tcW w:w="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07"/>
        </w:trPr>
        <w:tc>
          <w:tcPr>
            <w:tcW w:w="2200" w:type="dxa"/>
            <w:vAlign w:val="bottom"/>
            <w:gridSpan w:val="4"/>
          </w:tcPr>
          <w:p>
            <w:pPr>
              <w:ind w:left="200"/>
              <w:spacing w:after="0" w:line="207" w:lineRule="exact"/>
              <w:rPr>
                <w:sz w:val="20"/>
                <w:szCs w:val="20"/>
                <w:color w:val="auto"/>
              </w:rPr>
            </w:pPr>
            <w:r>
              <w:rPr>
                <w:rFonts w:ascii="Times New Roman" w:cs="Times New Roman" w:eastAsia="Times New Roman" w:hAnsi="Times New Roman"/>
                <w:sz w:val="16"/>
                <w:szCs w:val="16"/>
                <w:color w:val="auto"/>
              </w:rPr>
              <w:t>Preferred shares, Class A</w:t>
            </w:r>
            <w:r>
              <w:rPr>
                <w:rFonts w:ascii="Times New Roman" w:cs="Times New Roman" w:eastAsia="Times New Roman" w:hAnsi="Times New Roman"/>
                <w:sz w:val="20"/>
                <w:szCs w:val="20"/>
                <w:color w:val="auto"/>
                <w:vertAlign w:val="superscript"/>
              </w:rPr>
              <w:t>(4)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809,198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237,835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1,047,033</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06"/>
        </w:trPr>
        <w:tc>
          <w:tcPr>
            <w:tcW w:w="22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SPBRX, INC. (f/k/a GSV</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Sustainability Partners, Inc.)–</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Common shares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Mobile Finance Technology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Architect Capital PayJoy SPV,</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w w:val="97"/>
              </w:rPr>
              <w:t>LLC**–Membership Interest in</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10,000,000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6"/>
              </w:rPr>
              <w:t>390,000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10,006,745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(6,745)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4"/>
              </w:rPr>
              <w:t>10,000,000</w:t>
            </w:r>
          </w:p>
        </w:tc>
        <w:tc>
          <w:tcPr>
            <w:tcW w:w="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07"/>
        </w:trPr>
        <w:tc>
          <w:tcPr>
            <w:tcW w:w="2200" w:type="dxa"/>
            <w:vAlign w:val="bottom"/>
            <w:gridSpan w:val="4"/>
          </w:tcPr>
          <w:p>
            <w:pPr>
              <w:ind w:left="200"/>
              <w:spacing w:after="0" w:line="207" w:lineRule="exact"/>
              <w:rPr>
                <w:sz w:val="20"/>
                <w:szCs w:val="20"/>
                <w:color w:val="auto"/>
              </w:rPr>
            </w:pPr>
            <w:r>
              <w:rPr>
                <w:rFonts w:ascii="Times New Roman" w:cs="Times New Roman" w:eastAsia="Times New Roman" w:hAnsi="Times New Roman"/>
                <w:sz w:val="16"/>
                <w:szCs w:val="16"/>
                <w:color w:val="auto"/>
              </w:rPr>
              <w:t>Lending SPV***</w:t>
            </w:r>
            <w:r>
              <w:rPr>
                <w:rFonts w:ascii="Times New Roman" w:cs="Times New Roman" w:eastAsia="Times New Roman" w:hAnsi="Times New Roman"/>
                <w:sz w:val="20"/>
                <w:szCs w:val="20"/>
                <w:color w:val="auto"/>
                <w:vertAlign w:val="superscript"/>
              </w:rPr>
              <w:t>(7)</w:t>
            </w:r>
          </w:p>
        </w:tc>
        <w:tc>
          <w:tcPr>
            <w:tcW w:w="18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00" w:type="dxa"/>
            <w:vAlign w:val="bottom"/>
            <w:gridSpan w:val="4"/>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i w:val="1"/>
                <w:iCs w:val="1"/>
                <w:color w:val="auto"/>
              </w:rPr>
              <w:t>Special Purpose Acquisition</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Company</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Colombier Sponsor LLC**–</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1,976,033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1,556,587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1,554,354</w:t>
            </w:r>
          </w:p>
        </w:tc>
        <w:tc>
          <w:tcPr>
            <w:tcW w:w="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0" w:type="dxa"/>
            <w:vAlign w:val="bottom"/>
          </w:tcPr>
          <w:p>
            <w:pPr>
              <w:spacing w:after="0"/>
              <w:rPr>
                <w:sz w:val="1"/>
                <w:szCs w:val="1"/>
                <w:color w:val="auto"/>
              </w:rPr>
            </w:pPr>
          </w:p>
        </w:tc>
      </w:tr>
      <w:tr>
        <w:trPr>
          <w:trHeight w:val="207"/>
        </w:trPr>
        <w:tc>
          <w:tcPr>
            <w:tcW w:w="2200" w:type="dxa"/>
            <w:vAlign w:val="bottom"/>
            <w:gridSpan w:val="4"/>
          </w:tcPr>
          <w:p>
            <w:pPr>
              <w:ind w:left="200"/>
              <w:spacing w:after="0" w:line="207" w:lineRule="exact"/>
              <w:rPr>
                <w:sz w:val="20"/>
                <w:szCs w:val="20"/>
                <w:color w:val="auto"/>
              </w:rPr>
            </w:pPr>
            <w:r>
              <w:rPr>
                <w:rFonts w:ascii="Times New Roman" w:cs="Times New Roman" w:eastAsia="Times New Roman" w:hAnsi="Times New Roman"/>
                <w:sz w:val="16"/>
                <w:szCs w:val="16"/>
                <w:color w:val="auto"/>
              </w:rPr>
              <w:t>Class B Units</w:t>
            </w:r>
            <w:r>
              <w:rPr>
                <w:rFonts w:ascii="Times New Roman" w:cs="Times New Roman" w:eastAsia="Times New Roman" w:hAnsi="Times New Roman"/>
                <w:sz w:val="20"/>
                <w:szCs w:val="20"/>
                <w:color w:val="auto"/>
                <w:vertAlign w:val="superscript"/>
              </w:rPr>
              <w:t>(9)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390,000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11,563,332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11,554,354</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149"/>
        </w:trPr>
        <w:tc>
          <w:tcPr>
            <w:tcW w:w="2200" w:type="dxa"/>
            <w:vAlign w:val="bottom"/>
            <w:gridSpan w:val="4"/>
          </w:tcPr>
          <w:p>
            <w:pPr>
              <w:ind w:left="20"/>
              <w:spacing w:after="0" w:line="150" w:lineRule="exact"/>
              <w:rPr>
                <w:sz w:val="20"/>
                <w:szCs w:val="20"/>
                <w:color w:val="auto"/>
              </w:rPr>
            </w:pPr>
            <w:r>
              <w:rPr>
                <w:rFonts w:ascii="Times New Roman" w:cs="Times New Roman" w:eastAsia="Times New Roman" w:hAnsi="Times New Roman"/>
                <w:sz w:val="16"/>
                <w:szCs w:val="16"/>
                <w:b w:val="1"/>
                <w:bCs w:val="1"/>
                <w:color w:val="auto"/>
              </w:rPr>
              <w:t>TOTAL CONTROLLED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390,000</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809,198</w:t>
            </w:r>
          </w:p>
        </w:tc>
        <w:tc>
          <w:tcPr>
            <w:tcW w:w="80" w:type="dxa"/>
            <w:vAlign w:val="bottom"/>
          </w:tcPr>
          <w:p>
            <w:pPr>
              <w:spacing w:after="0"/>
              <w:rPr>
                <w:sz w:val="12"/>
                <w:szCs w:val="12"/>
                <w:color w:val="auto"/>
              </w:rPr>
            </w:pPr>
          </w:p>
        </w:tc>
        <w:tc>
          <w:tcPr>
            <w:tcW w:w="280" w:type="dxa"/>
            <w:vAlign w:val="bottom"/>
            <w:vMerge w:val="restart"/>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12,722,482</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227,194</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13,758,874</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3.78</w:t>
            </w:r>
          </w:p>
        </w:tc>
        <w:tc>
          <w:tcPr>
            <w:tcW w:w="0" w:type="dxa"/>
            <w:vAlign w:val="bottom"/>
          </w:tcPr>
          <w:p>
            <w:pPr>
              <w:spacing w:after="0"/>
              <w:rPr>
                <w:sz w:val="1"/>
                <w:szCs w:val="1"/>
                <w:color w:val="auto"/>
              </w:rPr>
            </w:pPr>
          </w:p>
        </w:tc>
      </w:tr>
      <w:tr>
        <w:trPr>
          <w:trHeight w:val="181"/>
        </w:trPr>
        <w:tc>
          <w:tcPr>
            <w:tcW w:w="220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0"/>
                <w:szCs w:val="20"/>
                <w:b w:val="1"/>
                <w:bCs w:val="1"/>
                <w:color w:val="auto"/>
                <w:vertAlign w:val="superscript"/>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200" w:type="dxa"/>
            <w:vAlign w:val="bottom"/>
            <w:gridSpan w:val="4"/>
            <w:shd w:val="clear" w:color="auto" w:fill="CCEEFF"/>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tcBorders>
              <w:top w:val="single" w:sz="8" w:color="auto"/>
            </w:tcBorders>
            <w:shd w:val="clear" w:color="auto" w:fill="CCEEFF"/>
          </w:tcPr>
          <w:p>
            <w:pPr>
              <w:spacing w:after="0"/>
              <w:rPr>
                <w:sz w:val="11"/>
                <w:szCs w:val="11"/>
                <w:color w:val="auto"/>
              </w:rPr>
            </w:pPr>
          </w:p>
        </w:tc>
        <w:tc>
          <w:tcPr>
            <w:tcW w:w="1800" w:type="dxa"/>
            <w:vAlign w:val="bottom"/>
            <w:tcBorders>
              <w:top w:val="single" w:sz="8" w:color="CCEEFF"/>
            </w:tcBorders>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99"/>
              </w:rPr>
              <w:t>CONTROLLED/AFFILIATE</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Borders>
              <w:top w:val="single" w:sz="8" w:color="auto"/>
            </w:tcBorders>
            <w:gridSpan w:val="3"/>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b w:val="1"/>
                <w:bCs w:val="1"/>
                <w:color w:val="auto"/>
              </w:rPr>
              <w:t>INVESTMENTS*</w:t>
            </w:r>
            <w:r>
              <w:rPr>
                <w:rFonts w:ascii="Times New Roman" w:cs="Times New Roman" w:eastAsia="Times New Roman" w:hAnsi="Times New Roman"/>
                <w:sz w:val="15"/>
                <w:szCs w:val="15"/>
                <w:b w:val="1"/>
                <w:bCs w:val="1"/>
                <w:color w:val="auto"/>
                <w:vertAlign w:val="superscript"/>
              </w:rPr>
              <w:t>(1)</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400" w:type="dxa"/>
            <w:vAlign w:val="bottom"/>
            <w:shd w:val="clear" w:color="auto" w:fill="000000"/>
          </w:tcPr>
          <w:p>
            <w:pPr>
              <w:spacing w:after="0"/>
              <w:rPr>
                <w:sz w:val="3"/>
                <w:szCs w:val="3"/>
                <w:color w:val="auto"/>
              </w:rPr>
            </w:pPr>
          </w:p>
        </w:tc>
        <w:tc>
          <w:tcPr>
            <w:tcW w:w="740" w:type="dxa"/>
            <w:vAlign w:val="bottom"/>
            <w:tcBorders>
              <w:right w:val="single" w:sz="8" w:color="auto"/>
            </w:tcBorders>
            <w:shd w:val="clear" w:color="auto" w:fill="000000"/>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22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CUX, Inc. (d/b/a CorpU)–</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Senior Subordinated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gridSpan w:val="4"/>
          </w:tcPr>
          <w:p>
            <w:pPr>
              <w:ind w:left="200"/>
              <w:spacing w:after="0" w:line="155" w:lineRule="exact"/>
              <w:rPr>
                <w:sz w:val="20"/>
                <w:szCs w:val="20"/>
                <w:color w:val="auto"/>
              </w:rPr>
            </w:pPr>
            <w:r>
              <w:rPr>
                <w:rFonts w:ascii="Times New Roman" w:cs="Times New Roman" w:eastAsia="Times New Roman" w:hAnsi="Times New Roman"/>
                <w:sz w:val="16"/>
                <w:szCs w:val="16"/>
                <w:color w:val="auto"/>
              </w:rPr>
              <w:t>Convertible Promissory Note</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312,790</w:t>
            </w:r>
          </w:p>
        </w:tc>
        <w:tc>
          <w:tcPr>
            <w:tcW w:w="80" w:type="dxa"/>
            <w:vAlign w:val="bottom"/>
          </w:tcPr>
          <w:p>
            <w:pPr>
              <w:spacing w:after="0"/>
              <w:rPr>
                <w:sz w:val="13"/>
                <w:szCs w:val="13"/>
                <w:color w:val="auto"/>
              </w:rPr>
            </w:pPr>
          </w:p>
        </w:tc>
        <w:tc>
          <w:tcPr>
            <w:tcW w:w="280" w:type="dxa"/>
            <w:vAlign w:val="bottom"/>
            <w:vMerge w:val="restart"/>
          </w:tcPr>
          <w:p>
            <w:pPr>
              <w:jc w:val="right"/>
              <w:ind w:right="126"/>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6"/>
              </w:rPr>
              <w:t>(1,344,981)</w:t>
            </w:r>
          </w:p>
        </w:tc>
        <w:tc>
          <w:tcPr>
            <w:tcW w:w="80" w:type="dxa"/>
            <w:vAlign w:val="bottom"/>
          </w:tcPr>
          <w:p>
            <w:pPr>
              <w:spacing w:after="0"/>
              <w:rPr>
                <w:sz w:val="13"/>
                <w:szCs w:val="13"/>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88,789</w:t>
            </w:r>
          </w:p>
        </w:tc>
        <w:tc>
          <w:tcPr>
            <w:tcW w:w="80" w:type="dxa"/>
            <w:vAlign w:val="bottom"/>
          </w:tcPr>
          <w:p>
            <w:pPr>
              <w:spacing w:after="0"/>
              <w:rPr>
                <w:sz w:val="13"/>
                <w:szCs w:val="13"/>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943,402</w:t>
            </w:r>
          </w:p>
        </w:tc>
        <w:tc>
          <w:tcPr>
            <w:tcW w:w="80" w:type="dxa"/>
            <w:vAlign w:val="bottom"/>
          </w:tcPr>
          <w:p>
            <w:pPr>
              <w:spacing w:after="0"/>
              <w:rPr>
                <w:sz w:val="13"/>
                <w:szCs w:val="13"/>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2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4% Due 2/14/2023</w:t>
            </w:r>
          </w:p>
        </w:tc>
        <w:tc>
          <w:tcPr>
            <w:tcW w:w="18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340"/>
          </w:cols>
          <w:pgMar w:left="320" w:top="118"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Interest,</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Purchases,</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Fees, or</w:t>
            </w: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Capitalized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w:t>
            </w:r>
          </w:p>
        </w:tc>
        <w:tc>
          <w:tcPr>
            <w:tcW w:w="0" w:type="dxa"/>
            <w:vAlign w:val="bottom"/>
          </w:tcPr>
          <w:p>
            <w:pPr>
              <w:spacing w:after="0"/>
              <w:rPr>
                <w:sz w:val="1"/>
                <w:szCs w:val="1"/>
                <w:color w:val="auto"/>
              </w:rPr>
            </w:pPr>
          </w:p>
        </w:tc>
      </w:tr>
      <w:tr>
        <w:trPr>
          <w:trHeight w:val="131"/>
        </w:trPr>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Principal/</w:t>
            </w:r>
          </w:p>
        </w:tc>
        <w:tc>
          <w:tcPr>
            <w:tcW w:w="7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900" w:type="dxa"/>
            <w:vAlign w:val="bottom"/>
            <w:gridSpan w:val="2"/>
            <w:vMerge w:val="continue"/>
          </w:tcPr>
          <w:p>
            <w:pPr>
              <w:spacing w:after="0"/>
              <w:rPr>
                <w:sz w:val="11"/>
                <w:szCs w:val="11"/>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Transfer In/</w:t>
            </w: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Fees,</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2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6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90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w:t>
            </w:r>
          </w:p>
        </w:tc>
        <w:tc>
          <w:tcPr>
            <w:tcW w:w="840" w:type="dxa"/>
            <w:vAlign w:val="bottom"/>
            <w:gridSpan w:val="3"/>
            <w:vMerge w:val="continue"/>
          </w:tcPr>
          <w:p>
            <w:pPr>
              <w:spacing w:after="0"/>
              <w:rPr>
                <w:sz w:val="12"/>
                <w:szCs w:val="12"/>
                <w:color w:val="auto"/>
              </w:rPr>
            </w:pPr>
          </w:p>
        </w:tc>
        <w:tc>
          <w:tcPr>
            <w:tcW w:w="90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Interest and</w:t>
            </w:r>
          </w:p>
        </w:tc>
        <w:tc>
          <w:tcPr>
            <w:tcW w:w="100" w:type="dxa"/>
            <w:vAlign w:val="bottom"/>
          </w:tcPr>
          <w:p>
            <w:pPr>
              <w:spacing w:after="0"/>
              <w:rPr>
                <w:sz w:val="12"/>
                <w:szCs w:val="12"/>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0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w:t>
            </w: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9"/>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Quantity</w:t>
            </w: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in Income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(Out)</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31, 2021</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5"/>
        </w:trPr>
        <w:tc>
          <w:tcPr>
            <w:tcW w:w="22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OneValley, Inc. (f/k/a</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NestGSV, Inc.) –Convertible</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Promissory Note 8% Due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$ 1,010,198</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505,099</w:t>
            </w:r>
          </w:p>
        </w:tc>
        <w:tc>
          <w:tcPr>
            <w:tcW w:w="80" w:type="dxa"/>
            <w:vAlign w:val="bottom"/>
          </w:tcPr>
          <w:p>
            <w:pPr>
              <w:spacing w:after="0"/>
              <w:rPr>
                <w:sz w:val="13"/>
                <w:szCs w:val="13"/>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505,099</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2200" w:type="dxa"/>
            <w:vAlign w:val="bottom"/>
          </w:tcPr>
          <w:p>
            <w:pPr>
              <w:ind w:left="200"/>
              <w:spacing w:after="0" w:line="207" w:lineRule="exact"/>
              <w:rPr>
                <w:sz w:val="20"/>
                <w:szCs w:val="20"/>
                <w:color w:val="auto"/>
              </w:rPr>
            </w:pPr>
            <w:r>
              <w:rPr>
                <w:rFonts w:ascii="Times New Roman" w:cs="Times New Roman" w:eastAsia="Times New Roman" w:hAnsi="Times New Roman"/>
                <w:sz w:val="16"/>
                <w:szCs w:val="16"/>
                <w:color w:val="auto"/>
              </w:rPr>
              <w:t>8/23/2024</w:t>
            </w:r>
            <w:r>
              <w:rPr>
                <w:rFonts w:ascii="Times New Roman" w:cs="Times New Roman" w:eastAsia="Times New Roman" w:hAnsi="Times New Roman"/>
                <w:sz w:val="20"/>
                <w:szCs w:val="20"/>
                <w:color w:val="auto"/>
                <w:vertAlign w:val="superscript"/>
              </w:rPr>
              <w:t>(3)(6)</w:t>
            </w: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817,889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(1,344,981)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943,402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505,099</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CUX, Inc. (d/b/a CorpU)–</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Convertible preferred shares,</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73,882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(1,159,243)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380,636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704,725</w:t>
            </w:r>
          </w:p>
        </w:tc>
        <w:tc>
          <w:tcPr>
            <w:tcW w:w="8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Series D 6%</w:t>
            </w:r>
          </w:p>
        </w:tc>
        <w:tc>
          <w:tcPr>
            <w:tcW w:w="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200" w:type="dxa"/>
            <w:vAlign w:val="bottom"/>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CUX, Inc. (d/b/a CorpU) -</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Convertible preferred shares,</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(3,504,871)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1,498,794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2,006,077</w:t>
            </w: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Series C 8%</w:t>
            </w:r>
          </w:p>
        </w:tc>
        <w:tc>
          <w:tcPr>
            <w:tcW w:w="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00" w:type="dxa"/>
            <w:vAlign w:val="bottom"/>
            <w:tcBorders>
              <w:top w:val="single" w:sz="8" w:color="CCEEFF"/>
            </w:tcBorders>
          </w:tcPr>
          <w:p>
            <w:pPr>
              <w:ind w:left="120"/>
              <w:spacing w:after="0"/>
              <w:rPr>
                <w:sz w:val="20"/>
                <w:szCs w:val="20"/>
                <w:color w:val="auto"/>
              </w:rPr>
            </w:pPr>
            <w:r>
              <w:rPr>
                <w:rFonts w:ascii="Times New Roman" w:cs="Times New Roman" w:eastAsia="Times New Roman" w:hAnsi="Times New Roman"/>
                <w:sz w:val="16"/>
                <w:szCs w:val="16"/>
                <w:i w:val="1"/>
                <w:iCs w:val="1"/>
                <w:color w:val="auto"/>
              </w:rPr>
              <w:t>Total Corporate Education</w:t>
            </w:r>
          </w:p>
        </w:tc>
        <w:tc>
          <w:tcPr>
            <w:tcW w:w="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73,882</w:t>
            </w: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(4,664,114)</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1,879,430</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2,710,802</w:t>
            </w: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Knowledge Networks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Maven Research, Inc.–</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318,979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280" w:type="dxa"/>
            <w:vAlign w:val="bottom"/>
            <w:gridSpan w:val="2"/>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Maven Research, Inc.–</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Total Knowledge Networks</w:t>
            </w: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OzyMedia, Inc.–Preferred</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683,482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1,865,547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(1,865,547)</w:t>
            </w:r>
          </w:p>
        </w:tc>
        <w:tc>
          <w:tcPr>
            <w:tcW w:w="8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 Series C-2 6%</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280" w:type="dxa"/>
            <w:vAlign w:val="bottom"/>
            <w:gridSpan w:val="2"/>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OzyMedia, Inc.–Preferred</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922,509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3,350,952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(3,350,952)</w:t>
            </w: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shares, Series B 6%</w:t>
            </w: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OzyMedia, Inc.–Preferred</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1,090,909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2,824,679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(2,824,679)</w:t>
            </w:r>
          </w:p>
        </w:tc>
        <w:tc>
          <w:tcPr>
            <w:tcW w:w="8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 Series A 6%</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280" w:type="dxa"/>
            <w:vAlign w:val="bottom"/>
            <w:gridSpan w:val="2"/>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OzyMedia, Inc.–Preferred</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1,294,645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(1,294,645)</w:t>
            </w: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shares, Series Seed 6%</w:t>
            </w: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Total Digital Media Platform</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9,335,823</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(9,335,823)</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Interactive Learning</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StormWind, LLC–Preferred</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329,337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440,515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180,578</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621,093</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2280" w:type="dxa"/>
            <w:vAlign w:val="bottom"/>
            <w:gridSpan w:val="2"/>
          </w:tcPr>
          <w:p>
            <w:pPr>
              <w:ind w:left="200"/>
              <w:spacing w:after="0" w:line="207" w:lineRule="exact"/>
              <w:rPr>
                <w:sz w:val="20"/>
                <w:szCs w:val="20"/>
                <w:color w:val="auto"/>
              </w:rPr>
            </w:pPr>
            <w:r>
              <w:rPr>
                <w:rFonts w:ascii="Times New Roman" w:cs="Times New Roman" w:eastAsia="Times New Roman" w:hAnsi="Times New Roman"/>
                <w:sz w:val="16"/>
                <w:szCs w:val="16"/>
                <w:color w:val="auto"/>
              </w:rPr>
              <w:t>shares, Series D 8%</w:t>
            </w:r>
            <w:r>
              <w:rPr>
                <w:rFonts w:ascii="Times New Roman" w:cs="Times New Roman" w:eastAsia="Times New Roman" w:hAnsi="Times New Roman"/>
                <w:sz w:val="20"/>
                <w:szCs w:val="20"/>
                <w:color w:val="auto"/>
                <w:vertAlign w:val="superscript"/>
              </w:rPr>
              <w:t>(5)</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8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StormWind, LLC–Preferred</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2,779,134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4,804,218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1,692,511</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6,496,729</w:t>
            </w: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7"/>
        </w:trPr>
        <w:tc>
          <w:tcPr>
            <w:tcW w:w="2280" w:type="dxa"/>
            <w:vAlign w:val="bottom"/>
            <w:gridSpan w:val="2"/>
            <w:shd w:val="clear" w:color="auto" w:fill="CCEEFF"/>
          </w:tcPr>
          <w:p>
            <w:pPr>
              <w:ind w:left="200"/>
              <w:spacing w:after="0" w:line="207" w:lineRule="exact"/>
              <w:rPr>
                <w:sz w:val="20"/>
                <w:szCs w:val="20"/>
                <w:color w:val="auto"/>
              </w:rPr>
            </w:pPr>
            <w:r>
              <w:rPr>
                <w:rFonts w:ascii="Times New Roman" w:cs="Times New Roman" w:eastAsia="Times New Roman" w:hAnsi="Times New Roman"/>
                <w:sz w:val="16"/>
                <w:szCs w:val="16"/>
                <w:color w:val="auto"/>
              </w:rPr>
              <w:t>shares, Series C 8%</w:t>
            </w:r>
            <w:r>
              <w:rPr>
                <w:rFonts w:ascii="Times New Roman" w:cs="Times New Roman" w:eastAsia="Times New Roman" w:hAnsi="Times New Roman"/>
                <w:sz w:val="20"/>
                <w:szCs w:val="20"/>
                <w:color w:val="auto"/>
                <w:vertAlign w:val="superscript"/>
              </w:rPr>
              <w:t>(5)</w:t>
            </w: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StormWind, LLC–Preferred</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3,279,629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2,625,365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1,798,242</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4,423,607</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68"/>
        </w:trPr>
        <w:tc>
          <w:tcPr>
            <w:tcW w:w="2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 Series B 8%</w:t>
            </w:r>
            <w:r>
              <w:rPr>
                <w:rFonts w:ascii="Times New Roman" w:cs="Times New Roman" w:eastAsia="Times New Roman" w:hAnsi="Times New Roman"/>
                <w:sz w:val="20"/>
                <w:szCs w:val="20"/>
                <w:color w:val="auto"/>
                <w:vertAlign w:val="superscript"/>
              </w:rPr>
              <w:t>(5)</w:t>
            </w:r>
          </w:p>
        </w:tc>
        <w:tc>
          <w:tcPr>
            <w:tcW w:w="8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vMerge w:val="continue"/>
          </w:tcPr>
          <w:p>
            <w:pPr>
              <w:spacing w:after="0"/>
              <w:rPr>
                <w:sz w:val="23"/>
                <w:szCs w:val="23"/>
                <w:color w:val="auto"/>
              </w:rPr>
            </w:pPr>
          </w:p>
        </w:tc>
        <w:tc>
          <w:tcPr>
            <w:tcW w:w="8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vMerge w:val="continue"/>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340"/>
          </w:cols>
          <w:pgMar w:left="320" w:top="118"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Interest,</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Purchases,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Fees, or</w:t>
            </w:r>
          </w:p>
        </w:tc>
        <w:tc>
          <w:tcPr>
            <w:tcW w:w="9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Fair Value at</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Capitalized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Fair Value at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w:t>
            </w:r>
          </w:p>
        </w:tc>
        <w:tc>
          <w:tcPr>
            <w:tcW w:w="0" w:type="dxa"/>
            <w:vAlign w:val="bottom"/>
          </w:tcPr>
          <w:p>
            <w:pPr>
              <w:spacing w:after="0"/>
              <w:rPr>
                <w:sz w:val="1"/>
                <w:szCs w:val="1"/>
                <w:color w:val="auto"/>
              </w:rPr>
            </w:pPr>
          </w:p>
        </w:tc>
      </w:tr>
      <w:tr>
        <w:trPr>
          <w:trHeight w:val="131"/>
        </w:trPr>
        <w:tc>
          <w:tcPr>
            <w:tcW w:w="2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86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60" w:type="dxa"/>
            <w:vAlign w:val="bottom"/>
          </w:tcPr>
          <w:p>
            <w:pPr>
              <w:spacing w:after="0"/>
              <w:rPr>
                <w:sz w:val="11"/>
                <w:szCs w:val="11"/>
                <w:color w:val="auto"/>
              </w:rPr>
            </w:pPr>
          </w:p>
        </w:tc>
        <w:tc>
          <w:tcPr>
            <w:tcW w:w="7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920" w:type="dxa"/>
            <w:vAlign w:val="bottom"/>
            <w:gridSpan w:val="3"/>
            <w:vMerge w:val="continue"/>
          </w:tcPr>
          <w:p>
            <w:pPr>
              <w:spacing w:after="0"/>
              <w:rPr>
                <w:sz w:val="11"/>
                <w:szCs w:val="11"/>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Transfer In/</w:t>
            </w:r>
          </w:p>
        </w:tc>
        <w:tc>
          <w:tcPr>
            <w:tcW w:w="100" w:type="dxa"/>
            <w:vAlign w:val="bottom"/>
          </w:tcPr>
          <w:p>
            <w:pPr>
              <w:spacing w:after="0"/>
              <w:rPr>
                <w:sz w:val="11"/>
                <w:szCs w:val="11"/>
                <w:color w:val="auto"/>
              </w:rPr>
            </w:pPr>
          </w:p>
        </w:tc>
        <w:tc>
          <w:tcPr>
            <w:tcW w:w="900" w:type="dxa"/>
            <w:vAlign w:val="bottom"/>
            <w:gridSpan w:val="3"/>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Fees,</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26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92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840" w:type="dxa"/>
            <w:vAlign w:val="bottom"/>
            <w:gridSpan w:val="3"/>
            <w:vMerge w:val="continue"/>
          </w:tcPr>
          <w:p>
            <w:pPr>
              <w:spacing w:after="0"/>
              <w:rPr>
                <w:sz w:val="12"/>
                <w:szCs w:val="12"/>
                <w:color w:val="auto"/>
              </w:rPr>
            </w:pPr>
          </w:p>
        </w:tc>
        <w:tc>
          <w:tcPr>
            <w:tcW w:w="1000" w:type="dxa"/>
            <w:vAlign w:val="bottom"/>
            <w:gridSpan w:val="4"/>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Interest and</w:t>
            </w: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2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9"/>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6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Income</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(Out)</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Gains/(Losses)</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Gains/(Losses)</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0"/>
              <w:spacing w:after="0" w:line="153" w:lineRule="exact"/>
              <w:rPr>
                <w:sz w:val="20"/>
                <w:szCs w:val="20"/>
                <w:color w:val="auto"/>
              </w:rPr>
            </w:pPr>
            <w:r>
              <w:rPr>
                <w:rFonts w:ascii="Times New Roman" w:cs="Times New Roman" w:eastAsia="Times New Roman" w:hAnsi="Times New Roman"/>
                <w:sz w:val="16"/>
                <w:szCs w:val="16"/>
                <w:color w:val="auto"/>
              </w:rPr>
              <w:t>StormWind, LLC–Preferred</w:t>
            </w:r>
          </w:p>
        </w:tc>
        <w:tc>
          <w:tcPr>
            <w:tcW w:w="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366,666</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88,248</w:t>
            </w:r>
          </w:p>
        </w:tc>
        <w:tc>
          <w:tcPr>
            <w:tcW w:w="6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201,045</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289,293</w:t>
            </w: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7"/>
        </w:trPr>
        <w:tc>
          <w:tcPr>
            <w:tcW w:w="2260" w:type="dxa"/>
            <w:vAlign w:val="bottom"/>
            <w:gridSpan w:val="2"/>
            <w:shd w:val="clear" w:color="auto" w:fill="CCEEFF"/>
          </w:tcPr>
          <w:p>
            <w:pPr>
              <w:ind w:left="200"/>
              <w:spacing w:after="0" w:line="207" w:lineRule="exact"/>
              <w:rPr>
                <w:sz w:val="20"/>
                <w:szCs w:val="20"/>
                <w:color w:val="auto"/>
              </w:rPr>
            </w:pPr>
            <w:r>
              <w:rPr>
                <w:rFonts w:ascii="Times New Roman" w:cs="Times New Roman" w:eastAsia="Times New Roman" w:hAnsi="Times New Roman"/>
                <w:sz w:val="16"/>
                <w:szCs w:val="16"/>
                <w:color w:val="auto"/>
              </w:rPr>
              <w:t>shares, Series A 8%</w:t>
            </w:r>
            <w:r>
              <w:rPr>
                <w:rFonts w:ascii="Times New Roman" w:cs="Times New Roman" w:eastAsia="Times New Roman" w:hAnsi="Times New Roman"/>
                <w:sz w:val="20"/>
                <w:szCs w:val="20"/>
                <w:color w:val="auto"/>
                <w:vertAlign w:val="superscript"/>
              </w:rPr>
              <w:t>(5)</w:t>
            </w:r>
          </w:p>
        </w:tc>
        <w:tc>
          <w:tcPr>
            <w:tcW w:w="860" w:type="dxa"/>
            <w:vAlign w:val="bottom"/>
            <w:vMerge w:val="continue"/>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Total Interactive Learning</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7,958,346</w:t>
            </w: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3,872,376</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11,830,722</w:t>
            </w: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9"/>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17,368,051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(4,664,114)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1,879,430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(2,752,645)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11,830,722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86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200"/>
              <w:spacing w:after="0" w:line="148" w:lineRule="exact"/>
              <w:rPr>
                <w:sz w:val="20"/>
                <w:szCs w:val="20"/>
                <w:color w:val="auto"/>
              </w:rPr>
            </w:pPr>
            <w:r>
              <w:rPr>
                <w:rFonts w:ascii="Times New Roman" w:cs="Times New Roman" w:eastAsia="Times New Roman" w:hAnsi="Times New Roman"/>
                <w:sz w:val="16"/>
                <w:szCs w:val="16"/>
                <w:color w:val="auto"/>
              </w:rPr>
              <w:t>Ozy Media, Inc.–Common</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Warrants, Strike Price $0.01,</w:t>
            </w:r>
          </w:p>
        </w:tc>
        <w:tc>
          <w:tcPr>
            <w:tcW w:w="8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295,565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762,558</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(762,558)</w:t>
            </w:r>
          </w:p>
        </w:tc>
        <w:tc>
          <w:tcPr>
            <w:tcW w:w="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Expiration Date 4/9/2028</w:t>
            </w: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6"/>
                <w:szCs w:val="16"/>
                <w:color w:val="auto"/>
              </w:rPr>
              <w:t>OneValley, Inc. (f/k/a</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6"/>
                <w:szCs w:val="16"/>
                <w:color w:val="auto"/>
              </w:rPr>
              <w:t>NestGSV, Inc.)–Preferred</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6"/>
                <w:szCs w:val="16"/>
                <w:color w:val="auto"/>
              </w:rPr>
              <w:t>Warrant Series A-3 - Strike</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6"/>
                <w:szCs w:val="16"/>
                <w:color w:val="auto"/>
              </w:rPr>
              <w:t>Price $1.33, Expiration Date</w:t>
            </w:r>
          </w:p>
        </w:tc>
        <w:tc>
          <w:tcPr>
            <w:tcW w:w="8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4,687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(4,687)</w:t>
            </w:r>
          </w:p>
        </w:tc>
        <w:tc>
          <w:tcPr>
            <w:tcW w:w="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4/4/2021</w:t>
            </w:r>
          </w:p>
        </w:tc>
        <w:tc>
          <w:tcPr>
            <w:tcW w:w="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260" w:type="dxa"/>
            <w:vAlign w:val="bottom"/>
            <w:gridSpan w:val="2"/>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OneValley, Inc. (f/k/a</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NestGSV, Inc.)–Preferred</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Warrant Series A-4, Strike</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Price $1.33, Expiration Date</w:t>
            </w:r>
          </w:p>
        </w:tc>
        <w:tc>
          <w:tcPr>
            <w:tcW w:w="8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27,500</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3"/>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(74,380)</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46,880</w:t>
            </w:r>
          </w:p>
        </w:tc>
        <w:tc>
          <w:tcPr>
            <w:tcW w:w="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7/18/2021</w:t>
            </w:r>
          </w:p>
        </w:tc>
        <w:tc>
          <w:tcPr>
            <w:tcW w:w="60" w:type="dxa"/>
            <w:vAlign w:val="bottom"/>
            <w:shd w:val="clear" w:color="auto" w:fill="CCEEFF"/>
          </w:tcPr>
          <w:p>
            <w:pPr>
              <w:spacing w:after="0"/>
              <w:rPr>
                <w:sz w:val="17"/>
                <w:szCs w:val="17"/>
                <w:color w:val="auto"/>
              </w:rPr>
            </w:pPr>
          </w:p>
        </w:tc>
        <w:tc>
          <w:tcPr>
            <w:tcW w:w="86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4"/>
                <w:szCs w:val="14"/>
                <w:color w:val="auto"/>
              </w:rPr>
              <w:t>OneValley, Inc. (f/k/a</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NestGSV, Inc.)–Preferred</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Warrant Series A-4, Strike</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Price $1.33, Expiration Date</w:t>
            </w:r>
          </w:p>
        </w:tc>
        <w:tc>
          <w:tcPr>
            <w:tcW w:w="8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65,000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10/6/2021</w:t>
            </w:r>
          </w:p>
        </w:tc>
        <w:tc>
          <w:tcPr>
            <w:tcW w:w="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260" w:type="dxa"/>
            <w:vAlign w:val="bottom"/>
            <w:gridSpan w:val="2"/>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OneValley, Inc. (f/k/a</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NestGSV, Inc.)–Preferred</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Warrant Series B, Strike Price</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$2.31, Expiration Date</w:t>
            </w:r>
          </w:p>
        </w:tc>
        <w:tc>
          <w:tcPr>
            <w:tcW w:w="8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3"/>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(29,275)</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29,275</w:t>
            </w:r>
          </w:p>
        </w:tc>
        <w:tc>
          <w:tcPr>
            <w:tcW w:w="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11/29/2021</w:t>
            </w:r>
          </w:p>
        </w:tc>
        <w:tc>
          <w:tcPr>
            <w:tcW w:w="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OneValley, Inc. (f/k/a</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NestGSV, Inc.)–Preferred</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Warrant Series B, Strike Price</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color w:val="auto"/>
              </w:rPr>
              <w:t>$2.31, Expiration Date</w:t>
            </w:r>
          </w:p>
        </w:tc>
        <w:tc>
          <w:tcPr>
            <w:tcW w:w="8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125,000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5/29/2022</w:t>
            </w:r>
          </w:p>
        </w:tc>
        <w:tc>
          <w:tcPr>
            <w:tcW w:w="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260" w:type="dxa"/>
            <w:vAlign w:val="bottom"/>
            <w:gridSpan w:val="2"/>
            <w:shd w:val="clear" w:color="auto" w:fill="CCEEFF"/>
          </w:tcPr>
          <w:p>
            <w:pPr>
              <w:ind w:left="200"/>
              <w:spacing w:after="0" w:line="158" w:lineRule="exact"/>
              <w:rPr>
                <w:sz w:val="20"/>
                <w:szCs w:val="20"/>
                <w:color w:val="auto"/>
              </w:rPr>
            </w:pPr>
            <w:r>
              <w:rPr>
                <w:rFonts w:ascii="Times New Roman" w:cs="Times New Roman" w:eastAsia="Times New Roman" w:hAnsi="Times New Roman"/>
                <w:sz w:val="16"/>
                <w:szCs w:val="16"/>
                <w:color w:val="auto"/>
              </w:rPr>
              <w:t>OneValley, Inc. (f/k/a</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NestGSV, Inc.)–Preferred</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Warrant Series B, Strike Price</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ind w:left="200"/>
              <w:spacing w:after="0" w:line="155" w:lineRule="exact"/>
              <w:rPr>
                <w:sz w:val="20"/>
                <w:szCs w:val="20"/>
                <w:color w:val="auto"/>
              </w:rPr>
            </w:pPr>
            <w:r>
              <w:rPr>
                <w:rFonts w:ascii="Times New Roman" w:cs="Times New Roman" w:eastAsia="Times New Roman" w:hAnsi="Times New Roman"/>
                <w:sz w:val="16"/>
                <w:szCs w:val="16"/>
                <w:color w:val="auto"/>
              </w:rPr>
              <w:t>$2.31, Expiration Date</w:t>
            </w:r>
          </w:p>
        </w:tc>
        <w:tc>
          <w:tcPr>
            <w:tcW w:w="8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250,000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9,250</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3"/>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12"/>
        </w:trPr>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12/31/2023</w:t>
            </w:r>
          </w:p>
        </w:tc>
        <w:tc>
          <w:tcPr>
            <w:tcW w:w="60" w:type="dxa"/>
            <w:vAlign w:val="bottom"/>
            <w:shd w:val="clear" w:color="auto" w:fill="CCEEFF"/>
          </w:tcPr>
          <w:p>
            <w:pPr>
              <w:spacing w:after="0"/>
              <w:rPr>
                <w:sz w:val="17"/>
                <w:szCs w:val="17"/>
                <w:color w:val="auto"/>
              </w:rPr>
            </w:pPr>
          </w:p>
        </w:tc>
        <w:tc>
          <w:tcPr>
            <w:tcW w:w="86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4"/>
                <w:szCs w:val="14"/>
                <w:color w:val="auto"/>
              </w:rPr>
              <w:t>Derivative Security, Expiration</w:t>
            </w:r>
          </w:p>
        </w:tc>
        <w:tc>
          <w:tcPr>
            <w:tcW w:w="8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w w:val="99"/>
              </w:rPr>
              <w:t>2,173,148</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95,120</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2,268,268</w:t>
            </w: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7"/>
        </w:trPr>
        <w:tc>
          <w:tcPr>
            <w:tcW w:w="2260" w:type="dxa"/>
            <w:vAlign w:val="bottom"/>
            <w:tcBorders>
              <w:bottom w:val="single" w:sz="8" w:color="CCEEFF"/>
            </w:tcBorders>
            <w:gridSpan w:val="2"/>
          </w:tcPr>
          <w:p>
            <w:pPr>
              <w:ind w:left="200"/>
              <w:spacing w:after="0" w:line="207" w:lineRule="exact"/>
              <w:rPr>
                <w:sz w:val="20"/>
                <w:szCs w:val="20"/>
                <w:color w:val="auto"/>
              </w:rPr>
            </w:pPr>
            <w:r>
              <w:rPr>
                <w:rFonts w:ascii="Times New Roman" w:cs="Times New Roman" w:eastAsia="Times New Roman" w:hAnsi="Times New Roman"/>
                <w:sz w:val="16"/>
                <w:szCs w:val="16"/>
                <w:color w:val="auto"/>
              </w:rPr>
              <w:t>Date 8/23/2024</w:t>
            </w:r>
            <w:r>
              <w:rPr>
                <w:rFonts w:ascii="Times New Roman" w:cs="Times New Roman" w:eastAsia="Times New Roman" w:hAnsi="Times New Roman"/>
                <w:sz w:val="20"/>
                <w:szCs w:val="20"/>
                <w:color w:val="auto"/>
                <w:vertAlign w:val="superscript"/>
              </w:rPr>
              <w:t>(6)</w:t>
            </w:r>
          </w:p>
        </w:tc>
        <w:tc>
          <w:tcPr>
            <w:tcW w:w="860" w:type="dxa"/>
            <w:vAlign w:val="bottom"/>
            <w:tcBorders>
              <w:bottom w:val="single" w:sz="8" w:color="CCEEFF"/>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i w:val="1"/>
                <w:iCs w:val="1"/>
                <w:color w:val="auto"/>
              </w:rPr>
              <w:t>Total Global Innovation</w:t>
            </w: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2,279,585</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3"/>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(103,655)</w:t>
            </w: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97,338</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2,273,268</w:t>
            </w: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7"/>
        </w:trPr>
        <w:tc>
          <w:tcPr>
            <w:tcW w:w="2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Platform</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3,042,143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(103,655)</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(665,220)</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2,273,268</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60" w:type="dxa"/>
            <w:vAlign w:val="bottom"/>
            <w:tcBorders>
              <w:bottom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Online Education</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60" w:type="dxa"/>
            <w:vAlign w:val="bottom"/>
            <w:gridSpan w:val="2"/>
            <w:shd w:val="clear" w:color="auto" w:fill="CCEEFF"/>
          </w:tcPr>
          <w:p>
            <w:pPr>
              <w:ind w:left="200"/>
              <w:spacing w:after="0" w:line="157" w:lineRule="exact"/>
              <w:rPr>
                <w:sz w:val="20"/>
                <w:szCs w:val="20"/>
                <w:color w:val="auto"/>
              </w:rPr>
            </w:pPr>
            <w:r>
              <w:rPr>
                <w:rFonts w:ascii="Times New Roman" w:cs="Times New Roman" w:eastAsia="Times New Roman" w:hAnsi="Times New Roman"/>
                <w:sz w:val="16"/>
                <w:szCs w:val="16"/>
                <w:color w:val="auto"/>
              </w:rPr>
              <w:t>Curious.com, Inc.–Common</w:t>
            </w:r>
          </w:p>
        </w:tc>
        <w:tc>
          <w:tcPr>
            <w:tcW w:w="8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1,135,944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3"/>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6770370</wp:posOffset>
            </wp:positionH>
            <wp:positionV relativeFrom="paragraph">
              <wp:posOffset>-861695</wp:posOffset>
            </wp:positionV>
            <wp:extent cx="495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530" cy="8255"/>
                    </a:xfrm>
                    <a:prstGeom prst="rect">
                      <a:avLst/>
                    </a:prstGeom>
                    <a:noFill/>
                  </pic:spPr>
                </pic:pic>
              </a:graphicData>
            </a:graphic>
          </wp:anchor>
        </w:drawing>
        <w:drawing>
          <wp:anchor simplePos="0" relativeHeight="251657728" behindDoc="1" locked="0" layoutInCell="0" allowOverlap="1">
            <wp:simplePos x="0" y="0"/>
            <wp:positionH relativeFrom="column">
              <wp:posOffset>5571490</wp:posOffset>
            </wp:positionH>
            <wp:positionV relativeFrom="paragraph">
              <wp:posOffset>-861695</wp:posOffset>
            </wp:positionV>
            <wp:extent cx="49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530" cy="825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-861695</wp:posOffset>
            </wp:positionV>
            <wp:extent cx="495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530" cy="8255"/>
                    </a:xfrm>
                    <a:prstGeom prst="rect">
                      <a:avLst/>
                    </a:prstGeom>
                    <a:noFill/>
                  </pic:spPr>
                </pic:pic>
              </a:graphicData>
            </a:graphic>
          </wp:anchor>
        </w:drawing>
        <w:drawing>
          <wp:anchor simplePos="0" relativeHeight="251657728" behindDoc="1" locked="0" layoutInCell="0" allowOverlap="1">
            <wp:simplePos x="0" y="0"/>
            <wp:positionH relativeFrom="column">
              <wp:posOffset>1669415</wp:posOffset>
            </wp:positionH>
            <wp:positionV relativeFrom="paragraph">
              <wp:posOffset>-861695</wp:posOffset>
            </wp:positionV>
            <wp:extent cx="5829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auto"/>
        </w:rPr>
        <w:t>Cannabis 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-114300</wp:posOffset>
            </wp:positionV>
            <wp:extent cx="6976745" cy="139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76745" cy="13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340"/>
          </w:cols>
          <w:pgMar w:left="320" w:top="118"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22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Interest,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Purchases,</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Fees, or</w:t>
            </w: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Capitalized</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w:t>
            </w:r>
          </w:p>
        </w:tc>
        <w:tc>
          <w:tcPr>
            <w:tcW w:w="0" w:type="dxa"/>
            <w:vAlign w:val="bottom"/>
          </w:tcPr>
          <w:p>
            <w:pPr>
              <w:spacing w:after="0"/>
              <w:rPr>
                <w:sz w:val="1"/>
                <w:szCs w:val="1"/>
                <w:color w:val="auto"/>
              </w:rPr>
            </w:pPr>
          </w:p>
        </w:tc>
      </w:tr>
      <w:tr>
        <w:trPr>
          <w:trHeight w:val="131"/>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6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960" w:type="dxa"/>
            <w:vAlign w:val="bottom"/>
            <w:gridSpan w:val="3"/>
            <w:vMerge w:val="continue"/>
          </w:tcPr>
          <w:p>
            <w:pPr>
              <w:spacing w:after="0"/>
              <w:rPr>
                <w:sz w:val="11"/>
                <w:szCs w:val="11"/>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Transfer In/</w:t>
            </w: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w w:val="93"/>
              </w:rPr>
              <w:t>Fees,</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96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gridSpan w:val="2"/>
            <w:vMerge w:val="continue"/>
          </w:tcPr>
          <w:p>
            <w:pPr>
              <w:spacing w:after="0"/>
              <w:rPr>
                <w:sz w:val="12"/>
                <w:szCs w:val="12"/>
                <w:color w:val="auto"/>
              </w:rPr>
            </w:pPr>
          </w:p>
        </w:tc>
        <w:tc>
          <w:tcPr>
            <w:tcW w:w="92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Interest and</w:t>
            </w:r>
          </w:p>
        </w:tc>
        <w:tc>
          <w:tcPr>
            <w:tcW w:w="100" w:type="dxa"/>
            <w:vAlign w:val="bottom"/>
          </w:tcPr>
          <w:p>
            <w:pPr>
              <w:spacing w:after="0"/>
              <w:rPr>
                <w:sz w:val="12"/>
                <w:szCs w:val="12"/>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89"/>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8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 Income</w:t>
            </w:r>
          </w:p>
        </w:tc>
        <w:tc>
          <w:tcPr>
            <w:tcW w:w="100" w:type="dxa"/>
            <w:vAlign w:val="bottom"/>
          </w:tcPr>
          <w:p>
            <w:pPr>
              <w:spacing w:after="0"/>
              <w:rPr>
                <w:sz w:val="16"/>
                <w:szCs w:val="16"/>
                <w:color w:val="auto"/>
              </w:rPr>
            </w:pPr>
          </w:p>
        </w:tc>
        <w:tc>
          <w:tcPr>
            <w:tcW w:w="780" w:type="dxa"/>
            <w:vAlign w:val="bottom"/>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(Out)</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6"/>
                <w:szCs w:val="16"/>
                <w:color w:val="auto"/>
              </w:rPr>
            </w:pPr>
          </w:p>
        </w:tc>
        <w:tc>
          <w:tcPr>
            <w:tcW w:w="760" w:type="dxa"/>
            <w:vAlign w:val="bottom"/>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53"/>
        </w:trPr>
        <w:tc>
          <w:tcPr>
            <w:tcW w:w="2120" w:type="dxa"/>
            <w:vAlign w:val="bottom"/>
            <w:tcBorders>
              <w:top w:val="single" w:sz="8" w:color="auto"/>
            </w:tcBorders>
          </w:tcPr>
          <w:p>
            <w:pPr>
              <w:ind w:left="200"/>
              <w:spacing w:after="0" w:line="153" w:lineRule="exact"/>
              <w:rPr>
                <w:sz w:val="20"/>
                <w:szCs w:val="20"/>
                <w:color w:val="auto"/>
              </w:rPr>
            </w:pPr>
            <w:r>
              <w:rPr>
                <w:rFonts w:ascii="Times New Roman" w:cs="Times New Roman" w:eastAsia="Times New Roman" w:hAnsi="Times New Roman"/>
                <w:sz w:val="16"/>
                <w:szCs w:val="16"/>
                <w:color w:val="auto"/>
              </w:rPr>
              <w:t>NewLake Capital Partners,</w:t>
            </w:r>
          </w:p>
        </w:tc>
        <w:tc>
          <w:tcPr>
            <w:tcW w:w="80" w:type="dxa"/>
            <w:vAlign w:val="bottom"/>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20" w:type="dxa"/>
            <w:vAlign w:val="bottom"/>
          </w:tcPr>
          <w:p>
            <w:pPr>
              <w:ind w:left="200"/>
              <w:spacing w:after="0" w:line="155" w:lineRule="exact"/>
              <w:rPr>
                <w:sz w:val="20"/>
                <w:szCs w:val="20"/>
                <w:color w:val="auto"/>
              </w:rPr>
            </w:pPr>
            <w:r>
              <w:rPr>
                <w:rFonts w:ascii="Times New Roman" w:cs="Times New Roman" w:eastAsia="Times New Roman" w:hAnsi="Times New Roman"/>
                <w:sz w:val="16"/>
                <w:szCs w:val="16"/>
                <w:color w:val="auto"/>
                <w:w w:val="98"/>
              </w:rPr>
              <w:t>Inc. (f/k/a GreenAcreage Real</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20" w:type="dxa"/>
            <w:vAlign w:val="bottom"/>
          </w:tcPr>
          <w:p>
            <w:pPr>
              <w:ind w:left="200"/>
              <w:spacing w:after="0" w:line="155" w:lineRule="exact"/>
              <w:rPr>
                <w:sz w:val="20"/>
                <w:szCs w:val="20"/>
                <w:color w:val="auto"/>
              </w:rPr>
            </w:pPr>
            <w:r>
              <w:rPr>
                <w:rFonts w:ascii="Times New Roman" w:cs="Times New Roman" w:eastAsia="Times New Roman" w:hAnsi="Times New Roman"/>
                <w:sz w:val="16"/>
                <w:szCs w:val="16"/>
                <w:color w:val="auto"/>
              </w:rPr>
              <w:t>Estate Corp.)**–Common</w:t>
            </w:r>
          </w:p>
        </w:tc>
        <w:tc>
          <w:tcPr>
            <w:tcW w:w="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3"/>
              </w:rPr>
              <w:t>$ 102,632</w:t>
            </w:r>
          </w:p>
        </w:tc>
        <w:tc>
          <w:tcPr>
            <w:tcW w:w="80" w:type="dxa"/>
            <w:vAlign w:val="bottom"/>
          </w:tcPr>
          <w:p>
            <w:pPr>
              <w:spacing w:after="0"/>
              <w:rPr>
                <w:sz w:val="13"/>
                <w:szCs w:val="13"/>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8,937,690</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6"/>
              </w:rPr>
              <w:t>$(9,009,952)</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auto"/>
              </w:rPr>
              <w:t>500,319</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(428,057)</w:t>
            </w:r>
          </w:p>
        </w:tc>
        <w:tc>
          <w:tcPr>
            <w:tcW w:w="80" w:type="dxa"/>
            <w:vAlign w:val="bottom"/>
          </w:tcPr>
          <w:p>
            <w:pPr>
              <w:spacing w:after="0"/>
              <w:rPr>
                <w:sz w:val="13"/>
                <w:szCs w:val="13"/>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120" w:type="dxa"/>
            <w:vAlign w:val="bottom"/>
          </w:tcPr>
          <w:p>
            <w:pPr>
              <w:ind w:left="200"/>
              <w:spacing w:after="0" w:line="207" w:lineRule="exact"/>
              <w:rPr>
                <w:sz w:val="20"/>
                <w:szCs w:val="20"/>
                <w:color w:val="auto"/>
              </w:rPr>
            </w:pPr>
            <w:r>
              <w:rPr>
                <w:rFonts w:ascii="Times New Roman" w:cs="Times New Roman" w:eastAsia="Times New Roman" w:hAnsi="Times New Roman"/>
                <w:sz w:val="16"/>
                <w:szCs w:val="16"/>
                <w:color w:val="auto"/>
              </w:rPr>
              <w:t>shares***</w:t>
            </w:r>
            <w:r>
              <w:rPr>
                <w:rFonts w:ascii="Times New Roman" w:cs="Times New Roman" w:eastAsia="Times New Roman" w:hAnsi="Times New Roman"/>
                <w:sz w:val="20"/>
                <w:szCs w:val="20"/>
                <w:color w:val="auto"/>
                <w:vertAlign w:val="superscript"/>
              </w:rPr>
              <w:t>(8)</w:t>
            </w:r>
          </w:p>
        </w:tc>
        <w:tc>
          <w:tcPr>
            <w:tcW w:w="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8,937,690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(9,009,952)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500,319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(428,057)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1"/>
        </w:trPr>
        <w:tc>
          <w:tcPr>
            <w:tcW w:w="2120" w:type="dxa"/>
            <w:vAlign w:val="bottom"/>
            <w:tcBorders>
              <w:top w:val="single" w:sz="8" w:color="CCEEFF"/>
            </w:tcBorders>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TOTAL NON-</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2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CONTROLLED/AFFILIATE</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$ 102,632</w:t>
            </w:r>
          </w:p>
        </w:tc>
        <w:tc>
          <w:tcPr>
            <w:tcW w:w="80" w:type="dxa"/>
            <w:vAlign w:val="bottom"/>
          </w:tcPr>
          <w:p>
            <w:pPr>
              <w:spacing w:after="0"/>
              <w:rPr>
                <w:sz w:val="13"/>
                <w:szCs w:val="13"/>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30,165,773</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6"/>
              </w:rPr>
              <w:t>$</w:t>
            </w:r>
            <w:r>
              <w:rPr>
                <w:rFonts w:ascii="Times New Roman" w:cs="Times New Roman" w:eastAsia="Times New Roman" w:hAnsi="Times New Roman"/>
                <w:sz w:val="16"/>
                <w:szCs w:val="16"/>
                <w:b w:val="1"/>
                <w:bCs w:val="1"/>
                <w:color w:val="auto"/>
                <w:w w:val="96"/>
              </w:rPr>
              <w:t>(9,009,952)</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500,319</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(6,009,095)</w:t>
            </w:r>
          </w:p>
        </w:tc>
        <w:tc>
          <w:tcPr>
            <w:tcW w:w="80" w:type="dxa"/>
            <w:vAlign w:val="bottom"/>
          </w:tcPr>
          <w:p>
            <w:pPr>
              <w:spacing w:after="0"/>
              <w:rPr>
                <w:sz w:val="13"/>
                <w:szCs w:val="13"/>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1,864,564</w:t>
            </w:r>
          </w:p>
        </w:tc>
        <w:tc>
          <w:tcPr>
            <w:tcW w:w="8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(2,902,520)</w:t>
            </w:r>
          </w:p>
        </w:tc>
        <w:tc>
          <w:tcPr>
            <w:tcW w:w="80" w:type="dxa"/>
            <w:vAlign w:val="bottom"/>
          </w:tcPr>
          <w:p>
            <w:pPr>
              <w:spacing w:after="0"/>
              <w:rPr>
                <w:sz w:val="13"/>
                <w:szCs w:val="13"/>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14,609,089</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4.01</w:t>
            </w:r>
          </w:p>
        </w:tc>
        <w:tc>
          <w:tcPr>
            <w:tcW w:w="0" w:type="dxa"/>
            <w:vAlign w:val="bottom"/>
          </w:tcPr>
          <w:p>
            <w:pPr>
              <w:spacing w:after="0"/>
              <w:rPr>
                <w:sz w:val="1"/>
                <w:szCs w:val="1"/>
                <w:color w:val="auto"/>
              </w:rPr>
            </w:pPr>
          </w:p>
        </w:tc>
      </w:tr>
      <w:tr>
        <w:trPr>
          <w:trHeight w:val="186"/>
        </w:trPr>
        <w:tc>
          <w:tcPr>
            <w:tcW w:w="212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-927735</wp:posOffset>
            </wp:positionV>
            <wp:extent cx="1355090" cy="44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55090" cy="44386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32" w:lineRule="exact"/>
        <w:rPr>
          <w:sz w:val="20"/>
          <w:szCs w:val="20"/>
          <w:color w:val="auto"/>
        </w:rPr>
      </w:pPr>
    </w:p>
    <w:p>
      <w:pPr>
        <w:jc w:val="both"/>
        <w:ind w:left="320" w:right="100" w:hanging="317"/>
        <w:spacing w:after="0" w:line="263" w:lineRule="auto"/>
        <w:tabs>
          <w:tab w:leader="none" w:pos="28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210" w:lineRule="exact"/>
        <w:rPr>
          <w:sz w:val="20"/>
          <w:szCs w:val="20"/>
          <w:color w:val="auto"/>
        </w:rPr>
      </w:pPr>
    </w:p>
    <w:p>
      <w:pPr>
        <w:ind w:left="320" w:right="100" w:hanging="317"/>
        <w:spacing w:after="0" w:line="260" w:lineRule="auto"/>
        <w:tabs>
          <w:tab w:leader="none" w:pos="20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Investment Company Act of 1940, as amended (the “1940 Act”). Of the Company’s total investments as of December 31, 2021, 26.91% of its total investments are non-qualifying assets.</w:t>
      </w:r>
    </w:p>
    <w:p>
      <w:pPr>
        <w:spacing w:after="0" w:line="196" w:lineRule="exact"/>
        <w:rPr>
          <w:rFonts w:ascii="Times New Roman" w:cs="Times New Roman" w:eastAsia="Times New Roman" w:hAnsi="Times New Roman"/>
          <w:sz w:val="16"/>
          <w:szCs w:val="16"/>
          <w:color w:val="auto"/>
        </w:rPr>
      </w:pPr>
    </w:p>
    <w:p>
      <w:pPr>
        <w:ind w:left="400" w:hanging="397"/>
        <w:spacing w:after="0"/>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243" w:lineRule="exact"/>
        <w:rPr>
          <w:sz w:val="20"/>
          <w:szCs w:val="20"/>
          <w:color w:val="auto"/>
        </w:rPr>
      </w:pPr>
    </w:p>
    <w:p>
      <w:pPr>
        <w:ind w:left="460" w:right="100" w:hanging="457"/>
        <w:spacing w:after="0" w:line="249" w:lineRule="auto"/>
        <w:tabs>
          <w:tab w:leader="none" w:pos="395"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w:t>
      </w:r>
    </w:p>
    <w:p>
      <w:pPr>
        <w:spacing w:after="0" w:line="1" w:lineRule="exact"/>
        <w:rPr>
          <w:rFonts w:ascii="Times New Roman" w:cs="Times New Roman" w:eastAsia="Times New Roman" w:hAnsi="Times New Roman"/>
          <w:sz w:val="16"/>
          <w:szCs w:val="16"/>
          <w:color w:val="auto"/>
        </w:rPr>
      </w:pPr>
    </w:p>
    <w:p>
      <w:pPr>
        <w:ind w:left="460" w:right="100" w:hanging="457"/>
        <w:spacing w:after="0" w:line="244" w:lineRule="auto"/>
        <w:tabs>
          <w:tab w:leader="none" w:pos="33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209" w:lineRule="exact"/>
        <w:rPr>
          <w:rFonts w:ascii="Times New Roman" w:cs="Times New Roman" w:eastAsia="Times New Roman" w:hAnsi="Times New Roman"/>
          <w:sz w:val="16"/>
          <w:szCs w:val="16"/>
          <w:color w:val="auto"/>
        </w:rPr>
      </w:pPr>
    </w:p>
    <w:p>
      <w:pPr>
        <w:ind w:left="340" w:hanging="337"/>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the investments noted had been placed on non-accrual status.</w:t>
      </w:r>
    </w:p>
    <w:p>
      <w:pPr>
        <w:spacing w:after="0" w:line="242" w:lineRule="exact"/>
        <w:rPr>
          <w:rFonts w:ascii="Times New Roman" w:cs="Times New Roman" w:eastAsia="Times New Roman" w:hAnsi="Times New Roman"/>
          <w:sz w:val="16"/>
          <w:szCs w:val="16"/>
          <w:color w:val="auto"/>
        </w:rPr>
      </w:pPr>
    </w:p>
    <w:p>
      <w:pPr>
        <w:ind w:left="460" w:right="100" w:hanging="457"/>
        <w:spacing w:after="0" w:line="260" w:lineRule="auto"/>
        <w:tabs>
          <w:tab w:leader="none" w:pos="34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SPBRX, INC. (f/k/a GSV Sustainability Partners, Inc.) preferred shares held by SuRo Capital Corp. do not entitle SuRo Capital Corp. to a preferred dividend rate. SuRo Capital Corp. does not anticipate that SPBRX, INC. will pay distributions on a quarterly or regular basis or become a predictable distributor of distributions.</w:t>
      </w:r>
    </w:p>
    <w:p>
      <w:pPr>
        <w:spacing w:after="0" w:line="196" w:lineRule="exact"/>
        <w:rPr>
          <w:rFonts w:ascii="Times New Roman" w:cs="Times New Roman" w:eastAsia="Times New Roman" w:hAnsi="Times New Roman"/>
          <w:sz w:val="16"/>
          <w:szCs w:val="16"/>
          <w:color w:val="auto"/>
        </w:rPr>
      </w:pPr>
    </w:p>
    <w:p>
      <w:pPr>
        <w:ind w:left="340" w:hanging="337"/>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242" w:lineRule="exact"/>
        <w:rPr>
          <w:rFonts w:ascii="Times New Roman" w:cs="Times New Roman" w:eastAsia="Times New Roman" w:hAnsi="Times New Roman"/>
          <w:sz w:val="16"/>
          <w:szCs w:val="16"/>
          <w:color w:val="auto"/>
        </w:rPr>
      </w:pPr>
    </w:p>
    <w:p>
      <w:pPr>
        <w:ind w:left="460" w:right="100" w:hanging="457"/>
        <w:spacing w:after="0" w:line="248" w:lineRule="auto"/>
        <w:tabs>
          <w:tab w:leader="none" w:pos="375"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while SuRo Capital Corp. can put the shares to OneValley, Inc. (f/k/a NestGSV, Inc.) at the end of the five year period.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340"/>
          </w:cols>
          <w:pgMar w:left="320" w:top="11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217" w:lineRule="exact"/>
        <w:rPr>
          <w:sz w:val="20"/>
          <w:szCs w:val="20"/>
          <w:color w:val="auto"/>
        </w:rPr>
      </w:pPr>
    </w:p>
    <w:p>
      <w:pPr>
        <w:ind w:left="460" w:hanging="457"/>
        <w:spacing w:after="0" w:line="260" w:lineRule="auto"/>
        <w:tabs>
          <w:tab w:leader="none" w:pos="36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the total $10.0 million capital commitment representing SuRo Capital Corp.'s Membership Interest in Architect Capital PayJoy SPV, LLC had been called and funded.</w:t>
      </w:r>
    </w:p>
    <w:p>
      <w:pPr>
        <w:spacing w:after="0" w:line="209" w:lineRule="exact"/>
        <w:rPr>
          <w:rFonts w:ascii="Times New Roman" w:cs="Times New Roman" w:eastAsia="Times New Roman" w:hAnsi="Times New Roman"/>
          <w:sz w:val="16"/>
          <w:szCs w:val="16"/>
          <w:color w:val="auto"/>
        </w:rPr>
      </w:pPr>
    </w:p>
    <w:p>
      <w:pPr>
        <w:jc w:val="both"/>
        <w:ind w:left="460" w:hanging="457"/>
        <w:spacing w:after="0" w:line="247" w:lineRule="auto"/>
        <w:tabs>
          <w:tab w:leader="none" w:pos="41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2021, NewLake Capital Partners, Inc. (f/k/a GreenAcreage Real Estate Corp.) declared an aggregate of approximately $0.3 million in dividend distributions, of which approximately $0.1 million reflects the dividend income earned while NewLake Capital Partners, Inc. (f/k/a GreenAcreage Real Estate Corp.) was a non-controlled/affiliate investment. SuRo Capital Corp. does not anticipate that NewLake Capital Partners, Inc. (f/k/a GreenAcreage Real Estate Corp.) will pay distributions on a recurring or regular basis or become a predictable distributor of distributions. On August 20, 2021, NewLake Capital Partners, Inc.(f/k/a GreenAcreage Real Estate Corp.) went public via an initial public offering on the OTCQX. As of December 31, 2021, none of SuRo Capital Corp.'s common shares in NewLake Capital Partners, Inc. (f/k/a GreenAcreage Real Estate Corp.) were subject to lock-up restrictions.</w:t>
      </w:r>
    </w:p>
    <w:p>
      <w:pPr>
        <w:spacing w:after="0" w:line="209" w:lineRule="exact"/>
        <w:rPr>
          <w:rFonts w:ascii="Times New Roman" w:cs="Times New Roman" w:eastAsia="Times New Roman" w:hAnsi="Times New Roman"/>
          <w:sz w:val="16"/>
          <w:szCs w:val="16"/>
          <w:color w:val="auto"/>
        </w:rPr>
      </w:pPr>
    </w:p>
    <w:p>
      <w:pPr>
        <w:ind w:left="460" w:hanging="457"/>
        <w:spacing w:after="0" w:line="277" w:lineRule="auto"/>
        <w:tabs>
          <w:tab w:leader="none" w:pos="37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5—COMMON STOCK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 On October 27, 2021, our Board of Directors approved an extension of the Share Repurchase Program until the earlier of (i) October 31, 2022 or (ii) the repurchase of $40.0 million in aggregate amount of our common stock. On March 13, 2022, our Board of Directors authorized a $15.0 million increase in the amount of shares of our common stock that may be repurchased under the discretionary Share Repurchase Program until the earlier of (i) October 31, 2022 or (ii) the repurchase of $55.0 million in aggregate amount of our common stock.</w:t>
      </w:r>
    </w:p>
    <w:p>
      <w:pPr>
        <w:spacing w:after="0" w:line="203"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197"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During the three months ended March 31, 2022, the Company repurchased 153,517 shares of the Company's common stock under the Share Repurchase Program. During the three months ended March 31, 2021, the Company did not repurchase shares of common stock under the Share Repurchase Program. As of March 31, 2022, the dollar value of shares that remained available to be purchased by the Company under the Share Repurchase Program was approximately $23.3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2019 Equity Incentive Plan</w:t>
      </w:r>
    </w:p>
    <w:p>
      <w:pPr>
        <w:spacing w:after="0" w:line="24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Refer to “Note 11—Stock-Based Compensation” for a description of the Company’s restricted shares of common stock granted under the Amended &amp; Restated 2019 Equity Incentive Plan (as defined therein).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 Paid in Common Stock</w:t>
      </w: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May 4, 2021, the Company's Board of Directors declared a dividend of $2.50 per share that was paid on June 30, 2021 to stockholders of record as of the close of business on May 18, 2021. The ex-dividend date was May 17, 2021. The dividend was paid in cash and shares of the Company's common stock at the election of the stockholders, although the total amount of cash to be distributed to all stockholders was limited to no more than 50% of the total dividend paid to all stockholders. The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dividend amount paid to all stockholders consisted of approximately $30.0 million in cash and 2,335,527 in shares of common stock issued.</w:t>
      </w:r>
    </w:p>
    <w:p>
      <w:pPr>
        <w:spacing w:after="0" w:line="2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August 3, 2021, the Company's Board of Directors declared a dividend of $2.25 per share that was paid on September 30, 2021 to stockholders of record as of the close of business on August 18, 2021. The ex-dividend date was August 17, 2021. The dividend was paid in cash and shares of the Company's common stock at the election of the stockholders, although the total amount of cash to be distributed to all stockholders was limited to no more than 50% of the total dividend paid to all stockholders. The total dividend amount paid to all stockholders consisted of approximately $29.6 million in cash and 2,225,193 in shares of common stock issued.</w:t>
      </w:r>
    </w:p>
    <w:p>
      <w:pPr>
        <w:spacing w:after="0" w:line="1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November 2, 2021, the Company's Board of Directors declared a dividend of $2.00 per share that was paid on December 30, 2021 to stockholders of record as of the close of business on November 17, 2021. The ex-dividend date was November 16, 2021. The dividend was paid in cash and shares of the Company's common stock at the election of the stockholders, although the total amount of cash to be distributed to all stockholders was limited to no more than 50% of the total dividend paid to all stockholders. The total dividend amount paid to all stockholders consisted of approximately $28.5 million in cash and 2,170,807 in shares of common stock issued.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Conversion of 4.75% Convertible Senior Notes due 2023</w:t>
      </w:r>
    </w:p>
    <w:p>
      <w:pPr>
        <w:spacing w:after="0" w:line="2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During the three months ended March 31, 2021, the Company issued 4,097,808 shares of its common stock and cash for fractional shares upon the conversion of approximately $37.9 million in aggregate principal amount of the 4.75% Convertible Senior Notes due 2023. The Company also redeemed approximately $0.3 million of aggregate principal amount for cash plus accrued and unpaid interest on March 29, 2021. During the year ended December 31, 2020, the Company issued 174,888 shares of its common stock and cash for fractional shares upon the conversion of $1,785,000 in aggregate principal amount of the 4.75% Convertible Senior Notes due 2023. Refer to “Note 10—Debt Capital Activities” for more detail regarding conversion terms.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At-the-Market Offering</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 million in aggregate amount of shares of its common stock (the “Shares”) from time to time through the Agents or to them as principal for their own account (the "ATM Program"). On September 23, 2020, the Company increased the maximum amount of Shares to be sold through the ATM Program to $150.0 million from $50.0 million. In connection with the upsize of the ATM Program to $150.0 million, the Company entered into Amendment No. 1 to the At-the-Market Sales Agreement, dated September 23, 2020, with the Agents (the “Amendment No. 1 to the Sales Agreement,” and together with the Initial Sales Agreement, the “Sales Agreement”). The Company intends to use the net proceeds from the ATM Program to make investments in portfolio companies in accordance with its investment objective and strategy and for general corporate purposes.</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Sales of the Shares, if any, will be made by any method that is deemed to be an “at-the-market” offering as defined in Rule 415 under the Securities Act of 1933, as amended, including sales made directly on the Nasdaq Global Select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19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8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During the three months ended March 31, 2022, the Company issued and sold 17,807 Shares under the ATM Program at a weighted-average price of $13.01 per share, for gross proceeds of $231,677 and net proceeds of $229,896, after deducting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240"/>
          </w:cols>
          <w:pgMar w:left="320" w:top="118" w:right="339" w:bottom="1440" w:gutter="0" w:footer="0" w:header="0"/>
        </w:sectPr>
      </w:pPr>
    </w:p>
    <w:bookmarkStart w:id="46" w:name="page47"/>
    <w:bookmarkEnd w:id="46"/>
    <w:p>
      <w:pPr>
        <w:ind w:left="74"/>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8" w:lineRule="exact"/>
        <w:rPr>
          <w:sz w:val="20"/>
          <w:szCs w:val="20"/>
          <w:color w:val="auto"/>
        </w:rPr>
      </w:pPr>
    </w:p>
    <w:p>
      <w:pPr>
        <w:ind w:left="74"/>
        <w:spacing w:after="0" w:line="291" w:lineRule="auto"/>
        <w:rPr>
          <w:sz w:val="20"/>
          <w:szCs w:val="20"/>
          <w:color w:val="auto"/>
        </w:rPr>
      </w:pPr>
      <w:r>
        <w:rPr>
          <w:rFonts w:ascii="Times New Roman" w:cs="Times New Roman" w:eastAsia="Times New Roman" w:hAnsi="Times New Roman"/>
          <w:sz w:val="17"/>
          <w:szCs w:val="17"/>
          <w:color w:val="auto"/>
        </w:rPr>
        <w:t>commissions to the Agents on Shares sold. As of March 31, 2022, up to approximately $98.8 million in aggregate amount of the Shares remain available for sale under the ATM Program.</w:t>
      </w:r>
    </w:p>
    <w:p>
      <w:pPr>
        <w:spacing w:after="0" w:line="171"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7"/>
          <w:szCs w:val="17"/>
          <w:b w:val="1"/>
          <w:bCs w:val="1"/>
          <w:color w:val="auto"/>
        </w:rPr>
        <w:t>NOTE 6—NET CHANGE IN NET ASSETS RESULTING FROM OPERATIONS PER COMMON SHARE—BASIC AND DILUTED</w:t>
      </w:r>
    </w:p>
    <w:p>
      <w:pPr>
        <w:spacing w:after="0" w:line="246" w:lineRule="exact"/>
        <w:rPr>
          <w:sz w:val="20"/>
          <w:szCs w:val="20"/>
          <w:color w:val="auto"/>
        </w:rPr>
      </w:pPr>
    </w:p>
    <w:p>
      <w:pPr>
        <w:ind w:left="74" w:firstLine="349"/>
        <w:spacing w:after="0" w:line="274" w:lineRule="auto"/>
        <w:rPr>
          <w:sz w:val="20"/>
          <w:szCs w:val="20"/>
          <w:color w:val="auto"/>
        </w:rPr>
      </w:pPr>
      <w:r>
        <w:rPr>
          <w:rFonts w:ascii="Times New Roman" w:cs="Times New Roman" w:eastAsia="Times New Roman" w:hAnsi="Times New Roman"/>
          <w:sz w:val="17"/>
          <w:szCs w:val="17"/>
          <w:color w:val="auto"/>
        </w:rPr>
        <w:t>The following information sets forth the computation of basic and diluted net increase in net assets resulting from operations per common share, pursuant to ASC 260, for the three months ended March 31, 2022 and 2021.</w:t>
      </w:r>
    </w:p>
    <w:tbl>
      <w:tblPr>
        <w:tblLayout w:type="fixed"/>
        <w:tblInd w:w="84" w:type="dxa"/>
        <w:tblCellMar>
          <w:top w:w="0" w:type="dxa"/>
          <w:left w:w="0" w:type="dxa"/>
          <w:bottom w:w="0" w:type="dxa"/>
          <w:right w:w="0" w:type="dxa"/>
        </w:tblCellMar>
      </w:tblPr>
      <w:tr>
        <w:trPr>
          <w:trHeight w:val="183"/>
        </w:trPr>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80" w:type="dxa"/>
            <w:vAlign w:val="bottom"/>
            <w:gridSpan w:val="4"/>
          </w:tcPr>
          <w:p>
            <w:pPr>
              <w:jc w:val="right"/>
              <w:ind w:right="72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1"/>
        </w:trPr>
        <w:tc>
          <w:tcPr>
            <w:tcW w:w="23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5"/>
        </w:trPr>
        <w:tc>
          <w:tcPr>
            <w:tcW w:w="2360" w:type="dxa"/>
            <w:vAlign w:val="bottom"/>
            <w:tcBorders>
              <w:left w:val="single" w:sz="8" w:color="CCEEFF"/>
              <w:bottom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b w:val="1"/>
                <w:bCs w:val="1"/>
                <w:color w:val="auto"/>
                <w:w w:val="96"/>
              </w:rPr>
              <w:t>Earnings per common share–basic:</w:t>
            </w:r>
          </w:p>
        </w:tc>
        <w:tc>
          <w:tcPr>
            <w:tcW w:w="5400" w:type="dxa"/>
            <w:vAlign w:val="bottom"/>
            <w:tcBorders>
              <w:bottom w:val="single" w:sz="8" w:color="CCEEFF"/>
            </w:tcBorders>
            <w:gridSpan w:val="2"/>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205"/>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4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20,456,455</w:t>
            </w:r>
          </w:p>
        </w:tc>
        <w:tc>
          <w:tcPr>
            <w:tcW w:w="100" w:type="dxa"/>
            <w:vAlign w:val="bottom"/>
          </w:tcPr>
          <w:p>
            <w:pPr>
              <w:spacing w:after="0"/>
              <w:rPr>
                <w:sz w:val="17"/>
                <w:szCs w:val="17"/>
                <w:color w:val="auto"/>
              </w:rPr>
            </w:pPr>
          </w:p>
        </w:tc>
        <w:tc>
          <w:tcPr>
            <w:tcW w:w="4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108,002,363</w:t>
            </w:r>
          </w:p>
        </w:tc>
      </w:tr>
      <w:tr>
        <w:trPr>
          <w:trHeight w:val="207"/>
        </w:trPr>
        <w:tc>
          <w:tcPr>
            <w:tcW w:w="7760" w:type="dxa"/>
            <w:vAlign w:val="bottom"/>
            <w:tcBorders>
              <w:left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shares–basic</w:t>
            </w: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31,228,046</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20,486,621</w:t>
            </w:r>
          </w:p>
        </w:tc>
      </w:tr>
      <w:tr>
        <w:trPr>
          <w:trHeight w:val="202"/>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share–basic</w:t>
            </w:r>
          </w:p>
        </w:tc>
        <w:tc>
          <w:tcPr>
            <w:tcW w:w="4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34"/>
        </w:trPr>
        <w:tc>
          <w:tcPr>
            <w:tcW w:w="7760" w:type="dxa"/>
            <w:vAlign w:val="bottom"/>
            <w:tcBorders>
              <w:left w:val="single" w:sz="8" w:color="CCEEFF"/>
            </w:tcBorders>
            <w:gridSpan w:val="3"/>
            <w:shd w:val="clear" w:color="auto" w:fill="CCEEFF"/>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Earnings per common share–diluted:</w:t>
            </w: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39"/>
        </w:trPr>
        <w:tc>
          <w:tcPr>
            <w:tcW w:w="2360" w:type="dxa"/>
            <w:vAlign w:val="bottom"/>
            <w:tcBorders>
              <w:left w:val="single" w:sz="8" w:color="CCEEFF"/>
            </w:tcBorders>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52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r>
        <w:trPr>
          <w:trHeight w:val="205"/>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4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20,456,455</w:t>
            </w:r>
          </w:p>
        </w:tc>
        <w:tc>
          <w:tcPr>
            <w:tcW w:w="100" w:type="dxa"/>
            <w:vAlign w:val="bottom"/>
          </w:tcPr>
          <w:p>
            <w:pPr>
              <w:spacing w:after="0"/>
              <w:rPr>
                <w:sz w:val="17"/>
                <w:szCs w:val="17"/>
                <w:color w:val="auto"/>
              </w:rPr>
            </w:pPr>
          </w:p>
        </w:tc>
        <w:tc>
          <w:tcPr>
            <w:tcW w:w="4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108,002,363</w:t>
            </w:r>
          </w:p>
        </w:tc>
      </w:tr>
      <w:tr>
        <w:trPr>
          <w:trHeight w:val="222"/>
        </w:trPr>
        <w:tc>
          <w:tcPr>
            <w:tcW w:w="7760" w:type="dxa"/>
            <w:vAlign w:val="bottom"/>
            <w:tcBorders>
              <w:left w:val="single" w:sz="8" w:color="CCEEFF"/>
            </w:tcBorders>
            <w:gridSpan w:val="3"/>
            <w:shd w:val="clear" w:color="auto" w:fill="CCEEFF"/>
          </w:tcPr>
          <w:p>
            <w:pPr>
              <w:ind w:left="140"/>
              <w:spacing w:after="0" w:line="222" w:lineRule="exact"/>
              <w:rPr>
                <w:sz w:val="20"/>
                <w:szCs w:val="20"/>
                <w:color w:val="auto"/>
              </w:rPr>
            </w:pPr>
            <w:r>
              <w:rPr>
                <w:rFonts w:ascii="Times New Roman" w:cs="Times New Roman" w:eastAsia="Times New Roman" w:hAnsi="Times New Roman"/>
                <w:sz w:val="16"/>
                <w:szCs w:val="16"/>
                <w:color w:val="auto"/>
              </w:rPr>
              <w:t>Adjustment for interest and amortization on 4.75% Convertible Senior Notes due 2023</w:t>
            </w:r>
            <w:r>
              <w:rPr>
                <w:rFonts w:ascii="Times New Roman" w:cs="Times New Roman" w:eastAsia="Times New Roman" w:hAnsi="Times New Roman"/>
                <w:sz w:val="20"/>
                <w:szCs w:val="20"/>
                <w:color w:val="auto"/>
                <w:vertAlign w:val="superscript"/>
              </w:rPr>
              <w:t>(1)</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501,065</w:t>
            </w:r>
          </w:p>
        </w:tc>
      </w:tr>
      <w:tr>
        <w:trPr>
          <w:trHeight w:val="198"/>
        </w:trPr>
        <w:tc>
          <w:tcPr>
            <w:tcW w:w="7760" w:type="dxa"/>
            <w:vAlign w:val="bottom"/>
            <w:tcBorders>
              <w:top w:val="single" w:sz="8" w:color="CCEEFF"/>
            </w:tcBorders>
            <w:gridSpan w:val="3"/>
          </w:tcPr>
          <w:p>
            <w:pPr>
              <w:ind w:left="100"/>
              <w:spacing w:after="0"/>
              <w:rPr>
                <w:sz w:val="20"/>
                <w:szCs w:val="20"/>
                <w:color w:val="auto"/>
              </w:rPr>
            </w:pPr>
            <w:r>
              <w:rPr>
                <w:rFonts w:ascii="Times New Roman" w:cs="Times New Roman" w:eastAsia="Times New Roman" w:hAnsi="Times New Roman"/>
                <w:sz w:val="16"/>
                <w:szCs w:val="16"/>
                <w:color w:val="auto"/>
              </w:rPr>
              <w:t>Net change in net assets resulting from operations, as adjusted</w:t>
            </w:r>
          </w:p>
        </w:tc>
        <w:tc>
          <w:tcPr>
            <w:tcW w:w="40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20,456,455</w:t>
            </w:r>
          </w:p>
        </w:tc>
        <w:tc>
          <w:tcPr>
            <w:tcW w:w="100" w:type="dxa"/>
            <w:vAlign w:val="bottom"/>
          </w:tcPr>
          <w:p>
            <w:pPr>
              <w:spacing w:after="0"/>
              <w:rPr>
                <w:sz w:val="17"/>
                <w:szCs w:val="17"/>
                <w:color w:val="auto"/>
              </w:rPr>
            </w:pPr>
          </w:p>
        </w:tc>
        <w:tc>
          <w:tcPr>
            <w:tcW w:w="42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108,503,428</w:t>
            </w:r>
          </w:p>
        </w:tc>
      </w:tr>
      <w:tr>
        <w:trPr>
          <w:trHeight w:val="222"/>
        </w:trPr>
        <w:tc>
          <w:tcPr>
            <w:tcW w:w="7760" w:type="dxa"/>
            <w:vAlign w:val="bottom"/>
            <w:tcBorders>
              <w:left w:val="single" w:sz="8" w:color="CCEEFF"/>
            </w:tcBorders>
            <w:gridSpan w:val="3"/>
            <w:shd w:val="clear" w:color="auto" w:fill="CCEEFF"/>
          </w:tcPr>
          <w:p>
            <w:pPr>
              <w:ind w:left="140"/>
              <w:spacing w:after="0" w:line="222" w:lineRule="exact"/>
              <w:rPr>
                <w:sz w:val="20"/>
                <w:szCs w:val="20"/>
                <w:color w:val="auto"/>
              </w:rPr>
            </w:pPr>
            <w:r>
              <w:rPr>
                <w:rFonts w:ascii="Times New Roman" w:cs="Times New Roman" w:eastAsia="Times New Roman" w:hAnsi="Times New Roman"/>
                <w:sz w:val="16"/>
                <w:szCs w:val="16"/>
                <w:color w:val="auto"/>
              </w:rPr>
              <w:t>Adjustment for dilutive effect of 4.75% Convertible Senior Notes due 2023</w:t>
            </w:r>
            <w:r>
              <w:rPr>
                <w:rFonts w:ascii="Times New Roman" w:cs="Times New Roman" w:eastAsia="Times New Roman" w:hAnsi="Times New Roman"/>
                <w:sz w:val="20"/>
                <w:szCs w:val="20"/>
                <w:color w:val="auto"/>
                <w:vertAlign w:val="superscript"/>
              </w:rPr>
              <w:t>(1)</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3,636,717</w:t>
            </w:r>
          </w:p>
        </w:tc>
      </w:tr>
      <w:tr>
        <w:trPr>
          <w:trHeight w:val="198"/>
        </w:trPr>
        <w:tc>
          <w:tcPr>
            <w:tcW w:w="7760" w:type="dxa"/>
            <w:vAlign w:val="bottom"/>
            <w:tcBorders>
              <w:top w:val="single" w:sz="8" w:color="CCEEFF"/>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outstanding–diluted</w:t>
            </w: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31,228,046</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24,123,338</w:t>
            </w:r>
          </w:p>
        </w:tc>
      </w:tr>
      <w:tr>
        <w:trPr>
          <w:trHeight w:val="227"/>
        </w:trPr>
        <w:tc>
          <w:tcPr>
            <w:tcW w:w="7760" w:type="dxa"/>
            <w:vAlign w:val="bottom"/>
            <w:tcBorders>
              <w:left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share–diluted</w:t>
            </w:r>
          </w:p>
        </w:tc>
        <w:tc>
          <w:tcPr>
            <w:tcW w:w="40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-1551940</wp:posOffset>
            </wp:positionV>
            <wp:extent cx="49199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19980" cy="8255"/>
                    </a:xfrm>
                    <a:prstGeom prst="rect">
                      <a:avLst/>
                    </a:prstGeom>
                    <a:noFill/>
                  </pic:spPr>
                </pic:pic>
              </a:graphicData>
            </a:graphic>
          </wp:anchor>
        </w:drawing>
      </w:r>
    </w:p>
    <w:p>
      <w:pPr>
        <w:spacing w:after="0" w:line="26"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7"/>
          <w:szCs w:val="17"/>
          <w:color w:val="auto"/>
        </w:rPr>
        <w:t>______________________</w:t>
      </w:r>
    </w:p>
    <w:p>
      <w:pPr>
        <w:spacing w:after="0" w:line="30" w:lineRule="exact"/>
        <w:rPr>
          <w:sz w:val="20"/>
          <w:szCs w:val="20"/>
          <w:color w:val="auto"/>
        </w:rPr>
      </w:pPr>
    </w:p>
    <w:p>
      <w:pPr>
        <w:ind w:left="374" w:hanging="374"/>
        <w:spacing w:after="0"/>
        <w:tabs>
          <w:tab w:leader="none" w:pos="374"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As of March 31, 2022, there were no potentially dilutive securities outstanding.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7"/>
          <w:szCs w:val="17"/>
          <w:b w:val="1"/>
          <w:bCs w:val="1"/>
          <w:color w:val="auto"/>
        </w:rPr>
        <w:t>NOTE 7—COMMITMENTS AND CONTINGENCIES</w:t>
      </w:r>
    </w:p>
    <w:p>
      <w:pPr>
        <w:spacing w:after="0" w:line="246" w:lineRule="exact"/>
        <w:rPr>
          <w:sz w:val="20"/>
          <w:szCs w:val="20"/>
          <w:color w:val="auto"/>
        </w:rPr>
      </w:pPr>
    </w:p>
    <w:p>
      <w:pPr>
        <w:jc w:val="both"/>
        <w:ind w:left="74" w:firstLine="349"/>
        <w:spacing w:after="0" w:line="272" w:lineRule="auto"/>
        <w:rPr>
          <w:sz w:val="20"/>
          <w:szCs w:val="20"/>
          <w:color w:val="auto"/>
        </w:rPr>
      </w:pPr>
      <w:r>
        <w:rPr>
          <w:rFonts w:ascii="Times New Roman" w:cs="Times New Roman" w:eastAsia="Times New Roman" w:hAnsi="Times New Roman"/>
          <w:sz w:val="17"/>
          <w:szCs w:val="17"/>
          <w:color w:val="auto"/>
        </w:rPr>
        <w:t>In the normal course of business, the Company may enter into investment agreements under which it commits to make an investment in a portfolio company at some future date or over a specified period of time. As of March 31, 2022 and December 31, 2021, the Company had $1,330,000 and $1,330,000, respectively, in non-binding investment agreements that required it to make a future investment in a portfolio company.</w:t>
      </w:r>
    </w:p>
    <w:p>
      <w:pPr>
        <w:spacing w:after="0" w:line="189" w:lineRule="exact"/>
        <w:rPr>
          <w:sz w:val="20"/>
          <w:szCs w:val="20"/>
          <w:color w:val="auto"/>
        </w:rPr>
      </w:pPr>
    </w:p>
    <w:p>
      <w:pPr>
        <w:jc w:val="both"/>
        <w:ind w:left="74" w:firstLine="349"/>
        <w:spacing w:after="0" w:line="266" w:lineRule="auto"/>
        <w:rPr>
          <w:sz w:val="20"/>
          <w:szCs w:val="20"/>
          <w:color w:val="auto"/>
        </w:rPr>
      </w:pPr>
      <w:r>
        <w:rPr>
          <w:rFonts w:ascii="Times New Roman" w:cs="Times New Roman" w:eastAsia="Times New Roman" w:hAnsi="Times New Roman"/>
          <w:sz w:val="17"/>
          <w:szCs w:val="17"/>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64"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7"/>
          <w:szCs w:val="17"/>
          <w:b w:val="1"/>
          <w:bCs w:val="1"/>
          <w:i w:val="1"/>
          <w:iCs w:val="1"/>
          <w:color w:val="auto"/>
        </w:rPr>
        <w:t>Operating Leases &amp; Related Deposits</w:t>
      </w:r>
    </w:p>
    <w:p>
      <w:pPr>
        <w:spacing w:after="0" w:line="248" w:lineRule="exact"/>
        <w:rPr>
          <w:sz w:val="20"/>
          <w:szCs w:val="20"/>
          <w:color w:val="auto"/>
        </w:rPr>
      </w:pPr>
    </w:p>
    <w:p>
      <w:pPr>
        <w:jc w:val="both"/>
        <w:ind w:left="74" w:firstLine="349"/>
        <w:spacing w:after="0" w:line="272" w:lineRule="auto"/>
        <w:rPr>
          <w:sz w:val="20"/>
          <w:szCs w:val="20"/>
          <w:color w:val="auto"/>
        </w:rPr>
      </w:pPr>
      <w:r>
        <w:rPr>
          <w:rFonts w:ascii="Times New Roman" w:cs="Times New Roman" w:eastAsia="Times New Roman" w:hAnsi="Times New Roman"/>
          <w:sz w:val="17"/>
          <w:szCs w:val="17"/>
          <w:color w:val="auto"/>
        </w:rPr>
        <w:t>The Company currently has one operating lease for office space for which the Company has recorded a right-of-use asset and lease liability for the operating lease obligation. The lease commenced June 3, 2019 and expires July 31, 2024. The lease expense is presented as a single lease cost that is amortized on a straight-line basis over the life of the lease.</w:t>
      </w:r>
    </w:p>
    <w:p>
      <w:pPr>
        <w:spacing w:after="0" w:line="189" w:lineRule="exact"/>
        <w:rPr>
          <w:sz w:val="20"/>
          <w:szCs w:val="20"/>
          <w:color w:val="auto"/>
        </w:rPr>
      </w:pPr>
    </w:p>
    <w:p>
      <w:pPr>
        <w:jc w:val="both"/>
        <w:ind w:left="74" w:firstLine="349"/>
        <w:spacing w:after="0" w:line="262" w:lineRule="auto"/>
        <w:rPr>
          <w:sz w:val="20"/>
          <w:szCs w:val="20"/>
          <w:color w:val="auto"/>
        </w:rPr>
      </w:pPr>
      <w:r>
        <w:rPr>
          <w:rFonts w:ascii="Times New Roman" w:cs="Times New Roman" w:eastAsia="Times New Roman" w:hAnsi="Times New Roman"/>
          <w:sz w:val="17"/>
          <w:szCs w:val="17"/>
          <w:color w:val="auto"/>
        </w:rPr>
        <w:t>As of March 31, 2022 and December 31, 2021, the Company booked a right-of-use asset and operating lease liability of $428,383 and $470,508, respectively, on the Condensed Consolidated Statement of Assets and Liabilities. As of March 31, 2022 and December 31, 2021, the Company recorded a security deposit of $16,574 and $16,574, respectively, on the Condensed Consolidated Statement of Assets and Liabilities. For the three months ended March 31, 2022 and 2021, the Company incurred $47,332 and $45,723, respectively, of operating lease expense. The amounts reflected on the Condensed Consolidated Statement of Assets and Liabilities have been discounted using the rate implicit in the lease. As of March 31, 2022, the remaining lease term was 2.3 years and the discount rate was 3.00%.</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314"/>
          </w:cols>
          <w:pgMar w:left="246"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following table shows future minimum payments under the Company's operating lease as of March 31, 2022:</w:t>
      </w:r>
    </w:p>
    <w:p>
      <w:pPr>
        <w:spacing w:after="0" w:line="44" w:lineRule="exact"/>
        <w:rPr>
          <w:sz w:val="20"/>
          <w:szCs w:val="20"/>
          <w:color w:val="auto"/>
        </w:rPr>
      </w:pPr>
    </w:p>
    <w:tbl>
      <w:tblPr>
        <w:tblLayout w:type="fixed"/>
        <w:tblInd w:w="1380" w:type="dxa"/>
        <w:tblCellMar>
          <w:top w:w="0" w:type="dxa"/>
          <w:left w:w="0" w:type="dxa"/>
          <w:bottom w:w="0" w:type="dxa"/>
          <w:right w:w="0" w:type="dxa"/>
        </w:tblCellMar>
      </w:tblPr>
      <w:tr>
        <w:trPr>
          <w:trHeight w:val="18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840" w:type="dxa"/>
            <w:vAlign w:val="bottom"/>
          </w:tcPr>
          <w:p>
            <w:pPr>
              <w:jc w:val="right"/>
              <w:ind w:right="1517"/>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48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r>
        <w:trPr>
          <w:trHeight w:val="21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840" w:type="dxa"/>
            <w:vAlign w:val="bottom"/>
            <w:shd w:val="clear" w:color="auto" w:fill="CCEEFF"/>
          </w:tcPr>
          <w:p>
            <w:pPr>
              <w:spacing w:after="0"/>
              <w:rPr>
                <w:sz w:val="18"/>
                <w:szCs w:val="18"/>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139,692</w:t>
            </w:r>
          </w:p>
        </w:tc>
      </w:tr>
      <w:tr>
        <w:trPr>
          <w:trHeight w:val="220"/>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84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190,750</w:t>
            </w:r>
          </w:p>
        </w:tc>
      </w:tr>
      <w:tr>
        <w:trPr>
          <w:trHeight w:val="22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840" w:type="dxa"/>
            <w:vAlign w:val="bottom"/>
            <w:tcBorders>
              <w:bottom w:val="single" w:sz="8" w:color="auto"/>
            </w:tcBorders>
            <w:shd w:val="clear" w:color="auto" w:fill="CCEEFF"/>
          </w:tcPr>
          <w:p>
            <w:pPr>
              <w:spacing w:after="0"/>
              <w:rPr>
                <w:sz w:val="19"/>
                <w:szCs w:val="19"/>
                <w:color w:val="auto"/>
              </w:rPr>
            </w:pPr>
          </w:p>
        </w:tc>
        <w:tc>
          <w:tcPr>
            <w:tcW w:w="2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113,603</w:t>
            </w:r>
          </w:p>
        </w:tc>
      </w:tr>
      <w:tr>
        <w:trPr>
          <w:trHeight w:val="213"/>
        </w:trPr>
        <w:tc>
          <w:tcPr>
            <w:tcW w:w="4800" w:type="dxa"/>
            <w:vAlign w:val="bottom"/>
          </w:tcPr>
          <w:p>
            <w:pPr>
              <w:spacing w:after="0"/>
              <w:rPr>
                <w:sz w:val="18"/>
                <w:szCs w:val="18"/>
                <w:color w:val="auto"/>
              </w:rPr>
            </w:pPr>
          </w:p>
        </w:tc>
        <w:tc>
          <w:tcPr>
            <w:tcW w:w="8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444,045</w:t>
            </w:r>
          </w:p>
        </w:tc>
      </w:tr>
      <w:tr>
        <w:trPr>
          <w:trHeight w:val="20"/>
        </w:trPr>
        <w:tc>
          <w:tcPr>
            <w:tcW w:w="4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881380</wp:posOffset>
            </wp:positionH>
            <wp:positionV relativeFrom="paragraph">
              <wp:posOffset>-607060</wp:posOffset>
            </wp:positionV>
            <wp:extent cx="30391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3911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8—FINANCIAL HIGHLIGHTS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560" w:type="dxa"/>
            <w:vAlign w:val="bottom"/>
            <w:gridSpan w:val="4"/>
          </w:tcPr>
          <w:p>
            <w:pPr>
              <w:jc w:val="right"/>
              <w:ind w:right="110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8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8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 Basic Share Data</w:t>
            </w:r>
          </w:p>
        </w:tc>
        <w:tc>
          <w:tcPr>
            <w:tcW w:w="6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 value at beginning of the year</w:t>
            </w:r>
          </w:p>
        </w:tc>
        <w:tc>
          <w:tcPr>
            <w:tcW w:w="6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11.72</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15.14</w:t>
            </w: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ind w:left="140"/>
              <w:spacing w:after="0" w:line="209" w:lineRule="exact"/>
              <w:rPr>
                <w:sz w:val="20"/>
                <w:szCs w:val="20"/>
                <w:color w:val="auto"/>
              </w:rPr>
            </w:pPr>
            <w:r>
              <w:rPr>
                <w:rFonts w:ascii="Times New Roman" w:cs="Times New Roman" w:eastAsia="Times New Roman" w:hAnsi="Times New Roman"/>
                <w:sz w:val="16"/>
                <w:szCs w:val="16"/>
                <w:color w:val="auto"/>
              </w:rPr>
              <w:t>Net investment loss</w:t>
            </w:r>
            <w:r>
              <w:rPr>
                <w:rFonts w:ascii="Times New Roman" w:cs="Times New Roman" w:eastAsia="Times New Roman" w:hAnsi="Times New Roman"/>
                <w:sz w:val="20"/>
                <w:szCs w:val="20"/>
                <w:color w:val="auto"/>
                <w:vertAlign w:val="superscript"/>
              </w:rPr>
              <w:t>(1)</w:t>
            </w:r>
          </w:p>
        </w:tc>
        <w:tc>
          <w:tcPr>
            <w:tcW w:w="6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07"/>
        </w:trPr>
        <w:tc>
          <w:tcPr>
            <w:tcW w:w="6840" w:type="dxa"/>
            <w:vAlign w:val="bottom"/>
          </w:tcPr>
          <w:p>
            <w:pPr>
              <w:ind w:left="140"/>
              <w:spacing w:after="0" w:line="207" w:lineRule="exact"/>
              <w:rPr>
                <w:sz w:val="20"/>
                <w:szCs w:val="20"/>
                <w:color w:val="auto"/>
              </w:rPr>
            </w:pPr>
            <w:r>
              <w:rPr>
                <w:rFonts w:ascii="Times New Roman" w:cs="Times New Roman" w:eastAsia="Times New Roman" w:hAnsi="Times New Roman"/>
                <w:sz w:val="16"/>
                <w:szCs w:val="16"/>
                <w:color w:val="auto"/>
              </w:rPr>
              <w:t>Net realized gain on investments</w:t>
            </w:r>
            <w:r>
              <w:rPr>
                <w:rFonts w:ascii="Times New Roman" w:cs="Times New Roman" w:eastAsia="Times New Roman" w:hAnsi="Times New Roman"/>
                <w:sz w:val="20"/>
                <w:szCs w:val="20"/>
                <w:color w:val="auto"/>
                <w:vertAlign w:val="superscript"/>
              </w:rPr>
              <w:t>(1)</w:t>
            </w:r>
          </w:p>
        </w:tc>
        <w:tc>
          <w:tcPr>
            <w:tcW w:w="680" w:type="dxa"/>
            <w:vAlign w:val="bottom"/>
          </w:tcPr>
          <w:p>
            <w:pPr>
              <w:spacing w:after="0"/>
              <w:rPr>
                <w:sz w:val="17"/>
                <w:szCs w:val="17"/>
                <w:color w:val="auto"/>
              </w:rPr>
            </w:pPr>
          </w:p>
        </w:tc>
        <w:tc>
          <w:tcPr>
            <w:tcW w:w="13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5.47</w:t>
            </w:r>
          </w:p>
        </w:tc>
        <w:tc>
          <w:tcPr>
            <w:tcW w:w="0" w:type="dxa"/>
            <w:vAlign w:val="bottom"/>
          </w:tcPr>
          <w:p>
            <w:pPr>
              <w:spacing w:after="0"/>
              <w:rPr>
                <w:sz w:val="1"/>
                <w:szCs w:val="1"/>
                <w:color w:val="auto"/>
              </w:rPr>
            </w:pPr>
          </w:p>
        </w:tc>
      </w:tr>
      <w:tr>
        <w:trPr>
          <w:trHeight w:val="207"/>
        </w:trPr>
        <w:tc>
          <w:tcPr>
            <w:tcW w:w="6840" w:type="dxa"/>
            <w:vAlign w:val="bottom"/>
            <w:shd w:val="clear" w:color="auto" w:fill="CCEEFF"/>
          </w:tcPr>
          <w:p>
            <w:pPr>
              <w:ind w:left="140"/>
              <w:spacing w:after="0" w:line="207" w:lineRule="exact"/>
              <w:rPr>
                <w:sz w:val="20"/>
                <w:szCs w:val="20"/>
                <w:color w:val="auto"/>
              </w:rPr>
            </w:pPr>
            <w:r>
              <w:rPr>
                <w:rFonts w:ascii="Times New Roman" w:cs="Times New Roman" w:eastAsia="Times New Roman" w:hAnsi="Times New Roman"/>
                <w:sz w:val="16"/>
                <w:szCs w:val="16"/>
                <w:color w:val="auto"/>
              </w:rPr>
              <w:t>Net change in unrealized appreciation/(depreciation) of investments</w:t>
            </w:r>
            <w:r>
              <w:rPr>
                <w:rFonts w:ascii="Times New Roman" w:cs="Times New Roman" w:eastAsia="Times New Roman" w:hAnsi="Times New Roman"/>
                <w:sz w:val="20"/>
                <w:szCs w:val="20"/>
                <w:color w:val="auto"/>
                <w:vertAlign w:val="superscript"/>
              </w:rPr>
              <w:t>(1)</w:t>
            </w:r>
          </w:p>
        </w:tc>
        <w:tc>
          <w:tcPr>
            <w:tcW w:w="6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0.69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05"/>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680" w:type="dxa"/>
            <w:vAlign w:val="bottom"/>
          </w:tcPr>
          <w:p>
            <w:pPr>
              <w:spacing w:after="0"/>
              <w:rPr>
                <w:sz w:val="17"/>
                <w:szCs w:val="17"/>
                <w:color w:val="auto"/>
              </w:rPr>
            </w:pPr>
          </w:p>
        </w:tc>
        <w:tc>
          <w:tcPr>
            <w:tcW w:w="13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(0.50)</w:t>
            </w: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ind w:left="140"/>
              <w:spacing w:after="0" w:line="209" w:lineRule="exact"/>
              <w:rPr>
                <w:sz w:val="20"/>
                <w:szCs w:val="20"/>
                <w:color w:val="auto"/>
              </w:rPr>
            </w:pPr>
            <w:r>
              <w:rPr>
                <w:rFonts w:ascii="Times New Roman" w:cs="Times New Roman" w:eastAsia="Times New Roman" w:hAnsi="Times New Roman"/>
                <w:sz w:val="16"/>
                <w:szCs w:val="16"/>
                <w:color w:val="auto"/>
              </w:rPr>
              <w:t>Issuance of common stock from public offering</w:t>
            </w:r>
            <w:r>
              <w:rPr>
                <w:rFonts w:ascii="Times New Roman" w:cs="Times New Roman" w:eastAsia="Times New Roman" w:hAnsi="Times New Roman"/>
                <w:sz w:val="20"/>
                <w:szCs w:val="20"/>
                <w:color w:val="auto"/>
                <w:vertAlign w:val="superscript"/>
              </w:rPr>
              <w:t>(1)</w:t>
            </w:r>
          </w:p>
        </w:tc>
        <w:tc>
          <w:tcPr>
            <w:tcW w:w="6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840" w:type="dxa"/>
            <w:vAlign w:val="bottom"/>
          </w:tcPr>
          <w:p>
            <w:pPr>
              <w:ind w:left="140"/>
              <w:spacing w:after="0" w:line="207" w:lineRule="exact"/>
              <w:rPr>
                <w:sz w:val="20"/>
                <w:szCs w:val="20"/>
                <w:color w:val="auto"/>
              </w:rPr>
            </w:pPr>
            <w:r>
              <w:rPr>
                <w:rFonts w:ascii="Times New Roman" w:cs="Times New Roman" w:eastAsia="Times New Roman" w:hAnsi="Times New Roman"/>
                <w:sz w:val="16"/>
                <w:szCs w:val="16"/>
                <w:color w:val="auto"/>
              </w:rPr>
              <w:t>Issuance of common stock from conversion of 4.75% Convertible Notes due 2023</w:t>
            </w:r>
            <w:r>
              <w:rPr>
                <w:rFonts w:ascii="Times New Roman" w:cs="Times New Roman" w:eastAsia="Times New Roman" w:hAnsi="Times New Roman"/>
                <w:sz w:val="20"/>
                <w:szCs w:val="20"/>
                <w:color w:val="auto"/>
                <w:vertAlign w:val="superscript"/>
              </w:rPr>
              <w:t>(1)</w:t>
            </w:r>
          </w:p>
        </w:tc>
        <w:tc>
          <w:tcPr>
            <w:tcW w:w="680" w:type="dxa"/>
            <w:vAlign w:val="bottom"/>
          </w:tcPr>
          <w:p>
            <w:pPr>
              <w:spacing w:after="0"/>
              <w:rPr>
                <w:sz w:val="17"/>
                <w:szCs w:val="17"/>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72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07"/>
        </w:trPr>
        <w:tc>
          <w:tcPr>
            <w:tcW w:w="6840" w:type="dxa"/>
            <w:vAlign w:val="bottom"/>
            <w:shd w:val="clear" w:color="auto" w:fill="CCEEFF"/>
          </w:tcPr>
          <w:p>
            <w:pPr>
              <w:ind w:left="140"/>
              <w:spacing w:after="0" w:line="207" w:lineRule="exact"/>
              <w:rPr>
                <w:sz w:val="20"/>
                <w:szCs w:val="20"/>
                <w:color w:val="auto"/>
              </w:rPr>
            </w:pPr>
            <w:r>
              <w:rPr>
                <w:rFonts w:ascii="Times New Roman" w:cs="Times New Roman" w:eastAsia="Times New Roman" w:hAnsi="Times New Roman"/>
                <w:sz w:val="16"/>
                <w:szCs w:val="16"/>
                <w:color w:val="auto"/>
              </w:rPr>
              <w:t>Repurchase of common stock</w:t>
            </w:r>
            <w:r>
              <w:rPr>
                <w:rFonts w:ascii="Times New Roman" w:cs="Times New Roman" w:eastAsia="Times New Roman" w:hAnsi="Times New Roman"/>
                <w:sz w:val="20"/>
                <w:szCs w:val="20"/>
                <w:color w:val="auto"/>
                <w:vertAlign w:val="superscript"/>
              </w:rPr>
              <w:t>(1)</w:t>
            </w:r>
          </w:p>
        </w:tc>
        <w:tc>
          <w:tcPr>
            <w:tcW w:w="6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840" w:type="dxa"/>
            <w:vAlign w:val="bottom"/>
            <w:tcBorders>
              <w:bottom w:val="single" w:sz="8" w:color="CCEEFF"/>
            </w:tcBorders>
          </w:tcPr>
          <w:p>
            <w:pPr>
              <w:ind w:left="140"/>
              <w:spacing w:after="0" w:line="207" w:lineRule="exact"/>
              <w:rPr>
                <w:sz w:val="20"/>
                <w:szCs w:val="20"/>
                <w:color w:val="auto"/>
              </w:rPr>
            </w:pPr>
            <w:r>
              <w:rPr>
                <w:rFonts w:ascii="Times New Roman" w:cs="Times New Roman" w:eastAsia="Times New Roman" w:hAnsi="Times New Roman"/>
                <w:sz w:val="16"/>
                <w:szCs w:val="16"/>
                <w:color w:val="auto"/>
              </w:rPr>
              <w:t>Stock-based compensation</w:t>
            </w:r>
            <w:r>
              <w:rPr>
                <w:rFonts w:ascii="Times New Roman" w:cs="Times New Roman" w:eastAsia="Times New Roman" w:hAnsi="Times New Roman"/>
                <w:sz w:val="20"/>
                <w:szCs w:val="20"/>
                <w:color w:val="auto"/>
                <w:vertAlign w:val="superscript"/>
              </w:rPr>
              <w:t>(1)</w:t>
            </w:r>
          </w:p>
        </w:tc>
        <w:tc>
          <w:tcPr>
            <w:tcW w:w="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25"/>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 value at end of period</w:t>
            </w:r>
          </w:p>
        </w:tc>
        <w:tc>
          <w:tcPr>
            <w:tcW w:w="680" w:type="dxa"/>
            <w:vAlign w:val="bottom"/>
            <w:tcBorders>
              <w:bottom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12.22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18.01</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Per share market value at end of period</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40" w:type="dxa"/>
            <w:vAlign w:val="bottom"/>
            <w:vMerge w:val="continue"/>
          </w:tcPr>
          <w:p>
            <w:pPr>
              <w:spacing w:after="0"/>
              <w:rPr>
                <w:sz w:val="15"/>
                <w:szCs w:val="15"/>
                <w:color w:val="auto"/>
              </w:rPr>
            </w:pPr>
          </w:p>
        </w:tc>
        <w:tc>
          <w:tcPr>
            <w:tcW w:w="680" w:type="dxa"/>
            <w:vAlign w:val="bottom"/>
          </w:tcPr>
          <w:p>
            <w:pPr>
              <w:jc w:val="right"/>
              <w:ind w:right="502"/>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23"/>
              <w:spacing w:after="0" w:line="177" w:lineRule="exact"/>
              <w:rPr>
                <w:sz w:val="20"/>
                <w:szCs w:val="20"/>
                <w:color w:val="auto"/>
              </w:rPr>
            </w:pPr>
            <w:r>
              <w:rPr>
                <w:rFonts w:ascii="Times New Roman" w:cs="Times New Roman" w:eastAsia="Times New Roman" w:hAnsi="Times New Roman"/>
                <w:sz w:val="16"/>
                <w:szCs w:val="16"/>
                <w:color w:val="auto"/>
              </w:rPr>
              <w:t>8.63</w:t>
            </w:r>
          </w:p>
        </w:tc>
        <w:tc>
          <w:tcPr>
            <w:tcW w:w="100" w:type="dxa"/>
            <w:vAlign w:val="bottom"/>
          </w:tcPr>
          <w:p>
            <w:pPr>
              <w:spacing w:after="0"/>
              <w:rPr>
                <w:sz w:val="15"/>
                <w:szCs w:val="15"/>
                <w:color w:val="auto"/>
              </w:rPr>
            </w:pPr>
          </w:p>
        </w:tc>
        <w:tc>
          <w:tcPr>
            <w:tcW w:w="360" w:type="dxa"/>
            <w:vAlign w:val="bottom"/>
          </w:tcPr>
          <w:p>
            <w:pPr>
              <w:jc w:val="right"/>
              <w:ind w:right="182"/>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123"/>
              <w:spacing w:after="0" w:line="177" w:lineRule="exact"/>
              <w:rPr>
                <w:sz w:val="20"/>
                <w:szCs w:val="20"/>
                <w:color w:val="auto"/>
              </w:rPr>
            </w:pPr>
            <w:r>
              <w:rPr>
                <w:rFonts w:ascii="Times New Roman" w:cs="Times New Roman" w:eastAsia="Times New Roman" w:hAnsi="Times New Roman"/>
                <w:sz w:val="16"/>
                <w:szCs w:val="16"/>
                <w:color w:val="auto"/>
              </w:rPr>
              <w:t>13.55</w:t>
            </w: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Total return based on market value</w:t>
            </w:r>
            <w:r>
              <w:rPr>
                <w:rFonts w:ascii="Times New Roman" w:cs="Times New Roman" w:eastAsia="Times New Roman" w:hAnsi="Times New Roman"/>
                <w:sz w:val="20"/>
                <w:szCs w:val="20"/>
                <w:color w:val="auto"/>
                <w:vertAlign w:val="superscript"/>
              </w:rPr>
              <w:t>(2)</w:t>
            </w:r>
          </w:p>
        </w:tc>
        <w:tc>
          <w:tcPr>
            <w:tcW w:w="6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7.28 %</w:t>
            </w:r>
          </w:p>
        </w:tc>
        <w:tc>
          <w:tcPr>
            <w:tcW w:w="0" w:type="dxa"/>
            <w:vAlign w:val="bottom"/>
          </w:tcPr>
          <w:p>
            <w:pPr>
              <w:spacing w:after="0"/>
              <w:rPr>
                <w:sz w:val="1"/>
                <w:szCs w:val="1"/>
                <w:color w:val="auto"/>
              </w:rPr>
            </w:pPr>
          </w:p>
        </w:tc>
      </w:tr>
      <w:tr>
        <w:trPr>
          <w:trHeight w:val="207"/>
        </w:trPr>
        <w:tc>
          <w:tcPr>
            <w:tcW w:w="684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Total return based on net asset value</w:t>
            </w:r>
            <w:r>
              <w:rPr>
                <w:rFonts w:ascii="Times New Roman" w:cs="Times New Roman" w:eastAsia="Times New Roman" w:hAnsi="Times New Roman"/>
                <w:sz w:val="20"/>
                <w:szCs w:val="20"/>
                <w:color w:val="auto"/>
                <w:vertAlign w:val="superscript"/>
              </w:rPr>
              <w:t>(2)</w:t>
            </w:r>
          </w:p>
        </w:tc>
        <w:tc>
          <w:tcPr>
            <w:tcW w:w="6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18.96 %</w:t>
            </w:r>
          </w:p>
        </w:tc>
        <w:tc>
          <w:tcPr>
            <w:tcW w:w="0" w:type="dxa"/>
            <w:vAlign w:val="bottom"/>
          </w:tcPr>
          <w:p>
            <w:pPr>
              <w:spacing w:after="0"/>
              <w:rPr>
                <w:sz w:val="1"/>
                <w:szCs w:val="1"/>
                <w:color w:val="auto"/>
              </w:rPr>
            </w:pPr>
          </w:p>
        </w:tc>
      </w:tr>
      <w:tr>
        <w:trPr>
          <w:trHeight w:val="20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outstanding at end of period</w:t>
            </w:r>
          </w:p>
        </w:tc>
        <w:tc>
          <w:tcPr>
            <w:tcW w:w="6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31,164,443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24,205,216</w:t>
            </w:r>
          </w:p>
        </w:tc>
        <w:tc>
          <w:tcPr>
            <w:tcW w:w="0" w:type="dxa"/>
            <w:vAlign w:val="bottom"/>
          </w:tcPr>
          <w:p>
            <w:pPr>
              <w:spacing w:after="0"/>
              <w:rPr>
                <w:sz w:val="1"/>
                <w:szCs w:val="1"/>
                <w:color w:val="auto"/>
              </w:rPr>
            </w:pPr>
          </w:p>
        </w:tc>
      </w:tr>
      <w:tr>
        <w:trPr>
          <w:trHeight w:val="206"/>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Ratios/Supplemental Data:</w:t>
            </w:r>
          </w:p>
        </w:tc>
        <w:tc>
          <w:tcPr>
            <w:tcW w:w="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at end of period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6"/>
                <w:szCs w:val="16"/>
                <w:color w:val="auto"/>
                <w:w w:val="94"/>
              </w:rPr>
              <w:t>380,701,527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center"/>
              <w:ind w:right="283"/>
              <w:spacing w:after="0"/>
              <w:rPr>
                <w:sz w:val="20"/>
                <w:szCs w:val="20"/>
                <w:color w:val="auto"/>
              </w:rPr>
            </w:pPr>
            <w:r>
              <w:rPr>
                <w:rFonts w:ascii="Times New Roman" w:cs="Times New Roman" w:eastAsia="Times New Roman" w:hAnsi="Times New Roman"/>
                <w:sz w:val="16"/>
                <w:szCs w:val="16"/>
                <w:color w:val="auto"/>
                <w:w w:val="95"/>
              </w:rPr>
              <w:t>$435,961,621</w:t>
            </w:r>
          </w:p>
        </w:tc>
        <w:tc>
          <w:tcPr>
            <w:tcW w:w="0" w:type="dxa"/>
            <w:vAlign w:val="bottom"/>
          </w:tcPr>
          <w:p>
            <w:pPr>
              <w:spacing w:after="0"/>
              <w:rPr>
                <w:sz w:val="1"/>
                <w:szCs w:val="1"/>
                <w:color w:val="auto"/>
              </w:rPr>
            </w:pPr>
          </w:p>
        </w:tc>
      </w:tr>
      <w:tr>
        <w:trPr>
          <w:trHeight w:val="205"/>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net assets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523"/>
              <w:spacing w:after="0"/>
              <w:rPr>
                <w:sz w:val="20"/>
                <w:szCs w:val="20"/>
                <w:color w:val="auto"/>
              </w:rPr>
            </w:pPr>
            <w:r>
              <w:rPr>
                <w:rFonts w:ascii="Times New Roman" w:cs="Times New Roman" w:eastAsia="Times New Roman" w:hAnsi="Times New Roman"/>
                <w:sz w:val="16"/>
                <w:szCs w:val="16"/>
                <w:color w:val="auto"/>
                <w:w w:val="94"/>
              </w:rPr>
              <w:t>364,015,960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jc w:val="center"/>
              <w:ind w:right="283"/>
              <w:spacing w:after="0"/>
              <w:rPr>
                <w:sz w:val="20"/>
                <w:szCs w:val="20"/>
                <w:color w:val="auto"/>
              </w:rPr>
            </w:pPr>
            <w:r>
              <w:rPr>
                <w:rFonts w:ascii="Times New Roman" w:cs="Times New Roman" w:eastAsia="Times New Roman" w:hAnsi="Times New Roman"/>
                <w:sz w:val="16"/>
                <w:szCs w:val="16"/>
                <w:color w:val="auto"/>
                <w:w w:val="95"/>
              </w:rPr>
              <w:t>$312,796,110</w:t>
            </w: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Ratio of gross operating expenses to average net assets</w:t>
            </w:r>
            <w:r>
              <w:rPr>
                <w:rFonts w:ascii="Times New Roman" w:cs="Times New Roman" w:eastAsia="Times New Roman" w:hAnsi="Times New Roman"/>
                <w:sz w:val="20"/>
                <w:szCs w:val="20"/>
                <w:color w:val="auto"/>
                <w:vertAlign w:val="superscript"/>
              </w:rPr>
              <w:t>(3)</w:t>
            </w:r>
          </w:p>
        </w:tc>
        <w:tc>
          <w:tcPr>
            <w:tcW w:w="6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4.05 %</w:t>
            </w:r>
          </w:p>
        </w:tc>
        <w:tc>
          <w:tcPr>
            <w:tcW w:w="0" w:type="dxa"/>
            <w:vAlign w:val="bottom"/>
          </w:tcPr>
          <w:p>
            <w:pPr>
              <w:spacing w:after="0"/>
              <w:rPr>
                <w:sz w:val="1"/>
                <w:szCs w:val="1"/>
                <w:color w:val="auto"/>
              </w:rPr>
            </w:pPr>
          </w:p>
        </w:tc>
      </w:tr>
      <w:tr>
        <w:trPr>
          <w:trHeight w:val="205"/>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Ratio of incentive fee waiver to average net assets</w:t>
            </w:r>
          </w:p>
        </w:tc>
        <w:tc>
          <w:tcPr>
            <w:tcW w:w="680" w:type="dxa"/>
            <w:vAlign w:val="bottom"/>
          </w:tcPr>
          <w:p>
            <w:pPr>
              <w:spacing w:after="0"/>
              <w:rPr>
                <w:sz w:val="17"/>
                <w:szCs w:val="17"/>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Ratio of management fee waiver to average net assets</w:t>
            </w:r>
          </w:p>
        </w:tc>
        <w:tc>
          <w:tcPr>
            <w:tcW w:w="6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5"/>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Ratio of income tax provision to average net assets</w:t>
            </w:r>
          </w:p>
        </w:tc>
        <w:tc>
          <w:tcPr>
            <w:tcW w:w="680" w:type="dxa"/>
            <w:vAlign w:val="bottom"/>
          </w:tcPr>
          <w:p>
            <w:pPr>
              <w:spacing w:after="0"/>
              <w:rPr>
                <w:sz w:val="17"/>
                <w:szCs w:val="17"/>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27"/>
        </w:trPr>
        <w:tc>
          <w:tcPr>
            <w:tcW w:w="6840" w:type="dxa"/>
            <w:vAlign w:val="bottom"/>
            <w:tcBorders>
              <w:top w:val="single" w:sz="8" w:color="CCEEFF"/>
              <w:bottom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6"/>
                <w:szCs w:val="16"/>
                <w:color w:val="auto"/>
              </w:rPr>
              <w:t>Ratio of net operating expenses to average net assets</w:t>
            </w:r>
            <w:r>
              <w:rPr>
                <w:rFonts w:ascii="Times New Roman" w:cs="Times New Roman" w:eastAsia="Times New Roman" w:hAnsi="Times New Roman"/>
                <w:sz w:val="20"/>
                <w:szCs w:val="20"/>
                <w:color w:val="auto"/>
                <w:vertAlign w:val="superscript"/>
              </w:rPr>
              <w:t>(3)</w:t>
            </w:r>
          </w:p>
        </w:tc>
        <w:tc>
          <w:tcPr>
            <w:tcW w:w="68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4.05 %</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line="219" w:lineRule="exact"/>
              <w:rPr>
                <w:sz w:val="20"/>
                <w:szCs w:val="20"/>
                <w:color w:val="auto"/>
              </w:rPr>
            </w:pPr>
            <w:r>
              <w:rPr>
                <w:rFonts w:ascii="Times New Roman" w:cs="Times New Roman" w:eastAsia="Times New Roman" w:hAnsi="Times New Roman"/>
                <w:sz w:val="16"/>
                <w:szCs w:val="16"/>
                <w:color w:val="auto"/>
              </w:rPr>
              <w:t>Ratio of net investment loss to average net assets</w:t>
            </w:r>
            <w:r>
              <w:rPr>
                <w:rFonts w:ascii="Times New Roman" w:cs="Times New Roman" w:eastAsia="Times New Roman" w:hAnsi="Times New Roman"/>
                <w:sz w:val="20"/>
                <w:szCs w:val="20"/>
                <w:color w:val="auto"/>
                <w:vertAlign w:val="superscript"/>
              </w:rPr>
              <w:t>(3)</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8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38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20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Portfolio Turnover Ratio</w:t>
            </w:r>
          </w:p>
        </w:tc>
        <w:tc>
          <w:tcPr>
            <w:tcW w:w="6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3.41 %</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__________________</w:t>
      </w:r>
    </w:p>
    <w:p>
      <w:pPr>
        <w:spacing w:after="0" w:line="17" w:lineRule="exact"/>
        <w:rPr>
          <w:sz w:val="20"/>
          <w:szCs w:val="20"/>
          <w:color w:val="auto"/>
        </w:rPr>
      </w:pPr>
    </w:p>
    <w:p>
      <w:pPr>
        <w:ind w:left="460" w:hanging="457"/>
        <w:spacing w:after="0"/>
        <w:tabs>
          <w:tab w:leader="none" w:pos="4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weighted-average number of shares outstanding for the relevant period.</w:t>
      </w:r>
    </w:p>
    <w:p>
      <w:pPr>
        <w:jc w:val="both"/>
        <w:ind w:left="460" w:hanging="457"/>
        <w:spacing w:after="0" w:line="246" w:lineRule="auto"/>
        <w:tabs>
          <w:tab w:leader="none" w:pos="4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based on market value is based upon the change in market price per share between the opening and ending market values per share in the period, adjusted for dividends and equity issuances. Total return based on net asset value is based upon the change in net asset value per share between the opening and ending net asset values per share in the period, adjusted for dividends and equity issuances.</w:t>
      </w:r>
    </w:p>
    <w:p>
      <w:pPr>
        <w:ind w:left="460" w:hanging="457"/>
        <w:spacing w:after="0"/>
        <w:tabs>
          <w:tab w:leader="none" w:pos="4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the ratios are calculated for the Company’s common stock taken as a whole, an individual investor’s ratios may vary from these ratios.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9—INCOME TAXES</w:t>
      </w:r>
    </w:p>
    <w:p>
      <w:pPr>
        <w:spacing w:after="0" w:line="246"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7"/>
          <w:szCs w:val="17"/>
          <w:color w:val="auto"/>
        </w:rPr>
        <w:t>The Company elected to be treated as a RIC under Subchapter M of the Code beginning with its taxable year ended December 31, 2014 and has qualified to be treated as a RIC for subsequent taxable years. The Company intends to continue to operate so as to qualify to be subject to tax treatment as a RIC under Subchapter M of the Code and, as such, will not be subject to U.S. federal income tax on the portion of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qualify and be subject to tax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three months ended March 31, 2022, the Company declared distributions of $0.11 per share. The determination of the tax attributes of the Company’s distributions is made annually as of the end of the Company’s taxable year generally based upon its taxable income for the full taxable year and distributions paid for the full taxable year. As a result, a determination made on a by-dividend basis may not be representative of the actual tax attributes of the Company’s distributions for a full taxable year. If the Company had determined the tax attributes of our distributions taxable year-to-date as of March 31, 2022, 100% would be from net realized investment gains. However, there can be no certainty to stockholders that this determination is representative of what the actual tax attributes of the Company’s fiscal year of 2022 distributions to stockholders will be.</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our ordinary income (taking into account certain deferrals and elections) for each calendar year, (2) 98.2% of our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Company has taxable subsidiaries which hold certain portfolio investments in an effort to limit potential legal liability and/or comply with source-income type requirements contained in the RIC tax provisions of the Code. These taxable subsidiaries are consolidated for U.S. GAAP and the portfolio investments held by the taxable subsidiaries are included in the Company’s consolidated financial statements and are recorded at fair value. These taxable subsidiaries are not consolidated with the Company for income tax purposes and may generate income tax expense, or benefit, and tax assets and liabilities as a</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result of their ownership of certain portfolio investments. Any income generated by these taxable subsidiaries generally would be subject to tax at normal corporate tax rates based on its taxable income.</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189"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The Company is required to include net deferred tax provision/benefit in calculating its total expenses even though these net deferred taxes are not currently payable/receivable.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94"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89" w:lineRule="exact"/>
        <w:rPr>
          <w:sz w:val="20"/>
          <w:szCs w:val="20"/>
          <w:color w:val="auto"/>
        </w:rPr>
      </w:pPr>
    </w:p>
    <w:p>
      <w:pPr>
        <w:jc w:val="both"/>
        <w:ind w:firstLine="349"/>
        <w:spacing w:after="0" w:line="269" w:lineRule="auto"/>
        <w:rPr>
          <w:sz w:val="20"/>
          <w:szCs w:val="20"/>
          <w:color w:val="auto"/>
        </w:rPr>
      </w:pPr>
      <w:r>
        <w:rPr>
          <w:rFonts w:ascii="Times New Roman" w:cs="Times New Roman" w:eastAsia="Times New Roman" w:hAnsi="Times New Roman"/>
          <w:sz w:val="17"/>
          <w:szCs w:val="17"/>
          <w:color w:val="auto"/>
        </w:rPr>
        <w:t>The Company and the Taxable Subsidiaries identified their major tax jurisdictions as U.S. federal, New York, and California and may be subject to the taxing authorities’ examination for the tax years 2019–2022 and 2018–2022, respectively. Further, the Company and the Taxable Subsidiaries accrue all interest and penalties related to uncertain tax positions as incurred. As of March 31, 2022, there were no material interest or penalties incurred related to uncertain tax positions.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10—DEBT CAPITAL ACTIVITIES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6.00% Notes due 2026</w:t>
      </w: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December 17, 2021, the Company issued $70.0 million aggregate principal amount of its 6.00% Notes due 2026 (the "6.00% Notes due 2026"), pursuant to an Indenture, dated as of March 28, 2018 (the "Base Indenture"), between the Company and U.S. Bank Trust Company, National Association (as successor in interest to U.S. Bank National Association), as trustee (the "Trustee"), as supplemented by a second supplemental indenture, dated as of December 17, 2021 (together with the Base Indenture, the "Indenture"), between the Company and the Trustee. On December 21, 2021, the Company issued an additional $5.0 million aggregate principal amount of 6.00% Notes due 2026 pursuant to an overallotment option. The 6.00% Notes due 2026 bear interest at a fixed rate of 6.00% per year, payable quarterly in arrears on March 30, June 30, September 30, and December 30 of each year, commencing on March 30, 2022. The 6.00% Notes due 2026 have a maturity date of December 30, 2026, unless previously repurchased in accordance with their terms. The Company has the right to redeem the 6.00% Notes due 2026, in whole or in part, at any time or from time to time, on or after December 30, 2024 at a redemption price of 100% of the outstanding principal amount of the 6.00% Notes due 2026 plus accrued and unpaid interest.</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The 6.00% Notes due 2026 are direct unsecured obligations of the Company and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or equal in right of payment, with all outstanding and future unsecured, unsubordinated indebtedness of the Company; senior to any of the Company’s future indebtedness that expressly provides it is subordinated to the 6.00% Notes due 2026; effectively subordinated to any of the Company’s future secured indebtedness (including indebtedness that is initially unsecured in respect of which the Company subsequently grants a security interest), to the extent of the value of the assets securing such indebtedness (provided, however, that the Company has agreed under the Indenture to not incur any secured or unsecured indebtedness that would be senior to the 6.00% Notes due 2026 while the 6.00% Notes due 2026 are outstanding, subject to certain exceptions); and structurally subordinated to all existing and future indebtedness and other obligations of any of the Company’s subsidiaries.</w:t>
      </w:r>
    </w:p>
    <w:p>
      <w:pPr>
        <w:spacing w:after="0" w:line="20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The 6.00% Notes due 2026 are listed for trading on the Nasdaq Global Select Market under the symbol “SSSSL”. The reported closing market price of SSSSL on March 31, 2022 and December 31, 2021 was $25.65 and $25.68 per note,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respectively. As of March 31, 2022 and December 31, 2021, the fair value of the 6.00% Notes due 2026 was $77.0 and $77.0 million, respectively. They are classified as Level 1 of the fair value hierarchy (Refer to “Note 2 — Significant Accounting Policies”). As of March 31, 2022 and December 31, 2021, the Company was in compliance with the terms of the Indenture.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4.75% Convertible Senior Notes due 2023</w:t>
      </w:r>
    </w:p>
    <w:p>
      <w:pPr>
        <w:spacing w:after="0" w:line="246" w:lineRule="exact"/>
        <w:rPr>
          <w:sz w:val="20"/>
          <w:szCs w:val="20"/>
          <w:color w:val="auto"/>
        </w:rPr>
      </w:pPr>
    </w:p>
    <w:p>
      <w:pPr>
        <w:jc w:val="both"/>
        <w:ind w:firstLine="349"/>
        <w:spacing w:after="0" w:line="258" w:lineRule="auto"/>
        <w:rPr>
          <w:sz w:val="20"/>
          <w:szCs w:val="20"/>
          <w:color w:val="auto"/>
        </w:rPr>
      </w:pPr>
      <w:r>
        <w:rPr>
          <w:rFonts w:ascii="Times New Roman" w:cs="Times New Roman" w:eastAsia="Times New Roman" w:hAnsi="Times New Roman"/>
          <w:sz w:val="17"/>
          <w:szCs w:val="17"/>
          <w:color w:val="auto"/>
        </w:rPr>
        <w:t>On March 28, 2018, the Company issued $40.0 million aggregate principal amount of convertible senior notes, which bore interest at a fixed rate of 4.75% per year, payable semi-annually in arrears on March 31 and September 30 of each year, commencing on September 30, 2018. The 4.75% Convertible Senior Notes due 2023 had a maturity date of March 28, 2023 (the "4.75% Convertible Senior Notes due 2023"), unless previously repurchased or converted in accordance with their terms. The Company did not have the right to redeem the 4.75% Convertible Senior Notes due 2023 prior to March 27, 2021. On or after March 27, 2021, the Company could redeem the 4.75% Convertible Senior Notes due 2023 for cash, in whole or from time to time in part, at the Company’s option if (i) the closing sale price of the Company’s common stock for at least 15 trading days (whether or not consecutive) during the period of any 20 consecutive trading days was greater than or equal to 150% of the conversion price on each applicable trading day, (ii) no public announcement of a pending, proposed or intended fundamental change had occurred which had not been abandoned, terminated or consummated, and (iii) no event of default under the indenture governing the 4.75% Convertible Senior Notes due 2023, and no event that with the passage of time or giving of notice would constitute an event of default under such indenture, had occurred or existed.</w:t>
      </w:r>
    </w:p>
    <w:p>
      <w:pPr>
        <w:spacing w:after="0" w:line="200" w:lineRule="exact"/>
        <w:rPr>
          <w:sz w:val="20"/>
          <w:szCs w:val="20"/>
          <w:color w:val="auto"/>
        </w:rPr>
      </w:pP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All of these conditions were met and on February 19, 2021, the Company caused notices to be issued to the holders of the 4.75% Convertible Senior Notes due 2023 regarding the Company’s exercise of its option to redeem, in whole, the issued and outstanding 4.75% Convertible Senior Notes due 2023, pursuant to the governing indenture. The Company established March 29, 2021 as the date on which all of the 4.75% Convertible Senior Notes due 2023 would be redeemed (the “Redemption Date”), at 100% of their principal amount ($1,000 per convertible note), plus the accrued and unpaid interest thereon from September 30, 2020, through, but excluding, the Redemption Date. Holders of the 4.75% Convertible Senior Notes due 2023 had the option to surrender their 4.75% Convertible Senior Notes due 2023 for conversion into shares of the Company’s common stock at the then existing conversion rate, in lieu of receiving cash, at any time prior to the close of business on the business day immediately preceding the Redemption Date.</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the Redemption Date, the Company redeemed $0.3 million in aggregate principal amount of the 4.75% Convertible Senior Notes due 2023 at a redemption price equal to 100% of their principal amount ($1,000 per convertible note), plus accrued and unpaid interest thereon. Due to the election of certain holders to surrender their 4.75% Convertible Senior Notes due 2023 for conversion into shares of the Company’s common stock prior to the Redemption Date, the Company issued a total of 4,272,696 shares since the 4.75% Convertible Senior Notes due 2023 were initially issued. As result of such redemption and conversions, the 4.75% Convertible Senior Notes due 2023 were no longer outstanding as of the Redemption Date.</w:t>
      </w:r>
    </w:p>
    <w:p>
      <w:pPr>
        <w:spacing w:after="0" w:line="1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initial conversion rate for the 4.75% Convertible Senior Notes due 2023 was 93.2836 shares of the Company’s common stock for each $1,000 principal amount of the 4.75% Convertible Senior Notes due 2023, which represented an initial conversion price of approximately $10.72 per share. As a result of the Company’s Modified Dutch Auction Tender Offer and cash dividends, the conversion rate for the 4.75% Convertible Senior Notes due 2023 changed to 108.0505 shares of the Company’s common stock for each $1,000 principal amount of the 4.75% Convertible Senior Notes due 2023, which represented a conversion price of approximately $9.25 per share.</w:t>
      </w:r>
    </w:p>
    <w:p>
      <w:pPr>
        <w:spacing w:after="0" w:line="197"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The indenture governing the 4.75% Convertible Senior Notes due 2023 contained customary financial reporting requirements and contained certain restrictions on mergers, consolidations, and asset sales. The indenture also contained certain events of default, the occurrence of which could have caused the 4.75% Convertible Senior Notes due 2023 to become due and payable before their maturity or immediately.</w:t>
      </w:r>
    </w:p>
    <w:p>
      <w:pPr>
        <w:spacing w:after="0" w:line="189"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During the three months ended March 31, 2021, the Company issued 4,097,808 shares of its common stock and cash for fractional shares upon the conversion of approximately $37.9 million in aggregate principal amount of the 4.75% Convertible Senior Notes due 2023. The Company also redeemed approximately $0.3 million of aggregate principal amount for cash plus accrued and unpaid interest on March 29, 2021. During the year ended December 31, 2020, the Company issued 174,888 shares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of its common stock and cash for fractional shares upon the conversion of $1,785,000 in aggregate principal amount of the 4.75% Convertible Senior Notes due 2023.</w:t>
      </w:r>
    </w:p>
    <w:p>
      <w:pPr>
        <w:spacing w:after="0" w:line="173"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The table below shows a reconciliation from the aggregate principal amount of 4.75% Convertible Senior Notes due 2023 to the balance shown on the Condensed Consolidated Statement of Assets and Liabilities.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40" w:type="dxa"/>
            <w:vAlign w:val="bottom"/>
          </w:tcPr>
          <w:p>
            <w:pPr>
              <w:spacing w:after="0"/>
              <w:rPr>
                <w:sz w:val="15"/>
                <w:szCs w:val="15"/>
                <w:color w:val="auto"/>
              </w:rPr>
            </w:pPr>
          </w:p>
        </w:tc>
        <w:tc>
          <w:tcPr>
            <w:tcW w:w="15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3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1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Initial aggregate principal amount of 4.75% Convertible Senior Notes due 2023</w:t>
            </w:r>
          </w:p>
        </w:tc>
        <w:tc>
          <w:tcPr>
            <w:tcW w:w="1540" w:type="dxa"/>
            <w:vAlign w:val="bottom"/>
            <w:shd w:val="clear" w:color="auto" w:fill="CCEEFF"/>
          </w:tcPr>
          <w:p>
            <w:pPr>
              <w:jc w:val="right"/>
              <w:ind w:right="1360"/>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38,215,000</w:t>
            </w:r>
          </w:p>
        </w:tc>
      </w:tr>
      <w:tr>
        <w:trPr>
          <w:trHeight w:val="220"/>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Conversion of 4.75% Convertible Senior Notes due 2023</w:t>
            </w:r>
          </w:p>
        </w:tc>
        <w:tc>
          <w:tcPr>
            <w:tcW w:w="15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(37,925,000)</w:t>
            </w:r>
          </w:p>
        </w:tc>
      </w:tr>
      <w:tr>
        <w:trPr>
          <w:trHeight w:val="22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Redemption of 4.75% Convertible Senior Notes due 2023</w:t>
            </w:r>
          </w:p>
        </w:tc>
        <w:tc>
          <w:tcPr>
            <w:tcW w:w="15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(290,000)</w:t>
            </w:r>
          </w:p>
        </w:tc>
      </w:tr>
      <w:tr>
        <w:trPr>
          <w:trHeight w:val="220"/>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 deduction of deferred debt issuance costs</w:t>
            </w:r>
          </w:p>
        </w:tc>
        <w:tc>
          <w:tcPr>
            <w:tcW w:w="15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4.75% Convertible Senior Notes due 2023 Payable</w:t>
            </w:r>
          </w:p>
        </w:tc>
        <w:tc>
          <w:tcPr>
            <w:tcW w:w="1540" w:type="dxa"/>
            <w:vAlign w:val="bottom"/>
            <w:tcBorders>
              <w:top w:val="single" w:sz="8" w:color="auto"/>
              <w:bottom w:val="single" w:sz="8" w:color="auto"/>
            </w:tcBorders>
            <w:shd w:val="clear" w:color="auto" w:fill="CCEEFF"/>
          </w:tcPr>
          <w:p>
            <w:pPr>
              <w:jc w:val="right"/>
              <w:ind w:right="1360"/>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-746760</wp:posOffset>
            </wp:positionV>
            <wp:extent cx="46570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657090" cy="8255"/>
                    </a:xfrm>
                    <a:prstGeom prst="rect">
                      <a:avLst/>
                    </a:prstGeom>
                    <a:noFill/>
                  </pic:spPr>
                </pic:pic>
              </a:graphicData>
            </a:graphic>
          </wp:anchor>
        </w:drawing>
      </w:r>
    </w:p>
    <w:p>
      <w:pPr>
        <w:spacing w:after="0" w:line="272"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The 4.75% Convertible Senior Notes due 2023 were the Company’s general, unsecured, senior obligations and ranked senior in right of payment to any future indebtedness that was expressly subordinated in right of payment to the 4.75% Convertible Senior Notes due 2023, equal in right of payment to any existing and future unsecured indebtedness that was not so subordinated to the 4.75% Convertible Senior Notes due 2023, effectively junior to any future secured indebtedness to the extent of the value of the assets securing such indebtedness, and structurally junior to all future indebtedness (including trade payables) incurred by the Company’s subsidiaries.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connection with the issuance of the 4.75% Convertible Senior Notes due 2023, the Company was required under the terms of the Credit Facility with Western Alliance Bank to deposit any proceeds from the 4.75% Convertible Senior Notes due 2023 offering into an account at Western Alliance Bank and was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were repaid in full. The 5.25% Convertible Senior Notes due 2018 matured on September 15, 2018, at which time the Company repaid the remaining outstanding aggregate principal amount of the 5.25% Convertible Senior Notes due 2018, including accrued but unpaid interest. In addition, the Credit Facility with Western Alliance Bank matured on May 31, 2019. As a result, the company is no longer subject to such requirements.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11—STOCK-BASED COMPENSATION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2019 Equity Incentive Plan</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June 5, 2019, our Board of Directors adopted, and our stockholders approved, an equity-based incentive plan (the "2019 Equity Incentive Plan”), which authorized equity awards to be granted for up to 1,976,264 shares of our common stock. Under the 2019 Equity Incentive Plan, the exercise price of awards would be set on the grant date and could not be less than the fair market value per share on such date, however, that in the case of an incentive stock option granted to an employee who, at the time of the grant of such option, owned stock representing more than ten percent (10%) of the voting power of all classes of stock of the Company or the Company’s present or future parent or subsidiary corporations, as defined in Section 424(e) or (f) of the Code, or other Affiliates the employees of which were eligible to receive incentive stock options under the Code (the “10% Shareholders”), the exercise price per share would be no less than one hundred ten percent (110%) of the fair market value per share on the date of grant. The fair market value would be the closing price of the shares on the Nasdaq Global Select Market on the date of grant.</w:t>
      </w:r>
    </w:p>
    <w:p>
      <w:pPr>
        <w:spacing w:after="0" w:line="20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July 17, 2019, stock options providing the right to purchase up to 1,165,000 shares were granted under the 2019 Equity Incentive Plan with an exercise price equal to the market price of our common stock at the grant date. These stock options had a vesting period of 3 years with 1/3 vesting immediately on the grant date, 1/3 vesting on July 17, 2020, and the remaining 1/3 vesting on July 17, 2021.</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Cancellation of Stock Option Awards Under 2019 Equity Incentive Plan</w:t>
      </w: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April 28, 2020, all stock option awards granted under the 2019 Equity Incentive Plan were canceled for no payment pursuant to an option cancellation agreement (the "Option Cancellation Agreement"). As a result, there are no stock option awards outstanding under the 2019 Equity Incentive Plan. In accordance with FASB ASC 718, </w:t>
      </w:r>
      <w:r>
        <w:rPr>
          <w:rFonts w:ascii="Times New Roman" w:cs="Times New Roman" w:eastAsia="Times New Roman" w:hAnsi="Times New Roman"/>
          <w:sz w:val="17"/>
          <w:szCs w:val="17"/>
          <w:i w:val="1"/>
          <w:iCs w:val="1"/>
          <w:color w:val="auto"/>
        </w:rPr>
        <w:t>Compensation</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Stock Compensation</w:t>
      </w:r>
      <w:r>
        <w:rPr>
          <w:rFonts w:ascii="Times New Roman" w:cs="Times New Roman" w:eastAsia="Times New Roman" w:hAnsi="Times New Roman"/>
          <w:sz w:val="17"/>
          <w:szCs w:val="17"/>
          <w:color w:val="auto"/>
        </w:rPr>
        <w:t xml:space="preserve"> ("ASC 718") all unrecognized compensation cost related to still unvested shares was recognized as of the date of cancellation. For more information, including a description of the Option Cancellation Agreement, please refer to our current report on Form 8-K filed with the SEC on April 29, 2020. Such description of the Option Cancellation Agreement is qualified in its entirety by reference to the text of such Option Cancellation Agreement filed as Exhibit 10.3 to our quarterly report on Form 10-Q for the period ended March 31, 2020 filed with the SEC on May 8, 2020.</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follows ASC 718 to account for stock options granted. Under ASC 718, compensation expense associated with stock-based compensation is measured at the grant date based on the fair value of the award and is recognized over the vesting period. Determining the appropriate fair value model and calculating the fair value of stock-based awards at the grant date requires judgment, including estimating stock price volatility, forfeiture rate, and expected option life. The time-based options granted on July 17, 2019 were ascribed a weighted-average fair value of $2.57 per share. The fair value of options granted under the 2019 Equity Incentive Plan was based upon a Black Scholes option pricing model using the assumptions in the following table: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Input Assumptions</w:t>
            </w:r>
          </w:p>
        </w:tc>
        <w:tc>
          <w:tcPr>
            <w:tcW w:w="1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5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w w:val="98"/>
              </w:rPr>
              <w:t>As of July 17, 2019 Grant Date</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(years)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right="618"/>
              <w:spacing w:after="0"/>
              <w:rPr>
                <w:sz w:val="20"/>
                <w:szCs w:val="20"/>
                <w:color w:val="auto"/>
              </w:rPr>
            </w:pPr>
            <w:r>
              <w:rPr>
                <w:rFonts w:ascii="Times New Roman" w:cs="Times New Roman" w:eastAsia="Times New Roman" w:hAnsi="Times New Roman"/>
                <w:sz w:val="17"/>
                <w:szCs w:val="17"/>
                <w:color w:val="auto"/>
              </w:rPr>
              <w:t>5.55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center"/>
              <w:ind w:right="638"/>
              <w:spacing w:after="0"/>
              <w:rPr>
                <w:sz w:val="20"/>
                <w:szCs w:val="20"/>
                <w:color w:val="auto"/>
              </w:rPr>
            </w:pPr>
            <w:r>
              <w:rPr>
                <w:rFonts w:ascii="Times New Roman" w:cs="Times New Roman" w:eastAsia="Times New Roman" w:hAnsi="Times New Roman"/>
                <w:sz w:val="17"/>
                <w:szCs w:val="17"/>
                <w:color w:val="auto"/>
                <w:w w:val="99"/>
              </w:rPr>
              <w:t>39.47%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center"/>
              <w:ind w:right="638"/>
              <w:spacing w:after="0"/>
              <w:rPr>
                <w:sz w:val="20"/>
                <w:szCs w:val="20"/>
                <w:color w:val="auto"/>
              </w:rPr>
            </w:pPr>
            <w:r>
              <w:rPr>
                <w:rFonts w:ascii="Times New Roman" w:cs="Times New Roman" w:eastAsia="Times New Roman" w:hAnsi="Times New Roman"/>
                <w:sz w:val="17"/>
                <w:szCs w:val="17"/>
                <w:color w:val="auto"/>
              </w:rPr>
              <w:t>1.86%</w:t>
            </w: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center"/>
              <w:ind w:right="63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600" w:type="dxa"/>
            <w:vAlign w:val="bottom"/>
          </w:tcPr>
          <w:p>
            <w:pPr>
              <w:spacing w:after="0"/>
              <w:rPr>
                <w:sz w:val="20"/>
                <w:szCs w:val="20"/>
                <w:color w:val="auto"/>
              </w:rPr>
            </w:pPr>
          </w:p>
        </w:tc>
        <w:tc>
          <w:tcPr>
            <w:tcW w:w="186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20"/>
                <w:szCs w:val="20"/>
                <w:color w:val="auto"/>
              </w:rPr>
            </w:pPr>
          </w:p>
        </w:tc>
        <w:tc>
          <w:tcPr>
            <w:tcW w:w="18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Weighted-Average Exercise</w:t>
            </w: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Weighted-Average Grant Date</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2019</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1,155,000</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02"/>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33"/>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Vested and Exercisable as of December 31, 2019</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385,000</w:t>
            </w:r>
          </w:p>
        </w:tc>
        <w:tc>
          <w:tcPr>
            <w:tcW w:w="680" w:type="dxa"/>
            <w:vAlign w:val="bottom"/>
            <w:gridSpan w:val="2"/>
          </w:tcPr>
          <w:p>
            <w:pPr>
              <w:jc w:val="right"/>
              <w:ind w:right="4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00" w:type="dxa"/>
            <w:vAlign w:val="bottom"/>
          </w:tcPr>
          <w:p>
            <w:pPr>
              <w:spacing w:after="0"/>
              <w:rPr>
                <w:sz w:val="20"/>
                <w:szCs w:val="20"/>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20"/>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Cancelled</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(1,155,000)</w:t>
            </w:r>
          </w:p>
        </w:tc>
        <w:tc>
          <w:tcPr>
            <w:tcW w:w="680" w:type="dxa"/>
            <w:vAlign w:val="bottom"/>
            <w:gridSpan w:val="2"/>
            <w:shd w:val="clear" w:color="auto" w:fill="CCEEFF"/>
          </w:tcPr>
          <w:p>
            <w:pPr>
              <w:jc w:val="right"/>
              <w:ind w:right="4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19"/>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as of March 31, 2022 and December 31, 2021</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-1292860</wp:posOffset>
            </wp:positionV>
            <wp:extent cx="5166360" cy="147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66360" cy="1479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-586105</wp:posOffset>
            </wp:positionV>
            <wp:extent cx="35566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56635" cy="8255"/>
                    </a:xfrm>
                    <a:prstGeom prst="rect">
                      <a:avLst/>
                    </a:prstGeom>
                    <a:noFill/>
                  </pic:spPr>
                </pic:pic>
              </a:graphicData>
            </a:graphic>
          </wp:anchor>
        </w:drawing>
      </w:r>
    </w:p>
    <w:p>
      <w:pPr>
        <w:spacing w:after="0" w:line="26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As of March 31, 2022 and December 31, 2021, there was $0 of total unrecognized compensation cost related to non-vested stock options granted under the 2019 Equity Incentive Plan, as the options were cancelled effective April 28,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2019 Equity Incentive Plan</w:t>
      </w: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June 19, 2020, our Board of Directors adopted, and our stockholders approved, an amendment and restatement of the Company’s 2019 Equity Incentive Plan (the “Amended &amp; Restated 2019 Equity Incentive Plan”) under which the Company is authorized to grant equity awards for up to 1,627,967 shares of its common stock. In accordance with the exemptive relief granted to the Company by the SEC on June 16, 2020 with respect to the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Amended &amp; Restated 2019 Equity Incentive Plan, and (iv) permit the Participants to pay the exercise price of Options granted to them with shares of the Company’s common stock.</w:t>
      </w:r>
    </w:p>
    <w:p>
      <w:pPr>
        <w:spacing w:after="0" w:line="2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Under the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through the anniversary of such grant (or, if earlier, the annual meeting of the Company’s stockholders that is closest to the anniversary of such grant).</w:t>
      </w:r>
    </w:p>
    <w:p>
      <w:pPr>
        <w:spacing w:after="0" w:line="200" w:lineRule="exact"/>
        <w:rPr>
          <w:sz w:val="20"/>
          <w:szCs w:val="20"/>
          <w:color w:val="auto"/>
        </w:rPr>
      </w:pPr>
    </w:p>
    <w:p>
      <w:pPr>
        <w:spacing w:after="0" w:line="2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Other than such restricted shares granted to non-employee directors, the Company’s Compensation Committee may determine the time or times at which Options and restricted shares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During the three months ended March 31, 2022, the Company granted 241,827 restricted shares to the Company's officers pursuant to the Amended &amp; Restated 2019 Equity Incentive Plan. These restricted shares have a vesting period of 3 years. The Company determined that the fair values, based on the grant date close price of such restricted shares granted under the Amended &amp; Restated 2019 Equity Incentive Plan during the three months ended March 31, 2022 and 2021 were approximately $2,885,000 and $2,878,182, respectively, in the aggregate. On July 2, 2021, 21,760 restricted shares related to the 2020 non-employee director grants vested. The Company expensed the full value of restricted stock compensation related to annual non-employee director grants on the vesting date.</w:t>
      </w:r>
    </w:p>
    <w:p>
      <w:pPr>
        <w:spacing w:after="0" w:line="207" w:lineRule="exact"/>
        <w:rPr>
          <w:sz w:val="20"/>
          <w:szCs w:val="20"/>
          <w:color w:val="auto"/>
        </w:rPr>
      </w:pPr>
    </w:p>
    <w:p>
      <w:pPr>
        <w:jc w:val="both"/>
        <w:ind w:firstLine="349"/>
        <w:spacing w:after="0" w:line="256" w:lineRule="auto"/>
        <w:rPr>
          <w:sz w:val="20"/>
          <w:szCs w:val="20"/>
          <w:color w:val="auto"/>
        </w:rPr>
      </w:pPr>
      <w:r>
        <w:rPr>
          <w:rFonts w:ascii="Times New Roman" w:cs="Times New Roman" w:eastAsia="Times New Roman" w:hAnsi="Times New Roman"/>
          <w:sz w:val="17"/>
          <w:szCs w:val="17"/>
          <w:color w:val="auto"/>
        </w:rPr>
        <w:t>As of March 31, 2022 and December 31, 2021, there were approximately $7,815,903 and $2,929,830, respectively, of total unrecognized compensation costs related to the restricted share grants. Compensation expense associated with the restricted shares is recognized on a quarterly basis over the respective vesting periods.</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the activities for the Company’s restricted share grants for the three months ended March 31, 2022 under the Amended &amp;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Restated 2019 Equity Incentive Plan:</w:t>
      </w:r>
    </w:p>
    <w:p>
      <w:pPr>
        <w:spacing w:after="0" w:line="11" w:lineRule="exact"/>
        <w:rPr>
          <w:sz w:val="20"/>
          <w:szCs w:val="20"/>
          <w:color w:val="auto"/>
        </w:rPr>
      </w:pPr>
    </w:p>
    <w:tbl>
      <w:tblPr>
        <w:tblLayout w:type="fixed"/>
        <w:tblInd w:w="1640" w:type="dxa"/>
        <w:tblCellMar>
          <w:top w:w="0" w:type="dxa"/>
          <w:left w:w="0" w:type="dxa"/>
          <w:bottom w:w="0" w:type="dxa"/>
          <w:right w:w="0" w:type="dxa"/>
        </w:tblCellMar>
      </w:tblPr>
      <w:tr>
        <w:trPr>
          <w:trHeight w:val="183"/>
        </w:trPr>
        <w:tc>
          <w:tcPr>
            <w:tcW w:w="5320" w:type="dxa"/>
            <w:vAlign w:val="bottom"/>
          </w:tcPr>
          <w:p>
            <w:pPr>
              <w:spacing w:after="0"/>
              <w:rPr>
                <w:sz w:val="15"/>
                <w:szCs w:val="15"/>
                <w:color w:val="auto"/>
              </w:rPr>
            </w:pPr>
          </w:p>
        </w:tc>
        <w:tc>
          <w:tcPr>
            <w:tcW w:w="26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Number of Restricted Shares</w:t>
            </w:r>
          </w:p>
        </w:tc>
      </w:tr>
      <w:tr>
        <w:trPr>
          <w:trHeight w:val="23"/>
        </w:trPr>
        <w:tc>
          <w:tcPr>
            <w:tcW w:w="532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2021</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369,298</w:t>
            </w:r>
          </w:p>
        </w:tc>
      </w:tr>
      <w:tr>
        <w:trPr>
          <w:trHeight w:val="220"/>
        </w:trPr>
        <w:tc>
          <w:tcPr>
            <w:tcW w:w="5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2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241,827</w:t>
            </w:r>
          </w:p>
        </w:tc>
      </w:tr>
      <w:tr>
        <w:trPr>
          <w:trHeight w:val="233"/>
        </w:trPr>
        <w:tc>
          <w:tcPr>
            <w:tcW w:w="5320" w:type="dxa"/>
            <w:vAlign w:val="bottom"/>
            <w:shd w:val="clear" w:color="auto" w:fill="CCEEFF"/>
          </w:tcPr>
          <w:p>
            <w:pPr>
              <w:ind w:left="120"/>
              <w:spacing w:after="0" w:line="232" w:lineRule="exact"/>
              <w:rPr>
                <w:sz w:val="20"/>
                <w:szCs w:val="20"/>
                <w:color w:val="auto"/>
              </w:rPr>
            </w:pPr>
            <w:r>
              <w:rPr>
                <w:rFonts w:ascii="Times New Roman" w:cs="Times New Roman" w:eastAsia="Times New Roman" w:hAnsi="Times New Roman"/>
                <w:sz w:val="17"/>
                <w:szCs w:val="17"/>
                <w:color w:val="auto"/>
              </w:rPr>
              <w:t>Vested</w:t>
            </w:r>
            <w:r>
              <w:rPr>
                <w:rFonts w:ascii="Times New Roman" w:cs="Times New Roman" w:eastAsia="Times New Roman" w:hAnsi="Times New Roman"/>
                <w:sz w:val="22"/>
                <w:szCs w:val="22"/>
                <w:color w:val="auto"/>
                <w:vertAlign w:val="superscript"/>
              </w:rPr>
              <w:t>(1)</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(71,461)</w:t>
            </w:r>
          </w:p>
        </w:tc>
      </w:tr>
      <w:tr>
        <w:trPr>
          <w:trHeight w:val="220"/>
        </w:trPr>
        <w:tc>
          <w:tcPr>
            <w:tcW w:w="5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(4,167)</w:t>
            </w:r>
          </w:p>
        </w:tc>
      </w:tr>
      <w:tr>
        <w:trPr>
          <w:trHeight w:val="21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March 31, 2022</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535,497</w:t>
            </w: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Vested as of March 31, 2022</w:t>
            </w:r>
          </w:p>
        </w:tc>
        <w:tc>
          <w:tcPr>
            <w:tcW w:w="2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1036955</wp:posOffset>
            </wp:positionH>
            <wp:positionV relativeFrom="paragraph">
              <wp:posOffset>-434975</wp:posOffset>
            </wp:positionV>
            <wp:extent cx="3383915" cy="147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83915" cy="1479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-722630</wp:posOffset>
            </wp:positionV>
            <wp:extent cx="3383915" cy="147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83915" cy="1479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-869950</wp:posOffset>
            </wp:positionV>
            <wp:extent cx="33839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w:t>
      </w:r>
    </w:p>
    <w:p>
      <w:pPr>
        <w:spacing w:after="0" w:line="22" w:lineRule="exact"/>
        <w:rPr>
          <w:sz w:val="20"/>
          <w:szCs w:val="20"/>
          <w:color w:val="auto"/>
        </w:rPr>
      </w:pPr>
    </w:p>
    <w:p>
      <w:pPr>
        <w:ind w:left="460" w:hanging="457"/>
        <w:spacing w:after="0" w:line="254" w:lineRule="auto"/>
        <w:tabs>
          <w:tab w:leader="none" w:pos="4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of vested shares as of March 31, 2022 reflects the total shares vested during the quarter and has not been reduced for those vested shares forfeited at time of vest related to net share settlement.</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Amended &amp; Restated 2019 Equity Incentive Plan provides for the concept of “net share settlement.” Specifically, it provides that the Company is authorized to withhold the Common Stock at the time the restricted shares are vested and taxed in satisfaction of the Participant’s tax obligations. On June 16, 2020, the Company received exemptive relief from the SEC to permit such withholding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12—SUBSEQUENT EVENTS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Portfolio Activity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April 1, 2022 through May 4, 2022, the Company exited or received proceeds from the following investments: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Transaction Date</w:t>
            </w: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Shares Sold</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Average Net Share</w:t>
            </w:r>
          </w:p>
        </w:tc>
        <w:tc>
          <w:tcPr>
            <w:tcW w:w="260" w:type="dxa"/>
            <w:vAlign w:val="bottom"/>
          </w:tcPr>
          <w:p>
            <w:pPr>
              <w:spacing w:after="0"/>
              <w:rPr>
                <w:sz w:val="16"/>
                <w:szCs w:val="16"/>
                <w:color w:val="auto"/>
              </w:rPr>
            </w:pPr>
          </w:p>
        </w:tc>
        <w:tc>
          <w:tcPr>
            <w:tcW w:w="15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Net Proceeds</w:t>
            </w:r>
          </w:p>
        </w:tc>
        <w:tc>
          <w:tcPr>
            <w:tcW w:w="220" w:type="dxa"/>
            <w:vAlign w:val="bottom"/>
          </w:tcPr>
          <w:p>
            <w:pPr>
              <w:spacing w:after="0"/>
              <w:rPr>
                <w:sz w:val="16"/>
                <w:szCs w:val="16"/>
                <w:color w:val="auto"/>
              </w:rPr>
            </w:pPr>
          </w:p>
        </w:tc>
        <w:tc>
          <w:tcPr>
            <w:tcW w:w="1460" w:type="dxa"/>
            <w:vAlign w:val="bottom"/>
            <w:vMerge w:val="restart"/>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Realized Gain</w:t>
            </w:r>
            <w:r>
              <w:rPr>
                <w:rFonts w:ascii="Times New Roman" w:cs="Times New Roman" w:eastAsia="Times New Roman" w:hAnsi="Times New Roman"/>
                <w:sz w:val="20"/>
                <w:szCs w:val="20"/>
                <w:b w:val="1"/>
                <w:bCs w:val="1"/>
                <w:color w:val="auto"/>
                <w:vertAlign w:val="superscript"/>
              </w:rPr>
              <w:t>(2)</w:t>
            </w:r>
          </w:p>
        </w:tc>
        <w:tc>
          <w:tcPr>
            <w:tcW w:w="0" w:type="dxa"/>
            <w:vAlign w:val="bottom"/>
          </w:tcPr>
          <w:p>
            <w:pPr>
              <w:spacing w:after="0"/>
              <w:rPr>
                <w:sz w:val="1"/>
                <w:szCs w:val="1"/>
                <w:color w:val="auto"/>
              </w:rPr>
            </w:pPr>
          </w:p>
        </w:tc>
      </w:tr>
      <w:tr>
        <w:trPr>
          <w:trHeight w:val="207"/>
        </w:trPr>
        <w:tc>
          <w:tcPr>
            <w:tcW w:w="340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center"/>
              <w:ind w:right="360"/>
              <w:spacing w:after="0" w:line="207" w:lineRule="exact"/>
              <w:rPr>
                <w:sz w:val="20"/>
                <w:szCs w:val="20"/>
                <w:color w:val="auto"/>
              </w:rPr>
            </w:pPr>
            <w:r>
              <w:rPr>
                <w:rFonts w:ascii="Times New Roman" w:cs="Times New Roman" w:eastAsia="Times New Roman" w:hAnsi="Times New Roman"/>
                <w:sz w:val="16"/>
                <w:szCs w:val="16"/>
                <w:b w:val="1"/>
                <w:bCs w:val="1"/>
                <w:color w:val="auto"/>
                <w:w w:val="90"/>
              </w:rPr>
              <w:t xml:space="preserve">Price </w:t>
            </w:r>
            <w:r>
              <w:rPr>
                <w:rFonts w:ascii="Times New Roman" w:cs="Times New Roman" w:eastAsia="Times New Roman" w:hAnsi="Times New Roman"/>
                <w:sz w:val="20"/>
                <w:szCs w:val="20"/>
                <w:b w:val="1"/>
                <w:bCs w:val="1"/>
                <w:color w:val="auto"/>
                <w:w w:val="90"/>
                <w:vertAlign w:val="superscript"/>
              </w:rPr>
              <w:t>(1)</w:t>
            </w:r>
          </w:p>
        </w:tc>
        <w:tc>
          <w:tcPr>
            <w:tcW w:w="26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Rover, Inc.</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Various</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179,977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1,103,637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565,644</w:t>
            </w:r>
          </w:p>
        </w:tc>
        <w:tc>
          <w:tcPr>
            <w:tcW w:w="0" w:type="dxa"/>
            <w:vAlign w:val="bottom"/>
          </w:tcPr>
          <w:p>
            <w:pPr>
              <w:spacing w:after="0"/>
              <w:rPr>
                <w:sz w:val="1"/>
                <w:szCs w:val="1"/>
                <w:color w:val="auto"/>
              </w:rPr>
            </w:pPr>
          </w:p>
        </w:tc>
      </w:tr>
      <w:tr>
        <w:trPr>
          <w:trHeight w:val="168"/>
        </w:trPr>
        <w:tc>
          <w:tcPr>
            <w:tcW w:w="340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7"/>
                <w:szCs w:val="17"/>
                <w:color w:val="auto"/>
              </w:rPr>
              <w:t>Residential Homes for Rent, LLC (d/b/a</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Second Avenue)</w:t>
            </w:r>
          </w:p>
        </w:tc>
        <w:tc>
          <w:tcPr>
            <w:tcW w:w="15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4/22/2022</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gridSpan w:val="2"/>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28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gridSpan w:val="2"/>
          </w:tcPr>
          <w:p>
            <w:pPr>
              <w:ind w:left="820"/>
              <w:spacing w:after="0"/>
              <w:rPr>
                <w:sz w:val="20"/>
                <w:szCs w:val="20"/>
                <w:color w:val="auto"/>
              </w:rPr>
            </w:pPr>
            <w:r>
              <w:rPr>
                <w:rFonts w:ascii="Times New Roman" w:cs="Times New Roman" w:eastAsia="Times New Roman" w:hAnsi="Times New Roman"/>
                <w:sz w:val="17"/>
                <w:szCs w:val="17"/>
                <w:color w:val="auto"/>
              </w:rPr>
              <w:t>N/A</w:t>
            </w: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83,333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3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1,186,970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565,644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w:t>
      </w:r>
    </w:p>
    <w:p>
      <w:pPr>
        <w:spacing w:after="0" w:line="22" w:lineRule="exact"/>
        <w:rPr>
          <w:sz w:val="20"/>
          <w:szCs w:val="20"/>
          <w:color w:val="auto"/>
        </w:rPr>
      </w:pPr>
    </w:p>
    <w:p>
      <w:pPr>
        <w:ind w:left="460" w:hanging="457"/>
        <w:spacing w:after="0"/>
        <w:tabs>
          <w:tab w:leader="none" w:pos="4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net share price is the net share price realized after deducting all commissions and fees on the sale(s), if applicable.</w:t>
      </w:r>
    </w:p>
    <w:p>
      <w:pPr>
        <w:spacing w:after="0" w:line="14" w:lineRule="exact"/>
        <w:rPr>
          <w:rFonts w:ascii="Times New Roman" w:cs="Times New Roman" w:eastAsia="Times New Roman" w:hAnsi="Times New Roman"/>
          <w:sz w:val="16"/>
          <w:szCs w:val="16"/>
          <w:color w:val="auto"/>
        </w:rPr>
      </w:pPr>
    </w:p>
    <w:p>
      <w:pPr>
        <w:ind w:left="460" w:hanging="457"/>
        <w:spacing w:after="0"/>
        <w:tabs>
          <w:tab w:leader="none" w:pos="4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gain does not include adjustments to amounts held in escrow receivable.</w:t>
      </w:r>
    </w:p>
    <w:p>
      <w:pPr>
        <w:spacing w:after="0" w:line="6" w:lineRule="exact"/>
        <w:rPr>
          <w:rFonts w:ascii="Times New Roman" w:cs="Times New Roman" w:eastAsia="Times New Roman" w:hAnsi="Times New Roman"/>
          <w:sz w:val="16"/>
          <w:szCs w:val="16"/>
          <w:color w:val="auto"/>
        </w:rPr>
      </w:pPr>
    </w:p>
    <w:p>
      <w:pPr>
        <w:ind w:left="460" w:hanging="457"/>
        <w:spacing w:after="0" w:line="238" w:lineRule="auto"/>
        <w:tabs>
          <w:tab w:leader="none" w:pos="4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March 31, 2022, $0.1 million has been received from Residential Homes for Rent, LLC (d/b/a Second Avenue) related to the 15% term loan due December 23, 2023. Of the proceeds received, $0.1 million repaid a portion of the outstanding principal and the remaining proceeds were attributed to interest.</w:t>
      </w:r>
    </w:p>
    <w:p>
      <w:pPr>
        <w:spacing w:after="0" w:line="200" w:lineRule="exact"/>
        <w:rPr>
          <w:sz w:val="20"/>
          <w:szCs w:val="20"/>
          <w:color w:val="auto"/>
        </w:rPr>
      </w:pPr>
    </w:p>
    <w:p>
      <w:pPr>
        <w:spacing w:after="0" w:line="25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From April 1, 2022 through May 4, 2022, the Company funded investments in an aggregate amount of $500,000 (not including capitalized transaction costs) as shown in the following 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40" w:type="dxa"/>
            <w:vAlign w:val="bottom"/>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28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Transaction Date</w:t>
            </w:r>
          </w:p>
        </w:tc>
        <w:tc>
          <w:tcPr>
            <w:tcW w:w="280" w:type="dxa"/>
            <w:vAlign w:val="bottom"/>
          </w:tcPr>
          <w:p>
            <w:pPr>
              <w:spacing w:after="0"/>
              <w:rPr>
                <w:sz w:val="18"/>
                <w:szCs w:val="18"/>
                <w:color w:val="auto"/>
              </w:rPr>
            </w:pPr>
          </w:p>
        </w:tc>
        <w:tc>
          <w:tcPr>
            <w:tcW w:w="168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Gross Payments</w:t>
            </w:r>
          </w:p>
        </w:tc>
      </w:tr>
      <w:tr>
        <w:trPr>
          <w:trHeight w:val="200"/>
        </w:trPr>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Shogun Enterprises, Inc.</w:t>
            </w:r>
          </w:p>
        </w:tc>
        <w:tc>
          <w:tcPr>
            <w:tcW w:w="10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Note</w:t>
            </w:r>
          </w:p>
        </w:tc>
        <w:tc>
          <w:tcPr>
            <w:tcW w:w="100" w:type="dxa"/>
            <w:vAlign w:val="bottom"/>
            <w:tcBorders>
              <w:top w:val="single" w:sz="8" w:color="CCEEFF"/>
            </w:tcBorders>
            <w:shd w:val="clear" w:color="auto" w:fill="CCEEFF"/>
          </w:tcPr>
          <w:p>
            <w:pPr>
              <w:spacing w:after="0"/>
              <w:rPr>
                <w:sz w:val="17"/>
                <w:szCs w:val="17"/>
                <w:color w:val="auto"/>
              </w:rPr>
            </w:pPr>
          </w:p>
        </w:tc>
        <w:tc>
          <w:tcPr>
            <w:tcW w:w="2720" w:type="dxa"/>
            <w:vAlign w:val="bottom"/>
            <w:tcBorders>
              <w:top w:val="single" w:sz="8" w:color="auto"/>
            </w:tcBorders>
            <w:shd w:val="clear" w:color="auto" w:fill="CCEEFF"/>
          </w:tcPr>
          <w:p>
            <w:pPr>
              <w:jc w:val="right"/>
              <w:ind w:right="1002"/>
              <w:spacing w:after="0"/>
              <w:rPr>
                <w:sz w:val="20"/>
                <w:szCs w:val="20"/>
                <w:color w:val="auto"/>
              </w:rPr>
            </w:pPr>
            <w:r>
              <w:rPr>
                <w:rFonts w:ascii="Times New Roman" w:cs="Times New Roman" w:eastAsia="Times New Roman" w:hAnsi="Times New Roman"/>
                <w:sz w:val="16"/>
                <w:szCs w:val="16"/>
                <w:color w:val="auto"/>
              </w:rPr>
              <w:t>5/2/2022</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01"/>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500,000</w:t>
            </w: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From April 1, 2022 through May 4, 2022, the Company had $1.3 million in non-binding investment agreements that required it to make a future investment in a portfolio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 Program</w:t>
      </w:r>
    </w:p>
    <w:p>
      <w:pPr>
        <w:spacing w:after="0" w:line="246"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From April 1, 2022 through May 4, 2022, the Company repurchased 431,134 additional shares under the Share Repurchase Program for an aggregate purchase price of $3.7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COVID-19</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has been closely monitoring the COVID-19 pandemic, its broader impact on the global economy and the more recent impacts on the U.S. economy. We have and continue to assess the impact of the COVID-19 pandemic on our portfolio companies. We cannot predict the full impact of the COVID-19 pandemic, including its duration in the United States and worldwide, the effectiveness of governmental responses designed to mitigate strain to businesses and the economy and the magnitude of the economic impact of the outbreak. The COVID-19 pandemic and preventative measures taken to contain or mitigate its spread have caused, and are continuing to cause, business shutdowns, cancellations of events and travel, significant reductions in demand for certain goods and services, reductions in business activity and financial transactions, supply chain interruptions and overall economic and financial market instability both globally and in the United States. Such effects will likely continue for the duration of the pandemic, which is uncertain, and for some period thereafter. Our portfolio companies and, by extension, our operating results may be adversely impacted by the COVID-19 pandemic and, depending on the duration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SURO CAPITAL CORP. AND SUBSIDIARIES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2022</w:t>
      </w:r>
    </w:p>
    <w:p>
      <w:pPr>
        <w:spacing w:after="0" w:line="3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and extent of the disruption to the operations of our portfolio companies, certain portfolio companies may experience financial distress and may possibly default on their financial obligations to us and their other capital providers. Some of our portfolio companies have significantly curtailed business operations, furloughed or laid off employees and terminated service providers, and deferred capital expenditures, which could impair their business on a permanent basis and additional portfolio companies may take similar actions. We continue to closely monitor our portfolio companies, which includes assessing each portfolio company’s operational and liquidity exposure and outlook; however, any of these developments would likely result in a decrease in the value of our investment in any such portfolio company. In addition, to the extent that the impact to our portfolio companies results in reduced interest payments or permanent impairments on our investments, we could see a decrease in our net investment income, which would increase the percentage of our cash flows dedicated to our debt obligations and could impact the amount of any future distributions to our stockholders.</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response to the COVID-19 pandemic, we instituted a temporary work-from-home policy in March 2020, pursuant to which our employees primarily worked remotely without disruption to our operations. This policy was amended in February 2022 when it was deemed safe to return to our offices. As of May 4, 2022, there is no indication of a reportable subsequent event impacting the Company’s financial statements for the three months ended March 31, 2022. The Company continues to observe and respond to the evolving COVID-19 environment and its potential impact on areas across its business.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13—SUPPLEMENTAL FINANCIAL DATA</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Summarized Financial Information of Unconsolidated Subsidiaries</w:t>
      </w:r>
    </w:p>
    <w:p>
      <w:pPr>
        <w:spacing w:after="0" w:line="246"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Company’s three controlled portfolio companies as of March 31, 2022, SPBRX, INC. (f/k/a GSV Sustainability Partners, Inc.), Architect Capital PayJoy SPV, LLC and Colombier Sponsor LLC, did not meet the definition of a “significant subsidiary” as set forth in Rule 1-02(w)(2). For comparability purposes, the Company has omitted the previously disclosed summarized financial information of the Company’s significant subsidiaries for the quarter ended March 31, 2021 as the Company’s significant subsidiaries would not have been considered significant subsidiaries under the Final Rules.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46"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forward-looking statements contained in this quarterly report on Form 10-Q involve risks and uncertainties, including, without limitation, statements as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26" w:lineRule="exact"/>
        <w:rPr>
          <w:sz w:val="20"/>
          <w:szCs w:val="20"/>
          <w:color w:val="auto"/>
        </w:rPr>
      </w:pPr>
    </w:p>
    <w:p>
      <w:pPr>
        <w:jc w:val="both"/>
        <w:ind w:left="620" w:hanging="306"/>
        <w:spacing w:after="0" w:line="272"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and consequences of the novel coronavirus (“COVID-19”) public health crisis on matters including global, U.S. and local economies, our business operations and continuity, potential disruption to our portfolio companies, tightened availability to capital and financing, the health and productivity of our employees, the ability of third-party providers to continue uninterrupted service, and the regulatory environment in which we operate;</w:t>
      </w:r>
    </w:p>
    <w:p>
      <w:pPr>
        <w:spacing w:after="0" w:line="189"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operating results;</w:t>
      </w:r>
    </w:p>
    <w:p>
      <w:pPr>
        <w:spacing w:after="0" w:line="244"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prospects and the prospects of our portfolio companies;</w:t>
      </w:r>
    </w:p>
    <w:p>
      <w:pPr>
        <w:spacing w:after="0" w:line="244"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investments that we expect to make;</w:t>
      </w:r>
    </w:p>
    <w:p>
      <w:pPr>
        <w:spacing w:after="0" w:line="244"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contractual arrangements and relationships with third parties;</w:t>
      </w:r>
    </w:p>
    <w:p>
      <w:pPr>
        <w:spacing w:after="0" w:line="244"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dependence of our future success on the general economy and its impact on the industries in which we invest;</w:t>
      </w:r>
    </w:p>
    <w:p>
      <w:pPr>
        <w:spacing w:after="0" w:line="244"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portfolio companies to achieve their objectives;</w:t>
      </w:r>
    </w:p>
    <w:p>
      <w:pPr>
        <w:spacing w:after="0" w:line="244"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expected financings and investments;</w:t>
      </w:r>
    </w:p>
    <w:p>
      <w:pPr>
        <w:spacing w:after="0" w:line="244"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of our cash resources and working capital; and</w:t>
      </w:r>
    </w:p>
    <w:p>
      <w:pPr>
        <w:spacing w:after="0" w:line="244"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cash flows, if any, from the operations of our portfolio companies.</w:t>
      </w:r>
    </w:p>
    <w:p>
      <w:pPr>
        <w:spacing w:after="0" w:line="244"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9" w:lineRule="exact"/>
        <w:rPr>
          <w:sz w:val="20"/>
          <w:szCs w:val="20"/>
          <w:color w:val="auto"/>
        </w:rPr>
      </w:pPr>
    </w:p>
    <w:p>
      <w:pPr>
        <w:ind w:left="620" w:hanging="306"/>
        <w:spacing w:after="0" w:line="291" w:lineRule="auto"/>
        <w:tabs>
          <w:tab w:leader="none" w:pos="55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economic downturn could impair our portfolio companies’ ability to continue to operate, which could lead to the loss of some or all of our investments in such portfolio companies;</w:t>
      </w:r>
    </w:p>
    <w:p>
      <w:pPr>
        <w:spacing w:after="0" w:line="172" w:lineRule="exact"/>
        <w:rPr>
          <w:rFonts w:ascii="Times New Roman" w:cs="Times New Roman" w:eastAsia="Times New Roman" w:hAnsi="Times New Roman"/>
          <w:sz w:val="17"/>
          <w:szCs w:val="17"/>
          <w:color w:val="auto"/>
        </w:rPr>
      </w:pPr>
    </w:p>
    <w:p>
      <w:pPr>
        <w:ind w:left="620" w:hanging="306"/>
        <w:spacing w:after="0" w:line="291" w:lineRule="auto"/>
        <w:tabs>
          <w:tab w:leader="none" w:pos="59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economic downturn could disproportionately impact the market sectors in which a significant portion of our portfolio is concentrated, causing us to suffer losses in our portfolio;</w:t>
      </w:r>
    </w:p>
    <w:p>
      <w:pPr>
        <w:spacing w:after="0" w:line="172"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contraction of available credit and/or an inability to access the equity markets could impair our investment activities;</w:t>
      </w:r>
    </w:p>
    <w:p>
      <w:pPr>
        <w:spacing w:after="0" w:line="244" w:lineRule="exact"/>
        <w:rPr>
          <w:rFonts w:ascii="Times New Roman" w:cs="Times New Roman" w:eastAsia="Times New Roman" w:hAnsi="Times New Roman"/>
          <w:sz w:val="17"/>
          <w:szCs w:val="17"/>
          <w:color w:val="auto"/>
        </w:rPr>
      </w:pPr>
    </w:p>
    <w:p>
      <w:pPr>
        <w:ind w:left="540" w:hanging="226"/>
        <w:spacing w:after="0"/>
        <w:tabs>
          <w:tab w:leader="none" w:pos="5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rate volatility could adversely affect our results, particularly because we use leverage as part of our investment strategy; and</w:t>
      </w:r>
    </w:p>
    <w:p>
      <w:pPr>
        <w:spacing w:after="0" w:line="244" w:lineRule="exact"/>
        <w:rPr>
          <w:rFonts w:ascii="Times New Roman" w:cs="Times New Roman" w:eastAsia="Times New Roman" w:hAnsi="Times New Roman"/>
          <w:sz w:val="17"/>
          <w:szCs w:val="17"/>
          <w:color w:val="auto"/>
        </w:rPr>
      </w:pPr>
    </w:p>
    <w:p>
      <w:pPr>
        <w:ind w:left="620" w:hanging="306"/>
        <w:spacing w:after="0" w:line="291" w:lineRule="auto"/>
        <w:tabs>
          <w:tab w:leader="none" w:pos="58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uncertainties and other factors we identify in the sections entitled “Risk Factors” in our quarterly reports on Form 10-Q, our annual report on Form 10-K, and in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firstLine="349"/>
        <w:spacing w:after="0" w:line="259" w:lineRule="auto"/>
        <w:rPr>
          <w:sz w:val="20"/>
          <w:szCs w:val="20"/>
          <w:color w:val="auto"/>
        </w:rPr>
      </w:pPr>
      <w:r>
        <w:rPr>
          <w:rFonts w:ascii="Times New Roman" w:cs="Times New Roman" w:eastAsia="Times New Roman" w:hAnsi="Times New Roman"/>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consolidated financial statements and the related notes thereto contained elsewhere in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6"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We are an internally-managed,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89" w:lineRule="exact"/>
        <w:rPr>
          <w:sz w:val="20"/>
          <w:szCs w:val="20"/>
          <w:color w:val="auto"/>
        </w:rPr>
      </w:pPr>
    </w:p>
    <w:p>
      <w:pPr>
        <w:jc w:val="both"/>
        <w:ind w:firstLine="349"/>
        <w:spacing w:after="0" w:line="259" w:lineRule="auto"/>
        <w:rPr>
          <w:sz w:val="20"/>
          <w:szCs w:val="20"/>
          <w:color w:val="auto"/>
        </w:rPr>
      </w:pPr>
      <w:r>
        <w:rPr>
          <w:rFonts w:ascii="Times New Roman" w:cs="Times New Roman" w:eastAsia="Times New Roman" w:hAnsi="Times New Roman"/>
          <w:sz w:val="17"/>
          <w:szCs w:val="17"/>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In addition, we may invest in private credit and in the founders equity, founders warrants, forward purchase agreements,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201"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99"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Our investment philosophy is based on a disciplined approach of identifying promising investments in high-growth, venture-backed companies across several key industry themes which may include, among others, social/mobile,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97" w:lineRule="exact"/>
        <w:rPr>
          <w:sz w:val="20"/>
          <w:szCs w:val="20"/>
          <w:color w:val="auto"/>
        </w:rPr>
      </w:pPr>
    </w:p>
    <w:p>
      <w:pPr>
        <w:jc w:val="both"/>
        <w:ind w:firstLine="349"/>
        <w:spacing w:after="0" w:line="262" w:lineRule="auto"/>
        <w:rPr>
          <w:sz w:val="20"/>
          <w:szCs w:val="20"/>
          <w:color w:val="auto"/>
        </w:rPr>
      </w:pPr>
      <w:r>
        <w:rPr>
          <w:rFonts w:ascii="Times New Roman" w:cs="Times New Roman" w:eastAsia="Times New Roman" w:hAnsi="Times New Roman"/>
          <w:sz w:val="17"/>
          <w:szCs w:val="17"/>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200" w:lineRule="exact"/>
        <w:rPr>
          <w:sz w:val="20"/>
          <w:szCs w:val="20"/>
          <w:color w:val="auto"/>
        </w:rPr>
      </w:pPr>
    </w:p>
    <w:p>
      <w:pPr>
        <w:spacing w:after="0" w:line="2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We seek to create a low-turnover portfolio that includes investments in companies representing a broad range of investment themes.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Internalization of Operating Structure</w:t>
      </w:r>
    </w:p>
    <w:p>
      <w:pPr>
        <w:spacing w:after="0" w:line="2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and effective March 12, 2019 (the "Effective Date"), our Board of Directors approved internalizing our operating structure (the "Internalization") and we began operating as an internally managed non-diversified closed-end management investment company that has elected to be regulated as a BDC under the 1940 Act. Our Board of Directors approved the Internalization in order to better align the interests of the Company's stockholders with its management. As an internally managed BDC, the Company is managed by its employees, rather than the employees of an external investment adviser, thereby allowing for greater transparency to stockholders through robust disclosure regarding the Company's compensation structure. Prior to the Effective Date,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In connection with our Internalization, the Investment Advisory Agreement and the Administration Agreement were terminated as of the Effective Date, in accordance with their respective terms. As a result,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w:t>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Except as otherwise disclosed herein, this Form 10-Q discusses our business and operations as an internally-managed BDC during the period covered by this Form 10-Q.</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COVID-19 Developments</w:t>
      </w:r>
    </w:p>
    <w:p>
      <w:pPr>
        <w:spacing w:after="0" w:line="24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In March 2020, the outbreak of the novel coronavirus (“COVID-19”) was recognized as a pandemic by the World Health Organization. As of the quarter ended March 31, 2022, and subsequent to March 31, 2022, the COVID-19 pandemic has had a significant impact on the U.S. and global economy.</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and continue to assess the impact of the COVID-19 pandemic on our portfolio companies. We cannot predict the full impact of the COVID-19 pandemic, including its duration in the United States and worldwide, the effectiveness of governmental responses designed to mitigate strain to businesses and the economy, and the magnitude of the economic impact of the outbreak, including with respect to the travel restrictions, business closures and other quarantine measures imposed on service providers and other individuals by various local, state, and federal governmental authorities, as well as non-U.S. governmental authorities. As such, we are unable to predict the duration of any business and supply-chain disruptions, the extent to which the COVID-19 pandemic will negatively affect our portfolio companies’ operating results or the impact that such disruptions may have on our results of operations and financial condition. Our portfolio companies and, by extension, our operating results may be adversely impacted by the COVID-19 pandemic and, depending on the duration and extent of the disruption to the operations of our portfolio companies, certain portfolio companies may experience financial distress and may possibly default on their financial obligations to us and their other capital providers. Any of these developments would likely result in a decrease in the value of our investment in any such portfolio company. In addition, to the extent that the impact to our portfolio companies results in reduced interest payments or permanent impairments on our investments, we could see a decrease in our net investment income, which would increase the percentage of our cash flows dedicated to our debt obligations and could impact the amount of any future distributions to our stockholders.</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response to the COVID-19 pandemic, we instituted a temporary work-from-home policy in March 2020, pursuant to which our employees primarily worked remotely without disruption to our operations. This policy was amended in February 2022 when it was deemed safe to return to our offices. As of May 4, 2022, there is no indication of a reportable subsequent event impacting the Company’s financial statements for the quarter ended March 31, 2022. The Company continues to observe and respond to the evolving COVID-19 environment and its potential impact on areas across its business.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Portfolio and Investment Activity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March 31, 2022</w:t>
      </w:r>
    </w:p>
    <w:p>
      <w:pPr>
        <w:spacing w:after="0" w:line="2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March 31, 2022, of all of our portfolio investments was $280,778,078.</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months ended March 31, 2022, we did not fund any new investments.</w:t>
      </w:r>
    </w:p>
    <w:p>
      <w:pPr>
        <w:spacing w:after="0" w:line="200" w:lineRule="exact"/>
        <w:rPr>
          <w:sz w:val="20"/>
          <w:szCs w:val="20"/>
          <w:color w:val="auto"/>
        </w:rPr>
      </w:pPr>
    </w:p>
    <w:p>
      <w:pPr>
        <w:spacing w:after="0" w:line="2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During the three months ended March 31, 2022, we capitalized fees of $0.</w:t>
      </w:r>
    </w:p>
    <w:p>
      <w:pPr>
        <w:spacing w:after="0" w:line="244" w:lineRule="exact"/>
        <w:rPr>
          <w:sz w:val="20"/>
          <w:szCs w:val="20"/>
          <w:color w:val="auto"/>
        </w:rPr>
      </w:pPr>
    </w:p>
    <w:p>
      <w:pPr>
        <w:jc w:val="both"/>
        <w:ind w:firstLine="224"/>
        <w:spacing w:after="0" w:line="291" w:lineRule="auto"/>
        <w:rPr>
          <w:sz w:val="20"/>
          <w:szCs w:val="20"/>
          <w:color w:val="auto"/>
        </w:rPr>
      </w:pPr>
      <w:r>
        <w:rPr>
          <w:rFonts w:ascii="Times New Roman" w:cs="Times New Roman" w:eastAsia="Times New Roman" w:hAnsi="Times New Roman"/>
          <w:sz w:val="17"/>
          <w:szCs w:val="17"/>
          <w:color w:val="auto"/>
        </w:rPr>
        <w:t>During the three months ended March 31, 2022, we exited or received proceeds from investments in an amount of $1,287,722, net of transaction costs, and realized a net gain on investments of $3,096,275 (including adjustments to amounts held in escrow receivable) as shown in following table: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Transaction Date</w:t>
            </w:r>
          </w:p>
        </w:tc>
        <w:tc>
          <w:tcPr>
            <w:tcW w:w="11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Average Net Share</w:t>
            </w:r>
          </w:p>
        </w:tc>
        <w:tc>
          <w:tcPr>
            <w:tcW w:w="100" w:type="dxa"/>
            <w:vAlign w:val="bottom"/>
          </w:tcPr>
          <w:p>
            <w:pPr>
              <w:spacing w:after="0"/>
              <w:rPr>
                <w:sz w:val="16"/>
                <w:szCs w:val="16"/>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Proceeds</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Realized Gain</w:t>
            </w:r>
            <w:r>
              <w:rPr>
                <w:rFonts w:ascii="Times New Roman" w:cs="Times New Roman" w:eastAsia="Times New Roman" w:hAnsi="Times New Roman"/>
                <w:sz w:val="20"/>
                <w:szCs w:val="20"/>
                <w:b w:val="1"/>
                <w:bCs w:val="1"/>
                <w:color w:val="auto"/>
                <w:w w:val="96"/>
                <w:vertAlign w:val="superscript"/>
              </w:rPr>
              <w:t>(2)</w:t>
            </w:r>
          </w:p>
        </w:tc>
        <w:tc>
          <w:tcPr>
            <w:tcW w:w="0" w:type="dxa"/>
            <w:vAlign w:val="bottom"/>
          </w:tcPr>
          <w:p>
            <w:pPr>
              <w:spacing w:after="0"/>
              <w:rPr>
                <w:sz w:val="1"/>
                <w:szCs w:val="1"/>
                <w:color w:val="auto"/>
              </w:rPr>
            </w:pPr>
          </w:p>
        </w:tc>
      </w:tr>
      <w:tr>
        <w:trPr>
          <w:trHeight w:val="207"/>
        </w:trPr>
        <w:tc>
          <w:tcPr>
            <w:tcW w:w="494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center"/>
              <w:ind w:right="360"/>
              <w:spacing w:after="0" w:line="207" w:lineRule="exact"/>
              <w:rPr>
                <w:sz w:val="20"/>
                <w:szCs w:val="20"/>
                <w:color w:val="auto"/>
              </w:rPr>
            </w:pPr>
            <w:r>
              <w:rPr>
                <w:rFonts w:ascii="Times New Roman" w:cs="Times New Roman" w:eastAsia="Times New Roman" w:hAnsi="Times New Roman"/>
                <w:sz w:val="16"/>
                <w:szCs w:val="16"/>
                <w:b w:val="1"/>
                <w:bCs w:val="1"/>
                <w:color w:val="auto"/>
                <w:w w:val="90"/>
              </w:rPr>
              <w:t xml:space="preserve">Price </w:t>
            </w:r>
            <w:r>
              <w:rPr>
                <w:rFonts w:ascii="Times New Roman" w:cs="Times New Roman" w:eastAsia="Times New Roman" w:hAnsi="Times New Roman"/>
                <w:sz w:val="20"/>
                <w:szCs w:val="20"/>
                <w:b w:val="1"/>
                <w:bCs w:val="1"/>
                <w:color w:val="auto"/>
                <w:w w:val="90"/>
                <w:vertAlign w:val="superscript"/>
              </w:rPr>
              <w:t>(1)</w:t>
            </w: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NewLake Capital Partners, Inc.</w:t>
            </w: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Various</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759,225</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212,073</w:t>
            </w:r>
          </w:p>
        </w:tc>
        <w:tc>
          <w:tcPr>
            <w:tcW w:w="0" w:type="dxa"/>
            <w:vAlign w:val="bottom"/>
          </w:tcPr>
          <w:p>
            <w:pPr>
              <w:spacing w:after="0"/>
              <w:rPr>
                <w:sz w:val="1"/>
                <w:szCs w:val="1"/>
                <w:color w:val="auto"/>
              </w:rPr>
            </w:pPr>
          </w:p>
        </w:tc>
      </w:tr>
      <w:tr>
        <w:trPr>
          <w:trHeight w:val="205"/>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Rover, Inc.</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1/31/2022</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150,725</w:t>
            </w:r>
          </w:p>
        </w:tc>
        <w:tc>
          <w:tcPr>
            <w:tcW w:w="0" w:type="dxa"/>
            <w:vAlign w:val="bottom"/>
          </w:tcPr>
          <w:p>
            <w:pPr>
              <w:spacing w:after="0"/>
              <w:rPr>
                <w:sz w:val="1"/>
                <w:szCs w:val="1"/>
                <w:color w:val="auto"/>
              </w:rPr>
            </w:pPr>
          </w:p>
        </w:tc>
      </w:tr>
      <w:tr>
        <w:trPr>
          <w:trHeight w:val="209"/>
        </w:trPr>
        <w:tc>
          <w:tcPr>
            <w:tcW w:w="494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Residential Homes for Rent, LLC (d/b/a Second Avenue)</w:t>
            </w:r>
            <w:r>
              <w:rPr>
                <w:rFonts w:ascii="Times New Roman" w:cs="Times New Roman" w:eastAsia="Times New Roman" w:hAnsi="Times New Roman"/>
                <w:sz w:val="20"/>
                <w:szCs w:val="20"/>
                <w:color w:val="auto"/>
                <w:vertAlign w:val="superscript"/>
              </w:rPr>
              <w:t>(3)</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4"/>
              </w:rPr>
              <w:t>Various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1,287,722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362,798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w:t>
      </w:r>
    </w:p>
    <w:p>
      <w:pPr>
        <w:spacing w:after="0" w:line="22" w:lineRule="exact"/>
        <w:rPr>
          <w:sz w:val="20"/>
          <w:szCs w:val="20"/>
          <w:color w:val="auto"/>
        </w:rPr>
      </w:pPr>
    </w:p>
    <w:p>
      <w:pPr>
        <w:ind w:left="460" w:hanging="457"/>
        <w:spacing w:after="0"/>
        <w:tabs>
          <w:tab w:leader="none" w:pos="4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net share price is the net share price realized after deducting all commissions and fees on the sale(s), if applicable.</w:t>
      </w:r>
    </w:p>
    <w:p>
      <w:pPr>
        <w:spacing w:after="0" w:line="7"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gain does not include adjustments to amounts held in escrow receivable.</w:t>
      </w:r>
    </w:p>
    <w:p>
      <w:pPr>
        <w:spacing w:after="0" w:line="7" w:lineRule="exact"/>
        <w:rPr>
          <w:rFonts w:ascii="Times New Roman" w:cs="Times New Roman" w:eastAsia="Times New Roman" w:hAnsi="Times New Roman"/>
          <w:sz w:val="14"/>
          <w:szCs w:val="14"/>
          <w:color w:val="auto"/>
        </w:rPr>
      </w:pPr>
    </w:p>
    <w:p>
      <w:pPr>
        <w:ind w:left="460" w:hanging="457"/>
        <w:spacing w:after="0" w:line="261" w:lineRule="auto"/>
        <w:tabs>
          <w:tab w:leader="none" w:pos="45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2022, approximately $0.3 million has been received from Residential Homes for Rent, LLC (d/b/a Second Avenue) related to the 15% term loan due December 23, 2023. Of the proceeds received, approximately $0.2 million repaid a portion of the outstanding principal and the remaining was attributed to interest.</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During the three months ended March 31, 2022, we did not write-off any investments.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March 31, 2021</w:t>
      </w:r>
    </w:p>
    <w:p>
      <w:pPr>
        <w:spacing w:after="0" w:line="248"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7"/>
          <w:szCs w:val="17"/>
          <w:color w:val="auto"/>
        </w:rPr>
        <w:t>During the three months ended March 31, 2021, we funded investments in an aggregate amount of $9,499,978 (not including capitalized transaction costs) as shown in the following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80" w:type="dxa"/>
            <w:vAlign w:val="bottom"/>
            <w:tcBorders>
              <w:bottom w:val="single" w:sz="8" w:color="CCEEFF"/>
            </w:tcBorders>
          </w:tcPr>
          <w:p>
            <w:pPr>
              <w:spacing w:after="0"/>
              <w:rPr>
                <w:sz w:val="18"/>
                <w:szCs w:val="18"/>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Investment</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Transaction Date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7"/>
              </w:rPr>
              <w:t>Gross Payments</w:t>
            </w:r>
          </w:p>
        </w:tc>
        <w:tc>
          <w:tcPr>
            <w:tcW w:w="0" w:type="dxa"/>
            <w:vAlign w:val="bottom"/>
          </w:tcPr>
          <w:p>
            <w:pPr>
              <w:spacing w:after="0"/>
              <w:rPr>
                <w:sz w:val="1"/>
                <w:szCs w:val="1"/>
                <w:color w:val="auto"/>
              </w:rPr>
            </w:pPr>
          </w:p>
        </w:tc>
      </w:tr>
      <w:tr>
        <w:trPr>
          <w:trHeight w:val="151"/>
        </w:trPr>
        <w:tc>
          <w:tcPr>
            <w:tcW w:w="32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NewLake Capital Partners, Inc. (f/k/a</w:t>
            </w:r>
          </w:p>
        </w:tc>
        <w:tc>
          <w:tcPr>
            <w:tcW w:w="80" w:type="dxa"/>
            <w:vAlign w:val="bottom"/>
            <w:shd w:val="clear" w:color="auto" w:fill="CCEEFF"/>
          </w:tcPr>
          <w:p>
            <w:pPr>
              <w:spacing w:after="0"/>
              <w:rPr>
                <w:sz w:val="13"/>
                <w:szCs w:val="13"/>
                <w:color w:val="auto"/>
              </w:rPr>
            </w:pPr>
          </w:p>
        </w:tc>
        <w:tc>
          <w:tcPr>
            <w:tcW w:w="47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Common Shares</w:t>
            </w:r>
          </w:p>
        </w:tc>
        <w:tc>
          <w:tcPr>
            <w:tcW w:w="1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2/12/2021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499,986</w:t>
            </w:r>
          </w:p>
        </w:tc>
        <w:tc>
          <w:tcPr>
            <w:tcW w:w="0" w:type="dxa"/>
            <w:vAlign w:val="bottom"/>
          </w:tcPr>
          <w:p>
            <w:pPr>
              <w:spacing w:after="0"/>
              <w:rPr>
                <w:sz w:val="1"/>
                <w:szCs w:val="1"/>
                <w:color w:val="auto"/>
              </w:rPr>
            </w:pPr>
          </w:p>
        </w:tc>
      </w:tr>
      <w:tr>
        <w:trPr>
          <w:trHeight w:val="207"/>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GreenAcreage Real Estate Corp.)</w:t>
            </w:r>
          </w:p>
        </w:tc>
        <w:tc>
          <w:tcPr>
            <w:tcW w:w="4700" w:type="dxa"/>
            <w:vAlign w:val="bottom"/>
            <w:gridSpan w:val="2"/>
            <w:vMerge w:val="continue"/>
            <w:shd w:val="clear" w:color="auto" w:fill="CCEEFF"/>
          </w:tcPr>
          <w:p>
            <w:pPr>
              <w:spacing w:after="0"/>
              <w:rPr>
                <w:sz w:val="17"/>
                <w:szCs w:val="17"/>
                <w:color w:val="auto"/>
              </w:rPr>
            </w:pPr>
          </w:p>
        </w:tc>
        <w:tc>
          <w:tcPr>
            <w:tcW w:w="1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Churchill Sponsor VI LLC</w:t>
            </w:r>
            <w:r>
              <w:rPr>
                <w:rFonts w:ascii="Times New Roman" w:cs="Times New Roman" w:eastAsia="Times New Roman" w:hAnsi="Times New Roman"/>
                <w:sz w:val="20"/>
                <w:szCs w:val="20"/>
                <w:color w:val="auto"/>
                <w:vertAlign w:val="superscript"/>
              </w:rPr>
              <w:t>(1)</w:t>
            </w:r>
          </w:p>
        </w:tc>
        <w:tc>
          <w:tcPr>
            <w:tcW w:w="4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Common Share Units &amp; Warrant Units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2/25/2021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0" w:type="dxa"/>
            <w:vAlign w:val="bottom"/>
          </w:tcPr>
          <w:p>
            <w:pPr>
              <w:spacing w:after="0"/>
              <w:rPr>
                <w:sz w:val="1"/>
                <w:szCs w:val="1"/>
                <w:color w:val="auto"/>
              </w:rPr>
            </w:pPr>
          </w:p>
        </w:tc>
      </w:tr>
      <w:tr>
        <w:trPr>
          <w:trHeight w:val="207"/>
        </w:trPr>
        <w:tc>
          <w:tcPr>
            <w:tcW w:w="330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Churchill Sponsor VII LLC</w:t>
            </w:r>
            <w:r>
              <w:rPr>
                <w:rFonts w:ascii="Times New Roman" w:cs="Times New Roman" w:eastAsia="Times New Roman" w:hAnsi="Times New Roman"/>
                <w:sz w:val="20"/>
                <w:szCs w:val="20"/>
                <w:color w:val="auto"/>
                <w:vertAlign w:val="superscript"/>
              </w:rPr>
              <w:t>(2)</w:t>
            </w:r>
          </w:p>
        </w:tc>
        <w:tc>
          <w:tcPr>
            <w:tcW w:w="4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6"/>
              </w:rPr>
              <w:t>Common Share Units &amp; Warrant Units</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2/25/2021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0" w:type="dxa"/>
            <w:vAlign w:val="bottom"/>
          </w:tcPr>
          <w:p>
            <w:pPr>
              <w:spacing w:after="0"/>
              <w:rPr>
                <w:sz w:val="1"/>
                <w:szCs w:val="1"/>
                <w:color w:val="auto"/>
              </w:rPr>
            </w:pPr>
          </w:p>
        </w:tc>
      </w:tr>
      <w:tr>
        <w:trPr>
          <w:trHeight w:val="207"/>
        </w:trPr>
        <w:tc>
          <w:tcPr>
            <w:tcW w:w="33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Shogun Enterprises, Inc.</w:t>
            </w:r>
            <w:r>
              <w:rPr>
                <w:rFonts w:ascii="Times New Roman" w:cs="Times New Roman" w:eastAsia="Times New Roman" w:hAnsi="Times New Roman"/>
                <w:sz w:val="20"/>
                <w:szCs w:val="20"/>
                <w:color w:val="auto"/>
                <w:vertAlign w:val="superscript"/>
              </w:rPr>
              <w:t>(3)</w:t>
            </w:r>
          </w:p>
        </w:tc>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Preferred Shares, Series B-1</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2/26/2021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3,499,994</w:t>
            </w:r>
          </w:p>
        </w:tc>
        <w:tc>
          <w:tcPr>
            <w:tcW w:w="0" w:type="dxa"/>
            <w:vAlign w:val="bottom"/>
          </w:tcPr>
          <w:p>
            <w:pPr>
              <w:spacing w:after="0"/>
              <w:rPr>
                <w:sz w:val="1"/>
                <w:szCs w:val="1"/>
                <w:color w:val="auto"/>
              </w:rPr>
            </w:pPr>
          </w:p>
        </w:tc>
      </w:tr>
      <w:tr>
        <w:trPr>
          <w:trHeight w:val="207"/>
        </w:trPr>
        <w:tc>
          <w:tcPr>
            <w:tcW w:w="330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Shogun Enterprises, Inc.</w:t>
            </w:r>
            <w:r>
              <w:rPr>
                <w:rFonts w:ascii="Times New Roman" w:cs="Times New Roman" w:eastAsia="Times New Roman" w:hAnsi="Times New Roman"/>
                <w:sz w:val="20"/>
                <w:szCs w:val="20"/>
                <w:color w:val="auto"/>
                <w:vertAlign w:val="superscript"/>
              </w:rPr>
              <w:t>(3)</w:t>
            </w:r>
          </w:p>
        </w:tc>
        <w:tc>
          <w:tcPr>
            <w:tcW w:w="4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Preferred Shares, Series B-2</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2/26/2021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3,499,998</w:t>
            </w:r>
          </w:p>
        </w:tc>
        <w:tc>
          <w:tcPr>
            <w:tcW w:w="0" w:type="dxa"/>
            <w:vAlign w:val="bottom"/>
          </w:tcPr>
          <w:p>
            <w:pPr>
              <w:spacing w:after="0"/>
              <w:rPr>
                <w:sz w:val="1"/>
                <w:szCs w:val="1"/>
                <w:color w:val="auto"/>
              </w:rPr>
            </w:pPr>
          </w:p>
        </w:tc>
      </w:tr>
      <w:tr>
        <w:trPr>
          <w:trHeight w:val="207"/>
        </w:trPr>
        <w:tc>
          <w:tcPr>
            <w:tcW w:w="33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Architect Capital PayJoy SPV, LLC</w:t>
            </w:r>
            <w:r>
              <w:rPr>
                <w:rFonts w:ascii="Times New Roman" w:cs="Times New Roman" w:eastAsia="Times New Roman" w:hAnsi="Times New Roman"/>
                <w:sz w:val="20"/>
                <w:szCs w:val="20"/>
                <w:color w:val="auto"/>
                <w:vertAlign w:val="superscript"/>
              </w:rPr>
              <w:t>(4)</w:t>
            </w:r>
          </w:p>
        </w:tc>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Membership Interest in Lending SPV</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3/24/2021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155"/>
        </w:trPr>
        <w:tc>
          <w:tcPr>
            <w:tcW w:w="330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Commercial Streaming Solutions Inc. (d/b/a</w:t>
            </w:r>
          </w:p>
        </w:tc>
        <w:tc>
          <w:tcPr>
            <w:tcW w:w="47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Simple Agreement for Future Equity ("SAFE")</w:t>
            </w:r>
          </w:p>
        </w:tc>
        <w:tc>
          <w:tcPr>
            <w:tcW w:w="1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3/26/2021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0" w:type="dxa"/>
            <w:vAlign w:val="bottom"/>
          </w:tcPr>
          <w:p>
            <w:pPr>
              <w:spacing w:after="0"/>
              <w:rPr>
                <w:sz w:val="1"/>
                <w:szCs w:val="1"/>
                <w:color w:val="auto"/>
              </w:rPr>
            </w:pPr>
          </w:p>
        </w:tc>
      </w:tr>
      <w:tr>
        <w:trPr>
          <w:trHeight w:val="205"/>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BettorView)</w:t>
            </w:r>
          </w:p>
        </w:tc>
        <w:tc>
          <w:tcPr>
            <w:tcW w:w="4700" w:type="dxa"/>
            <w:vAlign w:val="bottom"/>
            <w:gridSpan w:val="2"/>
            <w:vMerge w:val="continue"/>
            <w:shd w:val="clear" w:color="auto" w:fill="CCEEFF"/>
          </w:tcPr>
          <w:p>
            <w:pPr>
              <w:spacing w:after="0"/>
              <w:rPr>
                <w:sz w:val="17"/>
                <w:szCs w:val="17"/>
                <w:color w:val="auto"/>
              </w:rPr>
            </w:pPr>
          </w:p>
        </w:tc>
        <w:tc>
          <w:tcPr>
            <w:tcW w:w="1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9,499,978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w:t>
      </w:r>
    </w:p>
    <w:p>
      <w:pPr>
        <w:spacing w:after="0" w:line="22" w:lineRule="exact"/>
        <w:rPr>
          <w:sz w:val="20"/>
          <w:szCs w:val="20"/>
          <w:color w:val="auto"/>
        </w:rPr>
      </w:pPr>
    </w:p>
    <w:p>
      <w:pPr>
        <w:jc w:val="both"/>
        <w:ind w:left="460" w:hanging="457"/>
        <w:spacing w:after="0" w:line="245" w:lineRule="auto"/>
        <w:tabs>
          <w:tab w:leader="none" w:pos="45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Churchill Sponsor VI LLC is the sponsor of Churchill Capital Corp VI, a special purpose acquisition company formed for the purpose of effecting a merger, capital stock exchange, asset acquisition, stock purchase, reorganization or similar business combination with one or more businesses. Our investment in Churchill Sponsor VI LLC constituted a “remote-affiliate” transaction for purposes of the 1940 Act in light of the fact that Mark Klein, our Chairman, CEO and President, has a non-controlling interest in the entity that controls Churchill Sponsor VI LLC, and is a non-controlling board member of Churchill Capital Corp VI.</w:t>
      </w:r>
    </w:p>
    <w:p>
      <w:pPr>
        <w:spacing w:after="0" w:line="2" w:lineRule="exact"/>
        <w:rPr>
          <w:rFonts w:ascii="Times New Roman" w:cs="Times New Roman" w:eastAsia="Times New Roman" w:hAnsi="Times New Roman"/>
          <w:sz w:val="14"/>
          <w:szCs w:val="14"/>
          <w:color w:val="auto"/>
        </w:rPr>
      </w:pPr>
    </w:p>
    <w:p>
      <w:pPr>
        <w:jc w:val="both"/>
        <w:ind w:left="460" w:hanging="457"/>
        <w:spacing w:after="0" w:line="245" w:lineRule="auto"/>
        <w:tabs>
          <w:tab w:leader="none" w:pos="45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Churchill Sponsor VII LLC is the sponsor of Churchill Capital Corp VII, a special purpose acquisition company formed for the purpose of effecting a merger, capital stock exchange, asset acquisition, stock purchase, reorganization or similar business combination with one or more businesses. Our investment in Churchill Sponsor VII LLC constituted a “remote-affiliate” transaction for purposes of the 1940 Act in light of the fact that Mark Klein, our Chairman, CEO and President, has a non-controlling interest in the entity that controls Churchill Sponsor VII LLC, and is a non-controlling board member of Churchill Capital Corp VII.</w:t>
      </w:r>
    </w:p>
    <w:p>
      <w:pPr>
        <w:spacing w:after="0" w:line="2" w:lineRule="exact"/>
        <w:rPr>
          <w:rFonts w:ascii="Times New Roman" w:cs="Times New Roman" w:eastAsia="Times New Roman" w:hAnsi="Times New Roman"/>
          <w:sz w:val="14"/>
          <w:szCs w:val="14"/>
          <w:color w:val="auto"/>
        </w:rPr>
      </w:pPr>
    </w:p>
    <w:p>
      <w:pPr>
        <w:ind w:left="460" w:hanging="457"/>
        <w:spacing w:after="0" w:line="250" w:lineRule="auto"/>
        <w:tabs>
          <w:tab w:leader="none" w:pos="45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Keri Findley, a former senior managing director of the Company until her departure on March 9, 2022, is a non-controlling member of the board of directors of Shogun Enterprises, Inc. and holds a minority equity interest in such company.</w:t>
      </w:r>
    </w:p>
    <w:p>
      <w:pPr>
        <w:ind w:left="460" w:hanging="457"/>
        <w:spacing w:after="0" w:line="261" w:lineRule="auto"/>
        <w:tabs>
          <w:tab w:leader="none" w:pos="45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2021, $0.5 million of the $10.0 million capital commitment representing SuRo Capital Corp.'s Membership Interest in Architect Capital PayJoy SPV, LLC had been called and funded. Keri Findley, a former senior managing director of the Company until her departure on March</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9, 2022, is a non-controlling member of the board of directors of the investment manager to Architect Capital PayJoy SPV, LLC and holds a minority equity interest in such investment manager.</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During the three months ended March 31, 2021, we capitalized fees of $3,658.</w:t>
      </w:r>
    </w:p>
    <w:p>
      <w:pPr>
        <w:spacing w:after="0" w:line="244" w:lineRule="exact"/>
        <w:rPr>
          <w:sz w:val="20"/>
          <w:szCs w:val="20"/>
          <w:color w:val="auto"/>
        </w:rPr>
      </w:pPr>
    </w:p>
    <w:p>
      <w:pPr>
        <w:ind w:firstLine="246"/>
        <w:spacing w:after="0" w:line="279" w:lineRule="auto"/>
        <w:rPr>
          <w:sz w:val="20"/>
          <w:szCs w:val="20"/>
          <w:color w:val="auto"/>
        </w:rPr>
      </w:pPr>
      <w:r>
        <w:rPr>
          <w:rFonts w:ascii="Times New Roman" w:cs="Times New Roman" w:eastAsia="Times New Roman" w:hAnsi="Times New Roman"/>
          <w:sz w:val="17"/>
          <w:szCs w:val="17"/>
          <w:color w:val="auto"/>
        </w:rPr>
        <w:t>During the three months ended March 31, 2021, we exited investments in an amount of $125,387,267, net of transaction costs, and realized a net gain on investments of $112,152,518 (including U.S. Treasury investments and adjustments to amounts held in escrow receivable) as shown in following table:</w:t>
      </w:r>
    </w:p>
    <w:tbl>
      <w:tblPr>
        <w:tblLayout w:type="fixed"/>
        <w:tblInd w:w="0" w:type="dxa"/>
        <w:tblCellMar>
          <w:top w:w="0" w:type="dxa"/>
          <w:left w:w="0" w:type="dxa"/>
          <w:bottom w:w="0" w:type="dxa"/>
          <w:right w:w="0" w:type="dxa"/>
        </w:tblCellMar>
      </w:tblPr>
      <w:tr>
        <w:trPr>
          <w:trHeight w:val="159"/>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Transaction Date</w:t>
            </w:r>
          </w:p>
        </w:tc>
        <w:tc>
          <w:tcPr>
            <w:tcW w:w="13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2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6"/>
              </w:rPr>
              <w:t>Average Net Share</w:t>
            </w:r>
          </w:p>
        </w:tc>
        <w:tc>
          <w:tcPr>
            <w:tcW w:w="180" w:type="dxa"/>
            <w:vAlign w:val="bottom"/>
          </w:tcPr>
          <w:p>
            <w:pPr>
              <w:spacing w:after="0"/>
              <w:rPr>
                <w:sz w:val="13"/>
                <w:szCs w:val="13"/>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Net Proceeds</w:t>
            </w:r>
          </w:p>
        </w:tc>
        <w:tc>
          <w:tcPr>
            <w:tcW w:w="160" w:type="dxa"/>
            <w:vAlign w:val="bottom"/>
          </w:tcPr>
          <w:p>
            <w:pPr>
              <w:spacing w:after="0"/>
              <w:rPr>
                <w:sz w:val="13"/>
                <w:szCs w:val="13"/>
                <w:color w:val="auto"/>
              </w:rPr>
            </w:pPr>
          </w:p>
        </w:tc>
        <w:tc>
          <w:tcPr>
            <w:tcW w:w="128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6"/>
              </w:rPr>
              <w:t>Realized Gain</w:t>
            </w:r>
            <w:r>
              <w:rPr>
                <w:rFonts w:ascii="Times New Roman" w:cs="Times New Roman" w:eastAsia="Times New Roman" w:hAnsi="Times New Roman"/>
                <w:sz w:val="20"/>
                <w:szCs w:val="20"/>
                <w:b w:val="1"/>
                <w:bCs w:val="1"/>
                <w:color w:val="auto"/>
                <w:w w:val="96"/>
                <w:vertAlign w:val="superscript"/>
              </w:rPr>
              <w:t>(2)</w:t>
            </w:r>
          </w:p>
        </w:tc>
        <w:tc>
          <w:tcPr>
            <w:tcW w:w="0" w:type="dxa"/>
            <w:vAlign w:val="bottom"/>
          </w:tcPr>
          <w:p>
            <w:pPr>
              <w:spacing w:after="0"/>
              <w:rPr>
                <w:sz w:val="1"/>
                <w:szCs w:val="1"/>
                <w:color w:val="auto"/>
              </w:rPr>
            </w:pPr>
          </w:p>
        </w:tc>
      </w:tr>
      <w:tr>
        <w:trPr>
          <w:trHeight w:val="207"/>
        </w:trPr>
        <w:tc>
          <w:tcPr>
            <w:tcW w:w="388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center"/>
              <w:ind w:right="380"/>
              <w:spacing w:after="0" w:line="207" w:lineRule="exact"/>
              <w:rPr>
                <w:sz w:val="20"/>
                <w:szCs w:val="20"/>
                <w:color w:val="auto"/>
              </w:rPr>
            </w:pPr>
            <w:r>
              <w:rPr>
                <w:rFonts w:ascii="Times New Roman" w:cs="Times New Roman" w:eastAsia="Times New Roman" w:hAnsi="Times New Roman"/>
                <w:sz w:val="16"/>
                <w:szCs w:val="16"/>
                <w:b w:val="1"/>
                <w:bCs w:val="1"/>
                <w:color w:val="auto"/>
                <w:w w:val="90"/>
              </w:rPr>
              <w:t xml:space="preserve">Price </w:t>
            </w:r>
            <w:r>
              <w:rPr>
                <w:rFonts w:ascii="Times New Roman" w:cs="Times New Roman" w:eastAsia="Times New Roman" w:hAnsi="Times New Roman"/>
                <w:sz w:val="20"/>
                <w:szCs w:val="20"/>
                <w:b w:val="1"/>
                <w:bCs w:val="1"/>
                <w:color w:val="auto"/>
                <w:w w:val="90"/>
                <w:vertAlign w:val="superscript"/>
              </w:rPr>
              <w:t>(1)</w:t>
            </w:r>
          </w:p>
        </w:tc>
        <w:tc>
          <w:tcPr>
            <w:tcW w:w="18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60" w:type="dxa"/>
            <w:vAlign w:val="bottom"/>
            <w:tcBorders>
              <w:top w:val="single" w:sz="8" w:color="auto"/>
            </w:tcBorders>
            <w:shd w:val="clear" w:color="auto" w:fill="CCEEFF"/>
          </w:tcPr>
          <w:p>
            <w:pPr>
              <w:ind w:left="20"/>
              <w:spacing w:after="0" w:line="200" w:lineRule="exact"/>
              <w:rPr>
                <w:sz w:val="20"/>
                <w:szCs w:val="20"/>
                <w:color w:val="auto"/>
              </w:rPr>
            </w:pPr>
            <w:r>
              <w:rPr>
                <w:rFonts w:ascii="Times New Roman" w:cs="Times New Roman" w:eastAsia="Times New Roman" w:hAnsi="Times New Roman"/>
                <w:sz w:val="16"/>
                <w:szCs w:val="16"/>
                <w:color w:val="auto"/>
              </w:rPr>
              <w:t>Palantir Technologies, Inc.</w:t>
            </w:r>
            <w:r>
              <w:rPr>
                <w:rFonts w:ascii="Times New Roman" w:cs="Times New Roman" w:eastAsia="Times New Roman" w:hAnsi="Times New Roman"/>
                <w:sz w:val="20"/>
                <w:szCs w:val="20"/>
                <w:color w:val="auto"/>
                <w:vertAlign w:val="superscript"/>
              </w:rPr>
              <w:t>(3)</w:t>
            </w: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Various</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4,618,952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123,419,184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110,544,068</w:t>
            </w:r>
          </w:p>
        </w:tc>
        <w:tc>
          <w:tcPr>
            <w:tcW w:w="0" w:type="dxa"/>
            <w:vAlign w:val="bottom"/>
          </w:tcPr>
          <w:p>
            <w:pPr>
              <w:spacing w:after="0"/>
              <w:rPr>
                <w:sz w:val="1"/>
                <w:szCs w:val="1"/>
                <w:color w:val="auto"/>
              </w:rPr>
            </w:pPr>
          </w:p>
        </w:tc>
      </w:tr>
      <w:tr>
        <w:trPr>
          <w:trHeight w:val="207"/>
        </w:trPr>
        <w:tc>
          <w:tcPr>
            <w:tcW w:w="388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Palantir Lending Trust SPV I</w:t>
            </w:r>
            <w:r>
              <w:rPr>
                <w:rFonts w:ascii="Times New Roman" w:cs="Times New Roman" w:eastAsia="Times New Roman" w:hAnsi="Times New Roman"/>
                <w:sz w:val="20"/>
                <w:szCs w:val="20"/>
                <w:color w:val="auto"/>
                <w:vertAlign w:val="superscript"/>
              </w:rPr>
              <w:t>(4)</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4"/>
              </w:rPr>
              <w:t>Various</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Pr>
          <w:p>
            <w:pPr>
              <w:spacing w:after="0"/>
              <w:rPr>
                <w:sz w:val="17"/>
                <w:szCs w:val="17"/>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1,608,604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1,608,604</w:t>
            </w:r>
          </w:p>
        </w:tc>
        <w:tc>
          <w:tcPr>
            <w:tcW w:w="0" w:type="dxa"/>
            <w:vAlign w:val="bottom"/>
          </w:tcPr>
          <w:p>
            <w:pPr>
              <w:spacing w:after="0"/>
              <w:rPr>
                <w:sz w:val="1"/>
                <w:szCs w:val="1"/>
                <w:color w:val="auto"/>
              </w:rPr>
            </w:pPr>
          </w:p>
        </w:tc>
      </w:tr>
      <w:tr>
        <w:trPr>
          <w:trHeight w:val="207"/>
        </w:trPr>
        <w:tc>
          <w:tcPr>
            <w:tcW w:w="388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Residential Homes for Rent, LLC (d/b/a Second Avenue)</w:t>
            </w:r>
            <w:r>
              <w:rPr>
                <w:rFonts w:ascii="Times New Roman" w:cs="Times New Roman" w:eastAsia="Times New Roman" w:hAnsi="Times New Roman"/>
                <w:sz w:val="20"/>
                <w:szCs w:val="20"/>
                <w:color w:val="auto"/>
                <w:vertAlign w:val="superscript"/>
              </w:rPr>
              <w:t>(5)</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4"/>
              </w:rPr>
              <w:t>Various</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359,479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3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125,387,267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112,152,672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w:t>
      </w:r>
    </w:p>
    <w:p>
      <w:pPr>
        <w:spacing w:after="0" w:line="22" w:lineRule="exact"/>
        <w:rPr>
          <w:sz w:val="20"/>
          <w:szCs w:val="20"/>
          <w:color w:val="auto"/>
        </w:rPr>
      </w:pPr>
    </w:p>
    <w:p>
      <w:pPr>
        <w:ind w:left="460" w:hanging="457"/>
        <w:spacing w:after="0"/>
        <w:tabs>
          <w:tab w:leader="none" w:pos="4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net share price is the net share price realized after deducting all commissions and fees on the sale(s), if applicable.</w:t>
      </w:r>
    </w:p>
    <w:p>
      <w:pPr>
        <w:spacing w:after="0" w:line="7"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gain does not include adjustments to amounts held in escrow receivable.</w:t>
      </w:r>
    </w:p>
    <w:p>
      <w:pPr>
        <w:spacing w:after="0" w:line="7"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4, 2021, all remaining shares of Palantir Technologies, Inc. held by us had been sold.</w:t>
      </w:r>
    </w:p>
    <w:p>
      <w:pPr>
        <w:spacing w:after="0" w:line="7" w:lineRule="exact"/>
        <w:rPr>
          <w:rFonts w:ascii="Times New Roman" w:cs="Times New Roman" w:eastAsia="Times New Roman" w:hAnsi="Times New Roman"/>
          <w:sz w:val="14"/>
          <w:szCs w:val="14"/>
          <w:color w:val="auto"/>
        </w:rPr>
      </w:pPr>
    </w:p>
    <w:p>
      <w:pPr>
        <w:jc w:val="both"/>
        <w:ind w:left="460" w:hanging="457"/>
        <w:spacing w:after="0" w:line="245" w:lineRule="auto"/>
        <w:tabs>
          <w:tab w:leader="none" w:pos="4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Palantir Lending Trust SPV I promissory note was initially collateralized with 2,260,000 Class A common shares of Palantir Technologies, Inc. to which SuRo Capital Corp. retains a beneficial equity upside interest. As of March 31, 2022, 512,290 Class A common shares remain in Palantir Lending Trust SPV I, none of which are subject to lock-up restrictions. The realized gain from SuRo Capital Corp.'s investment in Palantir Lending Trust SPV I is generated by the proceeds from the sale of a portion of the shares collateralizing the promissory note to Palantir Lending Trust SPV I and attributable to the Equity Participation in Underlying Collateral.</w:t>
      </w:r>
    </w:p>
    <w:p>
      <w:pPr>
        <w:spacing w:after="0" w:line="2" w:lineRule="exact"/>
        <w:rPr>
          <w:rFonts w:ascii="Times New Roman" w:cs="Times New Roman" w:eastAsia="Times New Roman" w:hAnsi="Times New Roman"/>
          <w:sz w:val="14"/>
          <w:szCs w:val="14"/>
          <w:color w:val="auto"/>
        </w:rPr>
      </w:pPr>
    </w:p>
    <w:p>
      <w:pPr>
        <w:ind w:left="460" w:hanging="457"/>
        <w:spacing w:after="0" w:line="249" w:lineRule="auto"/>
        <w:tabs>
          <w:tab w:leader="none" w:pos="4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2021, approximately $0.4 million had been received from Residential Homes for Rent, LLC (d/b/a Second Avenue) related to the 15% term loan due December 23, 2023. Of the proceeds received, approximately $0.3 million repaid a portion of the outstanding principal and approximately $0.1 million was attributed to interest.</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During the three months ended March 31, 2021, we did not write-off any investments.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40"/>
        </w:trPr>
        <w:tc>
          <w:tcPr>
            <w:tcW w:w="79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March 31, 2022 and 2021</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40"/>
        </w:trPr>
        <w:tc>
          <w:tcPr>
            <w:tcW w:w="7900" w:type="dxa"/>
            <w:vAlign w:val="bottom"/>
          </w:tcPr>
          <w:p>
            <w:pPr>
              <w:spacing w:after="0"/>
              <w:rPr>
                <w:sz w:val="20"/>
                <w:szCs w:val="20"/>
                <w:color w:val="auto"/>
              </w:rPr>
            </w:pPr>
            <w:r>
              <w:rPr>
                <w:rFonts w:ascii="Times New Roman" w:cs="Times New Roman" w:eastAsia="Times New Roman" w:hAnsi="Times New Roman"/>
                <w:sz w:val="17"/>
                <w:szCs w:val="17"/>
                <w:color w:val="auto"/>
              </w:rPr>
              <w:t>Operating results for the three months ended March 31, 2022 and 2021 are as follows:</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8"/>
        </w:trPr>
        <w:tc>
          <w:tcPr>
            <w:tcW w:w="7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gridSpan w:val="4"/>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7"/>
        </w:trPr>
        <w:tc>
          <w:tcPr>
            <w:tcW w:w="7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Investment Income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583,100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291,352</w:t>
            </w: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452,455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166,845</w:t>
            </w:r>
          </w:p>
        </w:tc>
      </w:tr>
      <w:tr>
        <w:trPr>
          <w:trHeight w:val="22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income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124,507</w:t>
            </w: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4,807,805</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3,125,670</w:t>
            </w:r>
          </w:p>
        </w:tc>
      </w:tr>
      <w:tr>
        <w:trPr>
          <w:trHeight w:val="22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 expense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1,860,702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1,293,310</w:t>
            </w: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Directors’ fees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111,250</w:t>
            </w:r>
          </w:p>
        </w:tc>
      </w:tr>
      <w:tr>
        <w:trPr>
          <w:trHeight w:val="22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 fees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1,272,713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973,159</w:t>
            </w: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1,200,786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504,793</w:t>
            </w:r>
          </w:p>
        </w:tc>
      </w:tr>
      <w:tr>
        <w:trPr>
          <w:trHeight w:val="22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expense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expenses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310,989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241,133</w:t>
            </w:r>
          </w:p>
        </w:tc>
      </w:tr>
      <w:tr>
        <w:trPr>
          <w:trHeight w:val="22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Investment Loss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(4,224,705)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(2,834,318)</w:t>
            </w: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realized gain on investments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3,096,275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112,152,518</w:t>
            </w:r>
          </w:p>
        </w:tc>
      </w:tr>
      <w:tr>
        <w:trPr>
          <w:trHeight w:val="22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change in unrealized appreciation/(depreciation) of investments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21,584,885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(1,315,837)</w:t>
            </w:r>
          </w:p>
        </w:tc>
      </w:tr>
      <w:tr>
        <w:trPr>
          <w:trHeight w:val="228"/>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in Net Assets Resulting from Operations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20,456,455</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108,002,363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Income</w:t>
      </w:r>
    </w:p>
    <w:p>
      <w:pPr>
        <w:spacing w:after="0" w:line="248"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Investment income increased to $583,100 for the three months ended March 31, 2022 from $291,352 for the three months ended March 31, 2021. The net increase between periods was due to an increase in interest income from Architect Capital PayJoy SPV, LLC. The increase was offset by a decrease in interest income from Residential Homes for Rent, LLC (d/b/a Second Avenue) and a decrease in dividend income from GreenAcreage Real Estate Investment Trust, Inc. during the three months ended March 31, 2022, relative to the three months ended March 31,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48"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Total operating expenses increased to $4,807,805 for the three months ended March 31, 2022 from $3,125,670 for the three months ended March 31, 2021. The increase in operating expense was primarily due to an increase in compensation expense, interest expense, professional fees, and other expenses during the three months ended March 31, 2022, relative to the three months ended March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Investment Loss</w:t>
      </w:r>
    </w:p>
    <w:p>
      <w:pPr>
        <w:spacing w:after="0" w:line="248"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For the three months ended March 31, 2022, we recognized a net investment loss of $4,224,705, compared to a net investment loss of $2,834,318 for the three months ended March 31, 2021. The change between periods resulted from the increase in operating expenses between periods during the three months ended March 31, 2022, relative to the three months ended March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Realized Gain on Investments</w:t>
      </w:r>
    </w:p>
    <w:p>
      <w:pPr>
        <w:spacing w:after="0" w:line="248"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For the three months ended March 31, 2022, we recognized a net realized gain on our investments of $3,096,275, compared to a net realized gain of $112,152,518 for the three months ended March 31, 2021. The components of our net realized gains on portfolio investments for the three months ended March 31, 2022 and 2021, excluding U.S. Treasury investments and fluctuations in escrow receivables estimates, are reflected in the tables above, under “—Portfolio and Investment Activity.”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Change in Unrealized Appreciation/(Depreciation) of Investments</w:t>
      </w:r>
    </w:p>
    <w:p>
      <w:pPr>
        <w:spacing w:after="0" w:line="2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For the three months ended March 31, 2022 and 2021, we had a net change in unrealized appreciation/(depreciation) of $21,584,885 and $(1,315,837), respectively. The following tables summarize, by portfolio company, the significant changes in unrealized appreciation/(depreciation) of our investment portfolio for the three months ended March 31, 2022 and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8"/>
              </w:rPr>
              <w:t>Net Change in Unrealized</w:t>
            </w:r>
          </w:p>
        </w:tc>
        <w:tc>
          <w:tcPr>
            <w:tcW w:w="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8"/>
              </w:rPr>
              <w:t>Net Change in Unrealized</w:t>
            </w: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Appreciation/(Depreciation)</w:t>
            </w:r>
          </w:p>
        </w:tc>
        <w:tc>
          <w:tcPr>
            <w:tcW w:w="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Appreciation/(Depreciation)</w:t>
            </w:r>
          </w:p>
        </w:tc>
        <w:tc>
          <w:tcPr>
            <w:tcW w:w="0" w:type="dxa"/>
            <w:vAlign w:val="bottom"/>
          </w:tcPr>
          <w:p>
            <w:pPr>
              <w:spacing w:after="0"/>
              <w:rPr>
                <w:sz w:val="1"/>
                <w:szCs w:val="1"/>
                <w:color w:val="auto"/>
              </w:rPr>
            </w:pPr>
          </w:p>
        </w:tc>
      </w:tr>
      <w:tr>
        <w:trPr>
          <w:trHeight w:val="142"/>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tcPr>
          <w:p>
            <w:pPr>
              <w:spacing w:after="0"/>
              <w:rPr>
                <w:sz w:val="12"/>
                <w:szCs w:val="12"/>
                <w:color w:val="auto"/>
              </w:rPr>
            </w:pPr>
          </w:p>
        </w:tc>
        <w:tc>
          <w:tcPr>
            <w:tcW w:w="1680" w:type="dxa"/>
            <w:vAlign w:val="bottom"/>
          </w:tcPr>
          <w:p>
            <w:pPr>
              <w:jc w:val="center"/>
              <w:ind w:right="44"/>
              <w:spacing w:after="0" w:line="143" w:lineRule="exact"/>
              <w:rPr>
                <w:sz w:val="20"/>
                <w:szCs w:val="20"/>
                <w:color w:val="auto"/>
              </w:rPr>
            </w:pPr>
            <w:r>
              <w:rPr>
                <w:rFonts w:ascii="Times New Roman" w:cs="Times New Roman" w:eastAsia="Times New Roman" w:hAnsi="Times New Roman"/>
                <w:sz w:val="14"/>
                <w:szCs w:val="14"/>
                <w:b w:val="1"/>
                <w:bCs w:val="1"/>
                <w:color w:val="auto"/>
                <w:w w:val="97"/>
              </w:rPr>
              <w:t>For the Quarter Ended</w:t>
            </w:r>
          </w:p>
        </w:tc>
        <w:tc>
          <w:tcPr>
            <w:tcW w:w="80" w:type="dxa"/>
            <w:vAlign w:val="bottom"/>
          </w:tcPr>
          <w:p>
            <w:pPr>
              <w:spacing w:after="0"/>
              <w:rPr>
                <w:sz w:val="12"/>
                <w:szCs w:val="12"/>
                <w:color w:val="auto"/>
              </w:rPr>
            </w:pPr>
          </w:p>
        </w:tc>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tcPr>
          <w:p>
            <w:pPr>
              <w:spacing w:after="0"/>
              <w:rPr>
                <w:sz w:val="12"/>
                <w:szCs w:val="12"/>
                <w:color w:val="auto"/>
              </w:rPr>
            </w:pPr>
          </w:p>
        </w:tc>
        <w:tc>
          <w:tcPr>
            <w:tcW w:w="1660" w:type="dxa"/>
            <w:vAlign w:val="bottom"/>
          </w:tcPr>
          <w:p>
            <w:pPr>
              <w:jc w:val="center"/>
              <w:ind w:right="44"/>
              <w:spacing w:after="0" w:line="143" w:lineRule="exact"/>
              <w:rPr>
                <w:sz w:val="20"/>
                <w:szCs w:val="20"/>
                <w:color w:val="auto"/>
              </w:rPr>
            </w:pPr>
            <w:r>
              <w:rPr>
                <w:rFonts w:ascii="Times New Roman" w:cs="Times New Roman" w:eastAsia="Times New Roman" w:hAnsi="Times New Roman"/>
                <w:sz w:val="14"/>
                <w:szCs w:val="14"/>
                <w:b w:val="1"/>
                <w:bCs w:val="1"/>
                <w:color w:val="auto"/>
                <w:w w:val="99"/>
              </w:rPr>
              <w:t>For the Quarter Ended</w:t>
            </w:r>
          </w:p>
        </w:tc>
        <w:tc>
          <w:tcPr>
            <w:tcW w:w="0" w:type="dxa"/>
            <w:vAlign w:val="bottom"/>
          </w:tcPr>
          <w:p>
            <w:pPr>
              <w:spacing w:after="0"/>
              <w:rPr>
                <w:sz w:val="1"/>
                <w:szCs w:val="1"/>
                <w:color w:val="auto"/>
              </w:rPr>
            </w:pPr>
          </w:p>
        </w:tc>
      </w:tr>
      <w:tr>
        <w:trPr>
          <w:trHeight w:val="183"/>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8"/>
              </w:rPr>
              <w:t>March 31, 2022</w:t>
            </w:r>
          </w:p>
        </w:tc>
        <w:tc>
          <w:tcPr>
            <w:tcW w:w="80" w:type="dxa"/>
            <w:vAlign w:val="bottom"/>
          </w:tcPr>
          <w:p>
            <w:pPr>
              <w:spacing w:after="0"/>
              <w:rPr>
                <w:sz w:val="15"/>
                <w:szCs w:val="15"/>
                <w:color w:val="auto"/>
              </w:rPr>
            </w:pPr>
          </w:p>
        </w:tc>
        <w:tc>
          <w:tcPr>
            <w:tcW w:w="3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6"/>
              </w:rPr>
              <w:t>March 31, 2021</w:t>
            </w:r>
          </w:p>
        </w:tc>
        <w:tc>
          <w:tcPr>
            <w:tcW w:w="0" w:type="dxa"/>
            <w:vAlign w:val="bottom"/>
          </w:tcPr>
          <w:p>
            <w:pPr>
              <w:spacing w:after="0"/>
              <w:rPr>
                <w:sz w:val="1"/>
                <w:szCs w:val="1"/>
                <w:color w:val="auto"/>
              </w:rPr>
            </w:pPr>
          </w:p>
        </w:tc>
      </w:tr>
      <w:tr>
        <w:trPr>
          <w:trHeight w:val="23"/>
        </w:trPr>
        <w:tc>
          <w:tcPr>
            <w:tcW w:w="3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Forge Global, Inc.</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41,728,933</w:t>
            </w:r>
          </w:p>
        </w:tc>
        <w:tc>
          <w:tcPr>
            <w:tcW w:w="80" w:type="dxa"/>
            <w:vAlign w:val="bottom"/>
            <w:shd w:val="clear" w:color="auto" w:fill="CCEEFF"/>
          </w:tcPr>
          <w:p>
            <w:pPr>
              <w:spacing w:after="0"/>
              <w:rPr>
                <w:sz w:val="17"/>
                <w:szCs w:val="17"/>
                <w:color w:val="auto"/>
              </w:rPr>
            </w:pP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Coursera, Inc.</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73,516,484</w:t>
            </w:r>
          </w:p>
        </w:tc>
        <w:tc>
          <w:tcPr>
            <w:tcW w:w="0" w:type="dxa"/>
            <w:vAlign w:val="bottom"/>
          </w:tcPr>
          <w:p>
            <w:pPr>
              <w:spacing w:after="0"/>
              <w:rPr>
                <w:sz w:val="1"/>
                <w:szCs w:val="1"/>
                <w:color w:val="auto"/>
              </w:rPr>
            </w:pPr>
          </w:p>
        </w:tc>
      </w:tr>
      <w:tr>
        <w:trPr>
          <w:trHeight w:val="20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True Global Ventures 4 Plus Fund Pte Ltd</w:t>
            </w:r>
          </w:p>
        </w:tc>
        <w:tc>
          <w:tcPr>
            <w:tcW w:w="12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3,267,828</w:t>
            </w:r>
          </w:p>
        </w:tc>
        <w:tc>
          <w:tcPr>
            <w:tcW w:w="80" w:type="dxa"/>
            <w:vAlign w:val="bottom"/>
          </w:tcPr>
          <w:p>
            <w:pPr>
              <w:spacing w:after="0"/>
              <w:rPr>
                <w:sz w:val="17"/>
                <w:szCs w:val="17"/>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Nextdoor.com, Inc.</w:t>
            </w: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5,081,591</w:t>
            </w:r>
          </w:p>
        </w:tc>
        <w:tc>
          <w:tcPr>
            <w:tcW w:w="0" w:type="dxa"/>
            <w:vAlign w:val="bottom"/>
          </w:tcPr>
          <w:p>
            <w:pPr>
              <w:spacing w:after="0"/>
              <w:rPr>
                <w:sz w:val="1"/>
                <w:szCs w:val="1"/>
                <w:color w:val="auto"/>
              </w:rPr>
            </w:pPr>
          </w:p>
        </w:tc>
      </w:tr>
      <w:tr>
        <w:trPr>
          <w:trHeight w:val="158"/>
        </w:trPr>
        <w:tc>
          <w:tcPr>
            <w:tcW w:w="376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NewLake Capital Partners, Inc. (f/k/a GreenAcreage Real</w:t>
            </w:r>
          </w:p>
        </w:tc>
        <w:tc>
          <w:tcPr>
            <w:tcW w:w="120" w:type="dxa"/>
            <w:vAlign w:val="bottom"/>
            <w:shd w:val="clear" w:color="auto" w:fill="CCEEFF"/>
          </w:tcPr>
          <w:p>
            <w:pPr>
              <w:spacing w:after="0"/>
              <w:rPr>
                <w:sz w:val="13"/>
                <w:szCs w:val="13"/>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(1,161,292)</w:t>
            </w:r>
          </w:p>
        </w:tc>
        <w:tc>
          <w:tcPr>
            <w:tcW w:w="80" w:type="dxa"/>
            <w:vAlign w:val="bottom"/>
            <w:shd w:val="clear" w:color="auto" w:fill="CCEEFF"/>
          </w:tcPr>
          <w:p>
            <w:pPr>
              <w:spacing w:after="0"/>
              <w:rPr>
                <w:sz w:val="13"/>
                <w:szCs w:val="13"/>
                <w:color w:val="auto"/>
              </w:rPr>
            </w:pPr>
          </w:p>
        </w:tc>
        <w:tc>
          <w:tcPr>
            <w:tcW w:w="3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 Place for Rover Inc. (f/k/a DogVacay, Inc.)</w:t>
            </w:r>
          </w:p>
        </w:tc>
        <w:tc>
          <w:tcPr>
            <w:tcW w:w="120" w:type="dxa"/>
            <w:vAlign w:val="bottom"/>
            <w:shd w:val="clear" w:color="auto" w:fill="CCEEFF"/>
          </w:tcPr>
          <w:p>
            <w:pPr>
              <w:spacing w:after="0"/>
              <w:rPr>
                <w:sz w:val="13"/>
                <w:szCs w:val="13"/>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3,941,249</w:t>
            </w:r>
          </w:p>
        </w:tc>
        <w:tc>
          <w:tcPr>
            <w:tcW w:w="0" w:type="dxa"/>
            <w:vAlign w:val="bottom"/>
          </w:tcPr>
          <w:p>
            <w:pPr>
              <w:spacing w:after="0"/>
              <w:rPr>
                <w:sz w:val="1"/>
                <w:szCs w:val="1"/>
                <w:color w:val="auto"/>
              </w:rPr>
            </w:pPr>
          </w:p>
        </w:tc>
      </w:tr>
      <w:tr>
        <w:trPr>
          <w:trHeight w:val="207"/>
        </w:trPr>
        <w:tc>
          <w:tcPr>
            <w:tcW w:w="376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Estate Corp.)</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Trax Ltd.</w:t>
            </w: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(1,600,177)</w:t>
            </w:r>
          </w:p>
        </w:tc>
        <w:tc>
          <w:tcPr>
            <w:tcW w:w="80" w:type="dxa"/>
            <w:vAlign w:val="bottom"/>
          </w:tcPr>
          <w:p>
            <w:pPr>
              <w:spacing w:after="0"/>
              <w:rPr>
                <w:sz w:val="17"/>
                <w:szCs w:val="17"/>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Ozy Media, Inc.</w:t>
            </w: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1,391,903</w:t>
            </w:r>
          </w:p>
        </w:tc>
        <w:tc>
          <w:tcPr>
            <w:tcW w:w="0" w:type="dxa"/>
            <w:vAlign w:val="bottom"/>
          </w:tcPr>
          <w:p>
            <w:pPr>
              <w:spacing w:after="0"/>
              <w:rPr>
                <w:sz w:val="1"/>
                <w:szCs w:val="1"/>
                <w:color w:val="auto"/>
              </w:rPr>
            </w:pPr>
          </w:p>
        </w:tc>
      </w:tr>
      <w:tr>
        <w:trPr>
          <w:trHeight w:val="20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Nextdoor, Inc.</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(2,452,786)</w:t>
            </w:r>
          </w:p>
        </w:tc>
        <w:tc>
          <w:tcPr>
            <w:tcW w:w="8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Aventine Property Group, Inc.</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1,293,674</w:t>
            </w:r>
          </w:p>
        </w:tc>
        <w:tc>
          <w:tcPr>
            <w:tcW w:w="0" w:type="dxa"/>
            <w:vAlign w:val="bottom"/>
          </w:tcPr>
          <w:p>
            <w:pPr>
              <w:spacing w:after="0"/>
              <w:rPr>
                <w:sz w:val="1"/>
                <w:szCs w:val="1"/>
                <w:color w:val="auto"/>
              </w:rPr>
            </w:pPr>
          </w:p>
        </w:tc>
      </w:tr>
      <w:tr>
        <w:trPr>
          <w:trHeight w:val="207"/>
        </w:trPr>
        <w:tc>
          <w:tcPr>
            <w:tcW w:w="37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Rover Group, Inc.</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(3,028,901)</w:t>
            </w:r>
          </w:p>
        </w:tc>
        <w:tc>
          <w:tcPr>
            <w:tcW w:w="80" w:type="dxa"/>
            <w:vAlign w:val="bottom"/>
          </w:tcPr>
          <w:p>
            <w:pPr>
              <w:spacing w:after="0"/>
              <w:rPr>
                <w:sz w:val="17"/>
                <w:szCs w:val="17"/>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Enjoy Technology, Inc.</w:t>
            </w: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(2,434,915)</w:t>
            </w:r>
          </w:p>
        </w:tc>
        <w:tc>
          <w:tcPr>
            <w:tcW w:w="0" w:type="dxa"/>
            <w:vAlign w:val="bottom"/>
          </w:tcPr>
          <w:p>
            <w:pPr>
              <w:spacing w:after="0"/>
              <w:rPr>
                <w:sz w:val="1"/>
                <w:szCs w:val="1"/>
                <w:color w:val="auto"/>
              </w:rPr>
            </w:pPr>
          </w:p>
        </w:tc>
      </w:tr>
      <w:tr>
        <w:trPr>
          <w:trHeight w:val="207"/>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Skillsoft Corp.</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(3,053,532)</w:t>
            </w:r>
          </w:p>
        </w:tc>
        <w:tc>
          <w:tcPr>
            <w:tcW w:w="80" w:type="dxa"/>
            <w:vAlign w:val="bottom"/>
            <w:shd w:val="clear" w:color="auto" w:fill="CCEEFF"/>
          </w:tcPr>
          <w:p>
            <w:pPr>
              <w:spacing w:after="0"/>
              <w:rPr>
                <w:sz w:val="17"/>
                <w:szCs w:val="17"/>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Course Hero, Inc.</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(2,548,258)</w:t>
            </w:r>
          </w:p>
        </w:tc>
        <w:tc>
          <w:tcPr>
            <w:tcW w:w="0" w:type="dxa"/>
            <w:vAlign w:val="bottom"/>
          </w:tcPr>
          <w:p>
            <w:pPr>
              <w:spacing w:after="0"/>
              <w:rPr>
                <w:sz w:val="1"/>
                <w:szCs w:val="1"/>
                <w:color w:val="auto"/>
              </w:rPr>
            </w:pPr>
          </w:p>
        </w:tc>
      </w:tr>
      <w:tr>
        <w:trPr>
          <w:trHeight w:val="207"/>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Course Hero, Inc.</w:t>
            </w: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(11,030,543)</w:t>
            </w:r>
          </w:p>
        </w:tc>
        <w:tc>
          <w:tcPr>
            <w:tcW w:w="80" w:type="dxa"/>
            <w:vAlign w:val="bottom"/>
          </w:tcPr>
          <w:p>
            <w:pPr>
              <w:spacing w:after="0"/>
              <w:rPr>
                <w:sz w:val="17"/>
                <w:szCs w:val="17"/>
                <w:color w:val="auto"/>
              </w:rPr>
            </w:pPr>
          </w:p>
        </w:tc>
        <w:tc>
          <w:tcPr>
            <w:tcW w:w="3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Palantir Technologies, Inc.</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(81,760,272)</w:t>
            </w:r>
          </w:p>
        </w:tc>
        <w:tc>
          <w:tcPr>
            <w:tcW w:w="0" w:type="dxa"/>
            <w:vAlign w:val="bottom"/>
          </w:tcPr>
          <w:p>
            <w:pPr>
              <w:spacing w:after="0"/>
              <w:rPr>
                <w:sz w:val="1"/>
                <w:szCs w:val="1"/>
                <w:color w:val="auto"/>
              </w:rPr>
            </w:pPr>
          </w:p>
        </w:tc>
      </w:tr>
      <w:tr>
        <w:trPr>
          <w:trHeight w:val="207"/>
        </w:trPr>
        <w:tc>
          <w:tcPr>
            <w:tcW w:w="376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0"/>
                <w:szCs w:val="20"/>
                <w:color w:val="auto"/>
                <w:vertAlign w:val="superscript"/>
              </w:rPr>
              <w:t>(2)</w:t>
            </w:r>
          </w:p>
        </w:tc>
        <w:tc>
          <w:tcPr>
            <w:tcW w:w="1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(1,084,645)</w:t>
            </w:r>
          </w:p>
        </w:tc>
        <w:tc>
          <w:tcPr>
            <w:tcW w:w="80" w:type="dxa"/>
            <w:vAlign w:val="bottom"/>
            <w:shd w:val="clear" w:color="auto" w:fill="CCEEFF"/>
          </w:tcPr>
          <w:p>
            <w:pPr>
              <w:spacing w:after="0"/>
              <w:rPr>
                <w:sz w:val="17"/>
                <w:szCs w:val="17"/>
                <w:color w:val="auto"/>
              </w:rPr>
            </w:pPr>
          </w:p>
        </w:tc>
        <w:tc>
          <w:tcPr>
            <w:tcW w:w="382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0"/>
                <w:szCs w:val="20"/>
                <w:color w:val="auto"/>
                <w:vertAlign w:val="superscript"/>
              </w:rPr>
              <w:t>(2)</w:t>
            </w:r>
          </w:p>
        </w:tc>
        <w:tc>
          <w:tcPr>
            <w:tcW w:w="1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202,707</w:t>
            </w:r>
          </w:p>
        </w:tc>
        <w:tc>
          <w:tcPr>
            <w:tcW w:w="0" w:type="dxa"/>
            <w:vAlign w:val="bottom"/>
          </w:tcPr>
          <w:p>
            <w:pPr>
              <w:spacing w:after="0"/>
              <w:rPr>
                <w:sz w:val="1"/>
                <w:szCs w:val="1"/>
                <w:color w:val="auto"/>
              </w:rPr>
            </w:pPr>
          </w:p>
        </w:tc>
      </w:tr>
      <w:tr>
        <w:trPr>
          <w:trHeight w:val="20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21,584,885</w:t>
            </w:r>
          </w:p>
        </w:tc>
        <w:tc>
          <w:tcPr>
            <w:tcW w:w="80" w:type="dxa"/>
            <w:vAlign w:val="bottom"/>
          </w:tcPr>
          <w:p>
            <w:pPr>
              <w:spacing w:after="0"/>
              <w:rPr>
                <w:sz w:val="17"/>
                <w:szCs w:val="17"/>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(1,315,837)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w:t>
      </w:r>
    </w:p>
    <w:p>
      <w:pPr>
        <w:spacing w:after="0" w:line="30" w:lineRule="exact"/>
        <w:rPr>
          <w:sz w:val="20"/>
          <w:szCs w:val="20"/>
          <w:color w:val="auto"/>
        </w:rPr>
      </w:pPr>
    </w:p>
    <w:p>
      <w:pPr>
        <w:ind w:left="460" w:hanging="457"/>
        <w:spacing w:after="0" w:line="247" w:lineRule="auto"/>
        <w:tabs>
          <w:tab w:leader="none" w:pos="4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unrealized appreciation/(depreciation) reflected for these investments resulted in full or in part from the full or partial exit of the investment, which resulted in the reversal of previously accrued unrealized appreciation/(depreciation), as applicable.</w:t>
      </w:r>
    </w:p>
    <w:p>
      <w:pPr>
        <w:ind w:left="460" w:hanging="457"/>
        <w:spacing w:after="0" w:line="238" w:lineRule="auto"/>
        <w:tabs>
          <w:tab w:leader="none" w:pos="4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represents investments (including U.S. Treasury bills) for which individual change in unrealized appreciation/(depreciation) was less than $1.0 million for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Portfolio Activity</w:t>
      </w:r>
    </w:p>
    <w:p>
      <w:pPr>
        <w:spacing w:after="0" w:line="248"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Please refer to “Note 12—Subsequent Events” to our condensed consolidated financial statements as of March 31, 2022 for details regarding activity in our investment portfolio from April 1, 2022 through May 4, 2022.</w:t>
      </w:r>
    </w:p>
    <w:p>
      <w:pPr>
        <w:spacing w:after="0" w:line="173"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48"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From April 1, 2022 through May 4, 2022, the Company repurchased 431,134 additional shares under the Share Repurchase Program for an aggregate purchase price of $3.7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COVID-19</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has been closely monitoring the COVID-19 pandemic, its broader impact on the global economy and the more recent impacts on the U.S. economy. Subsequent to March 31, 2022, the global outbreak of the COVID-19 pandemic, and the related effect on the U.S. and global economies, may have adverse consequences for the business operations of some of the Company’s portfolio companies and, as a result, may have adverse effects on the Company’s operations. The ultimate economic fallout from the pandemic, and the long-term impact on economies, markets, industries and individual issuers, remain uncertain. The operational and financial performance of the issuers of securities in which the Company invests depends on future developments, including the duration and spread of the crisis, and such uncertainty may in turn adversely affect the value and liquidity of the Company’s investments and negatively impact the Company’s performance.</w:t>
      </w:r>
    </w:p>
    <w:p>
      <w:pPr>
        <w:spacing w:after="0" w:line="19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As of May 4, 2022, there is no indication of a reportable subsequent event impacting the Company’s financial statements for the three months ended March 31, 2022. The Company continues to observe and respond to the evolving COVID-19 environment and its potential impact on areas across its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6" w:lineRule="exact"/>
        <w:rPr>
          <w:sz w:val="20"/>
          <w:szCs w:val="20"/>
          <w:color w:val="auto"/>
        </w:rPr>
      </w:pPr>
    </w:p>
    <w:p>
      <w:pPr>
        <w:jc w:val="both"/>
        <w:ind w:firstLine="349"/>
        <w:spacing w:after="0" w:line="261" w:lineRule="auto"/>
        <w:rPr>
          <w:sz w:val="20"/>
          <w:szCs w:val="20"/>
          <w:color w:val="auto"/>
        </w:rPr>
      </w:pPr>
      <w:r>
        <w:rPr>
          <w:rFonts w:ascii="Times New Roman" w:cs="Times New Roman" w:eastAsia="Times New Roman" w:hAnsi="Times New Roman"/>
          <w:sz w:val="17"/>
          <w:szCs w:val="17"/>
          <w:color w:val="auto"/>
        </w:rPr>
        <w:t>Our liquidity and capital resources are generated primarily from the sales of our investments and the net proceeds from public offerings of our equity and debt securities, including pursuant to our continuous at-the-market offering of shares of our common stock as discussed below under "At-the-Market Offering". In addition, on March 28, 2018, we issued $40.0 million aggregate principal amount of 4.75% Convertible Senior Notes due 2023, the outstanding principal amount of which we redeemed in full on March 29, 2021. On December 17, 2021, we issued $75.0 million aggregate principal amount of 6.00% Notes due 2026, all of which remain outstanding. For additional information, see below and "Note 10—Debt Capital Activities” to our condensed consolidated financial statements as of March 31, 2022.</w:t>
      </w:r>
    </w:p>
    <w:p>
      <w:pPr>
        <w:spacing w:after="0" w:line="199" w:lineRule="exact"/>
        <w:rPr>
          <w:sz w:val="20"/>
          <w:szCs w:val="20"/>
          <w:color w:val="auto"/>
        </w:rPr>
      </w:pPr>
    </w:p>
    <w:p>
      <w:pPr>
        <w:jc w:val="both"/>
        <w:ind w:firstLine="349"/>
        <w:spacing w:after="0" w:line="291" w:lineRule="auto"/>
        <w:rPr>
          <w:sz w:val="20"/>
          <w:szCs w:val="20"/>
          <w:color w:val="auto"/>
        </w:rPr>
      </w:pPr>
      <w:r>
        <w:rPr>
          <w:rFonts w:ascii="Times New Roman" w:cs="Times New Roman" w:eastAsia="Times New Roman" w:hAnsi="Times New Roman"/>
          <w:sz w:val="17"/>
          <w:szCs w:val="17"/>
          <w:color w:val="auto"/>
        </w:rPr>
        <w:t>Our primary uses of cash are to make investments, pay our operating expenses, and make distributions to our stockholders. For the three months ended March 31, 2022 and 2021, our operating expenses were $4,807,805 and $3,125,670, respectively.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Reserves and Liquid Securities</w:t>
            </w:r>
          </w:p>
        </w:tc>
        <w:tc>
          <w:tcPr>
            <w:tcW w:w="280" w:type="dxa"/>
            <w:vAlign w:val="bottom"/>
          </w:tcPr>
          <w:p>
            <w:pPr>
              <w:spacing w:after="0"/>
              <w:rPr>
                <w:sz w:val="15"/>
                <w:szCs w:val="15"/>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5"/>
                <w:szCs w:val="15"/>
                <w:color w:val="auto"/>
              </w:rPr>
            </w:pPr>
          </w:p>
        </w:tc>
        <w:tc>
          <w:tcPr>
            <w:tcW w:w="164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0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172,839,141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198,437,078</w:t>
            </w:r>
          </w:p>
        </w:tc>
      </w:tr>
      <w:tr>
        <w:trPr>
          <w:trHeight w:val="205"/>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Securities of publicly traded portfolio companies:</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9"/>
        </w:trPr>
        <w:tc>
          <w:tcPr>
            <w:tcW w:w="7400" w:type="dxa"/>
            <w:vAlign w:val="bottom"/>
            <w:gridSpan w:val="2"/>
            <w:shd w:val="clear" w:color="auto" w:fill="CCEEFF"/>
          </w:tcPr>
          <w:p>
            <w:pPr>
              <w:ind w:left="180"/>
              <w:spacing w:after="0" w:line="209" w:lineRule="exact"/>
              <w:rPr>
                <w:sz w:val="20"/>
                <w:szCs w:val="20"/>
                <w:color w:val="auto"/>
              </w:rPr>
            </w:pPr>
            <w:r>
              <w:rPr>
                <w:rFonts w:ascii="Times New Roman" w:cs="Times New Roman" w:eastAsia="Times New Roman" w:hAnsi="Times New Roman"/>
                <w:sz w:val="16"/>
                <w:szCs w:val="16"/>
                <w:color w:val="auto"/>
              </w:rPr>
              <w:t>Unrestricted securities</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16,799,132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400" w:type="dxa"/>
            <w:vAlign w:val="bottom"/>
            <w:tcBorders>
              <w:bottom w:val="single" w:sz="8" w:color="CCEEFF"/>
            </w:tcBorders>
            <w:gridSpan w:val="2"/>
          </w:tcPr>
          <w:p>
            <w:pPr>
              <w:ind w:left="180"/>
              <w:spacing w:after="0" w:line="207" w:lineRule="exact"/>
              <w:rPr>
                <w:sz w:val="20"/>
                <w:szCs w:val="20"/>
                <w:color w:val="auto"/>
              </w:rPr>
            </w:pPr>
            <w:r>
              <w:rPr>
                <w:rFonts w:ascii="Times New Roman" w:cs="Times New Roman" w:eastAsia="Times New Roman" w:hAnsi="Times New Roman"/>
                <w:sz w:val="16"/>
                <w:szCs w:val="16"/>
                <w:color w:val="auto"/>
              </w:rPr>
              <w:t>Subject to other sales restrictions</w:t>
            </w:r>
            <w:r>
              <w:rPr>
                <w:rFonts w:ascii="Times New Roman" w:cs="Times New Roman" w:eastAsia="Times New Roman" w:hAnsi="Times New Roman"/>
                <w:sz w:val="20"/>
                <w:szCs w:val="20"/>
                <w:color w:val="auto"/>
                <w:vertAlign w:val="superscript"/>
              </w:rPr>
              <w:t>(2)</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78,794,391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94,635,398</w:t>
            </w:r>
          </w:p>
        </w:tc>
      </w:tr>
      <w:tr>
        <w:trPr>
          <w:trHeight w:val="198"/>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of publicly traded portfolio companies</w:t>
            </w: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95,593,523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94,635,398</w:t>
            </w:r>
          </w:p>
        </w:tc>
      </w:tr>
      <w:tr>
        <w:trPr>
          <w:trHeight w:val="202"/>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Reserves and Liquid Securities</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268,432,664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293,072,476</w:t>
            </w:r>
          </w:p>
        </w:tc>
      </w:tr>
      <w:tr>
        <w:trPr>
          <w:trHeight w:val="20"/>
        </w:trPr>
        <w:tc>
          <w:tcPr>
            <w:tcW w:w="7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18" w:lineRule="exact"/>
        <w:rPr>
          <w:sz w:val="20"/>
          <w:szCs w:val="20"/>
          <w:color w:val="auto"/>
        </w:rPr>
      </w:pPr>
    </w:p>
    <w:p>
      <w:pPr>
        <w:ind w:left="460" w:hanging="457"/>
        <w:spacing w:after="0" w:line="243" w:lineRule="auto"/>
        <w:tabs>
          <w:tab w:leader="none" w:pos="45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"Unrestricted securities" represents common stock of our publicly traded companies that are not subject to any restrictions upon sale. We may incur losses if we liquidate these positions to pay operating expenses or fund new investments.</w:t>
      </w:r>
    </w:p>
    <w:p>
      <w:pPr>
        <w:ind w:left="460" w:hanging="457"/>
        <w:spacing w:after="0"/>
        <w:tabs>
          <w:tab w:leader="none" w:pos="4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 publicly traded portfolio companies "subject to other sales restrictions" represents common stock of our publicly traded companies that are subject to certain lock-up restrictions.</w:t>
      </w:r>
    </w:p>
    <w:p>
      <w:pPr>
        <w:spacing w:after="0" w:line="228"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During the three months ended March 31, 2022, cash decreased to $172,839,141 from $198,437,078 at the beginning of the year. The decrease in cash was primarily due to the payment of our dividends, interest on the 6.00% Notes due 2026, and to pay our operating expenses offset by proceeds from the sale of public investments and other investment income received.</w:t>
      </w:r>
    </w:p>
    <w:p>
      <w:pPr>
        <w:spacing w:after="0" w:line="1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Currently, we believe we have ample liquidity to support our near-term capital requirements. As the impact of the COVID-19 continues to unfold and consistent with past and current practices, we will continue to evaluate our overall liquidity position and take proactive steps to maintain the appropriate liquidity position based upon the current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Contractual Obligations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our significant contractual payment obligations as of March 31, 2022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 xml:space="preserve">Payments Due By Period </w:t>
            </w:r>
            <w:r>
              <w:rPr>
                <w:rFonts w:ascii="Times New Roman" w:cs="Times New Roman" w:eastAsia="Times New Roman" w:hAnsi="Times New Roman"/>
                <w:sz w:val="16"/>
                <w:szCs w:val="16"/>
                <w:b w:val="1"/>
                <w:bCs w:val="1"/>
                <w:i w:val="1"/>
                <w:iCs w:val="1"/>
                <w:color w:val="auto"/>
                <w:w w:val="97"/>
              </w:rPr>
              <w:t>(in millions)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700" w:type="dxa"/>
            <w:vAlign w:val="bottom"/>
          </w:tcPr>
          <w:p>
            <w:pPr>
              <w:spacing w:after="0"/>
              <w:rPr>
                <w:sz w:val="13"/>
                <w:szCs w:val="13"/>
                <w:color w:val="auto"/>
              </w:rPr>
            </w:pPr>
          </w:p>
        </w:tc>
        <w:tc>
          <w:tcPr>
            <w:tcW w:w="98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line="152" w:lineRule="exact"/>
              <w:rPr>
                <w:sz w:val="20"/>
                <w:szCs w:val="20"/>
                <w:color w:val="auto"/>
              </w:rPr>
            </w:pPr>
            <w:r>
              <w:rPr>
                <w:rFonts w:ascii="Times New Roman" w:cs="Times New Roman" w:eastAsia="Times New Roman" w:hAnsi="Times New Roman"/>
                <w:sz w:val="16"/>
                <w:szCs w:val="16"/>
                <w:b w:val="1"/>
                <w:bCs w:val="1"/>
                <w:color w:val="auto"/>
                <w:w w:val="94"/>
              </w:rPr>
              <w:t>Less than</w:t>
            </w:r>
          </w:p>
        </w:tc>
        <w:tc>
          <w:tcPr>
            <w:tcW w:w="240" w:type="dxa"/>
            <w:vAlign w:val="bottom"/>
          </w:tcPr>
          <w:p>
            <w:pPr>
              <w:spacing w:after="0"/>
              <w:rPr>
                <w:sz w:val="13"/>
                <w:szCs w:val="13"/>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1–3 years</w:t>
            </w:r>
          </w:p>
        </w:tc>
        <w:tc>
          <w:tcPr>
            <w:tcW w:w="260" w:type="dxa"/>
            <w:vAlign w:val="bottom"/>
          </w:tcPr>
          <w:p>
            <w:pPr>
              <w:spacing w:after="0"/>
              <w:rPr>
                <w:sz w:val="13"/>
                <w:szCs w:val="13"/>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220" w:type="dxa"/>
            <w:vAlign w:val="bottom"/>
          </w:tcPr>
          <w:p>
            <w:pPr>
              <w:spacing w:after="0"/>
              <w:rPr>
                <w:sz w:val="13"/>
                <w:szCs w:val="13"/>
                <w:color w:val="auto"/>
              </w:rPr>
            </w:pPr>
          </w:p>
        </w:tc>
        <w:tc>
          <w:tcPr>
            <w:tcW w:w="1200" w:type="dxa"/>
            <w:vAlign w:val="bottom"/>
          </w:tcPr>
          <w:p>
            <w:pPr>
              <w:ind w:left="140"/>
              <w:spacing w:after="0" w:line="152" w:lineRule="exact"/>
              <w:rPr>
                <w:sz w:val="20"/>
                <w:szCs w:val="20"/>
                <w:color w:val="auto"/>
              </w:rPr>
            </w:pPr>
            <w:r>
              <w:rPr>
                <w:rFonts w:ascii="Times New Roman" w:cs="Times New Roman" w:eastAsia="Times New Roman" w:hAnsi="Times New Roman"/>
                <w:sz w:val="16"/>
                <w:szCs w:val="16"/>
                <w:b w:val="1"/>
                <w:bCs w:val="1"/>
                <w:color w:val="auto"/>
              </w:rPr>
              <w:t>More than</w:t>
            </w:r>
          </w:p>
        </w:tc>
        <w:tc>
          <w:tcPr>
            <w:tcW w:w="0" w:type="dxa"/>
            <w:vAlign w:val="bottom"/>
          </w:tcPr>
          <w:p>
            <w:pPr>
              <w:spacing w:after="0"/>
              <w:rPr>
                <w:sz w:val="1"/>
                <w:szCs w:val="1"/>
                <w:color w:val="auto"/>
              </w:rPr>
            </w:pPr>
          </w:p>
        </w:tc>
      </w:tr>
      <w:tr>
        <w:trPr>
          <w:trHeight w:val="206"/>
        </w:trPr>
        <w:tc>
          <w:tcPr>
            <w:tcW w:w="37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1 year</w:t>
            </w:r>
          </w:p>
        </w:tc>
        <w:tc>
          <w:tcPr>
            <w:tcW w:w="2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5 years</w:t>
            </w:r>
          </w:p>
        </w:tc>
        <w:tc>
          <w:tcPr>
            <w:tcW w:w="0" w:type="dxa"/>
            <w:vAlign w:val="bottom"/>
          </w:tcPr>
          <w:p>
            <w:pPr>
              <w:spacing w:after="0"/>
              <w:rPr>
                <w:sz w:val="1"/>
                <w:szCs w:val="1"/>
                <w:color w:val="auto"/>
              </w:rPr>
            </w:pPr>
          </w:p>
        </w:tc>
      </w:tr>
      <w:tr>
        <w:trPr>
          <w:trHeight w:val="201"/>
        </w:trPr>
        <w:tc>
          <w:tcPr>
            <w:tcW w:w="3700" w:type="dxa"/>
            <w:vAlign w:val="bottom"/>
            <w:tcBorders>
              <w:top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Notes</w:t>
            </w:r>
            <w:r>
              <w:rPr>
                <w:rFonts w:ascii="Times New Roman" w:cs="Times New Roman" w:eastAsia="Times New Roman" w:hAnsi="Times New Roman"/>
                <w:sz w:val="20"/>
                <w:szCs w:val="20"/>
                <w:color w:val="auto"/>
                <w:vertAlign w:val="superscript"/>
              </w:rPr>
              <w:t>(1)</w:t>
            </w:r>
          </w:p>
        </w:tc>
        <w:tc>
          <w:tcPr>
            <w:tcW w:w="980" w:type="dxa"/>
            <w:vAlign w:val="bottom"/>
            <w:tcBorders>
              <w:top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Payable for securities purchased</w:t>
            </w:r>
          </w:p>
        </w:tc>
        <w:tc>
          <w:tcPr>
            <w:tcW w:w="980" w:type="dxa"/>
            <w:vAlign w:val="bottom"/>
          </w:tcPr>
          <w:p>
            <w:pPr>
              <w:spacing w:after="0"/>
              <w:rPr>
                <w:sz w:val="17"/>
                <w:szCs w:val="17"/>
                <w:color w:val="auto"/>
              </w:rPr>
            </w:pP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Borders>
              <w:top w:val="single" w:sz="8" w:color="auto"/>
              <w:bottom w:val="single" w:sz="8" w:color="auto"/>
            </w:tcBorders>
          </w:tcPr>
          <w:p>
            <w:pPr>
              <w:jc w:val="right"/>
              <w:ind w:right="82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8" w:lineRule="exact"/>
        <w:rPr>
          <w:sz w:val="20"/>
          <w:szCs w:val="20"/>
          <w:color w:val="auto"/>
        </w:rPr>
      </w:pPr>
    </w:p>
    <w:p>
      <w:pPr>
        <w:ind w:left="460" w:hanging="457"/>
        <w:spacing w:after="0" w:line="256" w:lineRule="auto"/>
        <w:tabs>
          <w:tab w:leader="none" w:pos="45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shown for the "Notes" reflects the principal balance payable to investors for the 6.00% Notes due 2026 as of March 31, 2022. Refer to “Note 10—Debt Capital Activities” to our condensed consolidated financial statements as of March 31, 2022 for more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48"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During the three months ended March 31, 2022, the Company repurchased 153,517 shares of the Company's common stock under the Share Repurchase Program. During the three months ended March 31, 2021, the Company did not repurchase shares of common stock under the Share Repurchase Program. As of March 31, 2022, the dollar value of shares that remained available to be purchased by the Company under the Share Repurchase Program was approximately $23.3 million.</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For more information on the Share Repurchase Program, see "Part II, Item 5. Unregistered Sales of Equity Securities and Use of Proceeds" and “Note 5—Common Stock” to our condensed consolidated financial statements as of March 31,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As of March 31, 2022, we had no off-balance sheet arrangements, including any risk management of commodity pricing or other hedging practices.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However, we may employ hedging and other risk management techniques in the future.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Issuances &amp; Debt Capital Activities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At-the-Market Offering</w:t>
      </w:r>
    </w:p>
    <w:p>
      <w:pPr>
        <w:spacing w:after="0" w:line="2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 million in aggregate amount of shares of its common stock (the "Shares") from time to time through the Agents or to them as principal for their own account (the "ATM Program"). On September 23, 2020, the Company increased the maximum amount of Shares to be sold through the ATM Program to $150.0 million from $50.0 million. In connection with the upsize of the ATM Program to $150.0 million, the Company entered into the Amendment No. 1 to the At-the-Market Sales Agreement, dated September 23, 2020, with the Agents. The Company intends to use the net proceeds from the ATM Program to make investments in portfolio companies in accordance with its investment objective and strategy and for general corporate purposes.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During the three months ended March 31, 2022, the Company issued and sold 17,807 Shares under the ATM Program at a weighted-average price of $13.01 per share, for gross proceeds of $231,677 and net proceeds of $229,896, after deducting commissions to the Agents on Shares sold. As of March 31, 2022, up to approximately $98.8 million in aggregate amount of the Shares remain available for sale under the ATM Program. Refer to “Note 5—Common Stock” to our consolidated financial statements as of March 31, 2022 for more information regarding the ATM Program.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4.75% Convertible Senior Notes due 2023</w:t>
      </w:r>
    </w:p>
    <w:p>
      <w:pPr>
        <w:spacing w:after="0" w:line="2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March 28, 2018, we issued $40.0 million aggregate principal amount of 4.75% Convertible Senior Notes due 2023, which bore interest at a fixed rate of 4.75% per year, payable semi-annually in arrears on March 31 and September 30 of each year, commencing on September 30, 2018. We received approximately $38.2 million in proceeds from the offering, net of underwriting discounts and commissions and other offering expenses. The 4.75% Convertible Senior Notes due 2023 had a maturity date of March 28, 2023, unless previously repurchased or converted in accordance with their terms. We did not have the right to redeem the 4.75% Convertible Senior Notes due 2023 prior to March 27, 2021.</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March 29, 2021, the Company redeemed $0.3 million in aggregate principal amount of the 4.75% Convertible Senior Notes due 2023 at a redemption price equal to 100% of their principal amount ($1,000 per convertible note), plus accrued and unpaid interest thereon, which amounted to approximately $0.8 million. As a result of this redemption and prior conversions of the 4.75% Convertible Senior Notes due 2023 into shares of our common stock by the holders thereof, the 4.75% Convertible Senior Notes due 2023 were no longer outstanding as of March 29, 2021.</w:t>
      </w:r>
    </w:p>
    <w:p>
      <w:pPr>
        <w:spacing w:after="0" w:line="1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During the three months ended March 31, 2021, the Company issued 4,097,808 shares of its common stock and cash for fractional shares upon the conversion of approximately $37.9 million in aggregate principal amount of the 4.75% Convertible Senior Notes due 2023. The Company also redeemed approximately $0.3 million of aggregate principal amount for cash plus accrued and unpaid interest on March 29, 2021. During the year ended December 31, 2020, the Company issued 174,888 shares of its common stock and cash for fractional shares upon the conversion of $1,785,000 in aggregate principal amount of the 4.75% Convertible Senior Notes due 2023.</w:t>
      </w:r>
    </w:p>
    <w:p>
      <w:pPr>
        <w:spacing w:after="0" w:line="19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Refer to “Note 10—Debt Capital Activities” to our condensed consolidated financial statements as of March 31, 2022 for more information regarding the 4.75% Convertible Senior Notes due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6.00% Notes due 2026</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December 17, 2021, we issued $70.0 million aggregate principal amount of 6.00% Notes due 2026, which bear interest at a fixed rate of 6.00% per year, payable quarterly in arrears on March 31, June 30, September 30, and December 30 of each year, commencing on March 30, 2022. On December 21, 2021, we issued an additional $5.0 million aggregate principal amount of 6.00% Notes due 2026. We received approximately $73.0 million in proceeds from the offering, net of underwriting discounts and commissions and other offering expenses. The 6.00% Notes due 2026 have a maturity date of December 30, 2026, unless previously repurchased or redeemed in accordance with their terms. We have the right to redeem the 6.00% Notes due 2026, in whole or in part, at any time or from time to time, on or after December 30, 2024 at a redemption price of 100% of the aggregate principal amount thereof plus accrued and unpaid interest.</w:t>
      </w:r>
    </w:p>
    <w:p>
      <w:pPr>
        <w:spacing w:after="0" w:line="19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Refer to “Note 10—Debt Capital Activities” to our condensed consolidated financial statements as of March 31, 2022 for more information regarding the 6.00% Notes due 2026.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Distributions</w:t>
      </w:r>
    </w:p>
    <w:p>
      <w:pPr>
        <w:spacing w:after="0" w:line="2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March 31, 2022. The table is divided by fiscal year according to record date: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Record Date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Payment Date</w:t>
            </w:r>
          </w:p>
        </w:tc>
        <w:tc>
          <w:tcPr>
            <w:tcW w:w="240" w:type="dxa"/>
            <w:vAlign w:val="bottom"/>
          </w:tcPr>
          <w:p>
            <w:pPr>
              <w:spacing w:after="0"/>
              <w:rPr>
                <w:sz w:val="15"/>
                <w:szCs w:val="15"/>
                <w:color w:val="auto"/>
              </w:rPr>
            </w:pPr>
          </w:p>
        </w:tc>
        <w:tc>
          <w:tcPr>
            <w:tcW w:w="15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Amount per Share</w:t>
            </w:r>
          </w:p>
        </w:tc>
      </w:tr>
      <w:tr>
        <w:trPr>
          <w:trHeight w:val="23"/>
        </w:trPr>
        <w:tc>
          <w:tcPr>
            <w:tcW w:w="4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Fiscal 2015:</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0"/>
        </w:trPr>
        <w:tc>
          <w:tcPr>
            <w:tcW w:w="48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November 4, 2015</w:t>
            </w:r>
            <w:r>
              <w:rPr>
                <w:rFonts w:ascii="Times New Roman" w:cs="Times New Roman" w:eastAsia="Times New Roman" w:hAnsi="Times New Roman"/>
                <w:sz w:val="22"/>
                <w:szCs w:val="22"/>
                <w:color w:val="auto"/>
                <w:vertAlign w:val="superscript"/>
              </w:rPr>
              <w:t>(1)</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November 16, 2015</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December 31, 2015</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r>
      <w:tr>
        <w:trPr>
          <w:trHeight w:val="22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Fiscal 2016:</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0"/>
        </w:trPr>
        <w:tc>
          <w:tcPr>
            <w:tcW w:w="48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August 3, 2016</w:t>
            </w:r>
            <w:r>
              <w:rPr>
                <w:rFonts w:ascii="Times New Roman" w:cs="Times New Roman" w:eastAsia="Times New Roman" w:hAnsi="Times New Roman"/>
                <w:sz w:val="22"/>
                <w:szCs w:val="22"/>
                <w:color w:val="auto"/>
                <w:vertAlign w:val="superscript"/>
              </w:rPr>
              <w:t>(2)</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August 16, 2016</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August 24, 2016</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r>
      <w:tr>
        <w:trPr>
          <w:trHeight w:val="22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Fiscal 2019:</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0"/>
        </w:trPr>
        <w:tc>
          <w:tcPr>
            <w:tcW w:w="48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November 5, 2019</w:t>
            </w:r>
            <w:r>
              <w:rPr>
                <w:rFonts w:ascii="Times New Roman" w:cs="Times New Roman" w:eastAsia="Times New Roman" w:hAnsi="Times New Roman"/>
                <w:sz w:val="22"/>
                <w:szCs w:val="22"/>
                <w:color w:val="auto"/>
                <w:vertAlign w:val="superscript"/>
              </w:rPr>
              <w:t>(3)</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December 2, 2019</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December 12, 2019</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r>
      <w:tr>
        <w:trPr>
          <w:trHeight w:val="220"/>
        </w:trPr>
        <w:tc>
          <w:tcPr>
            <w:tcW w:w="482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December 20, 2019</w:t>
            </w:r>
            <w:r>
              <w:rPr>
                <w:rFonts w:ascii="Times New Roman" w:cs="Times New Roman" w:eastAsia="Times New Roman" w:hAnsi="Times New Roman"/>
                <w:sz w:val="22"/>
                <w:szCs w:val="22"/>
                <w:color w:val="auto"/>
                <w:vertAlign w:val="superscript"/>
              </w:rPr>
              <w:t>(4)</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December 31, 2019</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January 15, 2020</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r>
      <w:tr>
        <w:trPr>
          <w:trHeight w:val="22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Fiscal 2020:</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482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July 29, 2020</w:t>
            </w:r>
            <w:r>
              <w:rPr>
                <w:rFonts w:ascii="Times New Roman" w:cs="Times New Roman" w:eastAsia="Times New Roman" w:hAnsi="Times New Roman"/>
                <w:sz w:val="22"/>
                <w:szCs w:val="22"/>
                <w:color w:val="auto"/>
                <w:vertAlign w:val="superscript"/>
              </w:rPr>
              <w:t>(5)</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August 11, 2020</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August 25, 2020</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r>
      <w:tr>
        <w:trPr>
          <w:trHeight w:val="220"/>
        </w:trPr>
        <w:tc>
          <w:tcPr>
            <w:tcW w:w="48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September 28, 2020</w:t>
            </w:r>
            <w:r>
              <w:rPr>
                <w:rFonts w:ascii="Times New Roman" w:cs="Times New Roman" w:eastAsia="Times New Roman" w:hAnsi="Times New Roman"/>
                <w:sz w:val="22"/>
                <w:szCs w:val="22"/>
                <w:color w:val="auto"/>
                <w:vertAlign w:val="superscript"/>
              </w:rPr>
              <w:t>(6)</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October 5, 2020</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October 20, 2020</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r>
      <w:tr>
        <w:trPr>
          <w:trHeight w:val="220"/>
        </w:trPr>
        <w:tc>
          <w:tcPr>
            <w:tcW w:w="482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October 28, 2020</w:t>
            </w:r>
            <w:r>
              <w:rPr>
                <w:rFonts w:ascii="Times New Roman" w:cs="Times New Roman" w:eastAsia="Times New Roman" w:hAnsi="Times New Roman"/>
                <w:sz w:val="22"/>
                <w:szCs w:val="22"/>
                <w:color w:val="auto"/>
                <w:vertAlign w:val="superscript"/>
              </w:rPr>
              <w:t>(7)</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November 10, 2020</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November 30, 2020</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r>
      <w:tr>
        <w:trPr>
          <w:trHeight w:val="220"/>
        </w:trPr>
        <w:tc>
          <w:tcPr>
            <w:tcW w:w="48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December 16, 2020</w:t>
            </w:r>
            <w:r>
              <w:rPr>
                <w:rFonts w:ascii="Times New Roman" w:cs="Times New Roman" w:eastAsia="Times New Roman" w:hAnsi="Times New Roman"/>
                <w:sz w:val="22"/>
                <w:szCs w:val="22"/>
                <w:color w:val="auto"/>
                <w:vertAlign w:val="superscript"/>
              </w:rPr>
              <w:t>(8)</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December 30, 2020</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January 15, 2021</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0.22</w:t>
            </w:r>
          </w:p>
        </w:tc>
      </w:tr>
      <w:tr>
        <w:trPr>
          <w:trHeight w:val="22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Fiscal 2021:</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0"/>
        </w:trPr>
        <w:tc>
          <w:tcPr>
            <w:tcW w:w="48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January 26, 2021</w:t>
            </w:r>
            <w:r>
              <w:rPr>
                <w:rFonts w:ascii="Times New Roman" w:cs="Times New Roman" w:eastAsia="Times New Roman" w:hAnsi="Times New Roman"/>
                <w:sz w:val="22"/>
                <w:szCs w:val="22"/>
                <w:color w:val="auto"/>
                <w:vertAlign w:val="superscript"/>
              </w:rPr>
              <w:t>(9)</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February 5, 2021</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February 19, 2021</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r>
      <w:tr>
        <w:trPr>
          <w:trHeight w:val="220"/>
        </w:trPr>
        <w:tc>
          <w:tcPr>
            <w:tcW w:w="482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March 8, 2021</w:t>
            </w:r>
            <w:r>
              <w:rPr>
                <w:rFonts w:ascii="Times New Roman" w:cs="Times New Roman" w:eastAsia="Times New Roman" w:hAnsi="Times New Roman"/>
                <w:sz w:val="22"/>
                <w:szCs w:val="22"/>
                <w:color w:val="auto"/>
                <w:vertAlign w:val="superscript"/>
              </w:rPr>
              <w:t>(10)</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March 30, 2021</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April 15, 2021</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r>
      <w:tr>
        <w:trPr>
          <w:trHeight w:val="220"/>
        </w:trPr>
        <w:tc>
          <w:tcPr>
            <w:tcW w:w="48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May 4, 2021</w:t>
            </w:r>
            <w:r>
              <w:rPr>
                <w:rFonts w:ascii="Times New Roman" w:cs="Times New Roman" w:eastAsia="Times New Roman" w:hAnsi="Times New Roman"/>
                <w:sz w:val="22"/>
                <w:szCs w:val="22"/>
                <w:color w:val="auto"/>
                <w:vertAlign w:val="superscript"/>
              </w:rPr>
              <w:t>(11)</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May 18, 2021</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June 30, 2021</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20"/>
        </w:trPr>
        <w:tc>
          <w:tcPr>
            <w:tcW w:w="482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August 3, 2021</w:t>
            </w:r>
            <w:r>
              <w:rPr>
                <w:rFonts w:ascii="Times New Roman" w:cs="Times New Roman" w:eastAsia="Times New Roman" w:hAnsi="Times New Roman"/>
                <w:sz w:val="22"/>
                <w:szCs w:val="22"/>
                <w:color w:val="auto"/>
                <w:vertAlign w:val="superscript"/>
              </w:rPr>
              <w:t>(12)</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August 18, 2021</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September 30, 2021</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20"/>
        </w:trPr>
        <w:tc>
          <w:tcPr>
            <w:tcW w:w="48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November 2, 2021</w:t>
            </w:r>
            <w:r>
              <w:rPr>
                <w:rFonts w:ascii="Times New Roman" w:cs="Times New Roman" w:eastAsia="Times New Roman" w:hAnsi="Times New Roman"/>
                <w:sz w:val="22"/>
                <w:szCs w:val="22"/>
                <w:color w:val="auto"/>
                <w:vertAlign w:val="superscript"/>
              </w:rPr>
              <w:t>(13)</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November 17, 2021</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December 30, 2021</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20"/>
        </w:trPr>
        <w:tc>
          <w:tcPr>
            <w:tcW w:w="482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December 20, 2021</w:t>
            </w:r>
            <w:r>
              <w:rPr>
                <w:rFonts w:ascii="Times New Roman" w:cs="Times New Roman" w:eastAsia="Times New Roman" w:hAnsi="Times New Roman"/>
                <w:sz w:val="22"/>
                <w:szCs w:val="22"/>
                <w:color w:val="auto"/>
                <w:vertAlign w:val="superscript"/>
              </w:rPr>
              <w:t>(14)</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December 31, 2021</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January 14, 2022</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0.75</w:t>
            </w:r>
          </w:p>
        </w:tc>
      </w:tr>
      <w:tr>
        <w:trPr>
          <w:trHeight w:val="22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Fiscal 2022:</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482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March 8, 2022</w:t>
            </w:r>
            <w:r>
              <w:rPr>
                <w:rFonts w:ascii="Times New Roman" w:cs="Times New Roman" w:eastAsia="Times New Roman" w:hAnsi="Times New Roman"/>
                <w:sz w:val="22"/>
                <w:szCs w:val="22"/>
                <w:color w:val="auto"/>
                <w:vertAlign w:val="superscript"/>
              </w:rPr>
              <w:t>(15)</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March 25, 2022</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April 15, 2022</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w:t>
            </w:r>
          </w:p>
        </w:tc>
      </w:tr>
      <w:tr>
        <w:trPr>
          <w:trHeight w:val="21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12.10</w:t>
            </w: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w:t>
      </w:r>
    </w:p>
    <w:p>
      <w:pPr>
        <w:spacing w:after="0" w:line="114" w:lineRule="exact"/>
        <w:rPr>
          <w:sz w:val="20"/>
          <w:szCs w:val="20"/>
          <w:color w:val="auto"/>
        </w:rPr>
      </w:pPr>
    </w:p>
    <w:p>
      <w:pPr>
        <w:jc w:val="both"/>
        <w:ind w:left="320" w:hanging="317"/>
        <w:spacing w:after="0" w:line="245" w:lineRule="auto"/>
        <w:tabs>
          <w:tab w:leader="none" w:pos="38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ind w:left="340" w:hanging="337"/>
        <w:spacing w:after="0"/>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total distribution of $887,240 on August 24, 2016, $820,753 represented a distribution from realized gains, and $66,487 represented a return of capital.</w:t>
      </w:r>
    </w:p>
    <w:p>
      <w:pPr>
        <w:spacing w:after="0" w:line="6" w:lineRule="exact"/>
        <w:rPr>
          <w:rFonts w:ascii="Times New Roman" w:cs="Times New Roman" w:eastAsia="Times New Roman" w:hAnsi="Times New Roman"/>
          <w:sz w:val="16"/>
          <w:szCs w:val="16"/>
          <w:color w:val="auto"/>
        </w:rPr>
      </w:pPr>
    </w:p>
    <w:p>
      <w:pPr>
        <w:ind w:left="340" w:hanging="337"/>
        <w:spacing w:after="0" w:line="236"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$3,512,849 distribution paid on December 12, 2019 represented a distribution from realized gains. None of the distribution represented a return of capital.</w:t>
      </w:r>
    </w:p>
    <w:p>
      <w:pPr>
        <w:ind w:left="220" w:hanging="217"/>
        <w:spacing w:after="0" w:line="236" w:lineRule="auto"/>
        <w:tabs>
          <w:tab w:leader="none" w:pos="2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$2,107,709 distribution paid on January 15, 2020 represented a distribution from realized gains. None of the distribution represented a return of capital.</w:t>
      </w:r>
    </w:p>
    <w:p>
      <w:pPr>
        <w:ind w:left="220" w:hanging="217"/>
        <w:spacing w:after="0" w:line="236" w:lineRule="auto"/>
        <w:tabs>
          <w:tab w:leader="none" w:pos="2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$2,516,452 distribution paid on August 25, 2020 represented a distribution from realized gains. None of the distribution represented a return of capital.</w:t>
      </w:r>
    </w:p>
    <w:p>
      <w:pPr>
        <w:ind w:left="220" w:hanging="217"/>
        <w:spacing w:after="0" w:line="219" w:lineRule="auto"/>
        <w:tabs>
          <w:tab w:leader="none" w:pos="2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$5,071,326 distribution paid on October 20, 2020 represented a distribution from realized gains. None of the distribution represented a return of capital.</w:t>
      </w:r>
    </w:p>
    <w:p>
      <w:pPr>
        <w:ind w:left="220" w:hanging="217"/>
        <w:spacing w:after="0" w:line="236" w:lineRule="auto"/>
        <w:tabs>
          <w:tab w:leader="none" w:pos="2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$4,978,504 distribution paid on November 30, 2020 represented a distribution from realized gains. None of the distribution represented a return of capital.</w:t>
      </w:r>
    </w:p>
    <w:p>
      <w:pPr>
        <w:ind w:left="220" w:hanging="217"/>
        <w:spacing w:after="0" w:line="236" w:lineRule="auto"/>
        <w:tabs>
          <w:tab w:leader="none" w:pos="2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$4,381,084 distribution paid on January 15, 2021 represented a distribution from realized gains. None of the distribution represented a return of capital.</w:t>
      </w:r>
    </w:p>
    <w:p>
      <w:pPr>
        <w:ind w:left="220" w:hanging="217"/>
        <w:spacing w:after="0" w:line="236" w:lineRule="auto"/>
        <w:tabs>
          <w:tab w:leader="none" w:pos="2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$4,981,131 distribution paid on February 19, 2021 represented a distribution from realized gains. None of the distribution represented a return of capital.</w:t>
      </w:r>
    </w:p>
    <w:p>
      <w:pPr>
        <w:ind w:left="300" w:hanging="297"/>
        <w:spacing w:after="0"/>
        <w:tabs>
          <w:tab w:leader="none" w:pos="3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$6,051,304 distribution paid on April 15, 2021 represented a distribution from realized gains. None of the distribution represented a return of capital.</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left="320" w:hanging="317"/>
        <w:spacing w:after="0" w:line="237" w:lineRule="auto"/>
        <w:tabs>
          <w:tab w:leader="none" w:pos="304"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p>
      <w:pPr>
        <w:spacing w:after="0" w:line="2" w:lineRule="exact"/>
        <w:rPr>
          <w:rFonts w:ascii="Times New Roman" w:cs="Times New Roman" w:eastAsia="Times New Roman" w:hAnsi="Times New Roman"/>
          <w:sz w:val="16"/>
          <w:szCs w:val="16"/>
          <w:color w:val="auto"/>
        </w:rPr>
      </w:pPr>
    </w:p>
    <w:p>
      <w:pPr>
        <w:jc w:val="both"/>
        <w:ind w:left="320" w:hanging="317"/>
        <w:spacing w:after="0" w:line="232" w:lineRule="auto"/>
        <w:tabs>
          <w:tab w:leader="none" w:pos="30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represented a return of capital.</w:t>
      </w:r>
    </w:p>
    <w:p>
      <w:pPr>
        <w:spacing w:after="0" w:line="3" w:lineRule="exact"/>
        <w:rPr>
          <w:rFonts w:ascii="Times New Roman" w:cs="Times New Roman" w:eastAsia="Times New Roman" w:hAnsi="Times New Roman"/>
          <w:sz w:val="16"/>
          <w:szCs w:val="16"/>
          <w:color w:val="auto"/>
        </w:rPr>
      </w:pPr>
    </w:p>
    <w:p>
      <w:pPr>
        <w:jc w:val="both"/>
        <w:ind w:left="320" w:hanging="317"/>
        <w:spacing w:after="0" w:line="232" w:lineRule="auto"/>
        <w:tabs>
          <w:tab w:leader="none" w:pos="30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2,170,807 shares of common stock issued in lieu of cash, or approximately 7.5% of our outstanding shares prior to the distribution, as well as cash of $28,494,812. The number of shares of common stock comprising the stock portion was calculated based on a price of $13.39 per share, which equaled the average of the volume weighted-average trading price per share of our common stock on November 11, 12, and 13, 2021. None of the $2.00 per share distribution represented a return of capital.</w:t>
      </w:r>
    </w:p>
    <w:p>
      <w:pPr>
        <w:spacing w:after="0" w:line="3" w:lineRule="exact"/>
        <w:rPr>
          <w:rFonts w:ascii="Times New Roman" w:cs="Times New Roman" w:eastAsia="Times New Roman" w:hAnsi="Times New Roman"/>
          <w:sz w:val="16"/>
          <w:szCs w:val="16"/>
          <w:color w:val="auto"/>
        </w:rPr>
      </w:pPr>
    </w:p>
    <w:p>
      <w:pPr>
        <w:ind w:left="300" w:hanging="297"/>
        <w:spacing w:after="0" w:line="236" w:lineRule="auto"/>
        <w:tabs>
          <w:tab w:leader="none" w:pos="3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$23,338,915 distribution paid on January 14, 2022 represented a distribution from realized gains. None of the distribution represented a return of capital.</w:t>
      </w:r>
    </w:p>
    <w:p>
      <w:pPr>
        <w:ind w:left="300" w:hanging="297"/>
        <w:spacing w:after="0"/>
        <w:tabs>
          <w:tab w:leader="none" w:pos="3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$3,441,824 distribution paid on April 15, 2022 represented a distribution from realized gains. None of the distribution represented a return of capital.</w:t>
      </w:r>
    </w:p>
    <w:p>
      <w:pPr>
        <w:spacing w:after="0" w:line="220" w:lineRule="exact"/>
        <w:rPr>
          <w:sz w:val="20"/>
          <w:szCs w:val="20"/>
          <w:color w:val="auto"/>
        </w:rPr>
      </w:pPr>
    </w:p>
    <w:p>
      <w:pPr>
        <w:jc w:val="both"/>
        <w:ind w:firstLine="349"/>
        <w:spacing w:after="0" w:line="266" w:lineRule="auto"/>
        <w:rPr>
          <w:sz w:val="20"/>
          <w:szCs w:val="20"/>
          <w:color w:val="auto"/>
        </w:rPr>
      </w:pPr>
      <w:r>
        <w:rPr>
          <w:rFonts w:ascii="Times New Roman" w:cs="Times New Roman" w:eastAsia="Times New Roman" w:hAnsi="Times New Roman"/>
          <w:sz w:val="17"/>
          <w:szCs w:val="17"/>
          <w:color w:val="auto"/>
        </w:rPr>
        <w:t>We intend to focus on making equity-based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94" w:lineRule="exact"/>
        <w:rPr>
          <w:sz w:val="20"/>
          <w:szCs w:val="20"/>
          <w:color w:val="auto"/>
        </w:rPr>
      </w:pPr>
    </w:p>
    <w:p>
      <w:pPr>
        <w:jc w:val="both"/>
        <w:ind w:firstLine="349"/>
        <w:spacing w:after="0" w:line="258" w:lineRule="auto"/>
        <w:rPr>
          <w:sz w:val="20"/>
          <w:szCs w:val="20"/>
          <w:color w:val="auto"/>
        </w:rPr>
      </w:pPr>
      <w:r>
        <w:rPr>
          <w:rFonts w:ascii="Times New Roman" w:cs="Times New Roman" w:eastAsia="Times New Roman" w:hAnsi="Times New Roman"/>
          <w:sz w:val="17"/>
          <w:szCs w:val="17"/>
          <w:color w:val="auto"/>
        </w:rPr>
        <w:t>Our current intention is to make any future distributions out of assets legally available therefrom in the form of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204"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7"/>
          <w:szCs w:val="17"/>
          <w:color w:val="auto"/>
        </w:rPr>
        <w:t>So long as we qualify and maintain our tax treatment as a RIC, we generally will not be subject to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2—Significant Accounting Policies—</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Federal and State Income Taxes</w:t>
      </w:r>
      <w:r>
        <w:rPr>
          <w:rFonts w:ascii="Times New Roman" w:cs="Times New Roman" w:eastAsia="Times New Roman" w:hAnsi="Times New Roman"/>
          <w:sz w:val="17"/>
          <w:szCs w:val="17"/>
          <w:color w:val="auto"/>
        </w:rPr>
        <w:t>” and “Note 9—Income Taxes” to our condensed consolidated financial statements as of March 31, 2022 for more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Taxable Subsidiaries included in our consolidated financial statements 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 Significant Accounting Policies” to our condensed consolidated financial statements as of March 31, 2022 for further detail regarding our critical accounting policies and recently issued or adopted accounting pronouncements.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Related-Party Transactions</w:t>
      </w: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See “Note 3—Related-Party Arrangements” to our condensed consolidated financial statements as of March 31, 2022 for more information.</w:t>
      </w:r>
    </w:p>
    <w:p>
      <w:pPr>
        <w:spacing w:after="0" w:line="200" w:lineRule="exact"/>
        <w:rPr>
          <w:sz w:val="20"/>
          <w:szCs w:val="20"/>
          <w:color w:val="auto"/>
        </w:rPr>
      </w:pPr>
    </w:p>
    <w:p>
      <w:pPr>
        <w:spacing w:after="0" w:line="27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w:t>
      </w:r>
    </w:p>
    <w:p>
      <w:pPr>
        <w:spacing w:after="0" w:line="246" w:lineRule="exact"/>
        <w:rPr>
          <w:sz w:val="20"/>
          <w:szCs w:val="20"/>
          <w:color w:val="auto"/>
        </w:rPr>
      </w:pPr>
    </w:p>
    <w:p>
      <w:pPr>
        <w:jc w:val="both"/>
        <w:ind w:firstLine="349"/>
        <w:spacing w:after="0" w:line="263" w:lineRule="auto"/>
        <w:rPr>
          <w:sz w:val="20"/>
          <w:szCs w:val="20"/>
          <w:color w:val="auto"/>
        </w:rPr>
      </w:pPr>
      <w:r>
        <w:rPr>
          <w:rFonts w:ascii="Times New Roman" w:cs="Times New Roman" w:eastAsia="Times New Roman" w:hAnsi="Times New Roman"/>
          <w:sz w:val="17"/>
          <w:szCs w:val="17"/>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Valuation Risk</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investments may not have a readily available market price, and we value these investments at fair value as determined in good faith by our Board of Directors in accordance with our valuation policy and with reference to the estimates of our independent third-party valuation firm, as applicable.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As of March 31, 2022, all of our debt investments and outstanding borrowings bore fixed rates of interest.</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of March 31, 2022,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ectPr>
          <w:pgSz w:w="11900" w:h="16838" w:orient="portrait"/>
          <w:cols w:equalWidth="0" w:num="1">
            <w:col w:w="11240"/>
          </w:cols>
          <w:pgMar w:left="320" w:top="118" w:right="339" w:bottom="1440" w:gutter="0" w:footer="0" w:header="0"/>
        </w:sectPr>
      </w:pPr>
    </w:p>
    <w:bookmarkStart w:id="68" w:name="page69"/>
    <w:bookmarkEnd w:id="68"/>
    <w:p>
      <w:pPr>
        <w:jc w:val="both"/>
        <w:spacing w:after="0" w:line="291" w:lineRule="auto"/>
        <w:rPr>
          <w:sz w:val="20"/>
          <w:szCs w:val="20"/>
          <w:color w:val="auto"/>
        </w:rPr>
      </w:pPr>
      <w:r>
        <w:rPr>
          <w:rFonts w:ascii="Times New Roman" w:cs="Times New Roman" w:eastAsia="Times New Roman" w:hAnsi="Times New Roman"/>
          <w:sz w:val="17"/>
          <w:szCs w:val="17"/>
          <w:color w:val="auto"/>
        </w:rPr>
        <w:t>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6" w:lineRule="exact"/>
        <w:rPr>
          <w:sz w:val="20"/>
          <w:szCs w:val="20"/>
          <w:color w:val="auto"/>
        </w:rPr>
      </w:pPr>
    </w:p>
    <w:p>
      <w:pPr>
        <w:jc w:val="both"/>
        <w:ind w:firstLine="349"/>
        <w:spacing w:after="0" w:line="272"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defined in Rules 13a-15(f) and 15d-15(f) under the Exchange Act) that occurred during the fiscal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ectPr>
          <w:pgSz w:w="11900" w:h="16838" w:orient="portrait"/>
          <w:cols w:equalWidth="0" w:num="1">
            <w:col w:w="11240"/>
          </w:cols>
          <w:pgMar w:left="320" w:top="858"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6" w:lineRule="exact"/>
        <w:rPr>
          <w:sz w:val="20"/>
          <w:szCs w:val="20"/>
          <w:color w:val="auto"/>
        </w:rPr>
      </w:pPr>
    </w:p>
    <w:p>
      <w:pPr>
        <w:jc w:val="both"/>
        <w:ind w:firstLine="349"/>
        <w:spacing w:after="0" w:line="251" w:lineRule="auto"/>
        <w:rPr>
          <w:sz w:val="20"/>
          <w:szCs w:val="20"/>
          <w:color w:val="auto"/>
        </w:rPr>
      </w:pPr>
      <w:r>
        <w:rPr>
          <w:rFonts w:ascii="Times New Roman" w:cs="Times New Roman" w:eastAsia="Times New Roman" w:hAnsi="Times New Roman"/>
          <w:sz w:val="17"/>
          <w:szCs w:val="17"/>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46" w:lineRule="exact"/>
        <w:rPr>
          <w:sz w:val="20"/>
          <w:szCs w:val="20"/>
          <w:color w:val="auto"/>
        </w:rPr>
      </w:pPr>
    </w:p>
    <w:p>
      <w:pPr>
        <w:jc w:val="both"/>
        <w:ind w:firstLine="349"/>
        <w:spacing w:after="0" w:line="260" w:lineRule="auto"/>
        <w:rPr>
          <w:sz w:val="20"/>
          <w:szCs w:val="20"/>
          <w:color w:val="auto"/>
        </w:rPr>
      </w:pPr>
      <w:r>
        <w:rPr>
          <w:rFonts w:ascii="Times New Roman" w:cs="Times New Roman" w:eastAsia="Times New Roman" w:hAnsi="Times New Roman"/>
          <w:sz w:val="17"/>
          <w:szCs w:val="17"/>
          <w:color w:val="auto"/>
        </w:rPr>
        <w:t>Investing in our securities involves a number of significant risks. In addition to the other information contained in this report, you should carefully consider the factors discussed in our annual report on Form 10-K for the fiscal year ended December 31, 2021, filed with the SEC on March 11, 2022, which could materially affect our business, financial condition and/or operating results. Although the risks described in our annual report on Form 10-K for the fiscal year ended December 31, 2021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There have been no material changes to the risk factors discussed in "Item 1A. Risk Factors" of Part I of our annual report on Form 10-K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1240"/>
          </w:cols>
          <w:pgMar w:left="320" w:top="856" w:right="339" w:bottom="1440" w:gutter="0" w:footer="0" w:header="0"/>
        </w:sectPr>
      </w:pPr>
    </w:p>
    <w:bookmarkStart w:id="70" w:name="page71"/>
    <w:bookmarkEnd w:id="70"/>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of Unregistered Equity Securities</w:t>
      </w: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We did not sell any equity securities during the period covered in this report that were not registered under the Securities Act of 1933, as amended.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r>
        <w:rPr>
          <w:rFonts w:ascii="Times New Roman" w:cs="Times New Roman" w:eastAsia="Times New Roman" w:hAnsi="Times New Roman"/>
          <w:sz w:val="22"/>
          <w:szCs w:val="22"/>
          <w:b w:val="1"/>
          <w:bCs w:val="1"/>
          <w:color w:val="auto"/>
          <w:vertAlign w:val="superscript"/>
        </w:rPr>
        <w:t>(1)</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Information relating to the Company’s purchases of its common stock during the three months ended March 31, 2022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3"/>
            <w:vMerge w:val="restart"/>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6"/>
              </w:rPr>
              <w:t>Total Number</w:t>
            </w:r>
          </w:p>
        </w:tc>
        <w:tc>
          <w:tcPr>
            <w:tcW w:w="138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1380" w:type="dxa"/>
            <w:vAlign w:val="bottom"/>
          </w:tcPr>
          <w:p>
            <w:pPr>
              <w:jc w:val="center"/>
              <w:ind w:right="106"/>
              <w:spacing w:after="0" w:line="143" w:lineRule="exact"/>
              <w:rPr>
                <w:sz w:val="20"/>
                <w:szCs w:val="20"/>
                <w:color w:val="auto"/>
              </w:rPr>
            </w:pPr>
            <w:r>
              <w:rPr>
                <w:rFonts w:ascii="Times New Roman" w:cs="Times New Roman" w:eastAsia="Times New Roman" w:hAnsi="Times New Roman"/>
                <w:sz w:val="14"/>
                <w:szCs w:val="14"/>
                <w:b w:val="1"/>
                <w:bCs w:val="1"/>
                <w:color w:val="auto"/>
                <w:w w:val="95"/>
              </w:rPr>
              <w:t>Dollar Value of</w:t>
            </w:r>
          </w:p>
        </w:tc>
        <w:tc>
          <w:tcPr>
            <w:tcW w:w="0" w:type="dxa"/>
            <w:vAlign w:val="bottom"/>
          </w:tcPr>
          <w:p>
            <w:pPr>
              <w:spacing w:after="0"/>
              <w:rPr>
                <w:sz w:val="1"/>
                <w:szCs w:val="1"/>
                <w:color w:val="auto"/>
              </w:rPr>
            </w:pPr>
          </w:p>
        </w:tc>
      </w:tr>
      <w:tr>
        <w:trPr>
          <w:trHeight w:val="141"/>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3"/>
            <w:vMerge w:val="restart"/>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3"/>
          </w:tcPr>
          <w:p>
            <w:pPr>
              <w:jc w:val="center"/>
              <w:ind w:right="214"/>
              <w:spacing w:after="0" w:line="141"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1380" w:type="dxa"/>
            <w:vAlign w:val="bottom"/>
          </w:tcPr>
          <w:p>
            <w:pPr>
              <w:jc w:val="center"/>
              <w:ind w:right="106"/>
              <w:spacing w:after="0" w:line="141" w:lineRule="exact"/>
              <w:rPr>
                <w:sz w:val="20"/>
                <w:szCs w:val="20"/>
                <w:color w:val="auto"/>
              </w:rPr>
            </w:pPr>
            <w:r>
              <w:rPr>
                <w:rFonts w:ascii="Times New Roman" w:cs="Times New Roman" w:eastAsia="Times New Roman" w:hAnsi="Times New Roman"/>
                <w:sz w:val="14"/>
                <w:szCs w:val="14"/>
                <w:b w:val="1"/>
                <w:bCs w:val="1"/>
                <w:color w:val="auto"/>
                <w:w w:val="97"/>
              </w:rPr>
              <w:t>Shares that May</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1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920" w:type="dxa"/>
            <w:vAlign w:val="bottom"/>
            <w:gridSpan w:val="3"/>
          </w:tcPr>
          <w:p>
            <w:pPr>
              <w:jc w:val="center"/>
              <w:ind w:right="214"/>
              <w:spacing w:after="0" w:line="143" w:lineRule="exact"/>
              <w:rPr>
                <w:sz w:val="20"/>
                <w:szCs w:val="20"/>
                <w:color w:val="auto"/>
              </w:rPr>
            </w:pPr>
            <w:r>
              <w:rPr>
                <w:rFonts w:ascii="Times New Roman" w:cs="Times New Roman" w:eastAsia="Times New Roman" w:hAnsi="Times New Roman"/>
                <w:sz w:val="14"/>
                <w:szCs w:val="14"/>
                <w:b w:val="1"/>
                <w:bCs w:val="1"/>
                <w:color w:val="auto"/>
                <w:w w:val="98"/>
              </w:rPr>
              <w:t>Purchased as</w:t>
            </w:r>
          </w:p>
        </w:tc>
        <w:tc>
          <w:tcPr>
            <w:tcW w:w="1380" w:type="dxa"/>
            <w:vAlign w:val="bottom"/>
          </w:tcPr>
          <w:p>
            <w:pPr>
              <w:jc w:val="center"/>
              <w:ind w:right="106"/>
              <w:spacing w:after="0" w:line="143" w:lineRule="exact"/>
              <w:rPr>
                <w:sz w:val="20"/>
                <w:szCs w:val="20"/>
                <w:color w:val="auto"/>
              </w:rPr>
            </w:pPr>
            <w:r>
              <w:rPr>
                <w:rFonts w:ascii="Times New Roman" w:cs="Times New Roman" w:eastAsia="Times New Roman" w:hAnsi="Times New Roman"/>
                <w:sz w:val="14"/>
                <w:szCs w:val="14"/>
                <w:b w:val="1"/>
                <w:bCs w:val="1"/>
                <w:color w:val="auto"/>
                <w:w w:val="97"/>
              </w:rPr>
              <w:t>Yet Be Purchased</w:t>
            </w:r>
          </w:p>
        </w:tc>
        <w:tc>
          <w:tcPr>
            <w:tcW w:w="0" w:type="dxa"/>
            <w:vAlign w:val="bottom"/>
          </w:tcPr>
          <w:p>
            <w:pPr>
              <w:spacing w:after="0"/>
              <w:rPr>
                <w:sz w:val="1"/>
                <w:szCs w:val="1"/>
                <w:color w:val="auto"/>
              </w:rPr>
            </w:pPr>
          </w:p>
        </w:tc>
      </w:tr>
      <w:tr>
        <w:trPr>
          <w:trHeight w:val="131"/>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3"/>
          </w:tcPr>
          <w:p>
            <w:pPr>
              <w:jc w:val="center"/>
              <w:ind w:right="274"/>
              <w:spacing w:after="0" w:line="131"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380" w:type="dxa"/>
            <w:vAlign w:val="bottom"/>
            <w:gridSpan w:val="2"/>
            <w:vMerge w:val="continue"/>
          </w:tcPr>
          <w:p>
            <w:pPr>
              <w:spacing w:after="0"/>
              <w:rPr>
                <w:sz w:val="11"/>
                <w:szCs w:val="11"/>
                <w:color w:val="auto"/>
              </w:rPr>
            </w:pPr>
          </w:p>
        </w:tc>
        <w:tc>
          <w:tcPr>
            <w:tcW w:w="1920" w:type="dxa"/>
            <w:vAlign w:val="bottom"/>
            <w:gridSpan w:val="3"/>
          </w:tcPr>
          <w:p>
            <w:pPr>
              <w:jc w:val="center"/>
              <w:ind w:right="194"/>
              <w:spacing w:after="0" w:line="131" w:lineRule="exact"/>
              <w:rPr>
                <w:sz w:val="20"/>
                <w:szCs w:val="20"/>
                <w:color w:val="auto"/>
              </w:rPr>
            </w:pPr>
            <w:r>
              <w:rPr>
                <w:rFonts w:ascii="Times New Roman" w:cs="Times New Roman" w:eastAsia="Times New Roman" w:hAnsi="Times New Roman"/>
                <w:sz w:val="14"/>
                <w:szCs w:val="14"/>
                <w:b w:val="1"/>
                <w:bCs w:val="1"/>
                <w:color w:val="auto"/>
                <w:w w:val="97"/>
              </w:rPr>
              <w:t>Part of Publicly</w:t>
            </w:r>
          </w:p>
        </w:tc>
        <w:tc>
          <w:tcPr>
            <w:tcW w:w="1380" w:type="dxa"/>
            <w:vAlign w:val="bottom"/>
          </w:tcPr>
          <w:p>
            <w:pPr>
              <w:jc w:val="center"/>
              <w:ind w:right="106"/>
              <w:spacing w:after="0" w:line="131" w:lineRule="exact"/>
              <w:rPr>
                <w:sz w:val="20"/>
                <w:szCs w:val="20"/>
                <w:color w:val="auto"/>
              </w:rPr>
            </w:pPr>
            <w:r>
              <w:rPr>
                <w:rFonts w:ascii="Times New Roman" w:cs="Times New Roman" w:eastAsia="Times New Roman" w:hAnsi="Times New Roman"/>
                <w:sz w:val="14"/>
                <w:szCs w:val="14"/>
                <w:b w:val="1"/>
                <w:bCs w:val="1"/>
                <w:color w:val="auto"/>
                <w:w w:val="97"/>
              </w:rPr>
              <w:t>Under the Share</w:t>
            </w:r>
          </w:p>
        </w:tc>
        <w:tc>
          <w:tcPr>
            <w:tcW w:w="0" w:type="dxa"/>
            <w:vAlign w:val="bottom"/>
          </w:tcPr>
          <w:p>
            <w:pPr>
              <w:spacing w:after="0"/>
              <w:rPr>
                <w:sz w:val="1"/>
                <w:szCs w:val="1"/>
                <w:color w:val="auto"/>
              </w:rPr>
            </w:pPr>
          </w:p>
        </w:tc>
      </w:tr>
      <w:tr>
        <w:trPr>
          <w:trHeight w:val="141"/>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20" w:type="dxa"/>
            <w:vAlign w:val="bottom"/>
            <w:gridSpan w:val="3"/>
          </w:tcPr>
          <w:p>
            <w:pPr>
              <w:jc w:val="center"/>
              <w:ind w:right="294"/>
              <w:spacing w:after="0" w:line="141"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38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Price Paid</w:t>
            </w:r>
          </w:p>
        </w:tc>
        <w:tc>
          <w:tcPr>
            <w:tcW w:w="1920" w:type="dxa"/>
            <w:vAlign w:val="bottom"/>
            <w:gridSpan w:val="3"/>
          </w:tcPr>
          <w:p>
            <w:pPr>
              <w:jc w:val="center"/>
              <w:ind w:right="194"/>
              <w:spacing w:after="0" w:line="141" w:lineRule="exact"/>
              <w:rPr>
                <w:sz w:val="20"/>
                <w:szCs w:val="20"/>
                <w:color w:val="auto"/>
              </w:rPr>
            </w:pPr>
            <w:r>
              <w:rPr>
                <w:rFonts w:ascii="Times New Roman" w:cs="Times New Roman" w:eastAsia="Times New Roman" w:hAnsi="Times New Roman"/>
                <w:sz w:val="14"/>
                <w:szCs w:val="14"/>
                <w:b w:val="1"/>
                <w:bCs w:val="1"/>
                <w:color w:val="auto"/>
                <w:w w:val="99"/>
              </w:rPr>
              <w:t>Announced</w:t>
            </w:r>
          </w:p>
        </w:tc>
        <w:tc>
          <w:tcPr>
            <w:tcW w:w="1380" w:type="dxa"/>
            <w:vAlign w:val="bottom"/>
          </w:tcPr>
          <w:p>
            <w:pPr>
              <w:jc w:val="center"/>
              <w:ind w:right="86"/>
              <w:spacing w:after="0" w:line="141" w:lineRule="exact"/>
              <w:rPr>
                <w:sz w:val="20"/>
                <w:szCs w:val="20"/>
                <w:color w:val="auto"/>
              </w:rPr>
            </w:pPr>
            <w:r>
              <w:rPr>
                <w:rFonts w:ascii="Times New Roman" w:cs="Times New Roman" w:eastAsia="Times New Roman" w:hAnsi="Times New Roman"/>
                <w:sz w:val="14"/>
                <w:szCs w:val="14"/>
                <w:b w:val="1"/>
                <w:bCs w:val="1"/>
                <w:color w:val="auto"/>
                <w:w w:val="98"/>
              </w:rPr>
              <w:t>Repurchase</w:t>
            </w:r>
          </w:p>
        </w:tc>
        <w:tc>
          <w:tcPr>
            <w:tcW w:w="0" w:type="dxa"/>
            <w:vAlign w:val="bottom"/>
          </w:tcPr>
          <w:p>
            <w:pPr>
              <w:spacing w:after="0"/>
              <w:rPr>
                <w:sz w:val="1"/>
                <w:szCs w:val="1"/>
                <w:color w:val="auto"/>
              </w:rPr>
            </w:pPr>
          </w:p>
        </w:tc>
      </w:tr>
      <w:tr>
        <w:trPr>
          <w:trHeight w:val="189"/>
        </w:trPr>
        <w:tc>
          <w:tcPr>
            <w:tcW w:w="4600" w:type="dxa"/>
            <w:vAlign w:val="bottom"/>
            <w:gridSpan w:val="2"/>
            <w:vMerge w:val="continue"/>
          </w:tcPr>
          <w:p>
            <w:pPr>
              <w:spacing w:after="0"/>
              <w:rPr>
                <w:sz w:val="16"/>
                <w:szCs w:val="16"/>
                <w:color w:val="auto"/>
              </w:rPr>
            </w:pPr>
          </w:p>
        </w:tc>
        <w:tc>
          <w:tcPr>
            <w:tcW w:w="1920" w:type="dxa"/>
            <w:vAlign w:val="bottom"/>
            <w:gridSpan w:val="3"/>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Purchased</w:t>
            </w:r>
            <w:r>
              <w:rPr>
                <w:rFonts w:ascii="Times New Roman" w:cs="Times New Roman" w:eastAsia="Times New Roman" w:hAnsi="Times New Roman"/>
                <w:sz w:val="8"/>
                <w:szCs w:val="8"/>
                <w:b w:val="1"/>
                <w:bCs w:val="1"/>
                <w:color w:val="auto"/>
                <w:w w:val="99"/>
              </w:rPr>
              <w:t>(2)</w:t>
            </w: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1920" w:type="dxa"/>
            <w:vAlign w:val="bottom"/>
            <w:gridSpan w:val="3"/>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8"/>
              </w:rPr>
              <w:t>Plans or Programs</w:t>
            </w:r>
          </w:p>
        </w:tc>
        <w:tc>
          <w:tcPr>
            <w:tcW w:w="138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w w:val="96"/>
              </w:rPr>
              <w:t>Program</w:t>
            </w:r>
          </w:p>
        </w:tc>
        <w:tc>
          <w:tcPr>
            <w:tcW w:w="0" w:type="dxa"/>
            <w:vAlign w:val="bottom"/>
          </w:tcPr>
          <w:p>
            <w:pPr>
              <w:spacing w:after="0"/>
              <w:rPr>
                <w:sz w:val="1"/>
                <w:szCs w:val="1"/>
                <w:color w:val="auto"/>
              </w:rPr>
            </w:pPr>
          </w:p>
        </w:tc>
      </w:tr>
      <w:tr>
        <w:trPr>
          <w:trHeight w:val="218"/>
        </w:trPr>
        <w:tc>
          <w:tcPr>
            <w:tcW w:w="4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1 through January 31, 2022</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9,617,312</w:t>
            </w:r>
          </w:p>
        </w:tc>
        <w:tc>
          <w:tcPr>
            <w:tcW w:w="0" w:type="dxa"/>
            <w:vAlign w:val="bottom"/>
          </w:tcPr>
          <w:p>
            <w:pPr>
              <w:spacing w:after="0"/>
              <w:rPr>
                <w:sz w:val="1"/>
                <w:szCs w:val="1"/>
                <w:color w:val="auto"/>
              </w:rPr>
            </w:pPr>
          </w:p>
        </w:tc>
      </w:tr>
      <w:tr>
        <w:trPr>
          <w:trHeight w:val="22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February 1 through February 28, 2022</w:t>
            </w:r>
          </w:p>
        </w:tc>
        <w:tc>
          <w:tcPr>
            <w:tcW w:w="1920" w:type="dxa"/>
            <w:vAlign w:val="bottom"/>
            <w:gridSpan w:val="3"/>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gridSpan w:val="3"/>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9,617,312</w:t>
            </w:r>
          </w:p>
        </w:tc>
        <w:tc>
          <w:tcPr>
            <w:tcW w:w="0" w:type="dxa"/>
            <w:vAlign w:val="bottom"/>
          </w:tcPr>
          <w:p>
            <w:pPr>
              <w:spacing w:after="0"/>
              <w:rPr>
                <w:sz w:val="1"/>
                <w:szCs w:val="1"/>
                <w:color w:val="auto"/>
              </w:rPr>
            </w:pPr>
          </w:p>
        </w:tc>
      </w:tr>
      <w:tr>
        <w:trPr>
          <w:trHeight w:val="22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1 through March 31, 2022</w:t>
            </w: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153,517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8.86</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153,517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23,257,705</w:t>
            </w:r>
          </w:p>
        </w:tc>
        <w:tc>
          <w:tcPr>
            <w:tcW w:w="0" w:type="dxa"/>
            <w:vAlign w:val="bottom"/>
          </w:tcPr>
          <w:p>
            <w:pPr>
              <w:spacing w:after="0"/>
              <w:rPr>
                <w:sz w:val="1"/>
                <w:szCs w:val="1"/>
                <w:color w:val="auto"/>
              </w:rPr>
            </w:pPr>
          </w:p>
        </w:tc>
      </w:tr>
      <w:tr>
        <w:trPr>
          <w:trHeight w:val="21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153,517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b w:val="1"/>
                <w:bCs w:val="1"/>
                <w:color w:val="auto"/>
              </w:rPr>
              <w:t>153,517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w:t>
            </w: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4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460" w:hanging="457"/>
        <w:spacing w:after="0" w:line="268" w:lineRule="auto"/>
        <w:tabs>
          <w:tab w:leader="none" w:pos="4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On May 3, 2018, the Company’s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On November 1, 2018, the Company’s Board of Directors authorized a $5.0 million increase in the amount of shares of the Company’s common stock that may be repurchased under the discretionary Share Repurchase Program until the earlier of (i) October 31, 2019 or (ii) the repurchase of $20.0 million in aggregate amount of the Company’s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 On October 27, 2021, our Board of Directors approved an extension of the Share Repurchase Program until the earlier of (i) October 31, 2022 or (ii) the repurchase of $40.0 million in aggregate amount of our common stock. On March 13, 2022, our Board of Directors authorized a $15.0 million increase in the amount of shares of our common stock that may be repurchased under the discretionary Share Repurchase Program until the earlier of (i) October 21, 2022 or (ii) the repurchase of $55.0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months ended March 31, 2022, we repurchased 153,517 shares of our common stock under the Share Repurchase Program. During the three months ended March 31, 2021, the Company did not repurchase shares of common stock under the Share Repurchase Program. As of March 31, 2022, the dollar value of shares that remained available to be purchased by the Company under the Share Repurchase Program was approximately $23.3 million.</w:t>
      </w:r>
    </w:p>
    <w:p>
      <w:pPr>
        <w:spacing w:after="0" w:line="340" w:lineRule="exact"/>
        <w:rPr>
          <w:rFonts w:ascii="Times New Roman" w:cs="Times New Roman" w:eastAsia="Times New Roman" w:hAnsi="Times New Roman"/>
          <w:sz w:val="14"/>
          <w:szCs w:val="14"/>
          <w:color w:val="auto"/>
        </w:rPr>
      </w:pPr>
    </w:p>
    <w:p>
      <w:pPr>
        <w:ind w:left="460" w:hanging="457"/>
        <w:spacing w:after="0" w:line="249" w:lineRule="auto"/>
        <w:tabs>
          <w:tab w:leader="none" w:pos="4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purchases of our common stock made on the open market by or on behalf of any “affiliated purchaser,” as defined in Exchange Act Rule 10b-18(a)(3), of the Company.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ectPr>
          <w:pgSz w:w="11900" w:h="16838" w:orient="portrait"/>
          <w:cols w:equalWidth="0" w:num="1">
            <w:col w:w="11240"/>
          </w:cols>
          <w:pgMar w:left="320" w:top="129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4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4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7"/>
          <w:szCs w:val="17"/>
          <w:color w:val="auto"/>
        </w:rPr>
        <w:t>70</w:t>
      </w:r>
    </w:p>
    <w:p>
      <w:pPr>
        <w:sectPr>
          <w:pgSz w:w="11900" w:h="16838" w:orient="portrait"/>
          <w:cols w:equalWidth="0" w:num="1">
            <w:col w:w="10139"/>
          </w:cols>
          <w:pgMar w:left="320" w:top="856"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filed as part of this report or hereby incorporated by reference to exhibits previously filed with the SEC:</w:t>
      </w:r>
    </w:p>
    <w:p>
      <w:pPr>
        <w:spacing w:after="0" w:line="138" w:lineRule="exact"/>
        <w:rPr>
          <w:sz w:val="20"/>
          <w:szCs w:val="20"/>
          <w:color w:val="auto"/>
        </w:rPr>
      </w:pPr>
    </w:p>
    <w:p>
      <w:pPr>
        <w:ind w:left="240"/>
        <w:spacing w:after="0"/>
        <w:tabs>
          <w:tab w:leader="none" w:pos="6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3.1</w:t>
      </w:r>
      <w:r>
        <w:rPr>
          <w:sz w:val="20"/>
          <w:szCs w:val="20"/>
          <w:color w:val="auto"/>
        </w:rPr>
        <w:tab/>
      </w:r>
      <w:hyperlink r:id="rId75">
        <w:r>
          <w:rPr>
            <w:rFonts w:ascii="Times New Roman" w:cs="Times New Roman" w:eastAsia="Times New Roman" w:hAnsi="Times New Roman"/>
            <w:sz w:val="16"/>
            <w:szCs w:val="16"/>
            <w:u w:val="single" w:color="auto"/>
            <w:color w:val="0000FF"/>
          </w:rPr>
          <w:t>Articles of Amendment and Restatement</w:t>
        </w:r>
      </w:hyperlink>
      <w:r>
        <w:rPr>
          <w:rFonts w:ascii="Times New Roman" w:cs="Times New Roman" w:eastAsia="Times New Roman" w:hAnsi="Times New Roman"/>
          <w:sz w:val="20"/>
          <w:szCs w:val="20"/>
          <w:color w:val="000000"/>
          <w:vertAlign w:val="superscript"/>
        </w:rPr>
        <w:t>(1)</w:t>
      </w:r>
    </w:p>
    <w:p>
      <w:pPr>
        <w:ind w:left="240"/>
        <w:spacing w:after="0" w:line="231" w:lineRule="auto"/>
        <w:tabs>
          <w:tab w:leader="none" w:pos="6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3.2</w:t>
      </w:r>
      <w:r>
        <w:rPr>
          <w:sz w:val="20"/>
          <w:szCs w:val="20"/>
          <w:color w:val="auto"/>
        </w:rPr>
        <w:tab/>
      </w:r>
      <w:hyperlink r:id="rId76">
        <w:r>
          <w:rPr>
            <w:rFonts w:ascii="Times New Roman" w:cs="Times New Roman" w:eastAsia="Times New Roman" w:hAnsi="Times New Roman"/>
            <w:sz w:val="16"/>
            <w:szCs w:val="16"/>
            <w:u w:val="single" w:color="auto"/>
            <w:color w:val="0000FF"/>
          </w:rPr>
          <w:t>Articles of Amendment</w:t>
        </w:r>
      </w:hyperlink>
      <w:r>
        <w:rPr>
          <w:rFonts w:ascii="Times New Roman" w:cs="Times New Roman" w:eastAsia="Times New Roman" w:hAnsi="Times New Roman"/>
          <w:sz w:val="20"/>
          <w:szCs w:val="20"/>
          <w:color w:val="000000"/>
          <w:vertAlign w:val="superscript"/>
        </w:rPr>
        <w:t>(2)</w:t>
      </w:r>
    </w:p>
    <w:p>
      <w:pPr>
        <w:ind w:left="240"/>
        <w:spacing w:after="0" w:line="229" w:lineRule="auto"/>
        <w:tabs>
          <w:tab w:leader="none" w:pos="6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3.3</w:t>
      </w:r>
      <w:r>
        <w:rPr>
          <w:sz w:val="20"/>
          <w:szCs w:val="20"/>
          <w:color w:val="auto"/>
        </w:rPr>
        <w:tab/>
      </w:r>
      <w:hyperlink r:id="rId77">
        <w:r>
          <w:rPr>
            <w:rFonts w:ascii="Times New Roman" w:cs="Times New Roman" w:eastAsia="Times New Roman" w:hAnsi="Times New Roman"/>
            <w:sz w:val="16"/>
            <w:szCs w:val="16"/>
            <w:u w:val="single" w:color="auto"/>
            <w:color w:val="0000FF"/>
          </w:rPr>
          <w:t>Articles of Amendment</w:t>
        </w:r>
      </w:hyperlink>
      <w:r>
        <w:rPr>
          <w:rFonts w:ascii="Times New Roman" w:cs="Times New Roman" w:eastAsia="Times New Roman" w:hAnsi="Times New Roman"/>
          <w:sz w:val="20"/>
          <w:szCs w:val="20"/>
          <w:color w:val="000000"/>
          <w:vertAlign w:val="superscript"/>
        </w:rPr>
        <w:t>(3)</w:t>
      </w:r>
    </w:p>
    <w:p>
      <w:pPr>
        <w:ind w:left="240"/>
        <w:spacing w:after="0" w:line="230" w:lineRule="auto"/>
        <w:tabs>
          <w:tab w:leader="none" w:pos="6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3.4</w:t>
      </w:r>
      <w:r>
        <w:rPr>
          <w:sz w:val="20"/>
          <w:szCs w:val="20"/>
          <w:color w:val="auto"/>
        </w:rPr>
        <w:tab/>
      </w:r>
      <w:hyperlink r:id="rId78">
        <w:r>
          <w:rPr>
            <w:rFonts w:ascii="Times New Roman" w:cs="Times New Roman" w:eastAsia="Times New Roman" w:hAnsi="Times New Roman"/>
            <w:sz w:val="16"/>
            <w:szCs w:val="16"/>
            <w:u w:val="single" w:color="auto"/>
            <w:color w:val="0000FF"/>
          </w:rPr>
          <w:t>Articles of Amendment</w:t>
        </w:r>
      </w:hyperlink>
      <w:r>
        <w:rPr>
          <w:rFonts w:ascii="Times New Roman" w:cs="Times New Roman" w:eastAsia="Times New Roman" w:hAnsi="Times New Roman"/>
          <w:sz w:val="20"/>
          <w:szCs w:val="20"/>
          <w:color w:val="000000"/>
          <w:vertAlign w:val="superscript"/>
        </w:rPr>
        <w:t>(4)</w:t>
      </w:r>
    </w:p>
    <w:p>
      <w:pPr>
        <w:ind w:left="240"/>
        <w:spacing w:after="0" w:line="219" w:lineRule="auto"/>
        <w:tabs>
          <w:tab w:leader="none" w:pos="6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3.5</w:t>
      </w:r>
      <w:r>
        <w:rPr>
          <w:sz w:val="20"/>
          <w:szCs w:val="20"/>
          <w:color w:val="auto"/>
        </w:rPr>
        <w:tab/>
      </w:r>
      <w:hyperlink r:id="rId79">
        <w:r>
          <w:rPr>
            <w:rFonts w:ascii="Times New Roman" w:cs="Times New Roman" w:eastAsia="Times New Roman" w:hAnsi="Times New Roman"/>
            <w:sz w:val="17"/>
            <w:szCs w:val="17"/>
            <w:u w:val="single" w:color="auto"/>
            <w:color w:val="0000FF"/>
          </w:rPr>
          <w:t>Second Amended and Restated Bylaws</w:t>
        </w:r>
      </w:hyperlink>
      <w:r>
        <w:rPr>
          <w:rFonts w:ascii="Times New Roman" w:cs="Times New Roman" w:eastAsia="Times New Roman" w:hAnsi="Times New Roman"/>
          <w:sz w:val="21"/>
          <w:szCs w:val="21"/>
          <w:color w:val="000000"/>
          <w:vertAlign w:val="superscript"/>
        </w:rPr>
        <w:t>(4)</w:t>
      </w:r>
    </w:p>
    <w:p>
      <w:pPr>
        <w:ind w:left="240"/>
        <w:spacing w:after="0" w:line="218" w:lineRule="auto"/>
        <w:tabs>
          <w:tab w:leader="none" w:pos="6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w:t>
      </w:r>
      <w:r>
        <w:rPr>
          <w:sz w:val="20"/>
          <w:szCs w:val="20"/>
          <w:color w:val="auto"/>
        </w:rPr>
        <w:tab/>
      </w:r>
      <w:hyperlink r:id="rId80">
        <w:r>
          <w:rPr>
            <w:rFonts w:ascii="Times New Roman" w:cs="Times New Roman" w:eastAsia="Times New Roman" w:hAnsi="Times New Roman"/>
            <w:sz w:val="17"/>
            <w:szCs w:val="17"/>
            <w:u w:val="single" w:color="auto"/>
            <w:color w:val="0000FF"/>
          </w:rPr>
          <w:t>Base Indenture, dated March 28, 2018, by and between the Registrant and U.S. Bank National Association, as trustee</w:t>
        </w:r>
      </w:hyperlink>
      <w:r>
        <w:rPr>
          <w:rFonts w:ascii="Times New Roman" w:cs="Times New Roman" w:eastAsia="Times New Roman" w:hAnsi="Times New Roman"/>
          <w:sz w:val="22"/>
          <w:szCs w:val="22"/>
          <w:color w:val="000000"/>
          <w:vertAlign w:val="superscript"/>
        </w:rPr>
        <w:t>(5)</w:t>
      </w:r>
    </w:p>
    <w:p>
      <w:pPr>
        <w:spacing w:after="0" w:line="1" w:lineRule="exact"/>
        <w:rPr>
          <w:sz w:val="20"/>
          <w:szCs w:val="20"/>
          <w:color w:val="auto"/>
        </w:rPr>
      </w:pPr>
    </w:p>
    <w:p>
      <w:pPr>
        <w:ind w:left="700" w:right="640" w:hanging="460"/>
        <w:spacing w:after="0" w:line="208" w:lineRule="auto"/>
        <w:tabs>
          <w:tab w:leader="none" w:pos="6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4.2</w:t>
      </w:r>
      <w:r>
        <w:rPr>
          <w:sz w:val="20"/>
          <w:szCs w:val="20"/>
          <w:color w:val="auto"/>
        </w:rPr>
        <w:tab/>
      </w:r>
      <w:hyperlink r:id="rId81">
        <w:r>
          <w:rPr>
            <w:rFonts w:ascii="Times New Roman" w:cs="Times New Roman" w:eastAsia="Times New Roman" w:hAnsi="Times New Roman"/>
            <w:sz w:val="17"/>
            <w:szCs w:val="17"/>
            <w:u w:val="single" w:color="auto"/>
            <w:color w:val="0000FF"/>
          </w:rPr>
          <w:t>Second Supplemental Indenture, dated December 17, 2021, relating to the 6.00% Notes due 2026, by and between the Company and U.S. Bank</w:t>
        </w:r>
      </w:hyperlink>
      <w:r>
        <w:rPr>
          <w:rFonts w:ascii="Times New Roman" w:cs="Times New Roman" w:eastAsia="Times New Roman" w:hAnsi="Times New Roman"/>
          <w:sz w:val="17"/>
          <w:szCs w:val="17"/>
          <w:u w:val="single" w:color="auto"/>
          <w:color w:val="0000FF"/>
        </w:rPr>
        <w:t xml:space="preserve"> </w:t>
      </w:r>
      <w:hyperlink r:id="rId81">
        <w:r>
          <w:rPr>
            <w:rFonts w:ascii="Times New Roman" w:cs="Times New Roman" w:eastAsia="Times New Roman" w:hAnsi="Times New Roman"/>
            <w:sz w:val="17"/>
            <w:szCs w:val="17"/>
            <w:u w:val="single" w:color="auto"/>
            <w:color w:val="0000FF"/>
          </w:rPr>
          <w:t>National Association, as trustee</w:t>
        </w:r>
        <w:r>
          <w:rPr>
            <w:rFonts w:ascii="Times New Roman" w:cs="Times New Roman" w:eastAsia="Times New Roman" w:hAnsi="Times New Roman"/>
            <w:sz w:val="22"/>
            <w:szCs w:val="22"/>
            <w:color w:val="000000"/>
            <w:vertAlign w:val="superscript"/>
          </w:rPr>
          <w:t>(6)</w:t>
        </w:r>
      </w:hyperlink>
    </w:p>
    <w:p>
      <w:pPr>
        <w:ind w:left="240"/>
        <w:spacing w:after="0" w:line="210" w:lineRule="auto"/>
        <w:tabs>
          <w:tab w:leader="none" w:pos="6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4.3</w:t>
      </w:r>
      <w:r>
        <w:rPr>
          <w:sz w:val="20"/>
          <w:szCs w:val="20"/>
          <w:color w:val="auto"/>
        </w:rPr>
        <w:tab/>
      </w:r>
      <w:hyperlink r:id="rId82">
        <w:r>
          <w:rPr>
            <w:rFonts w:ascii="Times New Roman" w:cs="Times New Roman" w:eastAsia="Times New Roman" w:hAnsi="Times New Roman"/>
            <w:sz w:val="17"/>
            <w:szCs w:val="17"/>
            <w:u w:val="single" w:color="auto"/>
            <w:color w:val="0000FF"/>
          </w:rPr>
          <w:t>Form of 6.00% Notes due 2026 (incorporated by reference to Exhibit 4.2)</w:t>
        </w:r>
      </w:hyperlink>
      <w:r>
        <w:rPr>
          <w:rFonts w:ascii="Times New Roman" w:cs="Times New Roman" w:eastAsia="Times New Roman" w:hAnsi="Times New Roman"/>
          <w:sz w:val="22"/>
          <w:szCs w:val="22"/>
          <w:color w:val="000000"/>
          <w:vertAlign w:val="superscript"/>
        </w:rPr>
        <w:t>(6)</w:t>
      </w:r>
    </w:p>
    <w:p>
      <w:pPr>
        <w:ind w:left="240"/>
        <w:spacing w:after="0"/>
        <w:tabs>
          <w:tab w:leader="none" w:pos="6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4.4</w:t>
      </w:r>
      <w:r>
        <w:rPr>
          <w:sz w:val="20"/>
          <w:szCs w:val="20"/>
          <w:color w:val="auto"/>
        </w:rPr>
        <w:tab/>
      </w:r>
      <w:hyperlink r:id="rId83">
        <w:r>
          <w:rPr>
            <w:rFonts w:ascii="Times New Roman" w:cs="Times New Roman" w:eastAsia="Times New Roman" w:hAnsi="Times New Roman"/>
            <w:sz w:val="16"/>
            <w:szCs w:val="16"/>
            <w:u w:val="single" w:color="auto"/>
            <w:color w:val="0000FF"/>
          </w:rPr>
          <w:t>Description of Securities</w:t>
        </w:r>
      </w:hyperlink>
      <w:r>
        <w:rPr>
          <w:rFonts w:ascii="Times New Roman" w:cs="Times New Roman" w:eastAsia="Times New Roman" w:hAnsi="Times New Roman"/>
          <w:sz w:val="20"/>
          <w:szCs w:val="20"/>
          <w:color w:val="000000"/>
          <w:vertAlign w:val="superscript"/>
        </w:rPr>
        <w:t>(7)</w:t>
      </w:r>
    </w:p>
    <w:p>
      <w:pPr>
        <w:spacing w:after="0" w:line="1" w:lineRule="exact"/>
        <w:rPr>
          <w:sz w:val="20"/>
          <w:szCs w:val="20"/>
          <w:color w:val="auto"/>
        </w:rPr>
      </w:pPr>
    </w:p>
    <w:p>
      <w:pPr>
        <w:ind w:left="700" w:right="140" w:hanging="503"/>
        <w:spacing w:after="0" w:line="214" w:lineRule="auto"/>
        <w:tabs>
          <w:tab w:leader="none" w:pos="68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w:t>
      </w:r>
      <w:r>
        <w:rPr>
          <w:sz w:val="20"/>
          <w:szCs w:val="20"/>
          <w:color w:val="auto"/>
        </w:rPr>
        <w:tab/>
      </w:r>
      <w:hyperlink r:id="rId84">
        <w:r>
          <w:rPr>
            <w:rFonts w:ascii="Times New Roman" w:cs="Times New Roman" w:eastAsia="Times New Roman" w:hAnsi="Times New Roman"/>
            <w:sz w:val="17"/>
            <w:szCs w:val="17"/>
            <w:u w:val="single" w:color="auto"/>
            <w:color w:val="0000FF"/>
          </w:rPr>
          <w:t>Amendment No. 1 to Second Amended and Restated Employment Agreement, dated March 10, 2022, by and between SuRo Capital Corp. and Allison</w:t>
        </w:r>
      </w:hyperlink>
      <w:r>
        <w:rPr>
          <w:rFonts w:ascii="Times New Roman" w:cs="Times New Roman" w:eastAsia="Times New Roman" w:hAnsi="Times New Roman"/>
          <w:sz w:val="17"/>
          <w:szCs w:val="17"/>
          <w:u w:val="single" w:color="auto"/>
          <w:color w:val="0000FF"/>
        </w:rPr>
        <w:t xml:space="preserve"> </w:t>
      </w:r>
      <w:hyperlink r:id="rId84">
        <w:r>
          <w:rPr>
            <w:rFonts w:ascii="Times New Roman" w:cs="Times New Roman" w:eastAsia="Times New Roman" w:hAnsi="Times New Roman"/>
            <w:sz w:val="17"/>
            <w:szCs w:val="17"/>
            <w:u w:val="single" w:color="auto"/>
            <w:color w:val="0000FF"/>
          </w:rPr>
          <w:t>Green</w:t>
        </w:r>
        <w:r>
          <w:rPr>
            <w:rFonts w:ascii="Times New Roman" w:cs="Times New Roman" w:eastAsia="Times New Roman" w:hAnsi="Times New Roman"/>
            <w:sz w:val="22"/>
            <w:szCs w:val="22"/>
            <w:color w:val="000000"/>
            <w:vertAlign w:val="superscript"/>
          </w:rPr>
          <w:t>(7)</w:t>
        </w:r>
      </w:hyperlink>
    </w:p>
    <w:p>
      <w:pPr>
        <w:spacing w:after="0" w:line="1" w:lineRule="exact"/>
        <w:rPr>
          <w:sz w:val="20"/>
          <w:szCs w:val="20"/>
          <w:color w:val="auto"/>
        </w:rPr>
      </w:pPr>
    </w:p>
    <w:p>
      <w:pPr>
        <w:ind w:left="180"/>
        <w:spacing w:after="0"/>
        <w:tabs>
          <w:tab w:leader="none" w:pos="680" w:val="left"/>
        </w:tabs>
        <w:rPr>
          <w:sz w:val="20"/>
          <w:szCs w:val="20"/>
          <w:color w:val="auto"/>
        </w:rPr>
      </w:pPr>
      <w:r>
        <w:rPr>
          <w:rFonts w:ascii="Times New Roman" w:cs="Times New Roman" w:eastAsia="Times New Roman" w:hAnsi="Times New Roman"/>
          <w:sz w:val="17"/>
          <w:szCs w:val="17"/>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Rule 13a-14 of the Securities Exchange Act of 1934, as amended*</w:t>
      </w:r>
    </w:p>
    <w:p>
      <w:pPr>
        <w:spacing w:after="0" w:line="10" w:lineRule="exact"/>
        <w:rPr>
          <w:sz w:val="20"/>
          <w:szCs w:val="20"/>
          <w:color w:val="auto"/>
        </w:rPr>
      </w:pPr>
    </w:p>
    <w:p>
      <w:pPr>
        <w:ind w:left="180"/>
        <w:spacing w:after="0"/>
        <w:tabs>
          <w:tab w:leader="none" w:pos="680" w:val="left"/>
        </w:tabs>
        <w:rPr>
          <w:sz w:val="20"/>
          <w:szCs w:val="20"/>
          <w:color w:val="auto"/>
        </w:rPr>
      </w:pPr>
      <w:r>
        <w:rPr>
          <w:rFonts w:ascii="Times New Roman" w:cs="Times New Roman" w:eastAsia="Times New Roman" w:hAnsi="Times New Roman"/>
          <w:sz w:val="17"/>
          <w:szCs w:val="17"/>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Rule 13a-14 of the Securities Exchange Act of 1934, as amended*</w:t>
      </w:r>
    </w:p>
    <w:p>
      <w:pPr>
        <w:spacing w:after="0" w:line="45" w:lineRule="exact"/>
        <w:rPr>
          <w:sz w:val="20"/>
          <w:szCs w:val="20"/>
          <w:color w:val="auto"/>
        </w:rPr>
      </w:pPr>
    </w:p>
    <w:p>
      <w:pPr>
        <w:ind w:left="180"/>
        <w:spacing w:after="0"/>
        <w:tabs>
          <w:tab w:leader="none" w:pos="680" w:val="left"/>
        </w:tabs>
        <w:rPr>
          <w:sz w:val="20"/>
          <w:szCs w:val="20"/>
          <w:color w:val="auto"/>
        </w:rPr>
      </w:pPr>
      <w:r>
        <w:rPr>
          <w:rFonts w:ascii="Times New Roman" w:cs="Times New Roman" w:eastAsia="Times New Roman" w:hAnsi="Times New Roman"/>
          <w:sz w:val="17"/>
          <w:szCs w:val="17"/>
          <w:color w:val="auto"/>
        </w:rPr>
        <w:t>32.1</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Section 906 of the Sarbanes-Oxley Act of 2002*</w:t>
      </w:r>
    </w:p>
    <w:p>
      <w:pPr>
        <w:spacing w:after="0" w:line="30" w:lineRule="exact"/>
        <w:rPr>
          <w:sz w:val="20"/>
          <w:szCs w:val="20"/>
          <w:color w:val="auto"/>
        </w:rPr>
      </w:pPr>
    </w:p>
    <w:p>
      <w:pPr>
        <w:ind w:left="180"/>
        <w:spacing w:after="0"/>
        <w:tabs>
          <w:tab w:leader="none" w:pos="680" w:val="left"/>
        </w:tabs>
        <w:rPr>
          <w:sz w:val="20"/>
          <w:szCs w:val="20"/>
          <w:color w:val="auto"/>
        </w:rPr>
      </w:pPr>
      <w:r>
        <w:rPr>
          <w:rFonts w:ascii="Times New Roman" w:cs="Times New Roman" w:eastAsia="Times New Roman" w:hAnsi="Times New Roman"/>
          <w:sz w:val="17"/>
          <w:szCs w:val="17"/>
          <w:color w:val="auto"/>
        </w:rPr>
        <w:t>32.2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Section 906 of the Sarbanes-Oxley Act of 2002*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32" w:lineRule="exact"/>
        <w:rPr>
          <w:sz w:val="20"/>
          <w:szCs w:val="20"/>
          <w:color w:val="auto"/>
        </w:rPr>
      </w:pPr>
    </w:p>
    <w:p>
      <w:pPr>
        <w:ind w:left="460" w:right="80" w:hanging="457"/>
        <w:spacing w:after="0" w:line="246" w:lineRule="auto"/>
        <w:tabs>
          <w:tab w:leader="none" w:pos="368"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in connection with Pre-Effective Amendment No. 2 to the Registrant’s Registration Statement on Form N-2 (File No. 333-171578), filed on March 30, 2011, and incorporated by reference herein.</w:t>
      </w:r>
    </w:p>
    <w:p>
      <w:pPr>
        <w:spacing w:after="0" w:line="1" w:lineRule="exact"/>
        <w:rPr>
          <w:rFonts w:ascii="Times New Roman" w:cs="Times New Roman" w:eastAsia="Times New Roman" w:hAnsi="Times New Roman"/>
          <w:sz w:val="17"/>
          <w:szCs w:val="17"/>
          <w:color w:val="auto"/>
        </w:rPr>
      </w:pPr>
    </w:p>
    <w:p>
      <w:pPr>
        <w:ind w:left="460" w:right="100" w:hanging="457"/>
        <w:spacing w:after="0" w:line="250" w:lineRule="auto"/>
        <w:tabs>
          <w:tab w:leader="none" w:pos="368"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in connection with the Registrant’s Current Report on Form 8-K (File No. 814-00852), filed on June 1, 2011, and incorporated by reference herein.</w:t>
      </w:r>
    </w:p>
    <w:p>
      <w:pPr>
        <w:spacing w:after="0" w:line="206" w:lineRule="exact"/>
        <w:rPr>
          <w:rFonts w:ascii="Times New Roman" w:cs="Times New Roman" w:eastAsia="Times New Roman" w:hAnsi="Times New Roman"/>
          <w:sz w:val="17"/>
          <w:szCs w:val="17"/>
          <w:color w:val="auto"/>
        </w:rPr>
      </w:pPr>
    </w:p>
    <w:p>
      <w:pPr>
        <w:ind w:left="460" w:right="640" w:hanging="457"/>
        <w:spacing w:after="0" w:line="275" w:lineRule="auto"/>
        <w:tabs>
          <w:tab w:leader="none" w:pos="368"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in connection with the Registrant’s Current Report on Form 8-K (File No. 814-00852) filed on August 1, 2019, and incorporated by reference herein.</w:t>
      </w:r>
    </w:p>
    <w:p>
      <w:pPr>
        <w:spacing w:after="0" w:line="172" w:lineRule="exact"/>
        <w:rPr>
          <w:rFonts w:ascii="Times New Roman" w:cs="Times New Roman" w:eastAsia="Times New Roman" w:hAnsi="Times New Roman"/>
          <w:sz w:val="17"/>
          <w:szCs w:val="17"/>
          <w:color w:val="auto"/>
        </w:rPr>
      </w:pPr>
    </w:p>
    <w:p>
      <w:pPr>
        <w:ind w:left="460" w:hanging="457"/>
        <w:spacing w:after="0" w:line="291" w:lineRule="auto"/>
        <w:tabs>
          <w:tab w:leader="none" w:pos="41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in connection with the Registrant’s Current Report on Form 8-K (File No. 814-00852) filed on June 16, 2020, and incorporated by reference herein.</w:t>
      </w:r>
    </w:p>
    <w:p>
      <w:pPr>
        <w:spacing w:after="0" w:line="146" w:lineRule="exact"/>
        <w:rPr>
          <w:rFonts w:ascii="Times New Roman" w:cs="Times New Roman" w:eastAsia="Times New Roman" w:hAnsi="Times New Roman"/>
          <w:sz w:val="17"/>
          <w:szCs w:val="17"/>
          <w:color w:val="auto"/>
        </w:rPr>
      </w:pPr>
    </w:p>
    <w:p>
      <w:pPr>
        <w:ind w:left="460" w:right="200" w:hanging="457"/>
        <w:spacing w:after="0" w:line="275" w:lineRule="auto"/>
        <w:tabs>
          <w:tab w:leader="none" w:pos="368"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in connection with the Registrant's Registration Statement on Form N-2 (File No. 333-239681), filed on July 2, 2020, and incorporated by reference herein.</w:t>
      </w:r>
    </w:p>
    <w:p>
      <w:pPr>
        <w:spacing w:after="0" w:line="172" w:lineRule="exact"/>
        <w:rPr>
          <w:rFonts w:ascii="Times New Roman" w:cs="Times New Roman" w:eastAsia="Times New Roman" w:hAnsi="Times New Roman"/>
          <w:sz w:val="17"/>
          <w:szCs w:val="17"/>
          <w:color w:val="auto"/>
        </w:rPr>
      </w:pPr>
    </w:p>
    <w:p>
      <w:pPr>
        <w:ind w:left="460" w:right="360" w:hanging="457"/>
        <w:spacing w:after="0" w:line="275" w:lineRule="auto"/>
        <w:tabs>
          <w:tab w:leader="none" w:pos="368"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in connection with the Registrant's Current Report on Form 8-K (File No. 814-00852) filed on December 17, 2021, and incorporated by reference herein.</w:t>
      </w:r>
    </w:p>
    <w:p>
      <w:pPr>
        <w:spacing w:after="0" w:line="172" w:lineRule="exact"/>
        <w:rPr>
          <w:rFonts w:ascii="Times New Roman" w:cs="Times New Roman" w:eastAsia="Times New Roman" w:hAnsi="Times New Roman"/>
          <w:sz w:val="17"/>
          <w:szCs w:val="17"/>
          <w:color w:val="auto"/>
        </w:rPr>
      </w:pPr>
    </w:p>
    <w:p>
      <w:pPr>
        <w:ind w:left="460" w:right="540" w:hanging="457"/>
        <w:spacing w:after="0" w:line="275" w:lineRule="auto"/>
        <w:tabs>
          <w:tab w:leader="none" w:pos="368"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in connection with the Registrant’s Annual Report on Form 10-K (File No. 814-00852) filed on March 11, 2022, and incorporated by reference herein.</w:t>
      </w:r>
    </w:p>
    <w:p>
      <w:pPr>
        <w:spacing w:after="0" w:line="17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Filed herewith.</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1240"/>
          </w:cols>
          <w:pgMar w:left="320" w:top="1089" w:right="339" w:bottom="1440" w:gutter="0" w:footer="0" w:header="0"/>
        </w:sectPr>
      </w:pPr>
    </w:p>
    <w:bookmarkStart w:id="73" w:name="page74"/>
    <w:bookmarkEnd w:id="73"/>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6"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b w:val="1"/>
          <w:bCs w:val="1"/>
          <w:color w:val="auto"/>
        </w:rPr>
        <w:t>SURO CAPITAL CORP.</w:t>
      </w:r>
    </w:p>
    <w:p>
      <w:pPr>
        <w:spacing w:after="0" w:line="285" w:lineRule="exact"/>
        <w:rPr>
          <w:sz w:val="20"/>
          <w:szCs w:val="20"/>
          <w:color w:val="auto"/>
        </w:rPr>
      </w:pPr>
    </w:p>
    <w:p>
      <w:pPr>
        <w:ind w:left="40"/>
        <w:spacing w:after="0"/>
        <w:tabs>
          <w:tab w:leader="none" w:pos="700" w:val="left"/>
          <w:tab w:leader="none" w:pos="5500" w:val="left"/>
          <w:tab w:leader="none" w:pos="60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May 5, 2022</w:t>
      </w:r>
      <w:r>
        <w:rPr>
          <w:sz w:val="20"/>
          <w:szCs w:val="20"/>
          <w:color w:val="auto"/>
        </w:rPr>
        <w:tab/>
      </w:r>
      <w:r>
        <w:rPr>
          <w:rFonts w:ascii="Times New Roman" w:cs="Times New Roman" w:eastAsia="Times New Roman" w:hAnsi="Times New Roman"/>
          <w:sz w:val="17"/>
          <w:szCs w:val="17"/>
          <w:color w:val="auto"/>
        </w:rPr>
        <w:t>By:</w:t>
        <w:tab/>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3813810</wp:posOffset>
            </wp:positionH>
            <wp:positionV relativeFrom="paragraph">
              <wp:posOffset>19050</wp:posOffset>
            </wp:positionV>
            <wp:extent cx="33267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3326765" cy="8255"/>
                    </a:xfrm>
                    <a:prstGeom prst="rect">
                      <a:avLst/>
                    </a:prstGeom>
                    <a:noFill/>
                  </pic:spPr>
                </pic:pic>
              </a:graphicData>
            </a:graphic>
          </wp:anchor>
        </w:drawing>
      </w:r>
    </w:p>
    <w:p>
      <w:pPr>
        <w:spacing w:after="0" w:line="1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b w:val="1"/>
          <w:bCs w:val="1"/>
          <w:color w:val="auto"/>
        </w:rPr>
        <w:t>Mark D. Klein</w:t>
      </w:r>
    </w:p>
    <w:p>
      <w:pPr>
        <w:spacing w:after="0" w:line="3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p>
      <w:pPr>
        <w:spacing w:after="0" w:line="2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77" w:lineRule="exact"/>
        <w:rPr>
          <w:sz w:val="20"/>
          <w:szCs w:val="20"/>
          <w:color w:val="auto"/>
        </w:rPr>
      </w:pPr>
    </w:p>
    <w:p>
      <w:pPr>
        <w:ind w:left="40"/>
        <w:spacing w:after="0"/>
        <w:tabs>
          <w:tab w:leader="none" w:pos="700" w:val="left"/>
          <w:tab w:leader="none" w:pos="5500" w:val="left"/>
          <w:tab w:leader="none" w:pos="60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May 5, 2022</w:t>
      </w:r>
      <w:r>
        <w:rPr>
          <w:sz w:val="20"/>
          <w:szCs w:val="20"/>
          <w:color w:val="auto"/>
        </w:rPr>
        <w:tab/>
      </w:r>
      <w:r>
        <w:rPr>
          <w:rFonts w:ascii="Times New Roman" w:cs="Times New Roman" w:eastAsia="Times New Roman" w:hAnsi="Times New Roman"/>
          <w:sz w:val="17"/>
          <w:szCs w:val="17"/>
          <w:color w:val="auto"/>
        </w:rPr>
        <w:t>By:</w:t>
        <w:tab/>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3813810</wp:posOffset>
            </wp:positionH>
            <wp:positionV relativeFrom="paragraph">
              <wp:posOffset>19050</wp:posOffset>
            </wp:positionV>
            <wp:extent cx="33267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3326765" cy="8255"/>
                    </a:xfrm>
                    <a:prstGeom prst="rect">
                      <a:avLst/>
                    </a:prstGeom>
                    <a:noFill/>
                  </pic:spPr>
                </pic:pic>
              </a:graphicData>
            </a:graphic>
          </wp:anchor>
        </w:drawing>
      </w:r>
    </w:p>
    <w:p>
      <w:pPr>
        <w:spacing w:after="0" w:line="1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b w:val="1"/>
          <w:bCs w:val="1"/>
          <w:color w:val="auto"/>
        </w:rPr>
        <w:t>Allison Green</w:t>
      </w:r>
    </w:p>
    <w:p>
      <w:pPr>
        <w:spacing w:after="0" w:line="1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Chief Financial Officer, Chief Compliance Officer, Treasurer, and</w:t>
      </w:r>
    </w:p>
    <w:p>
      <w:pPr>
        <w:ind w:left="6020"/>
        <w:spacing w:after="0"/>
        <w:rPr>
          <w:sz w:val="20"/>
          <w:szCs w:val="20"/>
          <w:color w:val="auto"/>
        </w:rPr>
      </w:pPr>
      <w:r>
        <w:rPr>
          <w:rFonts w:ascii="Times New Roman" w:cs="Times New Roman" w:eastAsia="Times New Roman" w:hAnsi="Times New Roman"/>
          <w:sz w:val="17"/>
          <w:szCs w:val="17"/>
          <w:color w:val="auto"/>
        </w:rPr>
        <w:t>Corporate Secretary</w:t>
      </w:r>
    </w:p>
    <w:p>
      <w:pPr>
        <w:spacing w:after="0" w:line="1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0" w:lineRule="exact"/>
        <w:rPr>
          <w:sz w:val="20"/>
          <w:szCs w:val="20"/>
          <w:color w:val="auto"/>
        </w:rPr>
      </w:pPr>
    </w:p>
    <w:p>
      <w:pPr>
        <w:spacing w:after="0" w:line="394"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p>
      <w:pPr>
        <w:ind w:left="20"/>
        <w:spacing w:after="0"/>
        <w:tabs>
          <w:tab w:leader="none" w:pos="4460" w:val="left"/>
          <w:tab w:leader="none" w:pos="7360" w:val="left"/>
        </w:tabs>
        <w:rPr>
          <w:sz w:val="20"/>
          <w:szCs w:val="20"/>
          <w:color w:val="auto"/>
        </w:rPr>
      </w:pPr>
      <w:r>
        <w:rPr>
          <w:rFonts w:ascii="Times New Roman" w:cs="Times New Roman" w:eastAsia="Times New Roman" w:hAnsi="Times New Roman"/>
          <w:sz w:val="17"/>
          <w:szCs w:val="17"/>
          <w:color w:val="auto"/>
        </w:rPr>
        <w:t>Date: May 5,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25"/>
          <w:szCs w:val="25"/>
          <w:color w:val="auto"/>
          <w:vertAlign w:val="subscript"/>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46990</wp:posOffset>
            </wp:positionV>
            <wp:extent cx="40989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4098925" cy="8255"/>
                    </a:xfrm>
                    <a:prstGeom prst="rect">
                      <a:avLst/>
                    </a:prstGeom>
                    <a:noFill/>
                  </pic:spPr>
                </pic:pic>
              </a:graphicData>
            </a:graphic>
          </wp:anchor>
        </w:drawing>
      </w:r>
    </w:p>
    <w:p>
      <w:pPr>
        <w:spacing w:after="0" w:line="8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b w:val="1"/>
          <w:bCs w:val="1"/>
          <w:color w:val="auto"/>
        </w:rPr>
        <w:t>Mark D. Klein</w:t>
      </w:r>
    </w:p>
    <w:p>
      <w:pPr>
        <w:ind w:left="6280"/>
        <w:spacing w:after="0" w:line="215" w:lineRule="auto"/>
        <w:rPr>
          <w:sz w:val="20"/>
          <w:szCs w:val="20"/>
          <w:color w:val="auto"/>
        </w:rPr>
      </w:pPr>
      <w:r>
        <w:rPr>
          <w:rFonts w:ascii="Times New Roman" w:cs="Times New Roman" w:eastAsia="Times New Roman" w:hAnsi="Times New Roman"/>
          <w:sz w:val="17"/>
          <w:szCs w:val="17"/>
          <w:color w:val="auto"/>
        </w:rPr>
        <w:t>Chairman, President and Chief Executive Officer</w:t>
      </w:r>
    </w:p>
    <w:p>
      <w:pPr>
        <w:spacing w:after="0" w:line="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(Principal Executive Officer)</w:t>
      </w:r>
    </w:p>
    <w:p>
      <w:pPr>
        <w:ind w:left="20"/>
        <w:spacing w:after="0" w:line="224" w:lineRule="auto"/>
        <w:tabs>
          <w:tab w:leader="none" w:pos="4460" w:val="left"/>
          <w:tab w:leader="none" w:pos="7360" w:val="left"/>
        </w:tabs>
        <w:rPr>
          <w:sz w:val="20"/>
          <w:szCs w:val="20"/>
          <w:color w:val="auto"/>
        </w:rPr>
      </w:pPr>
      <w:r>
        <w:rPr>
          <w:rFonts w:ascii="Times New Roman" w:cs="Times New Roman" w:eastAsia="Times New Roman" w:hAnsi="Times New Roman"/>
          <w:sz w:val="17"/>
          <w:szCs w:val="17"/>
          <w:color w:val="auto"/>
        </w:rPr>
        <w:t>Date: May 5,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25"/>
          <w:szCs w:val="25"/>
          <w:color w:val="auto"/>
          <w:vertAlign w:val="subscript"/>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0</wp:posOffset>
            </wp:positionV>
            <wp:extent cx="40989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4098925" cy="8255"/>
                    </a:xfrm>
                    <a:prstGeom prst="rect">
                      <a:avLst/>
                    </a:prstGeom>
                    <a:noFill/>
                  </pic:spPr>
                </pic:pic>
              </a:graphicData>
            </a:graphic>
          </wp:anchor>
        </w:drawing>
      </w:r>
    </w:p>
    <w:p>
      <w:pPr>
        <w:spacing w:after="0" w:line="16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b w:val="1"/>
          <w:bCs w:val="1"/>
          <w:color w:val="auto"/>
        </w:rPr>
        <w:t>Allison Green</w:t>
      </w:r>
    </w:p>
    <w:p>
      <w:pPr>
        <w:ind w:left="5000"/>
        <w:spacing w:after="0" w:line="215" w:lineRule="auto"/>
        <w:rPr>
          <w:sz w:val="20"/>
          <w:szCs w:val="20"/>
          <w:color w:val="auto"/>
        </w:rPr>
      </w:pPr>
      <w:r>
        <w:rPr>
          <w:rFonts w:ascii="Times New Roman" w:cs="Times New Roman" w:eastAsia="Times New Roman" w:hAnsi="Times New Roman"/>
          <w:sz w:val="17"/>
          <w:szCs w:val="17"/>
          <w:color w:val="auto"/>
        </w:rPr>
        <w:t>Chief Financial Officer, Chief Compliance Officer, Treasurer, and Corporate Secretary</w:t>
      </w:r>
    </w:p>
    <w:p>
      <w:pPr>
        <w:spacing w:after="0" w:line="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72</w:t>
      </w:r>
    </w:p>
    <w:p>
      <w:pPr>
        <w:sectPr>
          <w:pgSz w:w="11900" w:h="16838" w:orient="portrait"/>
          <w:cols w:equalWidth="0" w:num="1">
            <w:col w:w="11040"/>
          </w:cols>
          <w:pgMar w:left="320" w:top="856" w:right="5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of SuRo Capital Corp.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under the Exchange Act,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Mark D. Klein, certify that:</w:t>
      </w:r>
    </w:p>
    <w:p>
      <w:pPr>
        <w:spacing w:after="0" w:line="244" w:lineRule="exact"/>
        <w:rPr>
          <w:sz w:val="20"/>
          <w:szCs w:val="20"/>
          <w:color w:val="auto"/>
        </w:rPr>
      </w:pPr>
    </w:p>
    <w:p>
      <w:pPr>
        <w:ind w:left="620" w:hanging="306"/>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SuRo Capital Corp.;</w:t>
      </w:r>
    </w:p>
    <w:p>
      <w:pPr>
        <w:spacing w:after="0" w:line="244"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jc w:val="both"/>
        <w:ind w:left="620" w:hanging="306"/>
        <w:spacing w:after="0" w:line="272" w:lineRule="auto"/>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7"/>
          <w:szCs w:val="17"/>
          <w:color w:val="auto"/>
        </w:rPr>
      </w:pPr>
    </w:p>
    <w:p>
      <w:pPr>
        <w:jc w:val="both"/>
        <w:ind w:left="940" w:hanging="316"/>
        <w:spacing w:after="0" w:line="272" w:lineRule="auto"/>
        <w:tabs>
          <w:tab w:leader="none" w:pos="93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jc w:val="both"/>
        <w:ind w:left="940" w:hanging="316"/>
        <w:spacing w:after="0" w:line="272" w:lineRule="auto"/>
        <w:tabs>
          <w:tab w:leader="none" w:pos="934"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940" w:hanging="316"/>
        <w:spacing w:after="0" w:line="291" w:lineRule="auto"/>
        <w:tabs>
          <w:tab w:leader="none" w:pos="93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jc w:val="both"/>
        <w:ind w:left="940" w:hanging="316"/>
        <w:spacing w:after="0" w:line="272" w:lineRule="auto"/>
        <w:tabs>
          <w:tab w:leader="none" w:pos="934"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Times New Roman" w:cs="Times New Roman" w:eastAsia="Times New Roman" w:hAnsi="Times New Roman"/>
          <w:sz w:val="17"/>
          <w:szCs w:val="17"/>
          <w:color w:val="auto"/>
        </w:rPr>
      </w:pPr>
    </w:p>
    <w:p>
      <w:pPr>
        <w:ind w:left="940" w:hanging="316"/>
        <w:spacing w:after="0" w:line="291" w:lineRule="auto"/>
        <w:tabs>
          <w:tab w:leader="none" w:pos="93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940" w:hanging="316"/>
        <w:spacing w:after="0" w:line="291" w:lineRule="auto"/>
        <w:tabs>
          <w:tab w:leader="none" w:pos="934"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5th day of May, 2022.</w:t>
      </w:r>
    </w:p>
    <w:p>
      <w:pPr>
        <w:spacing w:after="0" w:line="167"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7"/>
          <w:szCs w:val="17"/>
          <w:color w:val="auto"/>
        </w:rPr>
        <w:t>By:</w:t>
        <w:tab/>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19050</wp:posOffset>
            </wp:positionV>
            <wp:extent cx="13550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Mark D. Klein</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ectPr>
          <w:pgSz w:w="11900" w:h="16838" w:orient="portrait"/>
          <w:cols w:equalWidth="0" w:num="1">
            <w:col w:w="11240"/>
          </w:cols>
          <w:pgMar w:left="320" w:top="856"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 of SuRo Capital Corp.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under the Exchange Act,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Allison Green, certify that:</w:t>
      </w:r>
    </w:p>
    <w:p>
      <w:pPr>
        <w:spacing w:after="0" w:line="244" w:lineRule="exact"/>
        <w:rPr>
          <w:sz w:val="20"/>
          <w:szCs w:val="20"/>
          <w:color w:val="auto"/>
        </w:rPr>
      </w:pPr>
    </w:p>
    <w:p>
      <w:pPr>
        <w:ind w:left="620" w:hanging="306"/>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SuRo Capital Corp.;</w:t>
      </w:r>
    </w:p>
    <w:p>
      <w:pPr>
        <w:spacing w:after="0" w:line="244"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jc w:val="both"/>
        <w:ind w:left="620" w:hanging="306"/>
        <w:spacing w:after="0" w:line="272"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7"/>
          <w:szCs w:val="17"/>
          <w:color w:val="auto"/>
        </w:rPr>
      </w:pPr>
    </w:p>
    <w:p>
      <w:pPr>
        <w:jc w:val="both"/>
        <w:ind w:left="940" w:hanging="316"/>
        <w:spacing w:after="0" w:line="272" w:lineRule="auto"/>
        <w:tabs>
          <w:tab w:leader="none" w:pos="937"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jc w:val="both"/>
        <w:ind w:left="940" w:hanging="316"/>
        <w:spacing w:after="0" w:line="272" w:lineRule="auto"/>
        <w:tabs>
          <w:tab w:leader="none" w:pos="934"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940" w:hanging="316"/>
        <w:spacing w:after="0" w:line="291" w:lineRule="auto"/>
        <w:tabs>
          <w:tab w:leader="none" w:pos="937"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jc w:val="both"/>
        <w:ind w:left="940" w:hanging="316"/>
        <w:spacing w:after="0" w:line="272" w:lineRule="auto"/>
        <w:tabs>
          <w:tab w:leader="none" w:pos="934"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Times New Roman" w:cs="Times New Roman" w:eastAsia="Times New Roman" w:hAnsi="Times New Roman"/>
          <w:sz w:val="17"/>
          <w:szCs w:val="17"/>
          <w:color w:val="auto"/>
        </w:rPr>
      </w:pPr>
    </w:p>
    <w:p>
      <w:pPr>
        <w:ind w:left="940" w:hanging="316"/>
        <w:spacing w:after="0" w:line="291" w:lineRule="auto"/>
        <w:tabs>
          <w:tab w:leader="none" w:pos="937"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940" w:hanging="316"/>
        <w:spacing w:after="0" w:line="291" w:lineRule="auto"/>
        <w:tabs>
          <w:tab w:leader="none" w:pos="934"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this 5th day of May, 2022.</w:t>
      </w:r>
    </w:p>
    <w:p>
      <w:pPr>
        <w:spacing w:after="0" w:line="167"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7"/>
          <w:szCs w:val="17"/>
          <w:color w:val="auto"/>
        </w:rPr>
        <w:t>By:</w:t>
        <w:tab/>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19050</wp:posOffset>
            </wp:positionV>
            <wp:extent cx="1601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601470" cy="8255"/>
                    </a:xfrm>
                    <a:prstGeom prst="rect">
                      <a:avLst/>
                    </a:prstGeom>
                    <a:noFill/>
                  </pic:spPr>
                </pic:pic>
              </a:graphicData>
            </a:graphic>
          </wp:anchor>
        </w:drawing>
      </w:r>
    </w:p>
    <w:p>
      <w:pPr>
        <w:spacing w:after="0" w:line="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Allison Green</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ectPr>
          <w:pgSz w:w="11900" w:h="16838" w:orient="portrait"/>
          <w:cols w:equalWidth="0" w:num="1">
            <w:col w:w="11240"/>
          </w:cols>
          <w:pgMar w:left="320" w:top="85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 (18 U.S.C. 1350)</w:t>
      </w:r>
    </w:p>
    <w:p>
      <w:pPr>
        <w:spacing w:after="0" w:line="22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three months ended March 31, 2022 (the “Report”) of SuRo Capital Corp. (the “Registrant”), as filed with the Securities and Exchange Commission on the date hereof, I, Mark D. Klein, the Chief Executive Officer of the Registrant, hereby certify, to the best of my knowledge, that:</w:t>
      </w:r>
    </w:p>
    <w:p>
      <w:pPr>
        <w:spacing w:after="0" w:line="189" w:lineRule="exact"/>
        <w:rPr>
          <w:sz w:val="20"/>
          <w:szCs w:val="20"/>
          <w:color w:val="auto"/>
        </w:rPr>
      </w:pPr>
    </w:p>
    <w:p>
      <w:pPr>
        <w:ind w:left="620" w:hanging="306"/>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14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19050</wp:posOffset>
            </wp:positionV>
            <wp:extent cx="35071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3507105" cy="8255"/>
                    </a:xfrm>
                    <a:prstGeom prst="rect">
                      <a:avLst/>
                    </a:prstGeom>
                    <a:noFill/>
                  </pic:spPr>
                </pic:pic>
              </a:graphicData>
            </a:graphic>
          </wp:anchor>
        </w:drawing>
      </w:r>
    </w:p>
    <w:p>
      <w:pPr>
        <w:spacing w:after="0" w:line="1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b w:val="1"/>
          <w:bCs w:val="1"/>
          <w:color w:val="auto"/>
        </w:rPr>
        <w:t>Name: Mark D. Klein</w:t>
      </w:r>
    </w:p>
    <w:p>
      <w:pPr>
        <w:spacing w:after="0" w:line="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Date: May 5, 2022</w:t>
      </w:r>
    </w:p>
    <w:p>
      <w:pPr>
        <w:sectPr>
          <w:pgSz w:w="11900" w:h="16838" w:orient="portrait"/>
          <w:cols w:equalWidth="0" w:num="1">
            <w:col w:w="11240"/>
          </w:cols>
          <w:pgMar w:left="320" w:top="856"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 (18 U.S.C. 1350)</w:t>
      </w:r>
    </w:p>
    <w:p>
      <w:pPr>
        <w:spacing w:after="0" w:line="22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three months ended March 31, 2022 (the “Report”) of SuRo Capital Corp. (the “Registrant”), as filed with the Securities and Exchange Commission on the date hereof, I, Allison Green, the Chief Financial Officer of the Registrant, hereby certify, to the best of my knowledge, that:</w:t>
      </w:r>
    </w:p>
    <w:p>
      <w:pPr>
        <w:spacing w:after="0" w:line="189" w:lineRule="exact"/>
        <w:rPr>
          <w:sz w:val="20"/>
          <w:szCs w:val="20"/>
          <w:color w:val="auto"/>
        </w:rPr>
      </w:pPr>
    </w:p>
    <w:p>
      <w:pPr>
        <w:ind w:left="620" w:hanging="306"/>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14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19050</wp:posOffset>
            </wp:positionV>
            <wp:extent cx="34912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3491230" cy="8255"/>
                    </a:xfrm>
                    <a:prstGeom prst="rect">
                      <a:avLst/>
                    </a:prstGeom>
                    <a:noFill/>
                  </pic:spPr>
                </pic:pic>
              </a:graphicData>
            </a:graphic>
          </wp:anchor>
        </w:drawing>
      </w:r>
    </w:p>
    <w:p>
      <w:pPr>
        <w:spacing w:after="0" w:line="1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b w:val="1"/>
          <w:bCs w:val="1"/>
          <w:color w:val="auto"/>
        </w:rPr>
        <w:t>Name: Allison Green</w:t>
      </w:r>
    </w:p>
    <w:p>
      <w:pPr>
        <w:spacing w:after="0" w:line="3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Date: May 5, 2022</w:t>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decimal"/>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4"/>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1)"/>
      <w:numFmt w:val="decimal"/>
      <w:start w:val="14"/>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5"/>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3"/>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3"/>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2"/>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7"/>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75" Type="http://schemas.openxmlformats.org/officeDocument/2006/relationships/hyperlink" Target="http://www.sec.gov/Archives/edgar/data/1509470/000113379611000069/k216228_ex99-2a.htm" TargetMode="External"/><Relationship Id="rId76" Type="http://schemas.openxmlformats.org/officeDocument/2006/relationships/hyperlink" Target="http://www.sec.gov/Archives/edgar/data/1509470/000114420411033389/v224342_ex3-1.htm" TargetMode="External"/><Relationship Id="rId77" Type="http://schemas.openxmlformats.org/officeDocument/2006/relationships/hyperlink" Target="http://www.sec.gov/Archives/edgar/data/1509470/000114420419037014/tv526412_ex3-1.htm" TargetMode="External"/><Relationship Id="rId78" Type="http://schemas.openxmlformats.org/officeDocument/2006/relationships/hyperlink" Target="http://www.sec.gov/Archives/edgar/data/1509470/000110465920073783/tm2022743d1_ex3-1.htm" TargetMode="External"/><Relationship Id="rId79" Type="http://schemas.openxmlformats.org/officeDocument/2006/relationships/hyperlink" Target="http://www.sec.gov/Archives/edgar/data/1509470/000114420419037014/tv526412_ex3-2.htm" TargetMode="External"/><Relationship Id="rId80" Type="http://schemas.openxmlformats.org/officeDocument/2006/relationships/hyperlink" Target="http://www.sec.gov/Archives/edgar/data/1509470/000110465920080689/tm2023838d1_ex-d3.htm" TargetMode="External"/><Relationship Id="rId81" Type="http://schemas.openxmlformats.org/officeDocument/2006/relationships/hyperlink" Target="https://www.sec.gov/Archives/edgar/data/0001509470/000110465921150924/tm2135610d1_ex4-2.htm" TargetMode="External"/><Relationship Id="rId82" Type="http://schemas.openxmlformats.org/officeDocument/2006/relationships/hyperlink" Target="https://www.sec.gov/Archives/edgar/data/0001509470/000110465921150924/tm2135610d1_ex4-2.htm#S1" TargetMode="External"/><Relationship Id="rId83" Type="http://schemas.openxmlformats.org/officeDocument/2006/relationships/hyperlink" Target="https://www.sec.gov/Archives/edgar/data/0001509470/000162828022005867/surocapital-form10xkex45.htm" TargetMode="External"/><Relationship Id="rId84" Type="http://schemas.openxmlformats.org/officeDocument/2006/relationships/hyperlink" Target="https://www.sec.gov/Archives/edgar/data/0001509470/000162828022005867/a1010greensecondamendeda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2022-05-05T13:10:02Z</dcterms:created>
  <dcterms:modified xsi:type="dcterms:W3CDTF">2022-05-05T13:10:02Z</dcterms:modified>
</cp:coreProperties>
</file>