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spacing w:after="0"/>
        <w:tabs>
          <w:tab w:leader="none" w:pos="1660" w:val="left"/>
        </w:tabs>
        <w:rPr>
          <w:sz w:val="20"/>
          <w:szCs w:val="20"/>
          <w:color w:val="auto"/>
        </w:rPr>
      </w:pPr>
      <w:r>
        <w:rPr>
          <w:rFonts w:ascii="MS PGothic" w:cs="MS PGothic" w:eastAsia="MS PGothic" w:hAnsi="MS PGothic"/>
          <w:sz w:val="17"/>
          <w:szCs w:val="17"/>
          <w:color w:val="auto"/>
          <w:highlight w:val="black"/>
        </w:rPr>
        <w:t>☒</w:t>
      </w:r>
      <w:r>
        <w:rPr>
          <w:sz w:val="20"/>
          <w:szCs w:val="20"/>
          <w:color w:val="auto"/>
        </w:rPr>
        <w:tab/>
      </w:r>
      <w:r>
        <w:rPr>
          <w:rFonts w:ascii="Arial" w:cs="Arial" w:eastAsia="Arial" w:hAnsi="Arial"/>
          <w:sz w:val="17"/>
          <w:szCs w:val="17"/>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ectPr>
          <w:pgSz w:w="11900" w:h="16838" w:orient="portrait"/>
          <w:cols w:equalWidth="0" w:num="1">
            <w:col w:w="11420"/>
          </w:cols>
          <w:pgMar w:left="240" w:top="679" w:right="239" w:bottom="1440" w:gutter="0" w:footer="0" w:header="0"/>
        </w:sectPr>
      </w:pP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ind w:right="500" w:hanging="2219"/>
        <w:spacing w:after="0" w:line="38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814-00852</w:t>
      </w:r>
    </w:p>
    <w:p>
      <w:pPr>
        <w:spacing w:after="0" w:line="1" w:lineRule="exact"/>
        <w:rPr>
          <w:sz w:val="24"/>
          <w:szCs w:val="24"/>
          <w:color w:val="auto"/>
        </w:rPr>
      </w:pPr>
    </w:p>
    <w:p>
      <w:pPr>
        <w:sectPr>
          <w:pgSz w:w="11900" w:h="16838" w:orient="portrait"/>
          <w:cols w:equalWidth="0" w:num="2">
            <w:col w:w="3260" w:space="720"/>
            <w:col w:w="7440"/>
          </w:cols>
          <w:pgMar w:left="240" w:top="679" w:right="239" w:bottom="1440" w:gutter="0" w:footer="0" w:header="0"/>
          <w:type w:val="continuous"/>
        </w:sectPr>
      </w:pPr>
    </w:p>
    <w:p>
      <w:pPr>
        <w:jc w:val="center"/>
        <w:spacing w:after="0"/>
        <w:rPr>
          <w:sz w:val="20"/>
          <w:szCs w:val="20"/>
          <w:color w:val="auto"/>
        </w:rPr>
      </w:pPr>
      <w:r>
        <w:rPr>
          <w:rFonts w:ascii="Arial" w:cs="Arial" w:eastAsia="Arial" w:hAnsi="Arial"/>
          <w:sz w:val="43"/>
          <w:szCs w:val="43"/>
          <w:b w:val="1"/>
          <w:bCs w:val="1"/>
          <w:color w:val="auto"/>
        </w:rPr>
        <w:t>GSV Capital Corp.</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420"/>
          </w:cols>
          <w:pgMar w:left="240" w:top="679" w:right="239" w:bottom="1440" w:gutter="0" w:footer="0" w:header="0"/>
          <w:type w:val="continuous"/>
        </w:sectPr>
      </w:pPr>
    </w:p>
    <w:p>
      <w:pPr>
        <w:spacing w:after="0" w:line="22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27-4443543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679" w:right="239" w:bottom="1440" w:gutter="0" w:footer="0" w:header="0"/>
          <w:type w:val="continuous"/>
        </w:sectPr>
      </w:pPr>
    </w:p>
    <w:p>
      <w:pPr>
        <w:spacing w:after="0" w:line="30"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2965 Woodside Road</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Woodside, CA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60"/>
        <w:spacing w:after="0"/>
        <w:rPr>
          <w:sz w:val="20"/>
          <w:szCs w:val="20"/>
          <w:color w:val="auto"/>
        </w:rPr>
      </w:pPr>
      <w:r>
        <w:rPr>
          <w:rFonts w:ascii="Arial" w:cs="Arial" w:eastAsia="Arial" w:hAnsi="Arial"/>
          <w:sz w:val="18"/>
          <w:szCs w:val="18"/>
          <w:b w:val="1"/>
          <w:bCs w:val="1"/>
          <w:color w:val="auto"/>
        </w:rPr>
        <w:t>94062</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67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206-2965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679" w:right="239" w:bottom="1440" w:gutter="0" w:footer="0" w:header="0"/>
          <w:type w:val="continuous"/>
        </w:sectPr>
      </w:pPr>
    </w:p>
    <w:p>
      <w:pPr>
        <w:spacing w:after="0" w:line="23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679"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20" w:space="720"/>
            <w:col w:w="4760" w:space="720"/>
            <w:col w:w="2140" w:space="720"/>
            <w:col w:w="440"/>
          </w:cols>
          <w:pgMar w:left="240" w:top="67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920" w:space="720"/>
            <w:col w:w="160" w:space="100"/>
            <w:col w:w="4500" w:space="720"/>
            <w:col w:w="2140" w:space="720"/>
            <w:col w:w="440"/>
          </w:cols>
          <w:pgMar w:left="240" w:top="679" w:right="239" w:bottom="1440" w:gutter="0" w:footer="0" w:header="0"/>
          <w:type w:val="continuous"/>
        </w:sectPr>
      </w:pPr>
    </w:p>
    <w:p>
      <w:pPr>
        <w:spacing w:after="0" w:line="4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8680" w:space="160"/>
            <w:col w:w="560" w:space="220"/>
            <w:col w:w="220" w:space="140"/>
            <w:col w:w="1440"/>
          </w:cols>
          <w:pgMar w:left="240" w:top="67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$0.01 par value, outstanding as of August 8, 2012 was 19,320,100.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PAGE</w:t>
            </w:r>
          </w:p>
        </w:tc>
      </w:tr>
      <w:tr>
        <w:trPr>
          <w:trHeight w:val="411"/>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600" w:type="dxa"/>
            <w:vAlign w:val="bottom"/>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182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7"/>
              </w:rPr>
              <w:t>Consolidated Statements of Assets and Liabilities as of June 30, 2012 (unaudited) and December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5"/>
              </w:rPr>
              <w:t>Consolidated Statements of Operations (unaudited) for the three and six months ended June 30, 2012, for the</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w w:val="90"/>
              </w:rPr>
              <w:t>three months ended June 30, 2011 and for the period from January 6, 2011 (date of inception) to June 30,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3"/>
              </w:rPr>
              <w:t>Consolidated Statements of Changes in Net Assets (unaudited) for the six months ended June 30, 2012 and for</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the period from January 6, 2011 (date of inception) to June 30,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3"/>
              </w:rPr>
              <w:t>Consolidated Statements of Cash Flows (unaudited) for the six months ended June 30, 2012 and for the period</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from January 6, 2011 (date of inception) to</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June 30,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Consolidated Schedule of Investments as of June 30, 2012 (unaudited)</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Schedule of Investments as of December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Notes to the Consolidated Financial Statements as of June 30, 2012 (unaudited)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60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60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600" w:type="dxa"/>
            <w:vAlign w:val="bottom"/>
          </w:tcPr>
          <w:p>
            <w:pPr>
              <w:ind w:left="280"/>
              <w:spacing w:after="0"/>
              <w:rPr>
                <w:sz w:val="20"/>
                <w:szCs w:val="20"/>
                <w:color w:val="auto"/>
              </w:rPr>
            </w:pPr>
            <w:r>
              <w:rPr>
                <w:rFonts w:ascii="Arial" w:cs="Arial" w:eastAsia="Arial" w:hAnsi="Arial"/>
                <w:sz w:val="18"/>
                <w:szCs w:val="18"/>
                <w:b w:val="1"/>
                <w:bCs w:val="1"/>
                <w:color w:val="auto"/>
              </w:rPr>
              <w:t>OTHER INFORMATION</w:t>
            </w:r>
          </w:p>
        </w:tc>
        <w:tc>
          <w:tcPr>
            <w:tcW w:w="182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60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60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tcPr>
          <w:p>
            <w:pPr>
              <w:ind w:left="280"/>
              <w:spacing w:after="0"/>
              <w:rPr>
                <w:sz w:val="20"/>
                <w:szCs w:val="20"/>
                <w:color w:val="auto"/>
              </w:rPr>
            </w:pPr>
            <w:r>
              <w:rPr>
                <w:rFonts w:ascii="Arial" w:cs="Arial" w:eastAsia="Arial" w:hAnsi="Arial"/>
                <w:sz w:val="18"/>
                <w:szCs w:val="18"/>
                <w:color w:val="auto"/>
              </w:rPr>
              <w:t>Defaults Upon Senior Securities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600" w:type="dxa"/>
            <w:vAlign w:val="bottom"/>
          </w:tcPr>
          <w:p>
            <w:pPr>
              <w:ind w:left="280"/>
              <w:spacing w:after="0"/>
              <w:rPr>
                <w:sz w:val="20"/>
                <w:szCs w:val="20"/>
                <w:color w:val="auto"/>
              </w:rPr>
            </w:pPr>
            <w:r>
              <w:rPr>
                <w:rFonts w:ascii="Arial" w:cs="Arial" w:eastAsia="Arial" w:hAnsi="Arial"/>
                <w:sz w:val="18"/>
                <w:szCs w:val="18"/>
                <w:color w:val="auto"/>
              </w:rPr>
              <w:t>Mine Safety Disclosure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600" w:type="dxa"/>
            <w:vAlign w:val="bottom"/>
          </w:tcPr>
          <w:p>
            <w:pPr>
              <w:ind w:left="280"/>
              <w:spacing w:after="0"/>
              <w:rPr>
                <w:sz w:val="20"/>
                <w:szCs w:val="20"/>
                <w:color w:val="auto"/>
              </w:rPr>
            </w:pPr>
            <w:r>
              <w:rPr>
                <w:rFonts w:ascii="Arial" w:cs="Arial" w:eastAsia="Arial" w:hAnsi="Arial"/>
                <w:sz w:val="18"/>
                <w:szCs w:val="18"/>
                <w:color w:val="auto"/>
              </w:rPr>
              <w:t>Other Information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60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30"/>
        </w:trPr>
        <w:tc>
          <w:tcPr>
            <w:tcW w:w="1000" w:type="dxa"/>
            <w:vAlign w:val="bottom"/>
          </w:tcPr>
          <w:p>
            <w:pPr>
              <w:spacing w:after="0"/>
              <w:rPr>
                <w:sz w:val="20"/>
                <w:szCs w:val="20"/>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Signatures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648"/>
        </w:trPr>
        <w:tc>
          <w:tcPr>
            <w:tcW w:w="100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June 30, 2012</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2011</w:t>
            </w:r>
          </w:p>
        </w:tc>
        <w:tc>
          <w:tcPr>
            <w:tcW w:w="0" w:type="dxa"/>
            <w:vAlign w:val="bottom"/>
          </w:tcPr>
          <w:p>
            <w:pPr>
              <w:spacing w:after="0"/>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80"/>
              <w:spacing w:after="0"/>
              <w:rPr>
                <w:sz w:val="20"/>
                <w:szCs w:val="20"/>
                <w:color w:val="auto"/>
              </w:rPr>
            </w:pPr>
            <w:r>
              <w:rPr>
                <w:rFonts w:ascii="Arial" w:cs="Arial" w:eastAsia="Arial" w:hAnsi="Arial"/>
                <w:sz w:val="18"/>
                <w:szCs w:val="18"/>
                <w:color w:val="auto"/>
              </w:rPr>
              <w:t>Investments in affiliated securities (cost of $19,828,912 and $0, respectively)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19,962,743</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w w:val="92"/>
              </w:rPr>
              <w:t>Investments in non-control/non-affiliated securities (cost of $154,352,615 and $65,658,866, respectively)</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151,635,667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64,078,150</w:t>
            </w:r>
          </w:p>
        </w:tc>
        <w:tc>
          <w:tcPr>
            <w:tcW w:w="0" w:type="dxa"/>
            <w:vAlign w:val="bottom"/>
          </w:tcPr>
          <w:p>
            <w:pPr>
              <w:spacing w:after="0"/>
              <w:rPr>
                <w:sz w:val="1"/>
                <w:szCs w:val="1"/>
                <w:color w:val="auto"/>
              </w:rPr>
            </w:pPr>
          </w:p>
        </w:tc>
      </w:tr>
      <w:tr>
        <w:trPr>
          <w:trHeight w:val="216"/>
        </w:trPr>
        <w:tc>
          <w:tcPr>
            <w:tcW w:w="7980" w:type="dxa"/>
            <w:vAlign w:val="bottom"/>
          </w:tcPr>
          <w:p>
            <w:pPr>
              <w:ind w:left="260"/>
              <w:spacing w:after="0"/>
              <w:rPr>
                <w:sz w:val="20"/>
                <w:szCs w:val="20"/>
                <w:color w:val="auto"/>
              </w:rPr>
            </w:pPr>
            <w:r>
              <w:rPr>
                <w:rFonts w:ascii="Arial" w:cs="Arial" w:eastAsia="Arial" w:hAnsi="Arial"/>
                <w:sz w:val="18"/>
                <w:szCs w:val="18"/>
                <w:color w:val="auto"/>
              </w:rPr>
              <w:t>Investment in United States treasury bill (cost of $0 and $19,999,128,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c>
          <w:tcPr>
            <w:tcW w:w="0" w:type="dxa"/>
            <w:vAlign w:val="bottom"/>
          </w:tcPr>
          <w:p>
            <w:pPr>
              <w:spacing w:after="0"/>
              <w:rPr>
                <w:sz w:val="1"/>
                <w:szCs w:val="1"/>
                <w:color w:val="auto"/>
              </w:rPr>
            </w:pPr>
          </w:p>
        </w:tc>
      </w:tr>
      <w:tr>
        <w:trPr>
          <w:trHeight w:val="230"/>
        </w:trPr>
        <w:tc>
          <w:tcPr>
            <w:tcW w:w="79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Investments in money market funds (cost of $16,000,000 and $7,000,000, respectively)</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16,000,000</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0"/>
        </w:trPr>
        <w:tc>
          <w:tcPr>
            <w:tcW w:w="7980" w:type="dxa"/>
            <w:vAlign w:val="bottom"/>
          </w:tcPr>
          <w:p>
            <w:pPr>
              <w:ind w:left="400"/>
              <w:spacing w:after="0"/>
              <w:rPr>
                <w:sz w:val="20"/>
                <w:szCs w:val="20"/>
                <w:color w:val="auto"/>
              </w:rPr>
            </w:pPr>
            <w:r>
              <w:rPr>
                <w:rFonts w:ascii="Arial" w:cs="Arial" w:eastAsia="Arial" w:hAnsi="Arial"/>
                <w:sz w:val="18"/>
                <w:szCs w:val="18"/>
                <w:color w:val="auto"/>
              </w:rPr>
              <w:t>Total Investments (cost of $190,181,527 and $92,657,994, respectively)</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187,598,410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79,617,068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385,995</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from:</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80"/>
              <w:spacing w:after="0"/>
              <w:rPr>
                <w:sz w:val="20"/>
                <w:szCs w:val="20"/>
                <w:color w:val="auto"/>
              </w:rPr>
            </w:pPr>
            <w:r>
              <w:rPr>
                <w:rFonts w:ascii="Arial" w:cs="Arial" w:eastAsia="Arial" w:hAnsi="Arial"/>
                <w:sz w:val="18"/>
                <w:szCs w:val="18"/>
                <w:color w:val="auto"/>
              </w:rPr>
              <w:t>GSV Asset Management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5,901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Portfolio company</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246,065</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9,399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158,389</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191,639</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92,750</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56,436</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Dividend receivable</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83,606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7980" w:type="dxa"/>
            <w:vAlign w:val="bottom"/>
            <w:tcBorders>
              <w:top w:val="single" w:sz="8" w:color="CCFFCC"/>
            </w:tcBorders>
            <w:shd w:val="clear" w:color="auto" w:fill="CCFFCC"/>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267,754,402</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91,798,242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Due to:</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GSV Asset Management</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17,159</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78,427</w:t>
            </w:r>
          </w:p>
        </w:tc>
        <w:tc>
          <w:tcPr>
            <w:tcW w:w="0" w:type="dxa"/>
            <w:vAlign w:val="bottom"/>
          </w:tcPr>
          <w:p>
            <w:pPr>
              <w:spacing w:after="0"/>
              <w:rPr>
                <w:sz w:val="1"/>
                <w:szCs w:val="1"/>
                <w:color w:val="auto"/>
              </w:rPr>
            </w:pPr>
          </w:p>
        </w:tc>
      </w:tr>
      <w:tr>
        <w:trPr>
          <w:trHeight w:val="216"/>
        </w:trPr>
        <w:tc>
          <w:tcPr>
            <w:tcW w:w="7980" w:type="dxa"/>
            <w:vAlign w:val="bottom"/>
          </w:tcPr>
          <w:p>
            <w:pPr>
              <w:ind w:left="280"/>
              <w:spacing w:after="0"/>
              <w:rPr>
                <w:sz w:val="20"/>
                <w:szCs w:val="20"/>
                <w:color w:val="auto"/>
              </w:rPr>
            </w:pPr>
            <w:r>
              <w:rPr>
                <w:rFonts w:ascii="Arial" w:cs="Arial" w:eastAsia="Arial" w:hAnsi="Arial"/>
                <w:sz w:val="18"/>
                <w:szCs w:val="18"/>
                <w:color w:val="auto"/>
              </w:rPr>
              <w:t>Other affiliates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12,717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Payable for unsettled securities transaction</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19,999,128</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705,028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206,357</w:t>
            </w:r>
          </w:p>
        </w:tc>
        <w:tc>
          <w:tcPr>
            <w:tcW w:w="0" w:type="dxa"/>
            <w:vAlign w:val="bottom"/>
          </w:tcPr>
          <w:p>
            <w:pPr>
              <w:spacing w:after="0"/>
              <w:rPr>
                <w:sz w:val="1"/>
                <w:szCs w:val="1"/>
                <w:color w:val="auto"/>
              </w:rPr>
            </w:pPr>
          </w:p>
        </w:tc>
      </w:tr>
      <w:tr>
        <w:trPr>
          <w:trHeight w:val="230"/>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159,444</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FFC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894,348</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20,294,994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Commitments and contingencies (Note 6)</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980" w:type="dxa"/>
            <w:vAlign w:val="bottom"/>
          </w:tcPr>
          <w:p>
            <w:pPr>
              <w:ind w:left="180"/>
              <w:spacing w:after="0"/>
              <w:rPr>
                <w:sz w:val="20"/>
                <w:szCs w:val="20"/>
                <w:color w:val="auto"/>
              </w:rPr>
            </w:pPr>
            <w:r>
              <w:rPr>
                <w:rFonts w:ascii="Arial" w:cs="Arial" w:eastAsia="Arial" w:hAnsi="Arial"/>
                <w:sz w:val="18"/>
                <w:szCs w:val="18"/>
                <w:b w:val="1"/>
                <w:bCs w:val="1"/>
                <w:color w:val="auto"/>
              </w:rPr>
              <w:t>Net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266,860,054</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197"/>
        </w:trPr>
        <w:tc>
          <w:tcPr>
            <w:tcW w:w="79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b w:val="1"/>
                <w:bCs w:val="1"/>
                <w:color w:val="auto"/>
              </w:rPr>
              <w:t>NET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Common stock, par value $0.01 per share</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(100,000,000 authorized; 19,320,100 and 5,520,100 issued and outstanding, respectively)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193,201</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Paid-in capital in excess of par</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273,804,610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73,027,847</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net investment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(3,174,121)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Accumulated net realized loss on investments</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(1,380,519)</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net unrealized depreciation on investments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(2,583,117)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23"/>
        </w:trPr>
        <w:tc>
          <w:tcPr>
            <w:tcW w:w="7980" w:type="dxa"/>
            <w:vAlign w:val="bottom"/>
            <w:tcBorders>
              <w:top w:val="single" w:sz="8" w:color="CCFFCC"/>
              <w:bottom w:val="single" w:sz="8" w:color="CCFFCC"/>
            </w:tcBorders>
            <w:shd w:val="clear" w:color="auto" w:fill="CCFFCC"/>
          </w:tcPr>
          <w:p>
            <w:pPr>
              <w:ind w:left="500"/>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266,860,054</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71,503,248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FFC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13.81</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
        </w:trPr>
        <w:tc>
          <w:tcPr>
            <w:tcW w:w="79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558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FFC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21"/>
                <w:szCs w:val="21"/>
                <w:color w:val="auto"/>
              </w:rPr>
            </w:pPr>
          </w:p>
        </w:tc>
        <w:tc>
          <w:tcPr>
            <w:tcW w:w="80" w:type="dxa"/>
            <w:vAlign w:val="bottom"/>
            <w:tcBorders>
              <w:bottom w:val="single" w:sz="8" w:color="CCFFC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line="251" w:lineRule="exact"/>
              <w:rPr>
                <w:sz w:val="20"/>
                <w:szCs w:val="20"/>
                <w:color w:val="auto"/>
              </w:rPr>
            </w:pPr>
            <w:r>
              <w:rPr>
                <w:rFonts w:ascii="Arial" w:cs="Arial" w:eastAsia="Arial" w:hAnsi="Arial"/>
                <w:sz w:val="18"/>
                <w:szCs w:val="18"/>
                <w:b w:val="1"/>
                <w:bCs w:val="1"/>
                <w:color w:val="auto"/>
                <w:w w:val="91"/>
              </w:rPr>
              <w:t>2011</w:t>
            </w:r>
            <w:r>
              <w:rPr>
                <w:rFonts w:ascii="Arial" w:cs="Arial" w:eastAsia="Arial" w:hAnsi="Arial"/>
                <w:sz w:val="29"/>
                <w:szCs w:val="29"/>
                <w:b w:val="1"/>
                <w:bCs w:val="1"/>
                <w:color w:val="auto"/>
                <w:w w:val="91"/>
                <w:vertAlign w:val="superscript"/>
              </w:rPr>
              <w:t>(1)</w:t>
            </w:r>
          </w:p>
        </w:tc>
        <w:tc>
          <w:tcPr>
            <w:tcW w:w="20" w:type="dxa"/>
            <w:vAlign w:val="bottom"/>
            <w:tcBorders>
              <w:bottom w:val="single" w:sz="8" w:color="CCFFCC"/>
            </w:tcBorders>
          </w:tcPr>
          <w:p>
            <w:pPr>
              <w:spacing w:after="0"/>
              <w:rPr>
                <w:sz w:val="21"/>
                <w:szCs w:val="21"/>
                <w:color w:val="auto"/>
              </w:rPr>
            </w:pPr>
          </w:p>
        </w:tc>
        <w:tc>
          <w:tcPr>
            <w:tcW w:w="200" w:type="dxa"/>
            <w:vAlign w:val="bottom"/>
            <w:tcBorders>
              <w:bottom w:val="single" w:sz="8" w:color="CCFFCC"/>
            </w:tcBorders>
          </w:tcPr>
          <w:p>
            <w:pPr>
              <w:spacing w:after="0"/>
              <w:rPr>
                <w:sz w:val="21"/>
                <w:szCs w:val="21"/>
                <w:color w:val="auto"/>
              </w:rPr>
            </w:pPr>
          </w:p>
        </w:tc>
      </w:tr>
      <w:tr>
        <w:trPr>
          <w:trHeight w:val="210"/>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Interest income from affiliated securities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7,808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7,808</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95,075</w:t>
            </w: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207,176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0"/>
        </w:trPr>
        <w:tc>
          <w:tcPr>
            <w:tcW w:w="5580" w:type="dxa"/>
            <w:vAlign w:val="bottom"/>
          </w:tcPr>
          <w:p>
            <w:pPr>
              <w:ind w:left="100"/>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13,175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5580" w:type="dxa"/>
            <w:vAlign w:val="bottom"/>
            <w:tcBorders>
              <w:top w:val="single" w:sz="8" w:color="CCFFCC"/>
            </w:tcBorders>
            <w:shd w:val="clear" w:color="auto" w:fill="CCFFCC"/>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110,354</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228,159</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r>
      <w:tr>
        <w:trPr>
          <w:trHeight w:val="210"/>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Investment management fees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1,126,091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150,943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Costs incurred under administration agreement</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602,201</w:t>
            </w:r>
          </w:p>
        </w:tc>
        <w:tc>
          <w:tcPr>
            <w:tcW w:w="3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113,035</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947,795</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113,035</w:t>
            </w: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Directors’ fees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42,500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42,500</w:t>
            </w:r>
          </w:p>
        </w:tc>
        <w:tc>
          <w:tcPr>
            <w:tcW w:w="200" w:type="dxa"/>
            <w:vAlign w:val="bottom"/>
          </w:tcPr>
          <w:p>
            <w:pPr>
              <w:spacing w:after="0"/>
              <w:rPr>
                <w:sz w:val="18"/>
                <w:szCs w:val="18"/>
                <w:color w:val="auto"/>
              </w:rPr>
            </w:pPr>
          </w:p>
        </w:tc>
      </w:tr>
      <w:tr>
        <w:trPr>
          <w:trHeight w:val="216"/>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222,561</w:t>
            </w:r>
          </w:p>
        </w:tc>
        <w:tc>
          <w:tcPr>
            <w:tcW w:w="3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102,582</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354,406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118,632</w:t>
            </w: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Insurance expense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55,485</w:t>
            </w: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48,109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48,109</w:t>
            </w:r>
          </w:p>
        </w:tc>
        <w:tc>
          <w:tcPr>
            <w:tcW w:w="200" w:type="dxa"/>
            <w:vAlign w:val="bottom"/>
          </w:tcPr>
          <w:p>
            <w:pPr>
              <w:spacing w:after="0"/>
              <w:rPr>
                <w:sz w:val="18"/>
                <w:szCs w:val="18"/>
                <w:color w:val="auto"/>
              </w:rPr>
            </w:pPr>
          </w:p>
        </w:tc>
      </w:tr>
      <w:tr>
        <w:trPr>
          <w:trHeight w:val="216"/>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Investor relations expense</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95,038</w:t>
            </w:r>
          </w:p>
        </w:tc>
        <w:tc>
          <w:tcPr>
            <w:tcW w:w="3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109,288</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Organization expenses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97,855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192,495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55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24,097</w:t>
            </w:r>
          </w:p>
        </w:tc>
        <w:tc>
          <w:tcPr>
            <w:tcW w:w="3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9,531</w:t>
            </w:r>
          </w:p>
        </w:tc>
        <w:tc>
          <w:tcPr>
            <w:tcW w:w="28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33,120</w:t>
            </w: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9,649</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r>
      <w:tr>
        <w:trPr>
          <w:trHeight w:val="210"/>
        </w:trPr>
        <w:tc>
          <w:tcPr>
            <w:tcW w:w="5580" w:type="dxa"/>
            <w:vAlign w:val="bottom"/>
            <w:tcBorders>
              <w:bottom w:val="single" w:sz="8" w:color="CCFFCC"/>
            </w:tcBorders>
          </w:tcPr>
          <w:p>
            <w:pPr>
              <w:ind w:left="4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2,190,473</w:t>
            </w:r>
          </w:p>
        </w:tc>
        <w:tc>
          <w:tcPr>
            <w:tcW w:w="22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565,305</w:t>
            </w:r>
          </w:p>
        </w:tc>
        <w:tc>
          <w:tcPr>
            <w:tcW w:w="20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3,402,280</w:t>
            </w:r>
          </w:p>
        </w:tc>
        <w:tc>
          <w:tcPr>
            <w:tcW w:w="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676,113</w:t>
            </w:r>
          </w:p>
        </w:tc>
        <w:tc>
          <w:tcPr>
            <w:tcW w:w="2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r>
      <w:tr>
        <w:trPr>
          <w:trHeight w:val="210"/>
        </w:trPr>
        <w:tc>
          <w:tcPr>
            <w:tcW w:w="55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b w:val="1"/>
                <w:bCs w:val="1"/>
                <w:color w:val="auto"/>
              </w:rPr>
              <w:t>Net Investment Loss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(2,080,119)</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(565,305)</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(3,174,121)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85"/>
              <w:spacing w:after="0"/>
              <w:rPr>
                <w:sz w:val="20"/>
                <w:szCs w:val="20"/>
                <w:color w:val="auto"/>
              </w:rPr>
            </w:pPr>
            <w:r>
              <w:rPr>
                <w:rFonts w:ascii="Arial" w:cs="Arial" w:eastAsia="Arial" w:hAnsi="Arial"/>
                <w:sz w:val="18"/>
                <w:szCs w:val="18"/>
                <w:color w:val="auto"/>
              </w:rPr>
              <w:t>(676,113)</w:t>
            </w:r>
          </w:p>
        </w:tc>
      </w:tr>
      <w:tr>
        <w:trPr>
          <w:trHeight w:val="216"/>
        </w:trPr>
        <w:tc>
          <w:tcPr>
            <w:tcW w:w="55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b w:val="1"/>
                <w:bCs w:val="1"/>
                <w:color w:val="auto"/>
              </w:rPr>
              <w:t>Net Realized Loss on Investments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(1,380,263)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(1,380,519)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spacing w:after="0"/>
              <w:rPr>
                <w:sz w:val="18"/>
                <w:szCs w:val="18"/>
                <w:color w:val="auto"/>
              </w:rPr>
            </w:pPr>
          </w:p>
        </w:tc>
      </w:tr>
      <w:tr>
        <w:trPr>
          <w:trHeight w:val="230"/>
        </w:trPr>
        <w:tc>
          <w:tcPr>
            <w:tcW w:w="5580" w:type="dxa"/>
            <w:vAlign w:val="bottom"/>
          </w:tcPr>
          <w:p>
            <w:pPr>
              <w:ind w:left="320"/>
              <w:spacing w:after="0"/>
              <w:rPr>
                <w:sz w:val="20"/>
                <w:szCs w:val="20"/>
                <w:color w:val="auto"/>
              </w:rPr>
            </w:pPr>
            <w:r>
              <w:rPr>
                <w:rFonts w:ascii="Arial" w:cs="Arial" w:eastAsia="Arial" w:hAnsi="Arial"/>
                <w:sz w:val="18"/>
                <w:szCs w:val="18"/>
                <w:b w:val="1"/>
                <w:bCs w:val="1"/>
                <w:color w:val="auto"/>
              </w:rPr>
              <w:t>Net Change in Unrealized Depreciation on Investments</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(2,014,512)</w:t>
            </w:r>
          </w:p>
        </w:tc>
        <w:tc>
          <w:tcPr>
            <w:tcW w:w="3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(59,634)</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(1,003,317)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ind w:right="85"/>
              <w:spacing w:after="0"/>
              <w:rPr>
                <w:sz w:val="20"/>
                <w:szCs w:val="20"/>
                <w:color w:val="auto"/>
              </w:rPr>
            </w:pPr>
            <w:r>
              <w:rPr>
                <w:rFonts w:ascii="Arial" w:cs="Arial" w:eastAsia="Arial" w:hAnsi="Arial"/>
                <w:sz w:val="18"/>
                <w:szCs w:val="18"/>
                <w:color w:val="auto"/>
              </w:rPr>
              <w:t>(59,634)</w:t>
            </w:r>
          </w:p>
        </w:tc>
      </w:tr>
      <w:tr>
        <w:trPr>
          <w:trHeight w:val="210"/>
        </w:trPr>
        <w:tc>
          <w:tcPr>
            <w:tcW w:w="55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r>
      <w:tr>
        <w:trPr>
          <w:trHeight w:val="283"/>
        </w:trPr>
        <w:tc>
          <w:tcPr>
            <w:tcW w:w="5580" w:type="dxa"/>
            <w:vAlign w:val="bottom"/>
          </w:tcPr>
          <w:p>
            <w:pPr>
              <w:ind w:left="3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(5,474,894)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(624,939)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(5,557,957)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5"/>
              <w:spacing w:after="0"/>
              <w:rPr>
                <w:sz w:val="20"/>
                <w:szCs w:val="20"/>
                <w:color w:val="auto"/>
              </w:rPr>
            </w:pPr>
            <w:r>
              <w:rPr>
                <w:rFonts w:ascii="Arial" w:cs="Arial" w:eastAsia="Arial" w:hAnsi="Arial"/>
                <w:sz w:val="18"/>
                <w:szCs w:val="18"/>
                <w:color w:val="auto"/>
              </w:rPr>
              <w:t>(735,747)</w:t>
            </w:r>
          </w:p>
        </w:tc>
      </w:tr>
      <w:tr>
        <w:trPr>
          <w:trHeight w:val="197"/>
        </w:trPr>
        <w:tc>
          <w:tcPr>
            <w:tcW w:w="558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r>
      <w:tr>
        <w:trPr>
          <w:trHeight w:val="198"/>
        </w:trPr>
        <w:tc>
          <w:tcPr>
            <w:tcW w:w="558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Net Decrease in Net Assets Resulting from Operations per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01"/>
        </w:trPr>
        <w:tc>
          <w:tcPr>
            <w:tcW w:w="5580" w:type="dxa"/>
            <w:vAlign w:val="bottom"/>
          </w:tcPr>
          <w:p>
            <w:pPr>
              <w:ind w:left="480"/>
              <w:spacing w:after="0"/>
              <w:rPr>
                <w:sz w:val="20"/>
                <w:szCs w:val="20"/>
                <w:color w:val="auto"/>
              </w:rPr>
            </w:pPr>
            <w:r>
              <w:rPr>
                <w:rFonts w:ascii="Arial" w:cs="Arial" w:eastAsia="Arial" w:hAnsi="Arial"/>
                <w:sz w:val="18"/>
                <w:szCs w:val="18"/>
                <w:b w:val="1"/>
                <w:bCs w:val="1"/>
                <w:color w:val="auto"/>
              </w:rPr>
              <w:t>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5"/>
              <w:spacing w:after="0"/>
              <w:rPr>
                <w:sz w:val="20"/>
                <w:szCs w:val="20"/>
                <w:color w:val="auto"/>
              </w:rPr>
            </w:pPr>
            <w:r>
              <w:rPr>
                <w:rFonts w:ascii="Arial" w:cs="Arial" w:eastAsia="Arial" w:hAnsi="Arial"/>
                <w:sz w:val="18"/>
                <w:szCs w:val="18"/>
                <w:color w:val="auto"/>
              </w:rPr>
              <w:t>(0.42)</w:t>
            </w:r>
          </w:p>
        </w:tc>
      </w:tr>
      <w:tr>
        <w:trPr>
          <w:trHeight w:val="197"/>
        </w:trPr>
        <w:tc>
          <w:tcPr>
            <w:tcW w:w="558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r>
      <w:tr>
        <w:trPr>
          <w:trHeight w:val="284"/>
        </w:trPr>
        <w:tc>
          <w:tcPr>
            <w:tcW w:w="5580" w:type="dxa"/>
            <w:vAlign w:val="bottom"/>
          </w:tcPr>
          <w:p>
            <w:pPr>
              <w:ind w:left="320"/>
              <w:spacing w:after="0"/>
              <w:rPr>
                <w:sz w:val="20"/>
                <w:szCs w:val="20"/>
                <w:color w:val="auto"/>
              </w:rPr>
            </w:pPr>
            <w:r>
              <w:rPr>
                <w:rFonts w:ascii="Arial" w:cs="Arial" w:eastAsia="Arial" w:hAnsi="Arial"/>
                <w:sz w:val="18"/>
                <w:szCs w:val="18"/>
                <w:b w:val="1"/>
                <w:bCs w:val="1"/>
                <w:color w:val="auto"/>
              </w:rPr>
              <w:t>Weighted Average Common Shares Outstanding</w:t>
            </w:r>
          </w:p>
        </w:tc>
        <w:tc>
          <w:tcPr>
            <w:tcW w:w="2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16,287,133</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2,345,595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12,837,133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1,735,385</w:t>
            </w: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w w:val="97"/>
              </w:rPr>
              <w:t>(2)</w:t>
            </w:r>
          </w:p>
        </w:tc>
      </w:tr>
      <w:tr>
        <w:trPr>
          <w:trHeight w:val="20"/>
        </w:trPr>
        <w:tc>
          <w:tcPr>
            <w:tcW w:w="5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6"/>
          <w:szCs w:val="26"/>
          <w:b w:val="1"/>
          <w:bCs w:val="1"/>
          <w:color w:val="auto"/>
          <w:vertAlign w:val="superscript"/>
        </w:rPr>
      </w:pPr>
      <w:r>
        <w:rPr>
          <w:rFonts w:ascii="Arial" w:cs="Arial" w:eastAsia="Arial" w:hAnsi="Arial"/>
          <w:sz w:val="16"/>
          <w:szCs w:val="16"/>
          <w:color w:val="auto"/>
        </w:rPr>
        <w:t>For the period from January 6, 2011 (date of inception) to June 30, 2011.</w:t>
      </w:r>
    </w:p>
    <w:p>
      <w:pPr>
        <w:spacing w:after="0" w:line="242" w:lineRule="exact"/>
        <w:rPr>
          <w:rFonts w:ascii="Arial" w:cs="Arial" w:eastAsia="Arial" w:hAnsi="Arial"/>
          <w:sz w:val="26"/>
          <w:szCs w:val="26"/>
          <w:b w:val="1"/>
          <w:bCs w:val="1"/>
          <w:color w:val="auto"/>
          <w:vertAlign w:val="superscript"/>
        </w:rPr>
      </w:pPr>
    </w:p>
    <w:p>
      <w:pPr>
        <w:ind w:right="120" w:firstLine="8"/>
        <w:spacing w:after="0" w:line="227" w:lineRule="auto"/>
        <w:tabs>
          <w:tab w:leader="none" w:pos="212" w:val="left"/>
        </w:tabs>
        <w:numPr>
          <w:ilvl w:val="0"/>
          <w:numId w:val="1"/>
        </w:numPr>
        <w:rPr>
          <w:rFonts w:ascii="Arial" w:cs="Arial" w:eastAsia="Arial" w:hAnsi="Arial"/>
          <w:sz w:val="25"/>
          <w:szCs w:val="25"/>
          <w:b w:val="1"/>
          <w:bCs w:val="1"/>
          <w:color w:val="auto"/>
          <w:vertAlign w:val="superscript"/>
        </w:rPr>
      </w:pPr>
      <w:r>
        <w:rPr>
          <w:rFonts w:ascii="Arial" w:cs="Arial" w:eastAsia="Arial" w:hAnsi="Arial"/>
          <w:sz w:val="16"/>
          <w:szCs w:val="16"/>
          <w:color w:val="auto"/>
        </w:rPr>
        <w:t>Weighted average common shares for the period from January 6, 2011 (date of inception) to June 30, 2011 was calculated from the issuance of 100 shares on February 28,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820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5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1520" w:type="dxa"/>
            <w:vAlign w:val="bottom"/>
          </w:tcPr>
          <w:p>
            <w:pPr>
              <w:spacing w:after="0"/>
              <w:rPr>
                <w:sz w:val="18"/>
                <w:szCs w:val="18"/>
                <w:color w:val="auto"/>
              </w:rPr>
            </w:pPr>
          </w:p>
        </w:tc>
        <w:tc>
          <w:tcPr>
            <w:tcW w:w="15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from January 6,</w:t>
            </w:r>
          </w:p>
        </w:tc>
      </w:tr>
      <w:tr>
        <w:trPr>
          <w:trHeight w:val="216"/>
        </w:trPr>
        <w:tc>
          <w:tcPr>
            <w:tcW w:w="1520" w:type="dxa"/>
            <w:vAlign w:val="bottom"/>
          </w:tcPr>
          <w:p>
            <w:pPr>
              <w:spacing w:after="0"/>
              <w:rPr>
                <w:sz w:val="18"/>
                <w:szCs w:val="18"/>
                <w:color w:val="auto"/>
              </w:rPr>
            </w:pP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2011 (date of</w:t>
            </w: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Six months ended</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inception) to June</w:t>
            </w:r>
          </w:p>
        </w:tc>
      </w:tr>
      <w:tr>
        <w:trPr>
          <w:trHeight w:val="234"/>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 2012</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30, 2011</w:t>
            </w:r>
          </w:p>
        </w:tc>
      </w:tr>
    </w:tbl>
    <w:p>
      <w:pPr>
        <w:spacing w:after="0" w:line="1" w:lineRule="exact"/>
        <w:rPr>
          <w:sz w:val="20"/>
          <w:szCs w:val="20"/>
          <w:color w:val="auto"/>
        </w:rPr>
      </w:pPr>
    </w:p>
    <w:p>
      <w:pPr>
        <w:sectPr>
          <w:pgSz w:w="11900" w:h="16838" w:orient="portrait"/>
          <w:cols w:equalWidth="0" w:num="1">
            <w:col w:w="11420"/>
          </w:cols>
          <w:pgMar w:left="240" w:top="1121" w:right="239" w:bottom="1440" w:gutter="0" w:footer="0" w:header="0"/>
        </w:sectPr>
      </w:pPr>
    </w:p>
    <w:p>
      <w:pPr>
        <w:ind w:left="100"/>
        <w:spacing w:after="0"/>
        <w:rPr>
          <w:sz w:val="20"/>
          <w:szCs w:val="20"/>
          <w:color w:val="auto"/>
        </w:rPr>
      </w:pPr>
      <w:r>
        <w:rPr>
          <w:rFonts w:ascii="Arial" w:cs="Arial" w:eastAsia="Arial" w:hAnsi="Arial"/>
          <w:sz w:val="16"/>
          <w:szCs w:val="16"/>
          <w:b w:val="1"/>
          <w:bCs w:val="1"/>
          <w:color w:val="auto"/>
        </w:rPr>
        <w:t>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Investment Loss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Net Change in Unrealized Depreciation on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Proceeds from Common Shares Issued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Net 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Total Increase in Net Assets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Assets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(3,174,121)</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(676,113)</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(1,380,519)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(1,003,317)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(59,634)</w:t>
            </w: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(5,557,957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(735,747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2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201,652,500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46,524,750</w:t>
            </w:r>
          </w:p>
        </w:tc>
        <w:tc>
          <w:tcPr>
            <w:tcW w:w="6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(737,737)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(523,581)</w:t>
            </w: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200,914,763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46,001,169</w:t>
            </w:r>
          </w:p>
        </w:tc>
        <w:tc>
          <w:tcPr>
            <w:tcW w:w="60" w:type="dxa"/>
            <w:vAlign w:val="bottom"/>
          </w:tcPr>
          <w:p>
            <w:pPr>
              <w:spacing w:after="0"/>
              <w:rPr>
                <w:sz w:val="18"/>
                <w:szCs w:val="18"/>
                <w:color w:val="auto"/>
              </w:rPr>
            </w:pPr>
          </w:p>
        </w:tc>
      </w:tr>
      <w:tr>
        <w:trPr>
          <w:trHeight w:val="42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195,356,806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45,265,422</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71,503,248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266,860,054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45,265,422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1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120" w:type="dxa"/>
            <w:vAlign w:val="bottom"/>
            <w:shd w:val="clear" w:color="auto" w:fill="CCFFCC"/>
          </w:tcPr>
          <w:p>
            <w:pPr>
              <w:spacing w:after="0"/>
              <w:rPr>
                <w:sz w:val="17"/>
                <w:szCs w:val="17"/>
                <w:color w:val="auto"/>
              </w:rPr>
            </w:pPr>
          </w:p>
        </w:tc>
        <w:tc>
          <w:tcPr>
            <w:tcW w:w="15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8120" w:type="dxa"/>
            <w:vAlign w:val="bottom"/>
          </w:tcPr>
          <w:p>
            <w:pPr>
              <w:ind w:left="100"/>
              <w:spacing w:after="0"/>
              <w:rPr>
                <w:sz w:val="20"/>
                <w:szCs w:val="20"/>
                <w:color w:val="auto"/>
              </w:rPr>
            </w:pPr>
            <w:r>
              <w:rPr>
                <w:rFonts w:ascii="Arial" w:cs="Arial" w:eastAsia="Arial" w:hAnsi="Arial"/>
                <w:sz w:val="18"/>
                <w:szCs w:val="18"/>
                <w:b w:val="1"/>
                <w:bCs w:val="1"/>
                <w:color w:val="auto"/>
              </w:rPr>
              <w:t>Capital Share Activity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Shares Issued</w:t>
            </w:r>
          </w:p>
        </w:tc>
        <w:tc>
          <w:tcPr>
            <w:tcW w:w="1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13,800,000</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3,335,100</w:t>
            </w:r>
          </w:p>
        </w:tc>
      </w:tr>
      <w:tr>
        <w:trPr>
          <w:trHeight w:val="230"/>
        </w:trPr>
        <w:tc>
          <w:tcPr>
            <w:tcW w:w="8120" w:type="dxa"/>
            <w:vAlign w:val="bottom"/>
          </w:tcPr>
          <w:p>
            <w:pPr>
              <w:ind w:left="100"/>
              <w:spacing w:after="0"/>
              <w:rPr>
                <w:sz w:val="20"/>
                <w:szCs w:val="20"/>
                <w:color w:val="auto"/>
              </w:rPr>
            </w:pPr>
            <w:r>
              <w:rPr>
                <w:rFonts w:ascii="Arial" w:cs="Arial" w:eastAsia="Arial" w:hAnsi="Arial"/>
                <w:sz w:val="18"/>
                <w:szCs w:val="18"/>
                <w:color w:val="auto"/>
              </w:rPr>
              <w:t>Shares Outstanding at Beginning of Period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5,520,100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3,335,100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6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from January 6,</w:t>
            </w:r>
          </w:p>
        </w:tc>
      </w:tr>
      <w:tr>
        <w:trPr>
          <w:trHeight w:val="216"/>
        </w:trPr>
        <w:tc>
          <w:tcPr>
            <w:tcW w:w="6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Six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(date of inception)</w:t>
            </w:r>
          </w:p>
        </w:tc>
      </w:tr>
      <w:tr>
        <w:trPr>
          <w:trHeight w:val="234"/>
        </w:trPr>
        <w:tc>
          <w:tcPr>
            <w:tcW w:w="6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 June 30, 2011</w:t>
            </w:r>
          </w:p>
        </w:tc>
      </w:tr>
      <w:tr>
        <w:trPr>
          <w:trHeight w:val="210"/>
        </w:trPr>
        <w:tc>
          <w:tcPr>
            <w:tcW w:w="648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480" w:type="dxa"/>
            <w:vAlign w:val="bottom"/>
          </w:tcPr>
          <w:p>
            <w:pPr>
              <w:ind w:left="100"/>
              <w:spacing w:after="0"/>
              <w:rPr>
                <w:sz w:val="20"/>
                <w:szCs w:val="20"/>
                <w:color w:val="auto"/>
              </w:rPr>
            </w:pPr>
            <w:r>
              <w:rPr>
                <w:rFonts w:ascii="Arial" w:cs="Arial" w:eastAsia="Arial" w:hAnsi="Arial"/>
                <w:sz w:val="18"/>
                <w:szCs w:val="18"/>
                <w:color w:val="auto"/>
              </w:rPr>
              <w:t>Net decrease in net assets resulting from operations</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(5,557,957)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(735,747)</w:t>
            </w:r>
          </w:p>
        </w:tc>
      </w:tr>
      <w:tr>
        <w:trPr>
          <w:trHeight w:val="216"/>
        </w:trPr>
        <w:tc>
          <w:tcPr>
            <w:tcW w:w="64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Adjustments to reconcile net decrease in net assets resulting from</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80" w:type="dxa"/>
            <w:vAlign w:val="bottom"/>
          </w:tcPr>
          <w:p>
            <w:pPr>
              <w:ind w:left="200"/>
              <w:spacing w:after="0"/>
              <w:rPr>
                <w:sz w:val="20"/>
                <w:szCs w:val="20"/>
                <w:color w:val="auto"/>
              </w:rPr>
            </w:pPr>
            <w:r>
              <w:rPr>
                <w:rFonts w:ascii="Arial" w:cs="Arial" w:eastAsia="Arial" w:hAnsi="Arial"/>
                <w:sz w:val="18"/>
                <w:szCs w:val="18"/>
                <w:color w:val="auto"/>
              </w:rPr>
              <w:t>operations to net cash used in operating activities: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Net realized loss on investments</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1,380,519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280"/>
              <w:spacing w:after="0"/>
              <w:rPr>
                <w:sz w:val="20"/>
                <w:szCs w:val="20"/>
                <w:color w:val="auto"/>
              </w:rPr>
            </w:pPr>
            <w:r>
              <w:rPr>
                <w:rFonts w:ascii="Arial" w:cs="Arial" w:eastAsia="Arial" w:hAnsi="Arial"/>
                <w:sz w:val="18"/>
                <w:szCs w:val="18"/>
                <w:color w:val="auto"/>
              </w:rPr>
              <w:t>Net change in unrealized depreciation on investments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1,003,317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59,634</w:t>
            </w: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Purchases of investments in:</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80" w:type="dxa"/>
            <w:vAlign w:val="bottom"/>
          </w:tcPr>
          <w:p>
            <w:pPr>
              <w:ind w:left="600"/>
              <w:spacing w:after="0"/>
              <w:rPr>
                <w:sz w:val="20"/>
                <w:szCs w:val="20"/>
                <w:color w:val="auto"/>
              </w:rPr>
            </w:pPr>
            <w:r>
              <w:rPr>
                <w:rFonts w:ascii="Arial" w:cs="Arial" w:eastAsia="Arial" w:hAnsi="Arial"/>
                <w:sz w:val="18"/>
                <w:szCs w:val="18"/>
                <w:color w:val="auto"/>
              </w:rPr>
              <w:t>Portfolio investments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(109,902,924)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(16,304,337)</w:t>
            </w:r>
          </w:p>
        </w:tc>
      </w:tr>
      <w:tr>
        <w:trPr>
          <w:trHeight w:val="216"/>
        </w:trPr>
        <w:tc>
          <w:tcPr>
            <w:tcW w:w="6480" w:type="dxa"/>
            <w:vAlign w:val="bottom"/>
            <w:shd w:val="clear" w:color="auto" w:fill="CCFFCC"/>
          </w:tcPr>
          <w:p>
            <w:pPr>
              <w:ind w:left="600"/>
              <w:spacing w:after="0"/>
              <w:rPr>
                <w:sz w:val="20"/>
                <w:szCs w:val="20"/>
                <w:color w:val="auto"/>
              </w:rPr>
            </w:pPr>
            <w:r>
              <w:rPr>
                <w:rFonts w:ascii="Arial" w:cs="Arial" w:eastAsia="Arial" w:hAnsi="Arial"/>
                <w:sz w:val="18"/>
                <w:szCs w:val="18"/>
                <w:color w:val="auto"/>
              </w:rPr>
              <w:t>United States treasury bill</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(19,999,128)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600"/>
              <w:spacing w:after="0"/>
              <w:rPr>
                <w:sz w:val="20"/>
                <w:szCs w:val="20"/>
                <w:color w:val="auto"/>
              </w:rPr>
            </w:pPr>
            <w:r>
              <w:rPr>
                <w:rFonts w:ascii="Arial" w:cs="Arial" w:eastAsia="Arial" w:hAnsi="Arial"/>
                <w:sz w:val="18"/>
                <w:szCs w:val="18"/>
                <w:color w:val="auto"/>
              </w:rPr>
              <w:t>Money market funds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(4,500,000)</w:t>
            </w: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Proceeds from sales of investments in:</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80" w:type="dxa"/>
            <w:vAlign w:val="bottom"/>
          </w:tcPr>
          <w:p>
            <w:pPr>
              <w:ind w:left="600"/>
              <w:spacing w:after="0"/>
              <w:rPr>
                <w:sz w:val="20"/>
                <w:szCs w:val="20"/>
                <w:color w:val="auto"/>
              </w:rPr>
            </w:pPr>
            <w:r>
              <w:rPr>
                <w:rFonts w:ascii="Arial" w:cs="Arial" w:eastAsia="Arial" w:hAnsi="Arial"/>
                <w:sz w:val="18"/>
                <w:szCs w:val="18"/>
                <w:color w:val="auto"/>
              </w:rPr>
              <w:t>United States treasury bill</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19,998,872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FFCC"/>
          </w:tcPr>
          <w:p>
            <w:pPr>
              <w:ind w:left="600"/>
              <w:spacing w:after="0"/>
              <w:rPr>
                <w:sz w:val="20"/>
                <w:szCs w:val="20"/>
                <w:color w:val="auto"/>
              </w:rPr>
            </w:pPr>
            <w:r>
              <w:rPr>
                <w:rFonts w:ascii="Arial" w:cs="Arial" w:eastAsia="Arial" w:hAnsi="Arial"/>
                <w:sz w:val="18"/>
                <w:szCs w:val="18"/>
                <w:color w:val="auto"/>
              </w:rPr>
              <w:t>Money market funds</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100"/>
              <w:spacing w:after="0"/>
              <w:rPr>
                <w:sz w:val="20"/>
                <w:szCs w:val="20"/>
                <w:color w:val="auto"/>
              </w:rPr>
            </w:pPr>
            <w:r>
              <w:rPr>
                <w:rFonts w:ascii="Arial" w:cs="Arial" w:eastAsia="Arial" w:hAnsi="Arial"/>
                <w:sz w:val="18"/>
                <w:szCs w:val="18"/>
                <w:color w:val="auto"/>
              </w:rPr>
              <w:t>Change in operating assets and liabilities: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Due from GSV Asset Management</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7,569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(46,236)</w:t>
            </w:r>
          </w:p>
        </w:tc>
      </w:tr>
      <w:tr>
        <w:trPr>
          <w:trHeight w:val="216"/>
        </w:trPr>
        <w:tc>
          <w:tcPr>
            <w:tcW w:w="6480" w:type="dxa"/>
            <w:vAlign w:val="bottom"/>
          </w:tcPr>
          <w:p>
            <w:pPr>
              <w:ind w:left="280"/>
              <w:spacing w:after="0"/>
              <w:rPr>
                <w:sz w:val="20"/>
                <w:szCs w:val="20"/>
                <w:color w:val="auto"/>
              </w:rPr>
            </w:pPr>
            <w:r>
              <w:rPr>
                <w:rFonts w:ascii="Arial" w:cs="Arial" w:eastAsia="Arial" w:hAnsi="Arial"/>
                <w:sz w:val="18"/>
                <w:szCs w:val="18"/>
                <w:color w:val="auto"/>
              </w:rPr>
              <w:t>Due from portfolio company</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(236,816)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(26,217)</w:t>
            </w: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Escrow deposits</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(172,995)</w:t>
            </w:r>
          </w:p>
        </w:tc>
      </w:tr>
      <w:tr>
        <w:trPr>
          <w:trHeight w:val="216"/>
        </w:trPr>
        <w:tc>
          <w:tcPr>
            <w:tcW w:w="648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148,990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Prepaid expenses</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(98,889)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(228,384)</w:t>
            </w:r>
          </w:p>
        </w:tc>
      </w:tr>
      <w:tr>
        <w:trPr>
          <w:trHeight w:val="216"/>
        </w:trPr>
        <w:tc>
          <w:tcPr>
            <w:tcW w:w="6480" w:type="dxa"/>
            <w:vAlign w:val="bottom"/>
          </w:tcPr>
          <w:p>
            <w:pPr>
              <w:ind w:left="280"/>
              <w:spacing w:after="0"/>
              <w:rPr>
                <w:sz w:val="20"/>
                <w:szCs w:val="20"/>
                <w:color w:val="auto"/>
              </w:rPr>
            </w:pPr>
            <w:r>
              <w:rPr>
                <w:rFonts w:ascii="Arial" w:cs="Arial" w:eastAsia="Arial" w:hAnsi="Arial"/>
                <w:sz w:val="18"/>
                <w:szCs w:val="18"/>
                <w:color w:val="auto"/>
              </w:rPr>
              <w:t>Dividend receivable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assets</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(80,910)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(26,148)</w:t>
            </w:r>
          </w:p>
        </w:tc>
      </w:tr>
      <w:tr>
        <w:trPr>
          <w:trHeight w:val="216"/>
        </w:trPr>
        <w:tc>
          <w:tcPr>
            <w:tcW w:w="6480" w:type="dxa"/>
            <w:vAlign w:val="bottom"/>
          </w:tcPr>
          <w:p>
            <w:pPr>
              <w:ind w:left="280"/>
              <w:spacing w:after="0"/>
              <w:rPr>
                <w:sz w:val="20"/>
                <w:szCs w:val="20"/>
                <w:color w:val="auto"/>
              </w:rPr>
            </w:pPr>
            <w:r>
              <w:rPr>
                <w:rFonts w:ascii="Arial" w:cs="Arial" w:eastAsia="Arial" w:hAnsi="Arial"/>
                <w:sz w:val="18"/>
                <w:szCs w:val="18"/>
                <w:color w:val="auto"/>
              </w:rPr>
              <w:t>Due to GSV Asset Management</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(61,268)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78,461</w:t>
            </w:r>
          </w:p>
        </w:tc>
      </w:tr>
      <w:tr>
        <w:trPr>
          <w:trHeight w:val="216"/>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Due to other affiliates</w:t>
            </w: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1,935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(17,988)</w:t>
            </w:r>
          </w:p>
        </w:tc>
      </w:tr>
      <w:tr>
        <w:trPr>
          <w:trHeight w:val="216"/>
        </w:trPr>
        <w:tc>
          <w:tcPr>
            <w:tcW w:w="64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555,107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(25,121)</w:t>
            </w:r>
          </w:p>
        </w:tc>
      </w:tr>
      <w:tr>
        <w:trPr>
          <w:trHeight w:val="230"/>
        </w:trPr>
        <w:tc>
          <w:tcPr>
            <w:tcW w:w="64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Accrued expenses</w:t>
            </w:r>
          </w:p>
        </w:tc>
        <w:tc>
          <w:tcPr>
            <w:tcW w:w="16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159,144</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101,510</w:t>
            </w:r>
          </w:p>
        </w:tc>
      </w:tr>
      <w:tr>
        <w:trPr>
          <w:trHeight w:val="210"/>
        </w:trPr>
        <w:tc>
          <w:tcPr>
            <w:tcW w:w="6480" w:type="dxa"/>
            <w:vAlign w:val="bottom"/>
            <w:tcBorders>
              <w:bottom w:val="single" w:sz="8" w:color="CCFFCC"/>
            </w:tcBorders>
          </w:tcPr>
          <w:p>
            <w:pPr>
              <w:ind w:left="460"/>
              <w:spacing w:after="0"/>
              <w:rPr>
                <w:sz w:val="20"/>
                <w:szCs w:val="20"/>
                <w:color w:val="auto"/>
              </w:rPr>
            </w:pPr>
            <w:r>
              <w:rPr>
                <w:rFonts w:ascii="Arial" w:cs="Arial" w:eastAsia="Arial" w:hAnsi="Arial"/>
                <w:sz w:val="18"/>
                <w:szCs w:val="18"/>
                <w:b w:val="1"/>
                <w:bCs w:val="1"/>
                <w:color w:val="auto"/>
              </w:rPr>
              <w:t>Net Cash Used in Operating Activities</w:t>
            </w:r>
          </w:p>
        </w:tc>
        <w:tc>
          <w:tcPr>
            <w:tcW w:w="16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(121,683,690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(21,843,568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48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0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proceeds from common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Offering costs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auto"/>
        </w:rPr>
        <w:t>201,652,500</w:t>
      </w:r>
      <w:r>
        <w:rPr>
          <w:sz w:val="20"/>
          <w:szCs w:val="20"/>
          <w:color w:val="auto"/>
        </w:rPr>
        <w:tab/>
      </w:r>
      <w:r>
        <w:rPr>
          <w:rFonts w:ascii="Arial" w:cs="Arial" w:eastAsia="Arial" w:hAnsi="Arial"/>
          <w:sz w:val="17"/>
          <w:szCs w:val="17"/>
          <w:color w:val="auto"/>
        </w:rPr>
        <w:t>46,524,750</w:t>
      </w:r>
    </w:p>
    <w:p>
      <w:pPr>
        <w:spacing w:after="0" w:line="35" w:lineRule="exact"/>
        <w:rPr>
          <w:sz w:val="20"/>
          <w:szCs w:val="20"/>
          <w:color w:val="auto"/>
        </w:rPr>
      </w:pPr>
    </w:p>
    <w:p>
      <w:pPr>
        <w:ind w:left="260"/>
        <w:spacing w:after="0"/>
        <w:tabs>
          <w:tab w:leader="none" w:pos="1920" w:val="left"/>
        </w:tabs>
        <w:rPr>
          <w:sz w:val="20"/>
          <w:szCs w:val="20"/>
          <w:color w:val="auto"/>
        </w:rPr>
      </w:pPr>
      <w:r>
        <w:rPr>
          <w:rFonts w:ascii="Arial" w:cs="Arial" w:eastAsia="Arial" w:hAnsi="Arial"/>
          <w:sz w:val="18"/>
          <w:szCs w:val="18"/>
          <w:color w:val="auto"/>
        </w:rPr>
        <w:t>(737,737)</w:t>
      </w:r>
      <w:r>
        <w:rPr>
          <w:sz w:val="20"/>
          <w:szCs w:val="20"/>
          <w:color w:val="auto"/>
        </w:rPr>
        <w:tab/>
      </w:r>
      <w:r>
        <w:rPr>
          <w:rFonts w:ascii="Arial" w:cs="Arial" w:eastAsia="Arial" w:hAnsi="Arial"/>
          <w:sz w:val="16"/>
          <w:szCs w:val="16"/>
          <w:color w:val="auto"/>
        </w:rPr>
        <w:t>(466,405)</w:t>
      </w:r>
    </w:p>
    <w:p>
      <w:pPr>
        <w:spacing w:after="0" w:line="23"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auto"/>
        </w:rPr>
        <w:t>200,914,763</w:t>
      </w:r>
      <w:r>
        <w:rPr>
          <w:sz w:val="20"/>
          <w:szCs w:val="20"/>
          <w:color w:val="auto"/>
        </w:rPr>
        <w:tab/>
      </w:r>
      <w:r>
        <w:rPr>
          <w:rFonts w:ascii="Arial" w:cs="Arial" w:eastAsia="Arial" w:hAnsi="Arial"/>
          <w:sz w:val="17"/>
          <w:szCs w:val="17"/>
          <w:color w:val="auto"/>
        </w:rPr>
        <w:t>46,058,345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21590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700"/>
          </w:cols>
          <w:pgMar w:left="240" w:top="904" w:right="2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Total Increase in Cash Balance</w:t>
            </w:r>
          </w:p>
        </w:tc>
        <w:tc>
          <w:tcPr>
            <w:tcW w:w="23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79,231,073</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24,214,777</w:t>
            </w:r>
          </w:p>
        </w:tc>
      </w:tr>
      <w:tr>
        <w:trPr>
          <w:trHeight w:val="230"/>
        </w:trPr>
        <w:tc>
          <w:tcPr>
            <w:tcW w:w="5780" w:type="dxa"/>
            <w:vAlign w:val="bottom"/>
          </w:tcPr>
          <w:p>
            <w:pPr>
              <w:ind w:left="100"/>
              <w:spacing w:after="0"/>
              <w:rPr>
                <w:sz w:val="20"/>
                <w:szCs w:val="20"/>
                <w:color w:val="auto"/>
              </w:rPr>
            </w:pPr>
            <w:r>
              <w:rPr>
                <w:rFonts w:ascii="Arial" w:cs="Arial" w:eastAsia="Arial" w:hAnsi="Arial"/>
                <w:sz w:val="18"/>
                <w:szCs w:val="18"/>
                <w:color w:val="auto"/>
              </w:rPr>
              <w:t>Cash Balance at Beginning of Period</w:t>
            </w:r>
          </w:p>
        </w:tc>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385,995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top w:val="single" w:sz="8" w:color="CCFFCC"/>
              <w:bottom w:val="single" w:sz="8" w:color="CCFFCC"/>
            </w:tcBorders>
            <w:shd w:val="clear" w:color="auto" w:fill="CCFFCC"/>
          </w:tcPr>
          <w:p>
            <w:pPr>
              <w:ind w:left="100"/>
              <w:spacing w:after="0"/>
              <w:rPr>
                <w:sz w:val="20"/>
                <w:szCs w:val="20"/>
                <w:color w:val="auto"/>
              </w:rPr>
            </w:pPr>
            <w:r>
              <w:rPr>
                <w:rFonts w:ascii="Arial" w:cs="Arial" w:eastAsia="Arial" w:hAnsi="Arial"/>
                <w:sz w:val="18"/>
                <w:szCs w:val="18"/>
                <w:b w:val="1"/>
                <w:bCs w:val="1"/>
                <w:color w:val="auto"/>
              </w:rPr>
              <w:t>Cash Balance at End of Period</w:t>
            </w:r>
          </w:p>
        </w:tc>
        <w:tc>
          <w:tcPr>
            <w:tcW w:w="2340" w:type="dxa"/>
            <w:vAlign w:val="bottom"/>
            <w:tcBorders>
              <w:top w:val="single" w:sz="8" w:color="CCFFCC"/>
              <w:bottom w:val="single" w:sz="8" w:color="CCFFCC"/>
            </w:tcBorders>
            <w:shd w:val="clear" w:color="auto" w:fill="CCFFCC"/>
          </w:tcPr>
          <w:p>
            <w:pPr>
              <w:spacing w:after="0"/>
              <w:rPr>
                <w:sz w:val="19"/>
                <w:szCs w:val="19"/>
                <w:color w:val="auto"/>
              </w:rPr>
            </w:pPr>
          </w:p>
        </w:tc>
        <w:tc>
          <w:tcPr>
            <w:tcW w:w="400" w:type="dxa"/>
            <w:vAlign w:val="bottom"/>
            <w:tcBorders>
              <w:top w:val="single" w:sz="8" w:color="auto"/>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79,617,068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380" w:type="dxa"/>
            <w:vAlign w:val="bottom"/>
            <w:tcBorders>
              <w:top w:val="single" w:sz="8" w:color="auto"/>
              <w:bottom w:val="single" w:sz="8" w:color="auto"/>
            </w:tcBorders>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24,214,777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Non-Cash Items</w:t>
            </w:r>
          </w:p>
        </w:tc>
        <w:tc>
          <w:tcPr>
            <w:tcW w:w="23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100"/>
              <w:spacing w:after="0"/>
              <w:rPr>
                <w:sz w:val="20"/>
                <w:szCs w:val="20"/>
                <w:color w:val="auto"/>
              </w:rPr>
            </w:pPr>
            <w:r>
              <w:rPr>
                <w:rFonts w:ascii="Arial" w:cs="Arial" w:eastAsia="Arial" w:hAnsi="Arial"/>
                <w:sz w:val="18"/>
                <w:szCs w:val="18"/>
                <w:color w:val="auto"/>
              </w:rPr>
              <w:t>Decrease in deferred offering costs</w:t>
            </w:r>
          </w:p>
        </w:tc>
        <w:tc>
          <w:tcPr>
            <w:tcW w:w="2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57,176</w:t>
            </w:r>
          </w:p>
        </w:tc>
      </w:tr>
      <w:tr>
        <w:trPr>
          <w:trHeight w:val="216"/>
        </w:trPr>
        <w:tc>
          <w:tcPr>
            <w:tcW w:w="57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Increase in offering costs</w:t>
            </w:r>
          </w:p>
        </w:tc>
        <w:tc>
          <w:tcPr>
            <w:tcW w:w="27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(57,176)</w:t>
            </w:r>
          </w:p>
        </w:tc>
      </w:tr>
      <w:tr>
        <w:trPr>
          <w:trHeight w:val="216"/>
        </w:trPr>
        <w:tc>
          <w:tcPr>
            <w:tcW w:w="5780" w:type="dxa"/>
            <w:vAlign w:val="bottom"/>
          </w:tcPr>
          <w:p>
            <w:pPr>
              <w:ind w:left="100"/>
              <w:spacing w:after="0"/>
              <w:rPr>
                <w:sz w:val="20"/>
                <w:szCs w:val="20"/>
                <w:color w:val="auto"/>
              </w:rPr>
            </w:pPr>
            <w:r>
              <w:rPr>
                <w:rFonts w:ascii="Arial" w:cs="Arial" w:eastAsia="Arial" w:hAnsi="Arial"/>
                <w:sz w:val="18"/>
                <w:szCs w:val="18"/>
                <w:color w:val="auto"/>
              </w:rPr>
              <w:t>Structured note exchanged for common shares</w:t>
            </w:r>
          </w:p>
        </w:tc>
        <w:tc>
          <w:tcPr>
            <w:tcW w:w="2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3,002,665</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Structured notes converted to preferred shares</w:t>
            </w:r>
          </w:p>
        </w:tc>
        <w:tc>
          <w:tcPr>
            <w:tcW w:w="27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674,651</w:t>
            </w:r>
          </w:p>
        </w:tc>
        <w:tc>
          <w:tcPr>
            <w:tcW w:w="480" w:type="dxa"/>
            <w:vAlign w:val="bottom"/>
            <w:gridSpan w:val="2"/>
            <w:shd w:val="clear" w:color="auto" w:fill="CCFFCC"/>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100"/>
              <w:spacing w:after="0"/>
              <w:rPr>
                <w:sz w:val="20"/>
                <w:szCs w:val="20"/>
                <w:color w:val="auto"/>
              </w:rPr>
            </w:pPr>
            <w:r>
              <w:rPr>
                <w:rFonts w:ascii="Arial" w:cs="Arial" w:eastAsia="Arial" w:hAnsi="Arial"/>
                <w:sz w:val="18"/>
                <w:szCs w:val="18"/>
                <w:color w:val="auto"/>
              </w:rPr>
              <w:t>Warrants exercised for preferred shares</w:t>
            </w:r>
          </w:p>
        </w:tc>
        <w:tc>
          <w:tcPr>
            <w:tcW w:w="2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53,665</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 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25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Headquarters / Industry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Shares / Par</w:t>
            </w:r>
          </w:p>
        </w:tc>
        <w:tc>
          <w:tcPr>
            <w:tcW w:w="2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13"/>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Borders>
              <w:top w:val="single" w:sz="8" w:color="auto"/>
              <w:bottom w:val="single" w:sz="8" w:color="auto"/>
            </w:tcBorders>
            <w:gridSpan w:val="3"/>
            <w:shd w:val="clear" w:color="auto" w:fill="CCFFCC"/>
          </w:tcPr>
          <w:p>
            <w:pPr>
              <w:spacing w:after="0" w:line="129" w:lineRule="exact"/>
              <w:rPr>
                <w:sz w:val="20"/>
                <w:szCs w:val="20"/>
                <w:color w:val="auto"/>
              </w:rPr>
            </w:pPr>
            <w:r>
              <w:rPr>
                <w:rFonts w:ascii="Arial" w:cs="Arial" w:eastAsia="Arial" w:hAnsi="Arial"/>
                <w:sz w:val="14"/>
                <w:szCs w:val="14"/>
                <w:b w:val="1"/>
                <w:bCs w:val="1"/>
                <w:color w:val="auto"/>
                <w:w w:val="97"/>
              </w:rPr>
              <w:t>AltEgo, LLC</w:t>
            </w:r>
          </w:p>
        </w:tc>
        <w:tc>
          <w:tcPr>
            <w:tcW w:w="2380" w:type="dxa"/>
            <w:vAlign w:val="bottom"/>
            <w:tcBorders>
              <w:top w:val="single" w:sz="8" w:color="auto"/>
              <w:bottom w:val="single" w:sz="8" w:color="CCFFCC"/>
            </w:tcBorders>
            <w:gridSpan w:val="14"/>
            <w:shd w:val="clear" w:color="auto" w:fill="CCFFCC"/>
          </w:tcPr>
          <w:p>
            <w:pPr>
              <w:spacing w:after="0"/>
              <w:rPr>
                <w:sz w:val="12"/>
                <w:szCs w:val="12"/>
                <w:color w:val="auto"/>
              </w:rPr>
            </w:pPr>
          </w:p>
        </w:tc>
        <w:tc>
          <w:tcPr>
            <w:tcW w:w="140" w:type="dxa"/>
            <w:vAlign w:val="bottom"/>
            <w:tcBorders>
              <w:top w:val="single" w:sz="8" w:color="CCFFCC"/>
              <w:bottom w:val="single" w:sz="8" w:color="CCFFCC"/>
            </w:tcBorders>
            <w:shd w:val="clear" w:color="auto" w:fill="CCFFCC"/>
          </w:tcPr>
          <w:p>
            <w:pPr>
              <w:spacing w:after="0"/>
              <w:rPr>
                <w:sz w:val="12"/>
                <w:szCs w:val="12"/>
                <w:color w:val="auto"/>
              </w:rPr>
            </w:pPr>
          </w:p>
        </w:tc>
        <w:tc>
          <w:tcPr>
            <w:tcW w:w="2520" w:type="dxa"/>
            <w:vAlign w:val="bottom"/>
            <w:tcBorders>
              <w:top w:val="single" w:sz="8" w:color="auto"/>
              <w:bottom w:val="single" w:sz="8" w:color="CCFFCC"/>
            </w:tcBorders>
            <w:shd w:val="clear" w:color="auto" w:fill="CCFFCC"/>
          </w:tcPr>
          <w:p>
            <w:pPr>
              <w:jc w:val="center"/>
              <w:ind w:left="28"/>
              <w:spacing w:after="0" w:line="129" w:lineRule="exact"/>
              <w:rPr>
                <w:sz w:val="20"/>
                <w:szCs w:val="20"/>
                <w:color w:val="auto"/>
              </w:rPr>
            </w:pPr>
            <w:r>
              <w:rPr>
                <w:rFonts w:ascii="Arial" w:cs="Arial" w:eastAsia="Arial" w:hAnsi="Arial"/>
                <w:sz w:val="14"/>
                <w:szCs w:val="14"/>
                <w:color w:val="auto"/>
                <w:w w:val="93"/>
              </w:rPr>
              <w:t>Santa Monica, CA</w:t>
            </w:r>
          </w:p>
        </w:tc>
        <w:tc>
          <w:tcPr>
            <w:tcW w:w="240" w:type="dxa"/>
            <w:vAlign w:val="bottom"/>
            <w:tcBorders>
              <w:top w:val="single" w:sz="8" w:color="CCFFCC"/>
              <w:bottom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CCFFCC"/>
            </w:tcBorders>
            <w:shd w:val="clear" w:color="auto" w:fill="CCFFCC"/>
          </w:tcPr>
          <w:p>
            <w:pPr>
              <w:spacing w:after="0"/>
              <w:rPr>
                <w:sz w:val="12"/>
                <w:szCs w:val="12"/>
                <w:color w:val="auto"/>
              </w:rPr>
            </w:pPr>
          </w:p>
        </w:tc>
        <w:tc>
          <w:tcPr>
            <w:tcW w:w="1000" w:type="dxa"/>
            <w:vAlign w:val="bottom"/>
            <w:tcBorders>
              <w:top w:val="single" w:sz="8" w:color="auto"/>
              <w:bottom w:val="single" w:sz="8" w:color="CCFFCC"/>
            </w:tcBorders>
            <w:shd w:val="clear" w:color="auto" w:fill="CCFFCC"/>
          </w:tcPr>
          <w:p>
            <w:pPr>
              <w:spacing w:after="0"/>
              <w:rPr>
                <w:sz w:val="12"/>
                <w:szCs w:val="12"/>
                <w:color w:val="auto"/>
              </w:rPr>
            </w:pPr>
          </w:p>
        </w:tc>
        <w:tc>
          <w:tcPr>
            <w:tcW w:w="220" w:type="dxa"/>
            <w:vAlign w:val="bottom"/>
            <w:tcBorders>
              <w:top w:val="single" w:sz="8" w:color="CCFFCC"/>
              <w:bottom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CCFFCC"/>
            </w:tcBorders>
            <w:shd w:val="clear" w:color="auto" w:fill="CCFFCC"/>
          </w:tcPr>
          <w:p>
            <w:pPr>
              <w:spacing w:after="0"/>
              <w:rPr>
                <w:sz w:val="12"/>
                <w:szCs w:val="12"/>
                <w:color w:val="auto"/>
              </w:rPr>
            </w:pPr>
          </w:p>
        </w:tc>
        <w:tc>
          <w:tcPr>
            <w:tcW w:w="880" w:type="dxa"/>
            <w:vAlign w:val="bottom"/>
            <w:tcBorders>
              <w:top w:val="single" w:sz="8" w:color="auto"/>
              <w:bottom w:val="single" w:sz="8" w:color="CCFFCC"/>
            </w:tcBorders>
            <w:shd w:val="clear" w:color="auto" w:fill="CCFFCC"/>
          </w:tcPr>
          <w:p>
            <w:pPr>
              <w:spacing w:after="0"/>
              <w:rPr>
                <w:sz w:val="12"/>
                <w:szCs w:val="12"/>
                <w:color w:val="auto"/>
              </w:rPr>
            </w:pPr>
          </w:p>
        </w:tc>
        <w:tc>
          <w:tcPr>
            <w:tcW w:w="100" w:type="dxa"/>
            <w:vAlign w:val="bottom"/>
            <w:tcBorders>
              <w:top w:val="single" w:sz="8" w:color="CCFFCC"/>
              <w:bottom w:val="single" w:sz="8" w:color="CCFFCC"/>
            </w:tcBorders>
            <w:shd w:val="clear" w:color="auto" w:fill="CCFFCC"/>
          </w:tcPr>
          <w:p>
            <w:pPr>
              <w:spacing w:after="0"/>
              <w:rPr>
                <w:sz w:val="12"/>
                <w:szCs w:val="12"/>
                <w:color w:val="auto"/>
              </w:rPr>
            </w:pPr>
          </w:p>
        </w:tc>
        <w:tc>
          <w:tcPr>
            <w:tcW w:w="120" w:type="dxa"/>
            <w:vAlign w:val="bottom"/>
            <w:tcBorders>
              <w:top w:val="single" w:sz="8" w:color="CCFFCC"/>
              <w:bottom w:val="single" w:sz="8" w:color="CCFFCC"/>
            </w:tcBorders>
            <w:shd w:val="clear" w:color="auto" w:fill="CCFFCC"/>
          </w:tcPr>
          <w:p>
            <w:pPr>
              <w:spacing w:after="0"/>
              <w:rPr>
                <w:sz w:val="12"/>
                <w:szCs w:val="12"/>
                <w:color w:val="auto"/>
              </w:rPr>
            </w:pPr>
          </w:p>
        </w:tc>
        <w:tc>
          <w:tcPr>
            <w:tcW w:w="220" w:type="dxa"/>
            <w:vAlign w:val="bottom"/>
            <w:tcBorders>
              <w:top w:val="single" w:sz="8" w:color="auto"/>
              <w:bottom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CCFFCC"/>
            </w:tcBorders>
            <w:shd w:val="clear" w:color="auto" w:fill="CCFFCC"/>
          </w:tcPr>
          <w:p>
            <w:pPr>
              <w:spacing w:after="0"/>
              <w:rPr>
                <w:sz w:val="12"/>
                <w:szCs w:val="12"/>
                <w:color w:val="auto"/>
              </w:rPr>
            </w:pPr>
          </w:p>
        </w:tc>
        <w:tc>
          <w:tcPr>
            <w:tcW w:w="220" w:type="dxa"/>
            <w:vAlign w:val="bottom"/>
            <w:tcBorders>
              <w:top w:val="single" w:sz="8" w:color="CCFFCC"/>
              <w:bottom w:val="single" w:sz="8" w:color="CCFFCC"/>
            </w:tcBorders>
            <w:shd w:val="clear" w:color="auto" w:fill="CCFFCC"/>
          </w:tcPr>
          <w:p>
            <w:pPr>
              <w:spacing w:after="0"/>
              <w:rPr>
                <w:sz w:val="12"/>
                <w:szCs w:val="12"/>
                <w:color w:val="auto"/>
              </w:rPr>
            </w:pPr>
          </w:p>
        </w:tc>
        <w:tc>
          <w:tcPr>
            <w:tcW w:w="1140" w:type="dxa"/>
            <w:vAlign w:val="bottom"/>
            <w:tcBorders>
              <w:top w:val="single" w:sz="8" w:color="auto"/>
              <w:bottom w:val="single" w:sz="8" w:color="CCFFCC"/>
            </w:tcBorders>
            <w:shd w:val="clear" w:color="auto" w:fill="CCFFCC"/>
          </w:tcPr>
          <w:p>
            <w:pPr>
              <w:spacing w:after="0"/>
              <w:rPr>
                <w:sz w:val="12"/>
                <w:szCs w:val="12"/>
                <w:color w:val="auto"/>
              </w:rPr>
            </w:pPr>
          </w:p>
        </w:tc>
        <w:tc>
          <w:tcPr>
            <w:tcW w:w="120" w:type="dxa"/>
            <w:vAlign w:val="bottom"/>
            <w:tcBorders>
              <w:top w:val="single" w:sz="8" w:color="CCFFCC"/>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18"/>
          </w:tcPr>
          <w:p>
            <w:pPr>
              <w:spacing w:after="0" w:line="122" w:lineRule="exact"/>
              <w:rPr>
                <w:sz w:val="20"/>
                <w:szCs w:val="20"/>
                <w:color w:val="auto"/>
              </w:rPr>
            </w:pPr>
            <w:r>
              <w:rPr>
                <w:rFonts w:ascii="Arial" w:cs="Arial" w:eastAsia="Arial" w:hAnsi="Arial"/>
                <w:sz w:val="14"/>
                <w:szCs w:val="14"/>
                <w:color w:val="auto"/>
              </w:rPr>
              <w:t>Preferred shares, Series B-2</w:t>
            </w:r>
          </w:p>
        </w:tc>
        <w:tc>
          <w:tcPr>
            <w:tcW w:w="2520" w:type="dxa"/>
            <w:vAlign w:val="bottom"/>
          </w:tcPr>
          <w:p>
            <w:pPr>
              <w:jc w:val="center"/>
              <w:ind w:left="28"/>
              <w:spacing w:after="0" w:line="122" w:lineRule="exact"/>
              <w:rPr>
                <w:sz w:val="20"/>
                <w:szCs w:val="20"/>
                <w:color w:val="auto"/>
              </w:rPr>
            </w:pPr>
            <w:r>
              <w:rPr>
                <w:rFonts w:ascii="Arial" w:cs="Arial" w:eastAsia="Arial" w:hAnsi="Arial"/>
                <w:sz w:val="14"/>
                <w:szCs w:val="14"/>
                <w:color w:val="auto"/>
                <w:w w:val="95"/>
              </w:rPr>
              <w:t>Social Media Online Gaming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0"/>
                <w:szCs w:val="10"/>
                <w:color w:val="auto"/>
              </w:rPr>
            </w:pPr>
          </w:p>
        </w:tc>
        <w:tc>
          <w:tcPr>
            <w:tcW w:w="260" w:type="dxa"/>
            <w:vAlign w:val="bottom"/>
          </w:tcPr>
          <w:p>
            <w:pPr>
              <w:jc w:val="right"/>
              <w:ind w:right="108"/>
              <w:spacing w:after="0" w:line="122"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4"/>
                <w:szCs w:val="14"/>
                <w:color w:val="auto"/>
              </w:rPr>
              <w:t>1,017,540</w:t>
            </w:r>
          </w:p>
        </w:tc>
        <w:tc>
          <w:tcPr>
            <w:tcW w:w="340" w:type="dxa"/>
            <w:vAlign w:val="bottom"/>
            <w:gridSpan w:val="2"/>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1,000,000</w:t>
            </w:r>
          </w:p>
        </w:tc>
        <w:tc>
          <w:tcPr>
            <w:tcW w:w="12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40" w:type="dxa"/>
            <w:vAlign w:val="bottom"/>
            <w:gridSpan w:val="8"/>
            <w:vMerge w:val="restart"/>
          </w:tcPr>
          <w:p>
            <w:pPr>
              <w:spacing w:after="0"/>
              <w:rPr>
                <w:sz w:val="20"/>
                <w:szCs w:val="20"/>
                <w:color w:val="auto"/>
              </w:rPr>
            </w:pPr>
            <w:r>
              <w:rPr>
                <w:rFonts w:ascii="Arial" w:cs="Arial" w:eastAsia="Arial" w:hAnsi="Arial"/>
                <w:sz w:val="14"/>
                <w:szCs w:val="14"/>
                <w:b w:val="1"/>
                <w:bCs w:val="1"/>
                <w:color w:val="auto"/>
                <w:w w:val="99"/>
              </w:rPr>
              <w:t>AlwaysOn, LLC</w:t>
            </w:r>
          </w:p>
        </w:tc>
        <w:tc>
          <w:tcPr>
            <w:tcW w:w="140" w:type="dxa"/>
            <w:vAlign w:val="bottom"/>
            <w:tcBorders>
              <w:bottom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16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80" w:type="dxa"/>
            <w:vAlign w:val="bottom"/>
            <w:gridSpan w:val="2"/>
            <w:vMerge w:val="restart"/>
          </w:tcPr>
          <w:p>
            <w:pPr>
              <w:spacing w:after="0"/>
              <w:rPr>
                <w:sz w:val="10"/>
                <w:szCs w:val="10"/>
                <w:color w:val="auto"/>
              </w:rPr>
            </w:pPr>
          </w:p>
        </w:tc>
        <w:tc>
          <w:tcPr>
            <w:tcW w:w="252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Woodside, CA</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040" w:type="dxa"/>
            <w:vAlign w:val="bottom"/>
            <w:tcBorders>
              <w:bottom w:val="single" w:sz="8" w:color="auto"/>
            </w:tcBorders>
            <w:gridSpan w:val="8"/>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Borders>
              <w:righ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3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520" w:type="dxa"/>
            <w:vAlign w:val="bottom"/>
            <w:shd w:val="clear" w:color="auto" w:fill="CCFFCC"/>
          </w:tcPr>
          <w:p>
            <w:pPr>
              <w:jc w:val="center"/>
              <w:ind w:left="48"/>
              <w:spacing w:after="0" w:line="123" w:lineRule="exact"/>
              <w:rPr>
                <w:sz w:val="20"/>
                <w:szCs w:val="20"/>
                <w:color w:val="auto"/>
              </w:rPr>
            </w:pPr>
            <w:r>
              <w:rPr>
                <w:rFonts w:ascii="Arial" w:cs="Arial" w:eastAsia="Arial" w:hAnsi="Arial"/>
                <w:sz w:val="14"/>
                <w:szCs w:val="14"/>
                <w:color w:val="auto"/>
                <w:w w:val="94"/>
              </w:rPr>
              <w:t>Social</w:t>
            </w:r>
          </w:p>
        </w:tc>
        <w:tc>
          <w:tcPr>
            <w:tcW w:w="2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18"/>
            <w:shd w:val="clear" w:color="auto" w:fill="CCFFCC"/>
          </w:tcPr>
          <w:p>
            <w:pPr>
              <w:spacing w:after="0"/>
              <w:rPr>
                <w:sz w:val="20"/>
                <w:szCs w:val="20"/>
                <w:color w:val="auto"/>
              </w:rPr>
            </w:pPr>
            <w:r>
              <w:rPr>
                <w:rFonts w:ascii="Arial" w:cs="Arial" w:eastAsia="Arial" w:hAnsi="Arial"/>
                <w:sz w:val="14"/>
                <w:szCs w:val="14"/>
                <w:color w:val="auto"/>
              </w:rPr>
              <w:t>Structured note, 10%, due 1/9/2013 and warrant</w:t>
            </w:r>
          </w:p>
        </w:tc>
        <w:tc>
          <w:tcPr>
            <w:tcW w:w="2520" w:type="dxa"/>
            <w:vAlign w:val="bottom"/>
            <w:shd w:val="clear" w:color="auto" w:fill="CCFFCC"/>
          </w:tcPr>
          <w:p>
            <w:pPr>
              <w:jc w:val="center"/>
              <w:ind w:left="48"/>
              <w:spacing w:after="0"/>
              <w:rPr>
                <w:sz w:val="20"/>
                <w:szCs w:val="20"/>
                <w:color w:val="auto"/>
              </w:rPr>
            </w:pPr>
            <w:r>
              <w:rPr>
                <w:rFonts w:ascii="Arial" w:cs="Arial" w:eastAsia="Arial" w:hAnsi="Arial"/>
                <w:sz w:val="14"/>
                <w:szCs w:val="14"/>
                <w:color w:val="auto"/>
                <w:w w:val="94"/>
              </w:rPr>
              <w:t>Media</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250,000</w:t>
            </w:r>
          </w:p>
        </w:tc>
        <w:tc>
          <w:tcPr>
            <w:tcW w:w="2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250,000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320" w:type="dxa"/>
            <w:vAlign w:val="bottom"/>
            <w:gridSpan w:val="18"/>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Avenues World Holdings LLC</w:t>
            </w:r>
          </w:p>
        </w:tc>
        <w:tc>
          <w:tcPr>
            <w:tcW w:w="2520" w:type="dxa"/>
            <w:vAlign w:val="bottom"/>
            <w:shd w:val="clear" w:color="auto" w:fill="CCFFCC"/>
          </w:tcPr>
          <w:p>
            <w:pPr>
              <w:jc w:val="center"/>
              <w:ind w:left="28"/>
              <w:spacing w:after="0" w:line="135" w:lineRule="exact"/>
              <w:rPr>
                <w:sz w:val="20"/>
                <w:szCs w:val="20"/>
                <w:color w:val="auto"/>
              </w:rPr>
            </w:pPr>
            <w:r>
              <w:rPr>
                <w:rFonts w:ascii="Arial" w:cs="Arial" w:eastAsia="Arial" w:hAnsi="Arial"/>
                <w:sz w:val="14"/>
                <w:szCs w:val="14"/>
                <w:color w:val="auto"/>
                <w:w w:val="97"/>
              </w:rPr>
              <w:t>New York, NY</w:t>
            </w:r>
          </w:p>
        </w:tc>
        <w:tc>
          <w:tcPr>
            <w:tcW w:w="24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Borders>
              <w:top w:val="single" w:sz="8" w:color="auto"/>
            </w:tcBorders>
            <w:gridSpan w:val="16"/>
          </w:tcPr>
          <w:p>
            <w:pPr>
              <w:spacing w:after="0" w:line="122" w:lineRule="exact"/>
              <w:rPr>
                <w:sz w:val="20"/>
                <w:szCs w:val="20"/>
                <w:color w:val="auto"/>
              </w:rPr>
            </w:pPr>
            <w:r>
              <w:rPr>
                <w:rFonts w:ascii="Arial" w:cs="Arial" w:eastAsia="Arial" w:hAnsi="Arial"/>
                <w:sz w:val="14"/>
                <w:szCs w:val="14"/>
                <w:color w:val="auto"/>
              </w:rPr>
              <w:t>Preferred shares, Class A-1</w:t>
            </w:r>
          </w:p>
        </w:tc>
        <w:tc>
          <w:tcPr>
            <w:tcW w:w="1480" w:type="dxa"/>
            <w:vAlign w:val="bottom"/>
            <w:tcBorders>
              <w:top w:val="single" w:sz="8" w:color="CCFFCC"/>
            </w:tcBorders>
            <w:gridSpan w:val="2"/>
          </w:tcPr>
          <w:p>
            <w:pPr>
              <w:spacing w:after="0"/>
              <w:rPr>
                <w:sz w:val="10"/>
                <w:szCs w:val="10"/>
                <w:color w:val="auto"/>
              </w:rPr>
            </w:pPr>
          </w:p>
        </w:tc>
        <w:tc>
          <w:tcPr>
            <w:tcW w:w="2520" w:type="dxa"/>
            <w:vAlign w:val="bottom"/>
            <w:tcBorders>
              <w:top w:val="single" w:sz="8" w:color="CCFFCC"/>
            </w:tcBorders>
          </w:tcPr>
          <w:p>
            <w:pPr>
              <w:jc w:val="center"/>
              <w:ind w:left="48"/>
              <w:spacing w:after="0" w:line="122" w:lineRule="exact"/>
              <w:rPr>
                <w:sz w:val="20"/>
                <w:szCs w:val="20"/>
                <w:color w:val="auto"/>
              </w:rPr>
            </w:pPr>
            <w:r>
              <w:rPr>
                <w:rFonts w:ascii="Arial" w:cs="Arial" w:eastAsia="Arial" w:hAnsi="Arial"/>
                <w:sz w:val="14"/>
                <w:szCs w:val="14"/>
                <w:color w:val="auto"/>
                <w:w w:val="94"/>
              </w:rPr>
              <w:t>Globally-focused Private School</w:t>
            </w:r>
          </w:p>
        </w:tc>
        <w:tc>
          <w:tcPr>
            <w:tcW w:w="24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000" w:type="dxa"/>
            <w:vAlign w:val="bottom"/>
            <w:tcBorders>
              <w:top w:val="single" w:sz="8" w:color="CCFFCC"/>
            </w:tcBorders>
          </w:tcPr>
          <w:p>
            <w:pPr>
              <w:jc w:val="right"/>
              <w:spacing w:after="0" w:line="122" w:lineRule="exact"/>
              <w:rPr>
                <w:sz w:val="20"/>
                <w:szCs w:val="20"/>
                <w:color w:val="auto"/>
              </w:rPr>
            </w:pPr>
            <w:r>
              <w:rPr>
                <w:rFonts w:ascii="Arial" w:cs="Arial" w:eastAsia="Arial" w:hAnsi="Arial"/>
                <w:sz w:val="14"/>
                <w:szCs w:val="14"/>
                <w:color w:val="auto"/>
              </w:rPr>
              <w:t>5,000,000</w:t>
            </w:r>
          </w:p>
        </w:tc>
        <w:tc>
          <w:tcPr>
            <w:tcW w:w="220" w:type="dxa"/>
            <w:vAlign w:val="bottom"/>
            <w:tcBorders>
              <w:top w:val="single" w:sz="8" w:color="CCFFCC"/>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980" w:type="dxa"/>
            <w:vAlign w:val="bottom"/>
            <w:tcBorders>
              <w:top w:val="single" w:sz="8" w:color="CCFFCC"/>
            </w:tcBorders>
            <w:gridSpan w:val="2"/>
          </w:tcPr>
          <w:p>
            <w:pPr>
              <w:jc w:val="right"/>
              <w:ind w:right="100"/>
              <w:spacing w:after="0" w:line="122" w:lineRule="exact"/>
              <w:rPr>
                <w:sz w:val="20"/>
                <w:szCs w:val="20"/>
                <w:color w:val="auto"/>
              </w:rPr>
            </w:pPr>
            <w:r>
              <w:rPr>
                <w:rFonts w:ascii="Arial" w:cs="Arial" w:eastAsia="Arial" w:hAnsi="Arial"/>
                <w:sz w:val="14"/>
                <w:szCs w:val="14"/>
                <w:color w:val="auto"/>
              </w:rPr>
              <w:t>10,026,573</w:t>
            </w:r>
          </w:p>
        </w:tc>
        <w:tc>
          <w:tcPr>
            <w:tcW w:w="12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120" w:type="dxa"/>
            <w:vAlign w:val="bottom"/>
            <w:tcBorders>
              <w:top w:val="single" w:sz="8" w:color="CCFFCC"/>
            </w:tcBorders>
            <w:gridSpan w:val="2"/>
          </w:tcPr>
          <w:p>
            <w:pPr>
              <w:jc w:val="right"/>
              <w:ind w:right="220"/>
              <w:spacing w:after="0" w:line="122" w:lineRule="exact"/>
              <w:rPr>
                <w:sz w:val="20"/>
                <w:szCs w:val="20"/>
                <w:color w:val="auto"/>
              </w:rPr>
            </w:pPr>
            <w:r>
              <w:rPr>
                <w:rFonts w:ascii="Arial" w:cs="Arial" w:eastAsia="Arial" w:hAnsi="Arial"/>
                <w:sz w:val="14"/>
                <w:szCs w:val="14"/>
                <w:color w:val="auto"/>
              </w:rPr>
              <w:t>10,000,000</w:t>
            </w:r>
          </w:p>
        </w:tc>
        <w:tc>
          <w:tcPr>
            <w:tcW w:w="1260" w:type="dxa"/>
            <w:vAlign w:val="bottom"/>
            <w:tcBorders>
              <w:top w:val="single" w:sz="8" w:color="CCFFCC"/>
            </w:tcBorders>
            <w:gridSpan w:val="2"/>
          </w:tcPr>
          <w:p>
            <w:pPr>
              <w:jc w:val="right"/>
              <w:spacing w:after="0" w:line="122"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tcBorders>
              <w:bottom w:val="single" w:sz="8" w:color="auto"/>
            </w:tcBorders>
            <w:gridSpan w:val="15"/>
          </w:tcPr>
          <w:p>
            <w:pPr>
              <w:spacing w:after="0" w:line="135" w:lineRule="exact"/>
              <w:rPr>
                <w:sz w:val="20"/>
                <w:szCs w:val="20"/>
                <w:color w:val="auto"/>
              </w:rPr>
            </w:pPr>
            <w:r>
              <w:rPr>
                <w:rFonts w:ascii="Arial" w:cs="Arial" w:eastAsia="Arial" w:hAnsi="Arial"/>
                <w:sz w:val="14"/>
                <w:szCs w:val="14"/>
                <w:b w:val="1"/>
                <w:bCs w:val="1"/>
                <w:color w:val="auto"/>
                <w:w w:val="92"/>
              </w:rPr>
              <w:t>Bloom Energy Corporation</w:t>
            </w:r>
          </w:p>
        </w:tc>
        <w:tc>
          <w:tcPr>
            <w:tcW w:w="1640" w:type="dxa"/>
            <w:vAlign w:val="bottom"/>
            <w:gridSpan w:val="3"/>
          </w:tcPr>
          <w:p>
            <w:pPr>
              <w:spacing w:after="0"/>
              <w:rPr>
                <w:sz w:val="11"/>
                <w:szCs w:val="11"/>
                <w:color w:val="auto"/>
              </w:rPr>
            </w:pPr>
          </w:p>
        </w:tc>
        <w:tc>
          <w:tcPr>
            <w:tcW w:w="252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4"/>
              </w:rPr>
              <w:t>Sunnyvale, CA</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2520" w:type="dxa"/>
            <w:vAlign w:val="bottom"/>
            <w:shd w:val="clear" w:color="auto" w:fill="CCFFCC"/>
          </w:tcPr>
          <w:p>
            <w:pPr>
              <w:jc w:val="center"/>
              <w:ind w:left="28"/>
              <w:spacing w:after="0" w:line="142" w:lineRule="exact"/>
              <w:rPr>
                <w:sz w:val="20"/>
                <w:szCs w:val="20"/>
                <w:color w:val="auto"/>
              </w:rPr>
            </w:pPr>
            <w:r>
              <w:rPr>
                <w:rFonts w:ascii="Arial" w:cs="Arial" w:eastAsia="Arial" w:hAnsi="Arial"/>
                <w:sz w:val="14"/>
                <w:szCs w:val="14"/>
                <w:color w:val="auto"/>
                <w:w w:val="94"/>
              </w:rPr>
              <w:t>Fuel Cell Energy</w:t>
            </w: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201,589</w:t>
            </w: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3,854,817</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3,770,135</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8"/>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Chegg, Inc.</w:t>
            </w:r>
          </w:p>
        </w:tc>
        <w:tc>
          <w:tcPr>
            <w:tcW w:w="2520" w:type="dxa"/>
            <w:vAlign w:val="bottom"/>
            <w:shd w:val="clear" w:color="auto" w:fill="CCFFCC"/>
          </w:tcPr>
          <w:p>
            <w:pPr>
              <w:jc w:val="center"/>
              <w:ind w:left="28"/>
              <w:spacing w:after="0" w:line="135" w:lineRule="exact"/>
              <w:rPr>
                <w:sz w:val="20"/>
                <w:szCs w:val="20"/>
                <w:color w:val="auto"/>
              </w:rPr>
            </w:pPr>
            <w:r>
              <w:rPr>
                <w:rFonts w:ascii="Arial" w:cs="Arial" w:eastAsia="Arial" w:hAnsi="Arial"/>
                <w:sz w:val="14"/>
                <w:szCs w:val="14"/>
                <w:color w:val="auto"/>
                <w:w w:val="92"/>
              </w:rPr>
              <w:t>Santa Clara, CA</w:t>
            </w:r>
          </w:p>
        </w:tc>
        <w:tc>
          <w:tcPr>
            <w:tcW w:w="2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gridSpan w:val="2"/>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gridSpan w:val="2"/>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gridSpan w:val="2"/>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760" w:type="dxa"/>
            <w:vAlign w:val="bottom"/>
            <w:tcBorders>
              <w:top w:val="single" w:sz="8" w:color="CCFFCC"/>
            </w:tcBorders>
            <w:gridSpan w:val="4"/>
          </w:tcPr>
          <w:p>
            <w:pPr>
              <w:spacing w:after="0" w:line="20" w:lineRule="exact"/>
              <w:rPr>
                <w:sz w:val="1"/>
                <w:szCs w:val="1"/>
                <w:color w:val="auto"/>
              </w:rPr>
            </w:pPr>
          </w:p>
        </w:tc>
        <w:tc>
          <w:tcPr>
            <w:tcW w:w="2520" w:type="dxa"/>
            <w:vAlign w:val="bottom"/>
            <w:tcBorders>
              <w:top w:val="single" w:sz="8" w:color="CCFFCC"/>
            </w:tcBorders>
            <w:vMerge w:val="restart"/>
          </w:tcPr>
          <w:p>
            <w:pPr>
              <w:jc w:val="center"/>
              <w:ind w:left="48"/>
              <w:spacing w:after="0" w:line="142" w:lineRule="exact"/>
              <w:rPr>
                <w:sz w:val="20"/>
                <w:szCs w:val="20"/>
                <w:color w:val="auto"/>
              </w:rPr>
            </w:pPr>
            <w:r>
              <w:rPr>
                <w:rFonts w:ascii="Arial" w:cs="Arial" w:eastAsia="Arial" w:hAnsi="Arial"/>
                <w:sz w:val="14"/>
                <w:szCs w:val="14"/>
                <w:color w:val="auto"/>
                <w:w w:val="94"/>
              </w:rPr>
              <w:t>Textbook Rental</w:t>
            </w:r>
          </w:p>
        </w:tc>
        <w:tc>
          <w:tcPr>
            <w:tcW w:w="2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CCFFCC"/>
            </w:tcBorders>
            <w:vMerge w:val="restart"/>
          </w:tcPr>
          <w:p>
            <w:pPr>
              <w:jc w:val="right"/>
              <w:spacing w:after="0" w:line="142" w:lineRule="exact"/>
              <w:rPr>
                <w:sz w:val="20"/>
                <w:szCs w:val="20"/>
                <w:color w:val="auto"/>
              </w:rPr>
            </w:pPr>
            <w:r>
              <w:rPr>
                <w:rFonts w:ascii="Arial" w:cs="Arial" w:eastAsia="Arial" w:hAnsi="Arial"/>
                <w:sz w:val="14"/>
                <w:szCs w:val="14"/>
                <w:color w:val="auto"/>
              </w:rPr>
              <w:t>1,274,193</w:t>
            </w:r>
          </w:p>
        </w:tc>
        <w:tc>
          <w:tcPr>
            <w:tcW w:w="2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CCFFCC"/>
            </w:tcBorders>
            <w:gridSpan w:val="2"/>
            <w:vMerge w:val="restart"/>
          </w:tcPr>
          <w:p>
            <w:pPr>
              <w:jc w:val="right"/>
              <w:ind w:right="100"/>
              <w:spacing w:after="0" w:line="142" w:lineRule="exact"/>
              <w:rPr>
                <w:sz w:val="20"/>
                <w:szCs w:val="20"/>
                <w:color w:val="auto"/>
              </w:rPr>
            </w:pPr>
            <w:r>
              <w:rPr>
                <w:rFonts w:ascii="Arial" w:cs="Arial" w:eastAsia="Arial" w:hAnsi="Arial"/>
                <w:sz w:val="14"/>
                <w:szCs w:val="14"/>
                <w:color w:val="auto"/>
              </w:rPr>
              <w:t>10,012,543</w:t>
            </w: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9,999,996</w:t>
            </w:r>
          </w:p>
        </w:tc>
        <w:tc>
          <w:tcPr>
            <w:tcW w:w="1260" w:type="dxa"/>
            <w:vAlign w:val="bottom"/>
            <w:tcBorders>
              <w:top w:val="single" w:sz="8" w:color="CCFFCC"/>
            </w:tcBorders>
            <w:gridSpan w:val="2"/>
            <w:vMerge w:val="restart"/>
          </w:tcPr>
          <w:p>
            <w:pPr>
              <w:jc w:val="right"/>
              <w:spacing w:after="0" w:line="142" w:lineRule="exact"/>
              <w:rPr>
                <w:sz w:val="20"/>
                <w:szCs w:val="20"/>
                <w:color w:val="auto"/>
              </w:rPr>
            </w:pPr>
            <w:r>
              <w:rPr>
                <w:rFonts w:ascii="Arial" w:cs="Arial" w:eastAsia="Arial" w:hAnsi="Arial"/>
                <w:sz w:val="14"/>
                <w:szCs w:val="14"/>
                <w:color w:val="auto"/>
              </w:rPr>
              <w:t>3.75%</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18"/>
          </w:tcPr>
          <w:p>
            <w:pPr>
              <w:spacing w:after="0" w:line="122" w:lineRule="exact"/>
              <w:rPr>
                <w:sz w:val="20"/>
                <w:szCs w:val="20"/>
                <w:color w:val="auto"/>
              </w:rPr>
            </w:pPr>
            <w:r>
              <w:rPr>
                <w:rFonts w:ascii="Arial" w:cs="Arial" w:eastAsia="Arial" w:hAnsi="Arial"/>
                <w:sz w:val="14"/>
                <w:szCs w:val="14"/>
                <w:color w:val="auto"/>
              </w:rPr>
              <w:t>Common shares</w:t>
            </w:r>
          </w:p>
        </w:tc>
        <w:tc>
          <w:tcPr>
            <w:tcW w:w="25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18"/>
            <w:shd w:val="clear" w:color="auto" w:fill="CCFFCC"/>
          </w:tcPr>
          <w:p>
            <w:pPr>
              <w:spacing w:after="0" w:line="149" w:lineRule="exact"/>
              <w:rPr>
                <w:sz w:val="20"/>
                <w:szCs w:val="20"/>
                <w:color w:val="auto"/>
              </w:rPr>
            </w:pPr>
            <w:r>
              <w:rPr>
                <w:rFonts w:ascii="Arial" w:cs="Arial" w:eastAsia="Arial" w:hAnsi="Arial"/>
                <w:sz w:val="14"/>
                <w:szCs w:val="14"/>
                <w:color w:val="auto"/>
              </w:rPr>
              <w:t>Preferred shares, Series F</w:t>
            </w: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500,000</w:t>
            </w: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4,008,654</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4,000,000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18"/>
            <w:vMerge w:val="restart"/>
          </w:tcPr>
          <w:p>
            <w:pPr>
              <w:ind w:left="240"/>
              <w:spacing w:after="0"/>
              <w:rPr>
                <w:sz w:val="20"/>
                <w:szCs w:val="20"/>
                <w:color w:val="auto"/>
              </w:rPr>
            </w:pPr>
            <w:r>
              <w:rPr>
                <w:rFonts w:ascii="Arial" w:cs="Arial" w:eastAsia="Arial" w:hAnsi="Arial"/>
                <w:sz w:val="14"/>
                <w:szCs w:val="14"/>
                <w:color w:val="auto"/>
              </w:rPr>
              <w:t>Total</w:t>
            </w: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vMerge w:val="continue"/>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14,021,197</w:t>
            </w: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13,999,996</w:t>
            </w:r>
          </w:p>
        </w:tc>
        <w:tc>
          <w:tcPr>
            <w:tcW w:w="220" w:type="dxa"/>
            <w:vAlign w:val="bottom"/>
            <w:vMerge w:val="continue"/>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Borders>
              <w:top w:val="single" w:sz="8" w:color="CCFFCC"/>
              <w:right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3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25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8"/>
          </w:tcPr>
          <w:p>
            <w:pPr>
              <w:spacing w:after="0" w:line="135" w:lineRule="exact"/>
              <w:rPr>
                <w:sz w:val="20"/>
                <w:szCs w:val="20"/>
                <w:color w:val="auto"/>
              </w:rPr>
            </w:pPr>
            <w:r>
              <w:rPr>
                <w:rFonts w:ascii="Arial" w:cs="Arial" w:eastAsia="Arial" w:hAnsi="Arial"/>
                <w:sz w:val="14"/>
                <w:szCs w:val="14"/>
                <w:b w:val="1"/>
                <w:bCs w:val="1"/>
                <w:color w:val="auto"/>
              </w:rPr>
              <w:t>Control4 Corporation</w:t>
            </w:r>
          </w:p>
        </w:tc>
        <w:tc>
          <w:tcPr>
            <w:tcW w:w="252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5"/>
              </w:rPr>
              <w:t>Salt Lake City, UT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Borders>
              <w:top w:val="single" w:sz="8" w:color="auto"/>
            </w:tcBorders>
            <w:gridSpan w:val="13"/>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220" w:type="dxa"/>
            <w:vAlign w:val="bottom"/>
            <w:tcBorders>
              <w:top w:val="single" w:sz="8" w:color="CCFFCC"/>
            </w:tcBorders>
            <w:shd w:val="clear" w:color="auto" w:fill="CCFFCC"/>
          </w:tcPr>
          <w:p>
            <w:pPr>
              <w:spacing w:after="0"/>
              <w:rPr>
                <w:sz w:val="12"/>
                <w:szCs w:val="12"/>
                <w:color w:val="auto"/>
              </w:rPr>
            </w:pPr>
          </w:p>
        </w:tc>
        <w:tc>
          <w:tcPr>
            <w:tcW w:w="1760" w:type="dxa"/>
            <w:vAlign w:val="bottom"/>
            <w:tcBorders>
              <w:top w:val="single" w:sz="8" w:color="CCFFCC"/>
            </w:tcBorders>
            <w:gridSpan w:val="4"/>
            <w:shd w:val="clear" w:color="auto" w:fill="CCFFCC"/>
          </w:tcPr>
          <w:p>
            <w:pPr>
              <w:spacing w:after="0"/>
              <w:rPr>
                <w:sz w:val="12"/>
                <w:szCs w:val="12"/>
                <w:color w:val="auto"/>
              </w:rPr>
            </w:pPr>
          </w:p>
        </w:tc>
        <w:tc>
          <w:tcPr>
            <w:tcW w:w="2520" w:type="dxa"/>
            <w:vAlign w:val="bottom"/>
            <w:tcBorders>
              <w:top w:val="single" w:sz="8" w:color="CCFFCC"/>
            </w:tcBorders>
            <w:shd w:val="clear" w:color="auto" w:fill="CCFFCC"/>
          </w:tcPr>
          <w:p>
            <w:pPr>
              <w:jc w:val="center"/>
              <w:ind w:left="48"/>
              <w:spacing w:after="0" w:line="142" w:lineRule="exact"/>
              <w:rPr>
                <w:sz w:val="20"/>
                <w:szCs w:val="20"/>
                <w:color w:val="auto"/>
              </w:rPr>
            </w:pPr>
            <w:r>
              <w:rPr>
                <w:rFonts w:ascii="Arial" w:cs="Arial" w:eastAsia="Arial" w:hAnsi="Arial"/>
                <w:sz w:val="14"/>
                <w:szCs w:val="14"/>
                <w:color w:val="auto"/>
                <w:w w:val="96"/>
              </w:rPr>
              <w:t>Home Automation</w:t>
            </w:r>
          </w:p>
        </w:tc>
        <w:tc>
          <w:tcPr>
            <w:tcW w:w="2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2,950,667</w:t>
            </w: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980" w:type="dxa"/>
            <w:vAlign w:val="bottom"/>
            <w:tcBorders>
              <w:top w:val="single" w:sz="8" w:color="CCFFCC"/>
            </w:tcBorders>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5,046,583</w:t>
            </w:r>
          </w:p>
        </w:tc>
        <w:tc>
          <w:tcPr>
            <w:tcW w:w="12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20" w:type="dxa"/>
            <w:vAlign w:val="bottom"/>
            <w:tcBorders>
              <w:top w:val="single" w:sz="8" w:color="CCFFCC"/>
            </w:tcBorders>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4,997,000</w:t>
            </w:r>
          </w:p>
        </w:tc>
        <w:tc>
          <w:tcPr>
            <w:tcW w:w="1260" w:type="dxa"/>
            <w:vAlign w:val="bottom"/>
            <w:tcBorders>
              <w:top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80" w:type="dxa"/>
            <w:vAlign w:val="bottom"/>
            <w:tcBorders>
              <w:bottom w:val="single" w:sz="8" w:color="CCFFCC"/>
              <w:right w:val="single" w:sz="8" w:color="CCFFCC"/>
            </w:tcBorders>
            <w:vMerge w:val="restart"/>
            <w:shd w:val="clear" w:color="auto" w:fill="CCFFCC"/>
          </w:tcPr>
          <w:p>
            <w:pPr>
              <w:spacing w:after="0"/>
              <w:rPr>
                <w:sz w:val="20"/>
                <w:szCs w:val="20"/>
                <w:color w:val="auto"/>
              </w:rPr>
            </w:pPr>
            <w:r>
              <w:rPr>
                <w:rFonts w:ascii="Arial" w:cs="Arial" w:eastAsia="Arial" w:hAnsi="Arial"/>
                <w:sz w:val="14"/>
                <w:szCs w:val="14"/>
                <w:b w:val="1"/>
                <w:bCs w:val="1"/>
                <w:color w:val="auto"/>
              </w:rPr>
              <w:t>CUX, Inc.</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8"/>
                <w:szCs w:val="8"/>
                <w:b w:val="1"/>
                <w:bCs w:val="1"/>
                <w:color w:val="auto"/>
                <w:w w:val="81"/>
              </w:rPr>
              <w:t>(2)</w:t>
            </w:r>
          </w:p>
        </w:tc>
        <w:tc>
          <w:tcPr>
            <w:tcW w:w="60" w:type="dxa"/>
            <w:vAlign w:val="bottom"/>
            <w:tcBorders>
              <w:bottom w:val="single" w:sz="8" w:color="CCFFCC"/>
            </w:tcBorders>
            <w:gridSpan w:val="2"/>
            <w:vMerge w:val="restart"/>
            <w:shd w:val="clear" w:color="auto" w:fill="CCFFCC"/>
          </w:tcPr>
          <w:p>
            <w:pPr>
              <w:spacing w:after="0"/>
              <w:rPr>
                <w:sz w:val="10"/>
                <w:szCs w:val="10"/>
                <w:color w:val="auto"/>
              </w:rPr>
            </w:pPr>
          </w:p>
        </w:tc>
        <w:tc>
          <w:tcPr>
            <w:tcW w:w="40" w:type="dxa"/>
            <w:vAlign w:val="bottom"/>
            <w:tcBorders>
              <w:bottom w:val="single" w:sz="8" w:color="CCFFCC"/>
            </w:tcBorders>
            <w:vMerge w:val="restart"/>
            <w:shd w:val="clear" w:color="auto" w:fill="CCFFCC"/>
          </w:tcPr>
          <w:p>
            <w:pPr>
              <w:spacing w:after="0"/>
              <w:rPr>
                <w:sz w:val="10"/>
                <w:szCs w:val="10"/>
                <w:color w:val="auto"/>
              </w:rPr>
            </w:pPr>
          </w:p>
        </w:tc>
        <w:tc>
          <w:tcPr>
            <w:tcW w:w="100" w:type="dxa"/>
            <w:vAlign w:val="bottom"/>
            <w:tcBorders>
              <w:bottom w:val="single" w:sz="8" w:color="CCFFCC"/>
            </w:tcBorders>
            <w:vMerge w:val="restart"/>
            <w:shd w:val="clear" w:color="auto" w:fill="CCFFCC"/>
          </w:tcPr>
          <w:p>
            <w:pPr>
              <w:spacing w:after="0"/>
              <w:rPr>
                <w:sz w:val="10"/>
                <w:szCs w:val="10"/>
                <w:color w:val="auto"/>
              </w:rPr>
            </w:pPr>
          </w:p>
        </w:tc>
        <w:tc>
          <w:tcPr>
            <w:tcW w:w="40" w:type="dxa"/>
            <w:vAlign w:val="bottom"/>
            <w:tcBorders>
              <w:bottom w:val="single" w:sz="8" w:color="CCFFCC"/>
            </w:tcBorders>
            <w:vMerge w:val="restart"/>
            <w:shd w:val="clear" w:color="auto" w:fill="CCFFCC"/>
          </w:tcPr>
          <w:p>
            <w:pPr>
              <w:spacing w:after="0"/>
              <w:rPr>
                <w:sz w:val="10"/>
                <w:szCs w:val="10"/>
                <w:color w:val="auto"/>
              </w:rPr>
            </w:pPr>
          </w:p>
        </w:tc>
        <w:tc>
          <w:tcPr>
            <w:tcW w:w="40" w:type="dxa"/>
            <w:vAlign w:val="bottom"/>
            <w:tcBorders>
              <w:bottom w:val="single" w:sz="8" w:color="CCFFCC"/>
            </w:tcBorders>
            <w:gridSpan w:val="2"/>
            <w:vMerge w:val="restart"/>
            <w:shd w:val="clear" w:color="auto" w:fill="CCFFCC"/>
          </w:tcPr>
          <w:p>
            <w:pPr>
              <w:spacing w:after="0"/>
              <w:rPr>
                <w:sz w:val="10"/>
                <w:szCs w:val="10"/>
                <w:color w:val="auto"/>
              </w:rPr>
            </w:pPr>
          </w:p>
        </w:tc>
        <w:tc>
          <w:tcPr>
            <w:tcW w:w="60" w:type="dxa"/>
            <w:vAlign w:val="bottom"/>
            <w:tcBorders>
              <w:bottom w:val="single" w:sz="8" w:color="CCFFCC"/>
            </w:tcBorders>
            <w:vMerge w:val="restart"/>
            <w:shd w:val="clear" w:color="auto" w:fill="CCFFCC"/>
          </w:tcPr>
          <w:p>
            <w:pPr>
              <w:spacing w:after="0"/>
              <w:rPr>
                <w:sz w:val="10"/>
                <w:szCs w:val="10"/>
                <w:color w:val="auto"/>
              </w:rPr>
            </w:pPr>
          </w:p>
        </w:tc>
        <w:tc>
          <w:tcPr>
            <w:tcW w:w="40" w:type="dxa"/>
            <w:vAlign w:val="bottom"/>
            <w:tcBorders>
              <w:bottom w:val="single" w:sz="8" w:color="CCFFCC"/>
            </w:tcBorders>
            <w:vMerge w:val="restart"/>
            <w:shd w:val="clear" w:color="auto" w:fill="CCFFCC"/>
          </w:tcPr>
          <w:p>
            <w:pPr>
              <w:spacing w:after="0"/>
              <w:rPr>
                <w:sz w:val="10"/>
                <w:szCs w:val="10"/>
                <w:color w:val="auto"/>
              </w:rPr>
            </w:pPr>
          </w:p>
        </w:tc>
        <w:tc>
          <w:tcPr>
            <w:tcW w:w="400" w:type="dxa"/>
            <w:vAlign w:val="bottom"/>
            <w:tcBorders>
              <w:bottom w:val="single" w:sz="8" w:color="CCFFCC"/>
            </w:tcBorders>
            <w:gridSpan w:val="3"/>
            <w:vMerge w:val="restart"/>
            <w:shd w:val="clear" w:color="auto" w:fill="CCFFCC"/>
          </w:tcPr>
          <w:p>
            <w:pPr>
              <w:spacing w:after="0"/>
              <w:rPr>
                <w:sz w:val="10"/>
                <w:szCs w:val="10"/>
                <w:color w:val="auto"/>
              </w:rPr>
            </w:pPr>
          </w:p>
        </w:tc>
        <w:tc>
          <w:tcPr>
            <w:tcW w:w="1760" w:type="dxa"/>
            <w:vAlign w:val="bottom"/>
            <w:tcBorders>
              <w:bottom w:val="single" w:sz="8" w:color="CCFFCC"/>
            </w:tcBorders>
            <w:gridSpan w:val="4"/>
            <w:vMerge w:val="restart"/>
            <w:shd w:val="clear" w:color="auto" w:fill="CCFFCC"/>
          </w:tcPr>
          <w:p>
            <w:pPr>
              <w:spacing w:after="0"/>
              <w:rPr>
                <w:sz w:val="10"/>
                <w:szCs w:val="10"/>
                <w:color w:val="auto"/>
              </w:rPr>
            </w:pPr>
          </w:p>
        </w:tc>
        <w:tc>
          <w:tcPr>
            <w:tcW w:w="2520" w:type="dxa"/>
            <w:vAlign w:val="bottom"/>
            <w:tcBorders>
              <w:bottom w:val="single" w:sz="8" w:color="CCFFCC"/>
            </w:tcBorders>
            <w:vMerge w:val="restart"/>
            <w:shd w:val="clear" w:color="auto" w:fill="CCFFCC"/>
          </w:tcPr>
          <w:p>
            <w:pPr>
              <w:jc w:val="center"/>
              <w:ind w:left="48"/>
              <w:spacing w:after="0"/>
              <w:rPr>
                <w:sz w:val="20"/>
                <w:szCs w:val="20"/>
                <w:color w:val="auto"/>
              </w:rPr>
            </w:pPr>
            <w:r>
              <w:rPr>
                <w:rFonts w:ascii="Arial" w:cs="Arial" w:eastAsia="Arial" w:hAnsi="Arial"/>
                <w:sz w:val="14"/>
                <w:szCs w:val="14"/>
                <w:color w:val="auto"/>
                <w:w w:val="92"/>
              </w:rPr>
              <w:t>Mechanicsburg, PA</w:t>
            </w:r>
          </w:p>
        </w:tc>
        <w:tc>
          <w:tcPr>
            <w:tcW w:w="24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10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60" w:type="dxa"/>
            <w:vAlign w:val="bottom"/>
            <w:tcBorders>
              <w:bottom w:val="single" w:sz="8" w:color="CCFFCC"/>
            </w:tcBorders>
            <w:shd w:val="clear" w:color="auto" w:fill="CCFFCC"/>
          </w:tcPr>
          <w:p>
            <w:pPr>
              <w:spacing w:after="0"/>
              <w:rPr>
                <w:sz w:val="10"/>
                <w:szCs w:val="10"/>
                <w:color w:val="auto"/>
              </w:rPr>
            </w:pPr>
          </w:p>
        </w:tc>
        <w:tc>
          <w:tcPr>
            <w:tcW w:w="88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1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auto"/>
              <w:right w:val="single" w:sz="8" w:color="CCFFCC"/>
            </w:tcBorders>
            <w:vMerge w:val="continue"/>
            <w:shd w:val="clear" w:color="auto" w:fill="CCFFCC"/>
          </w:tcPr>
          <w:p>
            <w:pPr>
              <w:spacing w:after="0"/>
              <w:rPr>
                <w:sz w:val="2"/>
                <w:szCs w:val="2"/>
                <w:color w:val="auto"/>
              </w:rPr>
            </w:pPr>
          </w:p>
        </w:tc>
        <w:tc>
          <w:tcPr>
            <w:tcW w:w="100" w:type="dxa"/>
            <w:vAlign w:val="bottom"/>
            <w:tcBorders>
              <w:bottom w:val="single" w:sz="8" w:color="CCFFCC"/>
            </w:tcBorders>
            <w:shd w:val="clear" w:color="auto" w:fill="CCFFCC"/>
          </w:tcPr>
          <w:p>
            <w:pPr>
              <w:spacing w:after="0"/>
              <w:rPr>
                <w:sz w:val="2"/>
                <w:szCs w:val="2"/>
                <w:color w:val="auto"/>
              </w:rPr>
            </w:pPr>
          </w:p>
        </w:tc>
        <w:tc>
          <w:tcPr>
            <w:tcW w:w="60" w:type="dxa"/>
            <w:vAlign w:val="bottom"/>
            <w:tcBorders>
              <w:bottom w:val="single" w:sz="8" w:color="CCFFCC"/>
            </w:tcBorders>
            <w:gridSpan w:val="2"/>
            <w:vMerge w:val="continue"/>
            <w:shd w:val="clear" w:color="auto" w:fill="CCFFCC"/>
          </w:tcPr>
          <w:p>
            <w:pPr>
              <w:spacing w:after="0"/>
              <w:rPr>
                <w:sz w:val="2"/>
                <w:szCs w:val="2"/>
                <w:color w:val="auto"/>
              </w:rPr>
            </w:pPr>
          </w:p>
        </w:tc>
        <w:tc>
          <w:tcPr>
            <w:tcW w:w="40" w:type="dxa"/>
            <w:vAlign w:val="bottom"/>
            <w:tcBorders>
              <w:bottom w:val="single" w:sz="8" w:color="CCFFCC"/>
            </w:tcBorders>
            <w:vMerge w:val="continue"/>
            <w:shd w:val="clear" w:color="auto" w:fill="CCFFCC"/>
          </w:tcPr>
          <w:p>
            <w:pPr>
              <w:spacing w:after="0"/>
              <w:rPr>
                <w:sz w:val="2"/>
                <w:szCs w:val="2"/>
                <w:color w:val="auto"/>
              </w:rPr>
            </w:pPr>
          </w:p>
        </w:tc>
        <w:tc>
          <w:tcPr>
            <w:tcW w:w="100" w:type="dxa"/>
            <w:vAlign w:val="bottom"/>
            <w:tcBorders>
              <w:bottom w:val="single" w:sz="8" w:color="CCFFCC"/>
            </w:tcBorders>
            <w:vMerge w:val="continue"/>
            <w:shd w:val="clear" w:color="auto" w:fill="CCFFCC"/>
          </w:tcPr>
          <w:p>
            <w:pPr>
              <w:spacing w:after="0"/>
              <w:rPr>
                <w:sz w:val="2"/>
                <w:szCs w:val="2"/>
                <w:color w:val="auto"/>
              </w:rPr>
            </w:pPr>
          </w:p>
        </w:tc>
        <w:tc>
          <w:tcPr>
            <w:tcW w:w="40" w:type="dxa"/>
            <w:vAlign w:val="bottom"/>
            <w:tcBorders>
              <w:bottom w:val="single" w:sz="8" w:color="CCFFCC"/>
            </w:tcBorders>
            <w:vMerge w:val="continue"/>
            <w:shd w:val="clear" w:color="auto" w:fill="CCFFCC"/>
          </w:tcPr>
          <w:p>
            <w:pPr>
              <w:spacing w:after="0"/>
              <w:rPr>
                <w:sz w:val="2"/>
                <w:szCs w:val="2"/>
                <w:color w:val="auto"/>
              </w:rPr>
            </w:pPr>
          </w:p>
        </w:tc>
        <w:tc>
          <w:tcPr>
            <w:tcW w:w="40" w:type="dxa"/>
            <w:vAlign w:val="bottom"/>
            <w:tcBorders>
              <w:bottom w:val="single" w:sz="8" w:color="CCFFCC"/>
            </w:tcBorders>
            <w:gridSpan w:val="2"/>
            <w:vMerge w:val="continue"/>
            <w:shd w:val="clear" w:color="auto" w:fill="CCFFCC"/>
          </w:tcPr>
          <w:p>
            <w:pPr>
              <w:spacing w:after="0"/>
              <w:rPr>
                <w:sz w:val="2"/>
                <w:szCs w:val="2"/>
                <w:color w:val="auto"/>
              </w:rPr>
            </w:pPr>
          </w:p>
        </w:tc>
        <w:tc>
          <w:tcPr>
            <w:tcW w:w="60" w:type="dxa"/>
            <w:vAlign w:val="bottom"/>
            <w:tcBorders>
              <w:bottom w:val="single" w:sz="8" w:color="CCFFCC"/>
            </w:tcBorders>
            <w:vMerge w:val="continue"/>
            <w:shd w:val="clear" w:color="auto" w:fill="CCFFCC"/>
          </w:tcPr>
          <w:p>
            <w:pPr>
              <w:spacing w:after="0"/>
              <w:rPr>
                <w:sz w:val="2"/>
                <w:szCs w:val="2"/>
                <w:color w:val="auto"/>
              </w:rPr>
            </w:pPr>
          </w:p>
        </w:tc>
        <w:tc>
          <w:tcPr>
            <w:tcW w:w="40" w:type="dxa"/>
            <w:vAlign w:val="bottom"/>
            <w:tcBorders>
              <w:bottom w:val="single" w:sz="8" w:color="CCFFCC"/>
            </w:tcBorders>
            <w:vMerge w:val="continue"/>
            <w:shd w:val="clear" w:color="auto" w:fill="CCFFCC"/>
          </w:tcPr>
          <w:p>
            <w:pPr>
              <w:spacing w:after="0"/>
              <w:rPr>
                <w:sz w:val="2"/>
                <w:szCs w:val="2"/>
                <w:color w:val="auto"/>
              </w:rPr>
            </w:pPr>
          </w:p>
        </w:tc>
        <w:tc>
          <w:tcPr>
            <w:tcW w:w="400" w:type="dxa"/>
            <w:vAlign w:val="bottom"/>
            <w:tcBorders>
              <w:bottom w:val="single" w:sz="8" w:color="CCFFCC"/>
            </w:tcBorders>
            <w:gridSpan w:val="3"/>
            <w:vMerge w:val="continue"/>
            <w:shd w:val="clear" w:color="auto" w:fill="CCFFCC"/>
          </w:tcPr>
          <w:p>
            <w:pPr>
              <w:spacing w:after="0"/>
              <w:rPr>
                <w:sz w:val="2"/>
                <w:szCs w:val="2"/>
                <w:color w:val="auto"/>
              </w:rPr>
            </w:pPr>
          </w:p>
        </w:tc>
        <w:tc>
          <w:tcPr>
            <w:tcW w:w="1760" w:type="dxa"/>
            <w:vAlign w:val="bottom"/>
            <w:tcBorders>
              <w:bottom w:val="single" w:sz="8" w:color="CCFFCC"/>
            </w:tcBorders>
            <w:gridSpan w:val="4"/>
            <w:vMerge w:val="continue"/>
            <w:shd w:val="clear" w:color="auto" w:fill="CCFFCC"/>
          </w:tcPr>
          <w:p>
            <w:pPr>
              <w:spacing w:after="0"/>
              <w:rPr>
                <w:sz w:val="2"/>
                <w:szCs w:val="2"/>
                <w:color w:val="auto"/>
              </w:rPr>
            </w:pPr>
          </w:p>
        </w:tc>
        <w:tc>
          <w:tcPr>
            <w:tcW w:w="2520" w:type="dxa"/>
            <w:vAlign w:val="bottom"/>
            <w:tcBorders>
              <w:bottom w:val="single" w:sz="8" w:color="CCFFCC"/>
            </w:tcBorders>
            <w:vMerge w:val="continue"/>
            <w:shd w:val="clear" w:color="auto" w:fill="CCFFCC"/>
          </w:tcPr>
          <w:p>
            <w:pPr>
              <w:spacing w:after="0"/>
              <w:rPr>
                <w:sz w:val="2"/>
                <w:szCs w:val="2"/>
                <w:color w:val="auto"/>
              </w:rPr>
            </w:pPr>
          </w:p>
        </w:tc>
        <w:tc>
          <w:tcPr>
            <w:tcW w:w="240" w:type="dxa"/>
            <w:vAlign w:val="bottom"/>
            <w:tcBorders>
              <w:bottom w:val="single" w:sz="8" w:color="CCFFCC"/>
            </w:tcBorders>
            <w:shd w:val="clear" w:color="auto" w:fill="CCFFCC"/>
          </w:tcPr>
          <w:p>
            <w:pPr>
              <w:spacing w:after="0"/>
              <w:rPr>
                <w:sz w:val="2"/>
                <w:szCs w:val="2"/>
                <w:color w:val="auto"/>
              </w:rPr>
            </w:pPr>
          </w:p>
        </w:tc>
        <w:tc>
          <w:tcPr>
            <w:tcW w:w="140" w:type="dxa"/>
            <w:vAlign w:val="bottom"/>
            <w:tcBorders>
              <w:bottom w:val="single" w:sz="8" w:color="CCFFCC"/>
            </w:tcBorders>
            <w:shd w:val="clear" w:color="auto" w:fill="CCFFCC"/>
          </w:tcPr>
          <w:p>
            <w:pPr>
              <w:spacing w:after="0"/>
              <w:rPr>
                <w:sz w:val="2"/>
                <w:szCs w:val="2"/>
                <w:color w:val="auto"/>
              </w:rPr>
            </w:pPr>
          </w:p>
        </w:tc>
        <w:tc>
          <w:tcPr>
            <w:tcW w:w="100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260" w:type="dxa"/>
            <w:vAlign w:val="bottom"/>
            <w:tcBorders>
              <w:bottom w:val="single" w:sz="8" w:color="CCFFCC"/>
            </w:tcBorders>
            <w:shd w:val="clear" w:color="auto" w:fill="CCFFCC"/>
          </w:tcPr>
          <w:p>
            <w:pPr>
              <w:spacing w:after="0"/>
              <w:rPr>
                <w:sz w:val="2"/>
                <w:szCs w:val="2"/>
                <w:color w:val="auto"/>
              </w:rPr>
            </w:pPr>
          </w:p>
        </w:tc>
        <w:tc>
          <w:tcPr>
            <w:tcW w:w="880" w:type="dxa"/>
            <w:vAlign w:val="bottom"/>
            <w:tcBorders>
              <w:bottom w:val="single" w:sz="8" w:color="CCFFCC"/>
            </w:tcBorders>
            <w:shd w:val="clear" w:color="auto" w:fill="CCFFCC"/>
          </w:tcPr>
          <w:p>
            <w:pPr>
              <w:spacing w:after="0"/>
              <w:rPr>
                <w:sz w:val="2"/>
                <w:szCs w:val="2"/>
                <w:color w:val="auto"/>
              </w:rPr>
            </w:pPr>
          </w:p>
        </w:tc>
        <w:tc>
          <w:tcPr>
            <w:tcW w:w="10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90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tcPr>
          <w:p>
            <w:pPr>
              <w:spacing w:after="0" w:line="142" w:lineRule="exact"/>
              <w:rPr>
                <w:sz w:val="20"/>
                <w:szCs w:val="20"/>
                <w:color w:val="auto"/>
              </w:rPr>
            </w:pPr>
            <w:r>
              <w:rPr>
                <w:rFonts w:ascii="Arial" w:cs="Arial" w:eastAsia="Arial" w:hAnsi="Arial"/>
                <w:sz w:val="14"/>
                <w:szCs w:val="14"/>
                <w:color w:val="auto"/>
              </w:rPr>
              <w:t>Preferred shares, Series C</w:t>
            </w:r>
          </w:p>
        </w:tc>
        <w:tc>
          <w:tcPr>
            <w:tcW w:w="2520" w:type="dxa"/>
            <w:vAlign w:val="bottom"/>
          </w:tcPr>
          <w:p>
            <w:pPr>
              <w:jc w:val="center"/>
              <w:ind w:left="48"/>
              <w:spacing w:after="0" w:line="142" w:lineRule="exact"/>
              <w:rPr>
                <w:sz w:val="20"/>
                <w:szCs w:val="20"/>
                <w:color w:val="auto"/>
              </w:rPr>
            </w:pPr>
            <w:r>
              <w:rPr>
                <w:rFonts w:ascii="Arial" w:cs="Arial" w:eastAsia="Arial" w:hAnsi="Arial"/>
                <w:sz w:val="14"/>
                <w:szCs w:val="14"/>
                <w:color w:val="auto"/>
                <w:w w:val="93"/>
              </w:rPr>
              <w:t>Corporate Education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246,305</w:t>
            </w:r>
          </w:p>
        </w:tc>
        <w:tc>
          <w:tcPr>
            <w:tcW w:w="26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2,005,942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2,000,000</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7"/>
              </w:rPr>
              <w:t>Dailybreak, Inc.</w:t>
            </w:r>
          </w:p>
        </w:tc>
        <w:tc>
          <w:tcPr>
            <w:tcW w:w="140" w:type="dxa"/>
            <w:vAlign w:val="bottom"/>
            <w:tcBorders>
              <w:bottom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400" w:type="dxa"/>
            <w:vAlign w:val="bottom"/>
            <w:gridSpan w:val="3"/>
            <w:vMerge w:val="restart"/>
          </w:tcPr>
          <w:p>
            <w:pPr>
              <w:spacing w:after="0"/>
              <w:rPr>
                <w:sz w:val="10"/>
                <w:szCs w:val="10"/>
                <w:color w:val="auto"/>
              </w:rPr>
            </w:pPr>
          </w:p>
        </w:tc>
        <w:tc>
          <w:tcPr>
            <w:tcW w:w="1760" w:type="dxa"/>
            <w:vAlign w:val="bottom"/>
            <w:gridSpan w:val="4"/>
            <w:vMerge w:val="restart"/>
          </w:tcPr>
          <w:p>
            <w:pPr>
              <w:spacing w:after="0"/>
              <w:rPr>
                <w:sz w:val="10"/>
                <w:szCs w:val="10"/>
                <w:color w:val="auto"/>
              </w:rPr>
            </w:pPr>
          </w:p>
        </w:tc>
        <w:tc>
          <w:tcPr>
            <w:tcW w:w="2520" w:type="dxa"/>
            <w:vAlign w:val="bottom"/>
            <w:vMerge w:val="restart"/>
          </w:tcPr>
          <w:p>
            <w:pPr>
              <w:jc w:val="center"/>
              <w:ind w:left="28"/>
              <w:spacing w:after="0"/>
              <w:rPr>
                <w:sz w:val="20"/>
                <w:szCs w:val="20"/>
                <w:color w:val="auto"/>
              </w:rPr>
            </w:pPr>
            <w:r>
              <w:rPr>
                <w:rFonts w:ascii="Arial" w:cs="Arial" w:eastAsia="Arial" w:hAnsi="Arial"/>
                <w:sz w:val="14"/>
                <w:szCs w:val="14"/>
                <w:color w:val="auto"/>
                <w:w w:val="96"/>
              </w:rPr>
              <w:t>Boston, MA</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020" w:type="dxa"/>
            <w:vAlign w:val="bottom"/>
            <w:tcBorders>
              <w:bottom w:val="single" w:sz="8" w:color="auto"/>
            </w:tcBorders>
            <w:gridSpan w:val="7"/>
            <w:vMerge w:val="continue"/>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3"/>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A-1</w:t>
            </w:r>
          </w:p>
        </w:tc>
        <w:tc>
          <w:tcPr>
            <w:tcW w:w="2520" w:type="dxa"/>
            <w:vAlign w:val="bottom"/>
            <w:shd w:val="clear" w:color="auto" w:fill="CCFFCC"/>
          </w:tcPr>
          <w:p>
            <w:pPr>
              <w:jc w:val="center"/>
              <w:ind w:left="48"/>
              <w:spacing w:after="0" w:line="142" w:lineRule="exact"/>
              <w:rPr>
                <w:sz w:val="20"/>
                <w:szCs w:val="20"/>
                <w:color w:val="auto"/>
              </w:rPr>
            </w:pPr>
            <w:r>
              <w:rPr>
                <w:rFonts w:ascii="Arial" w:cs="Arial" w:eastAsia="Arial" w:hAnsi="Arial"/>
                <w:sz w:val="14"/>
                <w:szCs w:val="14"/>
                <w:color w:val="auto"/>
                <w:w w:val="97"/>
              </w:rPr>
              <w:t>Social Advertising</w:t>
            </w: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1,545,181</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2,000,000</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2,000,000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8"/>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DreamBox Learning, Inc.</w:t>
            </w:r>
          </w:p>
        </w:tc>
        <w:tc>
          <w:tcPr>
            <w:tcW w:w="2520" w:type="dxa"/>
            <w:vAlign w:val="bottom"/>
            <w:shd w:val="clear" w:color="auto" w:fill="CCFFCC"/>
          </w:tcPr>
          <w:p>
            <w:pPr>
              <w:jc w:val="center"/>
              <w:ind w:left="48"/>
              <w:spacing w:after="0" w:line="135" w:lineRule="exact"/>
              <w:rPr>
                <w:sz w:val="20"/>
                <w:szCs w:val="20"/>
                <w:color w:val="auto"/>
              </w:rPr>
            </w:pPr>
            <w:r>
              <w:rPr>
                <w:rFonts w:ascii="Arial" w:cs="Arial" w:eastAsia="Arial" w:hAnsi="Arial"/>
                <w:sz w:val="14"/>
                <w:szCs w:val="14"/>
                <w:color w:val="auto"/>
                <w:w w:val="95"/>
              </w:rPr>
              <w:t>Bellevue, WA</w:t>
            </w:r>
          </w:p>
        </w:tc>
        <w:tc>
          <w:tcPr>
            <w:tcW w:w="2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auto"/>
            </w:tcBorders>
            <w:gridSpan w:val="14"/>
          </w:tcPr>
          <w:p>
            <w:pPr>
              <w:spacing w:after="0" w:line="142" w:lineRule="exact"/>
              <w:rPr>
                <w:sz w:val="20"/>
                <w:szCs w:val="20"/>
                <w:color w:val="auto"/>
              </w:rPr>
            </w:pPr>
            <w:r>
              <w:rPr>
                <w:rFonts w:ascii="Arial" w:cs="Arial" w:eastAsia="Arial" w:hAnsi="Arial"/>
                <w:sz w:val="14"/>
                <w:szCs w:val="14"/>
                <w:color w:val="auto"/>
                <w:w w:val="93"/>
              </w:rPr>
              <w:t>Preferred shares, Series A</w:t>
            </w:r>
          </w:p>
        </w:tc>
        <w:tc>
          <w:tcPr>
            <w:tcW w:w="1760" w:type="dxa"/>
            <w:vAlign w:val="bottom"/>
            <w:tcBorders>
              <w:top w:val="single" w:sz="8" w:color="CCFFCC"/>
            </w:tcBorders>
            <w:gridSpan w:val="4"/>
          </w:tcPr>
          <w:p>
            <w:pPr>
              <w:spacing w:after="0"/>
              <w:rPr>
                <w:sz w:val="12"/>
                <w:szCs w:val="12"/>
                <w:color w:val="auto"/>
              </w:rPr>
            </w:pPr>
          </w:p>
        </w:tc>
        <w:tc>
          <w:tcPr>
            <w:tcW w:w="2520" w:type="dxa"/>
            <w:vAlign w:val="bottom"/>
            <w:tcBorders>
              <w:top w:val="single" w:sz="8" w:color="CCFFCC"/>
            </w:tcBorders>
          </w:tcPr>
          <w:p>
            <w:pPr>
              <w:jc w:val="center"/>
              <w:ind w:left="28"/>
              <w:spacing w:after="0" w:line="142" w:lineRule="exact"/>
              <w:rPr>
                <w:sz w:val="20"/>
                <w:szCs w:val="20"/>
                <w:color w:val="auto"/>
              </w:rPr>
            </w:pPr>
            <w:r>
              <w:rPr>
                <w:rFonts w:ascii="Arial" w:cs="Arial" w:eastAsia="Arial" w:hAnsi="Arial"/>
                <w:sz w:val="14"/>
                <w:szCs w:val="14"/>
                <w:color w:val="auto"/>
                <w:w w:val="93"/>
              </w:rPr>
              <w:t>Education Technology</w:t>
            </w:r>
          </w:p>
        </w:tc>
        <w:tc>
          <w:tcPr>
            <w:tcW w:w="240" w:type="dxa"/>
            <w:vAlign w:val="bottom"/>
            <w:tcBorders>
              <w:top w:val="single" w:sz="8" w:color="CCFFCC"/>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1000" w:type="dxa"/>
            <w:vAlign w:val="bottom"/>
            <w:tcBorders>
              <w:top w:val="single" w:sz="8" w:color="CCFFCC"/>
            </w:tcBorders>
          </w:tcPr>
          <w:p>
            <w:pPr>
              <w:jc w:val="right"/>
              <w:spacing w:after="0" w:line="142" w:lineRule="exact"/>
              <w:rPr>
                <w:sz w:val="20"/>
                <w:szCs w:val="20"/>
                <w:color w:val="auto"/>
              </w:rPr>
            </w:pPr>
            <w:r>
              <w:rPr>
                <w:rFonts w:ascii="Arial" w:cs="Arial" w:eastAsia="Arial" w:hAnsi="Arial"/>
                <w:sz w:val="14"/>
                <w:szCs w:val="14"/>
                <w:color w:val="auto"/>
              </w:rPr>
              <w:t>3,579,610</w:t>
            </w:r>
          </w:p>
        </w:tc>
        <w:tc>
          <w:tcPr>
            <w:tcW w:w="220" w:type="dxa"/>
            <w:vAlign w:val="bottom"/>
            <w:tcBorders>
              <w:top w:val="single" w:sz="8" w:color="CCFFCC"/>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980" w:type="dxa"/>
            <w:vAlign w:val="bottom"/>
            <w:tcBorders>
              <w:top w:val="single" w:sz="8" w:color="CCFFCC"/>
            </w:tcBorders>
            <w:gridSpan w:val="2"/>
          </w:tcPr>
          <w:p>
            <w:pPr>
              <w:jc w:val="right"/>
              <w:ind w:right="100"/>
              <w:spacing w:after="0" w:line="142" w:lineRule="exact"/>
              <w:rPr>
                <w:sz w:val="20"/>
                <w:szCs w:val="20"/>
                <w:color w:val="auto"/>
              </w:rPr>
            </w:pPr>
            <w:r>
              <w:rPr>
                <w:rFonts w:ascii="Arial" w:cs="Arial" w:eastAsia="Arial" w:hAnsi="Arial"/>
                <w:sz w:val="14"/>
                <w:szCs w:val="14"/>
                <w:color w:val="auto"/>
              </w:rPr>
              <w:t>758,017</w:t>
            </w:r>
          </w:p>
        </w:tc>
        <w:tc>
          <w:tcPr>
            <w:tcW w:w="12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20" w:type="dxa"/>
            <w:vAlign w:val="bottom"/>
            <w:tcBorders>
              <w:top w:val="single" w:sz="8" w:color="CCFFCC"/>
            </w:tcBorders>
            <w:gridSpan w:val="2"/>
          </w:tcPr>
          <w:p>
            <w:pPr>
              <w:jc w:val="right"/>
              <w:ind w:right="220"/>
              <w:spacing w:after="0" w:line="142" w:lineRule="exact"/>
              <w:rPr>
                <w:sz w:val="20"/>
                <w:szCs w:val="20"/>
                <w:color w:val="auto"/>
              </w:rPr>
            </w:pPr>
            <w:r>
              <w:rPr>
                <w:rFonts w:ascii="Arial" w:cs="Arial" w:eastAsia="Arial" w:hAnsi="Arial"/>
                <w:sz w:val="14"/>
                <w:szCs w:val="14"/>
                <w:color w:val="auto"/>
              </w:rPr>
              <w:t>750,000</w:t>
            </w:r>
          </w:p>
        </w:tc>
        <w:tc>
          <w:tcPr>
            <w:tcW w:w="1260" w:type="dxa"/>
            <w:vAlign w:val="bottom"/>
            <w:tcBorders>
              <w:top w:val="single" w:sz="8" w:color="CCFFCC"/>
            </w:tcBorders>
            <w:gridSpan w:val="2"/>
          </w:tcPr>
          <w:p>
            <w:pPr>
              <w:jc w:val="right"/>
              <w:spacing w:after="0" w:line="142"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40" w:type="dxa"/>
            <w:vAlign w:val="bottom"/>
            <w:tcBorders>
              <w:bottom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w w:val="91"/>
              </w:rPr>
              <w:t>Dropbox, Inc.</w:t>
            </w:r>
          </w:p>
        </w:tc>
        <w:tc>
          <w:tcPr>
            <w:tcW w:w="2480" w:type="dxa"/>
            <w:vAlign w:val="bottom"/>
            <w:gridSpan w:val="14"/>
          </w:tcPr>
          <w:p>
            <w:pPr>
              <w:spacing w:after="0"/>
              <w:rPr>
                <w:sz w:val="11"/>
                <w:szCs w:val="11"/>
                <w:color w:val="auto"/>
              </w:rPr>
            </w:pPr>
          </w:p>
        </w:tc>
        <w:tc>
          <w:tcPr>
            <w:tcW w:w="252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2"/>
              </w:rPr>
              <w:t>San Francisco, CA</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shd w:val="clear" w:color="auto" w:fill="CCFFCC"/>
          </w:tcPr>
          <w:p>
            <w:pPr>
              <w:spacing w:after="0" w:line="142" w:lineRule="exact"/>
              <w:rPr>
                <w:sz w:val="20"/>
                <w:szCs w:val="20"/>
                <w:color w:val="auto"/>
              </w:rPr>
            </w:pPr>
            <w:r>
              <w:rPr>
                <w:rFonts w:ascii="Arial" w:cs="Arial" w:eastAsia="Arial" w:hAnsi="Arial"/>
                <w:sz w:val="14"/>
                <w:szCs w:val="14"/>
                <w:color w:val="auto"/>
              </w:rPr>
              <w:t>Common share</w:t>
            </w:r>
          </w:p>
        </w:tc>
        <w:tc>
          <w:tcPr>
            <w:tcW w:w="2520" w:type="dxa"/>
            <w:vAlign w:val="bottom"/>
            <w:shd w:val="clear" w:color="auto" w:fill="CCFFCC"/>
          </w:tcPr>
          <w:p>
            <w:pPr>
              <w:jc w:val="center"/>
              <w:ind w:left="28"/>
              <w:spacing w:after="0" w:line="142" w:lineRule="exact"/>
              <w:rPr>
                <w:sz w:val="20"/>
                <w:szCs w:val="20"/>
                <w:color w:val="auto"/>
              </w:rPr>
            </w:pPr>
            <w:r>
              <w:rPr>
                <w:rFonts w:ascii="Arial" w:cs="Arial" w:eastAsia="Arial" w:hAnsi="Arial"/>
                <w:sz w:val="14"/>
                <w:szCs w:val="14"/>
                <w:color w:val="auto"/>
                <w:w w:val="93"/>
              </w:rPr>
              <w:t>Online</w:t>
            </w: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600,000</w:t>
            </w: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6,868,679</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6,858,500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18"/>
          </w:tcPr>
          <w:p>
            <w:pPr>
              <w:spacing w:after="0" w:line="149" w:lineRule="exact"/>
              <w:rPr>
                <w:sz w:val="20"/>
                <w:szCs w:val="20"/>
                <w:color w:val="auto"/>
              </w:rPr>
            </w:pPr>
            <w:r>
              <w:rPr>
                <w:rFonts w:ascii="Arial" w:cs="Arial" w:eastAsia="Arial" w:hAnsi="Arial"/>
                <w:sz w:val="14"/>
                <w:szCs w:val="14"/>
                <w:color w:val="auto"/>
              </w:rPr>
              <w:t>Preferred shares, Series A-1</w:t>
            </w:r>
          </w:p>
        </w:tc>
        <w:tc>
          <w:tcPr>
            <w:tcW w:w="25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89"/>
              </w:rPr>
              <w:t>Storage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552,486</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5,015,333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6,314,915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18"/>
            <w:vMerge w:val="restart"/>
            <w:shd w:val="clear" w:color="auto" w:fill="CCFFCC"/>
          </w:tcPr>
          <w:p>
            <w:pPr>
              <w:ind w:left="240"/>
              <w:spacing w:after="0"/>
              <w:rPr>
                <w:sz w:val="20"/>
                <w:szCs w:val="20"/>
                <w:color w:val="auto"/>
              </w:rPr>
            </w:pPr>
            <w:r>
              <w:rPr>
                <w:rFonts w:ascii="Arial" w:cs="Arial" w:eastAsia="Arial" w:hAnsi="Arial"/>
                <w:sz w:val="14"/>
                <w:szCs w:val="14"/>
                <w:color w:val="auto"/>
              </w:rPr>
              <w:t>Total</w:t>
            </w:r>
          </w:p>
        </w:tc>
        <w:tc>
          <w:tcPr>
            <w:tcW w:w="25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vMerge w:val="continue"/>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11,884,012</w:t>
            </w:r>
          </w:p>
        </w:tc>
        <w:tc>
          <w:tcPr>
            <w:tcW w:w="10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13,173,415</w:t>
            </w:r>
          </w:p>
        </w:tc>
        <w:tc>
          <w:tcPr>
            <w:tcW w:w="220" w:type="dxa"/>
            <w:vAlign w:val="bottom"/>
            <w:vMerge w:val="continue"/>
            <w:shd w:val="clear" w:color="auto" w:fill="CCFFCC"/>
          </w:tcPr>
          <w:p>
            <w:pPr>
              <w:spacing w:after="0"/>
              <w:rPr>
                <w:sz w:val="12"/>
                <w:szCs w:val="12"/>
                <w:color w:val="auto"/>
              </w:rPr>
            </w:pP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880" w:type="dxa"/>
            <w:vAlign w:val="bottom"/>
            <w:tcBorders>
              <w:bottom w:val="single" w:sz="8" w:color="CCFFCC"/>
            </w:tcBorders>
            <w:gridSpan w:val="5"/>
            <w:vMerge w:val="restart"/>
            <w:shd w:val="clear" w:color="auto" w:fill="CCFFCC"/>
          </w:tcPr>
          <w:p>
            <w:pPr>
              <w:spacing w:after="0"/>
              <w:rPr>
                <w:sz w:val="20"/>
                <w:szCs w:val="20"/>
                <w:color w:val="auto"/>
              </w:rPr>
            </w:pPr>
            <w:r>
              <w:rPr>
                <w:rFonts w:ascii="Arial" w:cs="Arial" w:eastAsia="Arial" w:hAnsi="Arial"/>
                <w:sz w:val="14"/>
                <w:szCs w:val="14"/>
                <w:b w:val="1"/>
                <w:bCs w:val="1"/>
                <w:color w:val="auto"/>
                <w:w w:val="88"/>
              </w:rPr>
              <w:t>Facebook, Inc.</w:t>
            </w:r>
          </w:p>
        </w:tc>
        <w:tc>
          <w:tcPr>
            <w:tcW w:w="180" w:type="dxa"/>
            <w:vAlign w:val="bottom"/>
            <w:tcBorders>
              <w:bottom w:val="single" w:sz="8" w:color="auto"/>
            </w:tcBorders>
            <w:gridSpan w:val="4"/>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rPr>
              <w:t>(3)</w:t>
            </w:r>
          </w:p>
        </w:tc>
        <w:tc>
          <w:tcPr>
            <w:tcW w:w="60" w:type="dxa"/>
            <w:vAlign w:val="bottom"/>
            <w:tcBorders>
              <w:bottom w:val="single" w:sz="8" w:color="CCFFCC"/>
            </w:tcBorders>
            <w:vMerge w:val="restart"/>
            <w:shd w:val="clear" w:color="auto" w:fill="CCFFCC"/>
          </w:tcPr>
          <w:p>
            <w:pPr>
              <w:spacing w:after="0"/>
              <w:rPr>
                <w:sz w:val="10"/>
                <w:szCs w:val="10"/>
                <w:color w:val="auto"/>
              </w:rPr>
            </w:pPr>
          </w:p>
        </w:tc>
        <w:tc>
          <w:tcPr>
            <w:tcW w:w="2200" w:type="dxa"/>
            <w:vAlign w:val="bottom"/>
            <w:tcBorders>
              <w:bottom w:val="single" w:sz="8" w:color="CCFFCC"/>
            </w:tcBorders>
            <w:gridSpan w:val="8"/>
            <w:vMerge w:val="restart"/>
            <w:shd w:val="clear" w:color="auto" w:fill="CCFFCC"/>
          </w:tcPr>
          <w:p>
            <w:pPr>
              <w:spacing w:after="0"/>
              <w:rPr>
                <w:sz w:val="10"/>
                <w:szCs w:val="10"/>
                <w:color w:val="auto"/>
              </w:rPr>
            </w:pPr>
          </w:p>
        </w:tc>
        <w:tc>
          <w:tcPr>
            <w:tcW w:w="2520" w:type="dxa"/>
            <w:vAlign w:val="bottom"/>
            <w:tcBorders>
              <w:bottom w:val="single" w:sz="8" w:color="CCFFCC"/>
            </w:tcBorders>
            <w:vMerge w:val="restart"/>
            <w:shd w:val="clear" w:color="auto" w:fill="CCFFCC"/>
          </w:tcPr>
          <w:p>
            <w:pPr>
              <w:jc w:val="center"/>
              <w:ind w:left="28"/>
              <w:spacing w:after="0"/>
              <w:rPr>
                <w:sz w:val="20"/>
                <w:szCs w:val="20"/>
                <w:color w:val="auto"/>
              </w:rPr>
            </w:pPr>
            <w:r>
              <w:rPr>
                <w:rFonts w:ascii="Arial" w:cs="Arial" w:eastAsia="Arial" w:hAnsi="Arial"/>
                <w:sz w:val="14"/>
                <w:szCs w:val="14"/>
                <w:color w:val="auto"/>
                <w:w w:val="98"/>
              </w:rPr>
              <w:t>Palo Alto, CA</w:t>
            </w:r>
          </w:p>
        </w:tc>
        <w:tc>
          <w:tcPr>
            <w:tcW w:w="24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10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60" w:type="dxa"/>
            <w:vAlign w:val="bottom"/>
            <w:tcBorders>
              <w:bottom w:val="single" w:sz="8" w:color="CCFFCC"/>
            </w:tcBorders>
            <w:shd w:val="clear" w:color="auto" w:fill="CCFFCC"/>
          </w:tcPr>
          <w:p>
            <w:pPr>
              <w:spacing w:after="0"/>
              <w:rPr>
                <w:sz w:val="10"/>
                <w:szCs w:val="10"/>
                <w:color w:val="auto"/>
              </w:rPr>
            </w:pPr>
          </w:p>
        </w:tc>
        <w:tc>
          <w:tcPr>
            <w:tcW w:w="88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1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tcBorders>
              <w:bottom w:val="single" w:sz="8" w:color="auto"/>
            </w:tcBorders>
            <w:gridSpan w:val="5"/>
            <w:vMerge w:val="continue"/>
            <w:shd w:val="clear" w:color="auto" w:fill="CCFFCC"/>
          </w:tcPr>
          <w:p>
            <w:pPr>
              <w:spacing w:after="0"/>
              <w:rPr>
                <w:sz w:val="4"/>
                <w:szCs w:val="4"/>
                <w:color w:val="auto"/>
              </w:rPr>
            </w:pPr>
          </w:p>
        </w:tc>
        <w:tc>
          <w:tcPr>
            <w:tcW w:w="100" w:type="dxa"/>
            <w:vAlign w:val="bottom"/>
            <w:tcBorders>
              <w:bottom w:val="single" w:sz="8" w:color="CCFFCC"/>
            </w:tcBorders>
            <w:shd w:val="clear" w:color="auto" w:fill="CCFFCC"/>
          </w:tcPr>
          <w:p>
            <w:pPr>
              <w:spacing w:after="0"/>
              <w:rPr>
                <w:sz w:val="4"/>
                <w:szCs w:val="4"/>
                <w:color w:val="auto"/>
              </w:rPr>
            </w:pPr>
          </w:p>
        </w:tc>
        <w:tc>
          <w:tcPr>
            <w:tcW w:w="80" w:type="dxa"/>
            <w:vAlign w:val="bottom"/>
            <w:tcBorders>
              <w:bottom w:val="single" w:sz="8" w:color="CCFFCC"/>
            </w:tcBorders>
            <w:gridSpan w:val="3"/>
            <w:shd w:val="clear" w:color="auto" w:fill="CCFFCC"/>
          </w:tcPr>
          <w:p>
            <w:pPr>
              <w:spacing w:after="0"/>
              <w:rPr>
                <w:sz w:val="4"/>
                <w:szCs w:val="4"/>
                <w:color w:val="auto"/>
              </w:rPr>
            </w:pPr>
          </w:p>
        </w:tc>
        <w:tc>
          <w:tcPr>
            <w:tcW w:w="60" w:type="dxa"/>
            <w:vAlign w:val="bottom"/>
            <w:tcBorders>
              <w:bottom w:val="single" w:sz="8" w:color="CCFFCC"/>
            </w:tcBorders>
            <w:vMerge w:val="continue"/>
            <w:shd w:val="clear" w:color="auto" w:fill="CCFFCC"/>
          </w:tcPr>
          <w:p>
            <w:pPr>
              <w:spacing w:after="0"/>
              <w:rPr>
                <w:sz w:val="4"/>
                <w:szCs w:val="4"/>
                <w:color w:val="auto"/>
              </w:rPr>
            </w:pPr>
          </w:p>
        </w:tc>
        <w:tc>
          <w:tcPr>
            <w:tcW w:w="2200" w:type="dxa"/>
            <w:vAlign w:val="bottom"/>
            <w:tcBorders>
              <w:bottom w:val="single" w:sz="8" w:color="CCFFCC"/>
            </w:tcBorders>
            <w:gridSpan w:val="8"/>
            <w:vMerge w:val="continue"/>
            <w:shd w:val="clear" w:color="auto" w:fill="CCFFCC"/>
          </w:tcPr>
          <w:p>
            <w:pPr>
              <w:spacing w:after="0"/>
              <w:rPr>
                <w:sz w:val="4"/>
                <w:szCs w:val="4"/>
                <w:color w:val="auto"/>
              </w:rPr>
            </w:pPr>
          </w:p>
        </w:tc>
        <w:tc>
          <w:tcPr>
            <w:tcW w:w="2520" w:type="dxa"/>
            <w:vAlign w:val="bottom"/>
            <w:tcBorders>
              <w:bottom w:val="single" w:sz="8" w:color="CCFFCC"/>
            </w:tcBorders>
            <w:vMerge w:val="continue"/>
            <w:shd w:val="clear" w:color="auto" w:fill="CCFFCC"/>
          </w:tcPr>
          <w:p>
            <w:pPr>
              <w:spacing w:after="0"/>
              <w:rPr>
                <w:sz w:val="4"/>
                <w:szCs w:val="4"/>
                <w:color w:val="auto"/>
              </w:rPr>
            </w:pPr>
          </w:p>
        </w:tc>
        <w:tc>
          <w:tcPr>
            <w:tcW w:w="240" w:type="dxa"/>
            <w:vAlign w:val="bottom"/>
            <w:tcBorders>
              <w:bottom w:val="single" w:sz="8" w:color="CCFFCC"/>
            </w:tcBorders>
            <w:shd w:val="clear" w:color="auto" w:fill="CCFFCC"/>
          </w:tcPr>
          <w:p>
            <w:pPr>
              <w:spacing w:after="0"/>
              <w:rPr>
                <w:sz w:val="4"/>
                <w:szCs w:val="4"/>
                <w:color w:val="auto"/>
              </w:rPr>
            </w:pPr>
          </w:p>
        </w:tc>
        <w:tc>
          <w:tcPr>
            <w:tcW w:w="140" w:type="dxa"/>
            <w:vAlign w:val="bottom"/>
            <w:tcBorders>
              <w:bottom w:val="single" w:sz="8" w:color="CCFFCC"/>
            </w:tcBorders>
            <w:shd w:val="clear" w:color="auto" w:fill="CCFFCC"/>
          </w:tcPr>
          <w:p>
            <w:pPr>
              <w:spacing w:after="0"/>
              <w:rPr>
                <w:sz w:val="4"/>
                <w:szCs w:val="4"/>
                <w:color w:val="auto"/>
              </w:rPr>
            </w:pPr>
          </w:p>
        </w:tc>
        <w:tc>
          <w:tcPr>
            <w:tcW w:w="100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260" w:type="dxa"/>
            <w:vAlign w:val="bottom"/>
            <w:tcBorders>
              <w:bottom w:val="single" w:sz="8" w:color="CCFFCC"/>
            </w:tcBorders>
            <w:shd w:val="clear" w:color="auto" w:fill="CCFFCC"/>
          </w:tcPr>
          <w:p>
            <w:pPr>
              <w:spacing w:after="0"/>
              <w:rPr>
                <w:sz w:val="4"/>
                <w:szCs w:val="4"/>
                <w:color w:val="auto"/>
              </w:rPr>
            </w:pPr>
          </w:p>
        </w:tc>
        <w:tc>
          <w:tcPr>
            <w:tcW w:w="880" w:type="dxa"/>
            <w:vAlign w:val="bottom"/>
            <w:tcBorders>
              <w:bottom w:val="single" w:sz="8" w:color="CCFFCC"/>
            </w:tcBorders>
            <w:shd w:val="clear" w:color="auto" w:fill="CCFFCC"/>
          </w:tcPr>
          <w:p>
            <w:pPr>
              <w:spacing w:after="0"/>
              <w:rPr>
                <w:sz w:val="4"/>
                <w:szCs w:val="4"/>
                <w:color w:val="auto"/>
              </w:rPr>
            </w:pPr>
          </w:p>
        </w:tc>
        <w:tc>
          <w:tcPr>
            <w:tcW w:w="10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90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114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80" w:type="dxa"/>
            <w:vAlign w:val="bottom"/>
            <w:gridSpan w:val="5"/>
          </w:tcPr>
          <w:p>
            <w:pPr>
              <w:spacing w:after="0" w:line="122" w:lineRule="exact"/>
              <w:rPr>
                <w:sz w:val="20"/>
                <w:szCs w:val="20"/>
                <w:color w:val="auto"/>
              </w:rPr>
            </w:pPr>
            <w:r>
              <w:rPr>
                <w:rFonts w:ascii="Arial" w:cs="Arial" w:eastAsia="Arial" w:hAnsi="Arial"/>
                <w:sz w:val="14"/>
                <w:szCs w:val="14"/>
                <w:color w:val="auto"/>
                <w:w w:val="80"/>
              </w:rPr>
              <w:t>Common shares,</w:t>
            </w:r>
          </w:p>
        </w:tc>
        <w:tc>
          <w:tcPr>
            <w:tcW w:w="100" w:type="dxa"/>
            <w:vAlign w:val="bottom"/>
          </w:tcPr>
          <w:p>
            <w:pPr>
              <w:spacing w:after="0"/>
              <w:rPr>
                <w:sz w:val="10"/>
                <w:szCs w:val="10"/>
                <w:color w:val="auto"/>
              </w:rPr>
            </w:pPr>
          </w:p>
        </w:tc>
        <w:tc>
          <w:tcPr>
            <w:tcW w:w="2340" w:type="dxa"/>
            <w:vAlign w:val="bottom"/>
            <w:gridSpan w:val="12"/>
          </w:tcPr>
          <w:p>
            <w:pPr>
              <w:ind w:left="20"/>
              <w:spacing w:after="0" w:line="122" w:lineRule="exact"/>
              <w:rPr>
                <w:sz w:val="20"/>
                <w:szCs w:val="20"/>
                <w:color w:val="auto"/>
              </w:rPr>
            </w:pPr>
            <w:r>
              <w:rPr>
                <w:rFonts w:ascii="Arial" w:cs="Arial" w:eastAsia="Arial" w:hAnsi="Arial"/>
                <w:sz w:val="14"/>
                <w:szCs w:val="14"/>
                <w:color w:val="auto"/>
              </w:rPr>
              <w:t>Class B</w:t>
            </w:r>
          </w:p>
        </w:tc>
        <w:tc>
          <w:tcPr>
            <w:tcW w:w="2520" w:type="dxa"/>
            <w:vAlign w:val="bottom"/>
          </w:tcPr>
          <w:p>
            <w:pPr>
              <w:jc w:val="center"/>
              <w:ind w:left="48"/>
              <w:spacing w:after="0" w:line="122" w:lineRule="exact"/>
              <w:rPr>
                <w:sz w:val="20"/>
                <w:szCs w:val="20"/>
                <w:color w:val="auto"/>
              </w:rPr>
            </w:pPr>
            <w:r>
              <w:rPr>
                <w:rFonts w:ascii="Arial" w:cs="Arial" w:eastAsia="Arial" w:hAnsi="Arial"/>
                <w:sz w:val="14"/>
                <w:szCs w:val="14"/>
                <w:color w:val="auto"/>
                <w:w w:val="96"/>
              </w:rPr>
              <w:t>Social Networking</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350,000</w:t>
            </w:r>
          </w:p>
        </w:tc>
        <w:tc>
          <w:tcPr>
            <w:tcW w:w="260" w:type="dxa"/>
            <w:vAlign w:val="bottom"/>
          </w:tcPr>
          <w:p>
            <w:pPr>
              <w:spacing w:after="0"/>
              <w:rPr>
                <w:sz w:val="10"/>
                <w:szCs w:val="10"/>
                <w:color w:val="auto"/>
              </w:rPr>
            </w:pP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4"/>
                <w:szCs w:val="14"/>
                <w:color w:val="auto"/>
              </w:rPr>
              <w:t>10,472,294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9,361,100</w:t>
            </w:r>
          </w:p>
        </w:tc>
        <w:tc>
          <w:tcPr>
            <w:tcW w:w="12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98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6"/>
              </w:rPr>
              <w:t>Fullbridge, Inc.</w:t>
            </w:r>
          </w:p>
        </w:tc>
        <w:tc>
          <w:tcPr>
            <w:tcW w:w="140" w:type="dxa"/>
            <w:vAlign w:val="bottom"/>
            <w:tcBorders>
              <w:bottom w:val="single" w:sz="8" w:color="auto"/>
            </w:tcBorders>
            <w:gridSpan w:val="4"/>
          </w:tcPr>
          <w:p>
            <w:pPr>
              <w:spacing w:after="0" w:line="102" w:lineRule="exact"/>
              <w:rPr>
                <w:sz w:val="20"/>
                <w:szCs w:val="20"/>
                <w:color w:val="auto"/>
              </w:rPr>
            </w:pPr>
            <w:r>
              <w:rPr>
                <w:rFonts w:ascii="Arial" w:cs="Arial" w:eastAsia="Arial" w:hAnsi="Arial"/>
                <w:sz w:val="11"/>
                <w:szCs w:val="11"/>
                <w:b w:val="1"/>
                <w:bCs w:val="1"/>
                <w:color w:val="auto"/>
                <w:w w:val="88"/>
              </w:rPr>
              <w:t>(2)</w:t>
            </w:r>
          </w:p>
        </w:tc>
        <w:tc>
          <w:tcPr>
            <w:tcW w:w="2200" w:type="dxa"/>
            <w:vAlign w:val="bottom"/>
            <w:gridSpan w:val="8"/>
            <w:vMerge w:val="restart"/>
          </w:tcPr>
          <w:p>
            <w:pPr>
              <w:spacing w:after="0"/>
              <w:rPr>
                <w:sz w:val="10"/>
                <w:szCs w:val="10"/>
                <w:color w:val="auto"/>
              </w:rPr>
            </w:pPr>
          </w:p>
        </w:tc>
        <w:tc>
          <w:tcPr>
            <w:tcW w:w="2520" w:type="dxa"/>
            <w:vAlign w:val="bottom"/>
            <w:vMerge w:val="restart"/>
          </w:tcPr>
          <w:p>
            <w:pPr>
              <w:jc w:val="center"/>
              <w:ind w:left="28"/>
              <w:spacing w:after="0"/>
              <w:rPr>
                <w:sz w:val="20"/>
                <w:szCs w:val="20"/>
                <w:color w:val="auto"/>
              </w:rPr>
            </w:pPr>
            <w:r>
              <w:rPr>
                <w:rFonts w:ascii="Arial" w:cs="Arial" w:eastAsia="Arial" w:hAnsi="Arial"/>
                <w:sz w:val="14"/>
                <w:szCs w:val="14"/>
                <w:color w:val="auto"/>
                <w:w w:val="96"/>
              </w:rPr>
              <w:t>Cambridge, MA</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980" w:type="dxa"/>
            <w:vAlign w:val="bottom"/>
            <w:tcBorders>
              <w:bottom w:val="single" w:sz="8" w:color="auto"/>
            </w:tcBorders>
            <w:gridSpan w:val="6"/>
            <w:vMerge w:val="continue"/>
          </w:tcPr>
          <w:p>
            <w:pPr>
              <w:spacing w:after="0"/>
              <w:rPr>
                <w:sz w:val="2"/>
                <w:szCs w:val="2"/>
                <w:color w:val="auto"/>
              </w:rPr>
            </w:pPr>
          </w:p>
        </w:tc>
        <w:tc>
          <w:tcPr>
            <w:tcW w:w="140" w:type="dxa"/>
            <w:vAlign w:val="bottom"/>
            <w:gridSpan w:val="4"/>
          </w:tcPr>
          <w:p>
            <w:pPr>
              <w:spacing w:after="0"/>
              <w:rPr>
                <w:sz w:val="2"/>
                <w:szCs w:val="2"/>
                <w:color w:val="auto"/>
              </w:rPr>
            </w:pPr>
          </w:p>
        </w:tc>
        <w:tc>
          <w:tcPr>
            <w:tcW w:w="2200" w:type="dxa"/>
            <w:vAlign w:val="bottom"/>
            <w:gridSpan w:val="8"/>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8"/>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C</w:t>
            </w:r>
          </w:p>
        </w:tc>
        <w:tc>
          <w:tcPr>
            <w:tcW w:w="2520" w:type="dxa"/>
            <w:vAlign w:val="bottom"/>
            <w:shd w:val="clear" w:color="auto" w:fill="CCFFCC"/>
          </w:tcPr>
          <w:p>
            <w:pPr>
              <w:jc w:val="center"/>
              <w:ind w:left="28"/>
              <w:spacing w:after="0" w:line="142" w:lineRule="exact"/>
              <w:rPr>
                <w:sz w:val="20"/>
                <w:szCs w:val="20"/>
                <w:color w:val="auto"/>
              </w:rPr>
            </w:pPr>
            <w:r>
              <w:rPr>
                <w:rFonts w:ascii="Arial" w:cs="Arial" w:eastAsia="Arial" w:hAnsi="Arial"/>
                <w:sz w:val="14"/>
                <w:szCs w:val="14"/>
                <w:color w:val="auto"/>
                <w:w w:val="92"/>
              </w:rPr>
              <w:t>Business Education</w:t>
            </w: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1,196,809</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2,250,001</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2,250,000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27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Headquarters / Industry</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 / Par</w:t>
            </w:r>
          </w:p>
        </w:tc>
        <w:tc>
          <w:tcPr>
            <w:tcW w:w="2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13"/>
            <w:vMerge w:val="continue"/>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top w:val="single" w:sz="8" w:color="auto"/>
            </w:tcBorders>
            <w:gridSpan w:val="16"/>
            <w:shd w:val="clear" w:color="auto" w:fill="CCFFCC"/>
          </w:tcPr>
          <w:p>
            <w:pPr>
              <w:spacing w:after="0" w:line="129" w:lineRule="exact"/>
              <w:rPr>
                <w:sz w:val="20"/>
                <w:szCs w:val="20"/>
                <w:color w:val="auto"/>
              </w:rPr>
            </w:pPr>
            <w:r>
              <w:rPr>
                <w:rFonts w:ascii="Arial" w:cs="Arial" w:eastAsia="Arial" w:hAnsi="Arial"/>
                <w:sz w:val="14"/>
                <w:szCs w:val="14"/>
                <w:b w:val="1"/>
                <w:bCs w:val="1"/>
                <w:color w:val="auto"/>
              </w:rPr>
              <w:t>Gilt Groupe, Inc.</w:t>
            </w:r>
          </w:p>
        </w:tc>
        <w:tc>
          <w:tcPr>
            <w:tcW w:w="140" w:type="dxa"/>
            <w:vAlign w:val="bottom"/>
            <w:tcBorders>
              <w:top w:val="single" w:sz="8" w:color="CCFFCC"/>
            </w:tcBorders>
            <w:shd w:val="clear" w:color="auto" w:fill="CCFFCC"/>
          </w:tcPr>
          <w:p>
            <w:pPr>
              <w:spacing w:after="0"/>
              <w:rPr>
                <w:sz w:val="11"/>
                <w:szCs w:val="11"/>
                <w:color w:val="auto"/>
              </w:rPr>
            </w:pPr>
          </w:p>
        </w:tc>
        <w:tc>
          <w:tcPr>
            <w:tcW w:w="2520" w:type="dxa"/>
            <w:vAlign w:val="bottom"/>
            <w:tcBorders>
              <w:top w:val="single" w:sz="8" w:color="auto"/>
            </w:tcBorders>
            <w:shd w:val="clear" w:color="auto" w:fill="CCFFCC"/>
          </w:tcPr>
          <w:p>
            <w:pPr>
              <w:jc w:val="center"/>
              <w:ind w:left="28"/>
              <w:spacing w:after="0" w:line="129" w:lineRule="exact"/>
              <w:rPr>
                <w:sz w:val="20"/>
                <w:szCs w:val="20"/>
                <w:color w:val="auto"/>
              </w:rPr>
            </w:pPr>
            <w:r>
              <w:rPr>
                <w:rFonts w:ascii="Arial" w:cs="Arial" w:eastAsia="Arial" w:hAnsi="Arial"/>
                <w:sz w:val="14"/>
                <w:szCs w:val="14"/>
                <w:color w:val="auto"/>
                <w:w w:val="97"/>
              </w:rPr>
              <w:t>New York, NY</w:t>
            </w:r>
          </w:p>
        </w:tc>
        <w:tc>
          <w:tcPr>
            <w:tcW w:w="240" w:type="dxa"/>
            <w:vAlign w:val="bottom"/>
            <w:tcBorders>
              <w:top w:val="single" w:sz="8" w:color="CCFFCC"/>
            </w:tcBorders>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260" w:type="dxa"/>
            <w:vAlign w:val="bottom"/>
            <w:tcBorders>
              <w:top w:val="single" w:sz="8" w:color="auto"/>
            </w:tcBorders>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3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96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34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2760" w:type="dxa"/>
            <w:vAlign w:val="bottom"/>
            <w:tcBorders>
              <w:top w:val="single" w:sz="8" w:color="CCFFCC"/>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1"/>
              </w:rPr>
              <w:t>e-Commerce</w:t>
            </w:r>
          </w:p>
        </w:tc>
        <w:tc>
          <w:tcPr>
            <w:tcW w:w="114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88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90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gridSpan w:val="18"/>
          </w:tcPr>
          <w:p>
            <w:pPr>
              <w:spacing w:after="0"/>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Flash Sales</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203,100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5,589,279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5,499,250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00" w:type="dxa"/>
            <w:vAlign w:val="bottom"/>
            <w:gridSpan w:val="14"/>
            <w:vMerge w:val="restart"/>
          </w:tcPr>
          <w:p>
            <w:pPr>
              <w:spacing w:after="0"/>
              <w:rPr>
                <w:sz w:val="20"/>
                <w:szCs w:val="20"/>
                <w:color w:val="auto"/>
              </w:rPr>
            </w:pPr>
            <w:r>
              <w:rPr>
                <w:rFonts w:ascii="Arial" w:cs="Arial" w:eastAsia="Arial" w:hAnsi="Arial"/>
                <w:sz w:val="14"/>
                <w:szCs w:val="14"/>
                <w:b w:val="1"/>
                <w:bCs w:val="1"/>
                <w:color w:val="auto"/>
                <w:w w:val="95"/>
              </w:rPr>
              <w:t>Global Education Learning (Holdings) Ltd.</w:t>
            </w:r>
          </w:p>
        </w:tc>
        <w:tc>
          <w:tcPr>
            <w:tcW w:w="1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480" w:type="dxa"/>
            <w:vAlign w:val="bottom"/>
            <w:gridSpan w:val="2"/>
            <w:vMerge w:val="restart"/>
          </w:tcPr>
          <w:p>
            <w:pPr>
              <w:spacing w:after="0"/>
              <w:rPr>
                <w:sz w:val="10"/>
                <w:szCs w:val="10"/>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San Bruno, CA</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2700" w:type="dxa"/>
            <w:vAlign w:val="bottom"/>
            <w:tcBorders>
              <w:bottom w:val="single" w:sz="8" w:color="auto"/>
            </w:tcBorders>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27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7"/>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A</w:t>
            </w:r>
          </w:p>
        </w:tc>
        <w:tc>
          <w:tcPr>
            <w:tcW w:w="2760" w:type="dxa"/>
            <w:vAlign w:val="bottom"/>
            <w:gridSpan w:val="2"/>
            <w:shd w:val="clear" w:color="auto" w:fill="CCFFCC"/>
          </w:tcPr>
          <w:p>
            <w:pPr>
              <w:jc w:val="center"/>
              <w:ind w:right="140"/>
              <w:spacing w:after="0" w:line="142" w:lineRule="exact"/>
              <w:rPr>
                <w:sz w:val="20"/>
                <w:szCs w:val="20"/>
                <w:color w:val="auto"/>
              </w:rPr>
            </w:pPr>
            <w:r>
              <w:rPr>
                <w:rFonts w:ascii="Arial" w:cs="Arial" w:eastAsia="Arial" w:hAnsi="Arial"/>
                <w:sz w:val="14"/>
                <w:szCs w:val="14"/>
                <w:color w:val="auto"/>
                <w:w w:val="93"/>
              </w:rPr>
              <w:t>Education Technology</w:t>
            </w: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1,472,175</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2,999,998</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2,999,998</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0" w:type="dxa"/>
            <w:vAlign w:val="bottom"/>
            <w:tcBorders>
              <w:bottom w:val="single" w:sz="8" w:color="CCFFCC"/>
            </w:tcBorders>
            <w:gridSpan w:val="2"/>
            <w:vMerge w:val="restart"/>
            <w:shd w:val="clear" w:color="auto" w:fill="CCFFCC"/>
          </w:tcPr>
          <w:p>
            <w:pPr>
              <w:spacing w:after="0"/>
              <w:rPr>
                <w:sz w:val="20"/>
                <w:szCs w:val="20"/>
                <w:color w:val="auto"/>
              </w:rPr>
            </w:pPr>
            <w:r>
              <w:rPr>
                <w:rFonts w:ascii="Arial" w:cs="Arial" w:eastAsia="Arial" w:hAnsi="Arial"/>
                <w:sz w:val="14"/>
                <w:szCs w:val="14"/>
                <w:b w:val="1"/>
                <w:bCs w:val="1"/>
                <w:color w:val="auto"/>
                <w:w w:val="96"/>
              </w:rPr>
              <w:t>Grockit, Inc.</w:t>
            </w:r>
          </w:p>
        </w:tc>
        <w:tc>
          <w:tcPr>
            <w:tcW w:w="140" w:type="dxa"/>
            <w:vAlign w:val="bottom"/>
            <w:tcBorders>
              <w:bottom w:val="single" w:sz="8" w:color="auto"/>
            </w:tcBorders>
            <w:gridSpan w:val="3"/>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40" w:type="dxa"/>
            <w:vAlign w:val="bottom"/>
            <w:tcBorders>
              <w:bottom w:val="single" w:sz="8" w:color="CCFFCC"/>
            </w:tcBorders>
            <w:vMerge w:val="restart"/>
            <w:shd w:val="clear" w:color="auto" w:fill="CCFFCC"/>
          </w:tcPr>
          <w:p>
            <w:pPr>
              <w:spacing w:after="0"/>
              <w:rPr>
                <w:sz w:val="10"/>
                <w:szCs w:val="10"/>
                <w:color w:val="auto"/>
              </w:rPr>
            </w:pPr>
          </w:p>
        </w:tc>
        <w:tc>
          <w:tcPr>
            <w:tcW w:w="40" w:type="dxa"/>
            <w:vAlign w:val="bottom"/>
            <w:tcBorders>
              <w:bottom w:val="single" w:sz="8" w:color="CCFFCC"/>
            </w:tcBorders>
            <w:vMerge w:val="restart"/>
            <w:shd w:val="clear" w:color="auto" w:fill="CCFFCC"/>
          </w:tcPr>
          <w:p>
            <w:pPr>
              <w:spacing w:after="0"/>
              <w:rPr>
                <w:sz w:val="10"/>
                <w:szCs w:val="10"/>
                <w:color w:val="auto"/>
              </w:rPr>
            </w:pPr>
          </w:p>
        </w:tc>
        <w:tc>
          <w:tcPr>
            <w:tcW w:w="20" w:type="dxa"/>
            <w:vAlign w:val="bottom"/>
            <w:tcBorders>
              <w:bottom w:val="single" w:sz="8" w:color="CCFFCC"/>
            </w:tcBorders>
            <w:vMerge w:val="restart"/>
            <w:shd w:val="clear" w:color="auto" w:fill="CCFFCC"/>
          </w:tcPr>
          <w:p>
            <w:pPr>
              <w:spacing w:after="0"/>
              <w:rPr>
                <w:sz w:val="10"/>
                <w:szCs w:val="10"/>
                <w:color w:val="auto"/>
              </w:rPr>
            </w:pPr>
          </w:p>
        </w:tc>
        <w:tc>
          <w:tcPr>
            <w:tcW w:w="180" w:type="dxa"/>
            <w:vAlign w:val="bottom"/>
            <w:tcBorders>
              <w:bottom w:val="single" w:sz="8" w:color="CCFFCC"/>
            </w:tcBorders>
            <w:gridSpan w:val="2"/>
            <w:vMerge w:val="restart"/>
            <w:shd w:val="clear" w:color="auto" w:fill="CCFFCC"/>
          </w:tcPr>
          <w:p>
            <w:pPr>
              <w:spacing w:after="0"/>
              <w:rPr>
                <w:sz w:val="10"/>
                <w:szCs w:val="10"/>
                <w:color w:val="auto"/>
              </w:rPr>
            </w:pPr>
          </w:p>
        </w:tc>
        <w:tc>
          <w:tcPr>
            <w:tcW w:w="100" w:type="dxa"/>
            <w:vAlign w:val="bottom"/>
            <w:tcBorders>
              <w:bottom w:val="single" w:sz="8" w:color="CCFFCC"/>
            </w:tcBorders>
            <w:vMerge w:val="restart"/>
            <w:shd w:val="clear" w:color="auto" w:fill="CCFFCC"/>
          </w:tcPr>
          <w:p>
            <w:pPr>
              <w:spacing w:after="0"/>
              <w:rPr>
                <w:sz w:val="10"/>
                <w:szCs w:val="10"/>
                <w:color w:val="auto"/>
              </w:rPr>
            </w:pPr>
          </w:p>
        </w:tc>
        <w:tc>
          <w:tcPr>
            <w:tcW w:w="300" w:type="dxa"/>
            <w:vAlign w:val="bottom"/>
            <w:tcBorders>
              <w:bottom w:val="single" w:sz="8" w:color="CCFFCC"/>
            </w:tcBorders>
            <w:vMerge w:val="restart"/>
            <w:shd w:val="clear" w:color="auto" w:fill="CCFFCC"/>
          </w:tcPr>
          <w:p>
            <w:pPr>
              <w:spacing w:after="0"/>
              <w:rPr>
                <w:sz w:val="10"/>
                <w:szCs w:val="10"/>
                <w:color w:val="auto"/>
              </w:rPr>
            </w:pPr>
          </w:p>
        </w:tc>
        <w:tc>
          <w:tcPr>
            <w:tcW w:w="120" w:type="dxa"/>
            <w:vAlign w:val="bottom"/>
            <w:tcBorders>
              <w:bottom w:val="single" w:sz="8" w:color="CCFFCC"/>
            </w:tcBorders>
            <w:vMerge w:val="restart"/>
            <w:shd w:val="clear" w:color="auto" w:fill="CCFFCC"/>
          </w:tcPr>
          <w:p>
            <w:pPr>
              <w:spacing w:after="0"/>
              <w:rPr>
                <w:sz w:val="10"/>
                <w:szCs w:val="10"/>
                <w:color w:val="auto"/>
              </w:rPr>
            </w:pPr>
          </w:p>
        </w:tc>
        <w:tc>
          <w:tcPr>
            <w:tcW w:w="1580" w:type="dxa"/>
            <w:vAlign w:val="bottom"/>
            <w:tcBorders>
              <w:bottom w:val="single" w:sz="8" w:color="CCFFCC"/>
            </w:tcBorders>
            <w:gridSpan w:val="4"/>
            <w:vMerge w:val="restart"/>
            <w:shd w:val="clear" w:color="auto" w:fill="CCFFCC"/>
          </w:tcPr>
          <w:p>
            <w:pPr>
              <w:spacing w:after="0"/>
              <w:rPr>
                <w:sz w:val="10"/>
                <w:szCs w:val="10"/>
                <w:color w:val="auto"/>
              </w:rPr>
            </w:pPr>
          </w:p>
        </w:tc>
        <w:tc>
          <w:tcPr>
            <w:tcW w:w="2760" w:type="dxa"/>
            <w:vAlign w:val="bottom"/>
            <w:tcBorders>
              <w:bottom w:val="single" w:sz="8" w:color="CCFFCC"/>
            </w:tcBorders>
            <w:gridSpan w:val="2"/>
            <w:vMerge w:val="restart"/>
            <w:shd w:val="clear" w:color="auto" w:fill="CCFFCC"/>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60" w:type="dxa"/>
            <w:vAlign w:val="bottom"/>
            <w:tcBorders>
              <w:bottom w:val="single" w:sz="8" w:color="CCFFCC"/>
            </w:tcBorders>
            <w:shd w:val="clear" w:color="auto" w:fill="CCFFCC"/>
          </w:tcPr>
          <w:p>
            <w:pPr>
              <w:spacing w:after="0"/>
              <w:rPr>
                <w:sz w:val="10"/>
                <w:szCs w:val="10"/>
                <w:color w:val="auto"/>
              </w:rPr>
            </w:pPr>
          </w:p>
        </w:tc>
        <w:tc>
          <w:tcPr>
            <w:tcW w:w="88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1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auto"/>
            </w:tcBorders>
            <w:gridSpan w:val="2"/>
            <w:vMerge w:val="continue"/>
            <w:shd w:val="clear" w:color="auto" w:fill="CCFFCC"/>
          </w:tcPr>
          <w:p>
            <w:pPr>
              <w:spacing w:after="0"/>
              <w:rPr>
                <w:sz w:val="2"/>
                <w:szCs w:val="2"/>
                <w:color w:val="auto"/>
              </w:rPr>
            </w:pPr>
          </w:p>
        </w:tc>
        <w:tc>
          <w:tcPr>
            <w:tcW w:w="80" w:type="dxa"/>
            <w:vAlign w:val="bottom"/>
            <w:tcBorders>
              <w:bottom w:val="single" w:sz="8" w:color="CCFFCC"/>
            </w:tcBorders>
            <w:shd w:val="clear" w:color="auto" w:fill="CCFFCC"/>
          </w:tcPr>
          <w:p>
            <w:pPr>
              <w:spacing w:after="0"/>
              <w:rPr>
                <w:sz w:val="2"/>
                <w:szCs w:val="2"/>
                <w:color w:val="auto"/>
              </w:rPr>
            </w:pPr>
          </w:p>
        </w:tc>
        <w:tc>
          <w:tcPr>
            <w:tcW w:w="20" w:type="dxa"/>
            <w:vAlign w:val="bottom"/>
            <w:tcBorders>
              <w:bottom w:val="single" w:sz="8" w:color="CCFFCC"/>
            </w:tcBorders>
            <w:shd w:val="clear" w:color="auto" w:fill="CCFFCC"/>
          </w:tcPr>
          <w:p>
            <w:pPr>
              <w:spacing w:after="0"/>
              <w:rPr>
                <w:sz w:val="2"/>
                <w:szCs w:val="2"/>
                <w:color w:val="auto"/>
              </w:rPr>
            </w:pPr>
          </w:p>
        </w:tc>
        <w:tc>
          <w:tcPr>
            <w:tcW w:w="40" w:type="dxa"/>
            <w:vAlign w:val="bottom"/>
            <w:tcBorders>
              <w:bottom w:val="single" w:sz="8" w:color="CCFFCC"/>
            </w:tcBorders>
            <w:shd w:val="clear" w:color="auto" w:fill="CCFFCC"/>
          </w:tcPr>
          <w:p>
            <w:pPr>
              <w:spacing w:after="0"/>
              <w:rPr>
                <w:sz w:val="2"/>
                <w:szCs w:val="2"/>
                <w:color w:val="auto"/>
              </w:rPr>
            </w:pPr>
          </w:p>
        </w:tc>
        <w:tc>
          <w:tcPr>
            <w:tcW w:w="40" w:type="dxa"/>
            <w:vAlign w:val="bottom"/>
            <w:tcBorders>
              <w:bottom w:val="single" w:sz="8" w:color="CCFFCC"/>
            </w:tcBorders>
            <w:vMerge w:val="continue"/>
            <w:shd w:val="clear" w:color="auto" w:fill="CCFFCC"/>
          </w:tcPr>
          <w:p>
            <w:pPr>
              <w:spacing w:after="0"/>
              <w:rPr>
                <w:sz w:val="2"/>
                <w:szCs w:val="2"/>
                <w:color w:val="auto"/>
              </w:rPr>
            </w:pPr>
          </w:p>
        </w:tc>
        <w:tc>
          <w:tcPr>
            <w:tcW w:w="40" w:type="dxa"/>
            <w:vAlign w:val="bottom"/>
            <w:tcBorders>
              <w:bottom w:val="single" w:sz="8" w:color="CCFFCC"/>
            </w:tcBorders>
            <w:vMerge w:val="continue"/>
            <w:shd w:val="clear" w:color="auto" w:fill="CCFFCC"/>
          </w:tcPr>
          <w:p>
            <w:pPr>
              <w:spacing w:after="0"/>
              <w:rPr>
                <w:sz w:val="2"/>
                <w:szCs w:val="2"/>
                <w:color w:val="auto"/>
              </w:rPr>
            </w:pPr>
          </w:p>
        </w:tc>
        <w:tc>
          <w:tcPr>
            <w:tcW w:w="20" w:type="dxa"/>
            <w:vAlign w:val="bottom"/>
            <w:tcBorders>
              <w:bottom w:val="single" w:sz="8" w:color="CCFFCC"/>
            </w:tcBorders>
            <w:vMerge w:val="continue"/>
            <w:shd w:val="clear" w:color="auto" w:fill="CCFFCC"/>
          </w:tcPr>
          <w:p>
            <w:pPr>
              <w:spacing w:after="0"/>
              <w:rPr>
                <w:sz w:val="2"/>
                <w:szCs w:val="2"/>
                <w:color w:val="auto"/>
              </w:rPr>
            </w:pPr>
          </w:p>
        </w:tc>
        <w:tc>
          <w:tcPr>
            <w:tcW w:w="180" w:type="dxa"/>
            <w:vAlign w:val="bottom"/>
            <w:tcBorders>
              <w:bottom w:val="single" w:sz="8" w:color="CCFFCC"/>
            </w:tcBorders>
            <w:gridSpan w:val="2"/>
            <w:vMerge w:val="continue"/>
            <w:shd w:val="clear" w:color="auto" w:fill="CCFFCC"/>
          </w:tcPr>
          <w:p>
            <w:pPr>
              <w:spacing w:after="0"/>
              <w:rPr>
                <w:sz w:val="2"/>
                <w:szCs w:val="2"/>
                <w:color w:val="auto"/>
              </w:rPr>
            </w:pPr>
          </w:p>
        </w:tc>
        <w:tc>
          <w:tcPr>
            <w:tcW w:w="100" w:type="dxa"/>
            <w:vAlign w:val="bottom"/>
            <w:tcBorders>
              <w:bottom w:val="single" w:sz="8" w:color="CCFFCC"/>
            </w:tcBorders>
            <w:vMerge w:val="continue"/>
            <w:shd w:val="clear" w:color="auto" w:fill="CCFFCC"/>
          </w:tcPr>
          <w:p>
            <w:pPr>
              <w:spacing w:after="0"/>
              <w:rPr>
                <w:sz w:val="2"/>
                <w:szCs w:val="2"/>
                <w:color w:val="auto"/>
              </w:rPr>
            </w:pPr>
          </w:p>
        </w:tc>
        <w:tc>
          <w:tcPr>
            <w:tcW w:w="300" w:type="dxa"/>
            <w:vAlign w:val="bottom"/>
            <w:tcBorders>
              <w:bottom w:val="single" w:sz="8" w:color="CCFFCC"/>
            </w:tcBorders>
            <w:vMerge w:val="continue"/>
            <w:shd w:val="clear" w:color="auto" w:fill="CCFFCC"/>
          </w:tcPr>
          <w:p>
            <w:pPr>
              <w:spacing w:after="0"/>
              <w:rPr>
                <w:sz w:val="2"/>
                <w:szCs w:val="2"/>
                <w:color w:val="auto"/>
              </w:rPr>
            </w:pPr>
          </w:p>
        </w:tc>
        <w:tc>
          <w:tcPr>
            <w:tcW w:w="120" w:type="dxa"/>
            <w:vAlign w:val="bottom"/>
            <w:tcBorders>
              <w:bottom w:val="single" w:sz="8" w:color="CCFFCC"/>
            </w:tcBorders>
            <w:vMerge w:val="continue"/>
            <w:shd w:val="clear" w:color="auto" w:fill="CCFFCC"/>
          </w:tcPr>
          <w:p>
            <w:pPr>
              <w:spacing w:after="0"/>
              <w:rPr>
                <w:sz w:val="2"/>
                <w:szCs w:val="2"/>
                <w:color w:val="auto"/>
              </w:rPr>
            </w:pPr>
          </w:p>
        </w:tc>
        <w:tc>
          <w:tcPr>
            <w:tcW w:w="1580" w:type="dxa"/>
            <w:vAlign w:val="bottom"/>
            <w:tcBorders>
              <w:bottom w:val="single" w:sz="8" w:color="CCFFCC"/>
            </w:tcBorders>
            <w:gridSpan w:val="4"/>
            <w:vMerge w:val="continue"/>
            <w:shd w:val="clear" w:color="auto" w:fill="CCFFCC"/>
          </w:tcPr>
          <w:p>
            <w:pPr>
              <w:spacing w:after="0"/>
              <w:rPr>
                <w:sz w:val="2"/>
                <w:szCs w:val="2"/>
                <w:color w:val="auto"/>
              </w:rPr>
            </w:pPr>
          </w:p>
        </w:tc>
        <w:tc>
          <w:tcPr>
            <w:tcW w:w="2760" w:type="dxa"/>
            <w:vAlign w:val="bottom"/>
            <w:tcBorders>
              <w:bottom w:val="single" w:sz="8" w:color="CCFFCC"/>
            </w:tcBorders>
            <w:gridSpan w:val="2"/>
            <w:vMerge w:val="continue"/>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260" w:type="dxa"/>
            <w:vAlign w:val="bottom"/>
            <w:tcBorders>
              <w:bottom w:val="single" w:sz="8" w:color="CCFFCC"/>
            </w:tcBorders>
            <w:shd w:val="clear" w:color="auto" w:fill="CCFFCC"/>
          </w:tcPr>
          <w:p>
            <w:pPr>
              <w:spacing w:after="0"/>
              <w:rPr>
                <w:sz w:val="2"/>
                <w:szCs w:val="2"/>
                <w:color w:val="auto"/>
              </w:rPr>
            </w:pPr>
          </w:p>
        </w:tc>
        <w:tc>
          <w:tcPr>
            <w:tcW w:w="880" w:type="dxa"/>
            <w:vAlign w:val="bottom"/>
            <w:tcBorders>
              <w:bottom w:val="single" w:sz="8" w:color="CCFFCC"/>
            </w:tcBorders>
            <w:shd w:val="clear" w:color="auto" w:fill="CCFFCC"/>
          </w:tcPr>
          <w:p>
            <w:pPr>
              <w:spacing w:after="0"/>
              <w:rPr>
                <w:sz w:val="2"/>
                <w:szCs w:val="2"/>
                <w:color w:val="auto"/>
              </w:rPr>
            </w:pPr>
          </w:p>
        </w:tc>
        <w:tc>
          <w:tcPr>
            <w:tcW w:w="10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90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2"/>
              </w:rPr>
              <w:t>Online Test</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gridSpan w:val="18"/>
          </w:tcPr>
          <w:p>
            <w:pPr>
              <w:spacing w:after="0"/>
              <w:rPr>
                <w:sz w:val="20"/>
                <w:szCs w:val="20"/>
                <w:color w:val="auto"/>
              </w:rPr>
            </w:pPr>
            <w:r>
              <w:rPr>
                <w:rFonts w:ascii="Arial" w:cs="Arial" w:eastAsia="Arial" w:hAnsi="Arial"/>
                <w:sz w:val="14"/>
                <w:szCs w:val="14"/>
                <w:color w:val="auto"/>
              </w:rPr>
              <w:t>Preferred shares, Series D</w:t>
            </w:r>
          </w:p>
        </w:tc>
        <w:tc>
          <w:tcPr>
            <w:tcW w:w="276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Preparation</w:t>
            </w:r>
          </w:p>
        </w:tc>
        <w:tc>
          <w:tcPr>
            <w:tcW w:w="1140" w:type="dxa"/>
            <w:vAlign w:val="bottom"/>
          </w:tcPr>
          <w:p>
            <w:pPr>
              <w:jc w:val="right"/>
              <w:spacing w:after="0"/>
              <w:rPr>
                <w:sz w:val="20"/>
                <w:szCs w:val="20"/>
                <w:color w:val="auto"/>
              </w:rPr>
            </w:pPr>
            <w:r>
              <w:rPr>
                <w:rFonts w:ascii="Arial" w:cs="Arial" w:eastAsia="Arial" w:hAnsi="Arial"/>
                <w:sz w:val="14"/>
                <w:szCs w:val="14"/>
                <w:color w:val="auto"/>
              </w:rPr>
              <w:t>2,728,252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2,005,945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Groupon, Inc.</w:t>
            </w:r>
          </w:p>
        </w:tc>
        <w:tc>
          <w:tcPr>
            <w:tcW w:w="140" w:type="dxa"/>
            <w:vAlign w:val="bottom"/>
            <w:tcBorders>
              <w:bottom w:val="single" w:sz="8" w:color="auto"/>
            </w:tcBorders>
            <w:gridSpan w:val="4"/>
          </w:tcPr>
          <w:p>
            <w:pPr>
              <w:jc w:val="right"/>
              <w:ind w:right="20"/>
              <w:spacing w:after="0" w:line="102" w:lineRule="exact"/>
              <w:rPr>
                <w:sz w:val="20"/>
                <w:szCs w:val="20"/>
                <w:color w:val="auto"/>
              </w:rPr>
            </w:pPr>
            <w:r>
              <w:rPr>
                <w:rFonts w:ascii="Arial" w:cs="Arial" w:eastAsia="Arial" w:hAnsi="Arial"/>
                <w:sz w:val="11"/>
                <w:szCs w:val="11"/>
                <w:b w:val="1"/>
                <w:bCs w:val="1"/>
                <w:color w:val="auto"/>
                <w:w w:val="74"/>
              </w:rPr>
              <w:t>(4)</w:t>
            </w:r>
          </w:p>
        </w:tc>
        <w:tc>
          <w:tcPr>
            <w:tcW w:w="180" w:type="dxa"/>
            <w:vAlign w:val="bottom"/>
            <w:gridSpan w:val="2"/>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580" w:type="dxa"/>
            <w:vAlign w:val="bottom"/>
            <w:gridSpan w:val="4"/>
            <w:vMerge w:val="restart"/>
          </w:tcPr>
          <w:p>
            <w:pPr>
              <w:spacing w:after="0"/>
              <w:rPr>
                <w:sz w:val="10"/>
                <w:szCs w:val="10"/>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Chicago, IL</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900" w:type="dxa"/>
            <w:vAlign w:val="bottom"/>
            <w:tcBorders>
              <w:bottom w:val="single" w:sz="8" w:color="auto"/>
            </w:tcBorders>
            <w:gridSpan w:val="4"/>
            <w:vMerge w:val="continue"/>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580" w:type="dxa"/>
            <w:vAlign w:val="bottom"/>
            <w:gridSpan w:val="4"/>
            <w:vMerge w:val="continue"/>
          </w:tcPr>
          <w:p>
            <w:pPr>
              <w:spacing w:after="0"/>
              <w:rPr>
                <w:sz w:val="2"/>
                <w:szCs w:val="2"/>
                <w:color w:val="auto"/>
              </w:rPr>
            </w:pPr>
          </w:p>
        </w:tc>
        <w:tc>
          <w:tcPr>
            <w:tcW w:w="27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7"/>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276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w w:val="94"/>
              </w:rPr>
              <w:t>Online Deals</w:t>
            </w:r>
          </w:p>
        </w:tc>
        <w:tc>
          <w:tcPr>
            <w:tcW w:w="13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80,000</w:t>
            </w: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2,128,774</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850,400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320" w:type="dxa"/>
            <w:vAlign w:val="bottom"/>
            <w:gridSpan w:val="17"/>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Kno, Inc.</w:t>
            </w:r>
          </w:p>
        </w:tc>
        <w:tc>
          <w:tcPr>
            <w:tcW w:w="2760" w:type="dxa"/>
            <w:vAlign w:val="bottom"/>
            <w:gridSpan w:val="2"/>
            <w:shd w:val="clear" w:color="auto" w:fill="CCFFCC"/>
          </w:tcPr>
          <w:p>
            <w:pPr>
              <w:jc w:val="center"/>
              <w:ind w:right="140"/>
              <w:spacing w:after="0" w:line="135" w:lineRule="exact"/>
              <w:rPr>
                <w:sz w:val="20"/>
                <w:szCs w:val="20"/>
                <w:color w:val="auto"/>
              </w:rPr>
            </w:pPr>
            <w:r>
              <w:rPr>
                <w:rFonts w:ascii="Arial" w:cs="Arial" w:eastAsia="Arial" w:hAnsi="Arial"/>
                <w:sz w:val="14"/>
                <w:szCs w:val="14"/>
                <w:color w:val="auto"/>
                <w:w w:val="92"/>
              </w:rPr>
              <w:t>Santa Clara, CA</w:t>
            </w:r>
          </w:p>
        </w:tc>
        <w:tc>
          <w:tcPr>
            <w:tcW w:w="114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color w:val="auto"/>
                <w:w w:val="92"/>
              </w:rPr>
              <w:t>Preferred</w:t>
            </w:r>
          </w:p>
        </w:tc>
        <w:tc>
          <w:tcPr>
            <w:tcW w:w="2760" w:type="dxa"/>
            <w:vAlign w:val="bottom"/>
            <w:tcBorders>
              <w:top w:val="single" w:sz="8" w:color="CCFFCC"/>
            </w:tcBorders>
            <w:gridSpan w:val="16"/>
          </w:tcPr>
          <w:p>
            <w:pPr>
              <w:jc w:val="right"/>
              <w:ind w:right="1840"/>
              <w:spacing w:after="0" w:line="122" w:lineRule="exact"/>
              <w:rPr>
                <w:sz w:val="20"/>
                <w:szCs w:val="20"/>
                <w:color w:val="auto"/>
              </w:rPr>
            </w:pPr>
            <w:r>
              <w:rPr>
                <w:rFonts w:ascii="Arial" w:cs="Arial" w:eastAsia="Arial" w:hAnsi="Arial"/>
                <w:sz w:val="14"/>
                <w:szCs w:val="14"/>
                <w:color w:val="auto"/>
                <w:w w:val="86"/>
              </w:rPr>
              <w:t>shares, Series C</w:t>
            </w:r>
          </w:p>
        </w:tc>
        <w:tc>
          <w:tcPr>
            <w:tcW w:w="2760" w:type="dxa"/>
            <w:vAlign w:val="bottom"/>
            <w:tcBorders>
              <w:top w:val="single" w:sz="8" w:color="CCFFCC"/>
            </w:tcBorders>
            <w:gridSpan w:val="2"/>
          </w:tcPr>
          <w:p>
            <w:pPr>
              <w:jc w:val="center"/>
              <w:ind w:right="120"/>
              <w:spacing w:after="0" w:line="122" w:lineRule="exact"/>
              <w:rPr>
                <w:sz w:val="20"/>
                <w:szCs w:val="20"/>
                <w:color w:val="auto"/>
              </w:rPr>
            </w:pPr>
            <w:r>
              <w:rPr>
                <w:rFonts w:ascii="Arial" w:cs="Arial" w:eastAsia="Arial" w:hAnsi="Arial"/>
                <w:sz w:val="14"/>
                <w:szCs w:val="14"/>
                <w:color w:val="auto"/>
              </w:rPr>
              <w:t>Digital</w:t>
            </w:r>
          </w:p>
        </w:tc>
        <w:tc>
          <w:tcPr>
            <w:tcW w:w="1360" w:type="dxa"/>
            <w:vAlign w:val="bottom"/>
            <w:tcBorders>
              <w:top w:val="single" w:sz="8" w:color="CCFFCC"/>
            </w:tcBorders>
            <w:gridSpan w:val="2"/>
          </w:tcPr>
          <w:p>
            <w:pPr>
              <w:jc w:val="right"/>
              <w:ind w:right="220"/>
              <w:spacing w:after="0" w:line="122" w:lineRule="exact"/>
              <w:rPr>
                <w:sz w:val="20"/>
                <w:szCs w:val="20"/>
                <w:color w:val="auto"/>
              </w:rPr>
            </w:pPr>
            <w:r>
              <w:rPr>
                <w:rFonts w:ascii="Arial" w:cs="Arial" w:eastAsia="Arial" w:hAnsi="Arial"/>
                <w:sz w:val="14"/>
                <w:szCs w:val="14"/>
                <w:color w:val="auto"/>
              </w:rPr>
              <w:t>440,313</w:t>
            </w:r>
          </w:p>
        </w:tc>
        <w:tc>
          <w:tcPr>
            <w:tcW w:w="260" w:type="dxa"/>
            <w:vAlign w:val="bottom"/>
            <w:tcBorders>
              <w:top w:val="single" w:sz="8" w:color="CCFFCC"/>
            </w:tcBorders>
          </w:tcPr>
          <w:p>
            <w:pPr>
              <w:spacing w:after="0"/>
              <w:rPr>
                <w:sz w:val="10"/>
                <w:szCs w:val="10"/>
                <w:color w:val="auto"/>
              </w:rPr>
            </w:pPr>
          </w:p>
        </w:tc>
        <w:tc>
          <w:tcPr>
            <w:tcW w:w="980" w:type="dxa"/>
            <w:vAlign w:val="bottom"/>
            <w:tcBorders>
              <w:top w:val="single" w:sz="8" w:color="CCFFCC"/>
            </w:tcBorders>
            <w:gridSpan w:val="2"/>
          </w:tcPr>
          <w:p>
            <w:pPr>
              <w:jc w:val="right"/>
              <w:ind w:right="100"/>
              <w:spacing w:after="0" w:line="122" w:lineRule="exact"/>
              <w:rPr>
                <w:sz w:val="20"/>
                <w:szCs w:val="20"/>
                <w:color w:val="auto"/>
              </w:rPr>
            </w:pPr>
            <w:r>
              <w:rPr>
                <w:rFonts w:ascii="Arial" w:cs="Arial" w:eastAsia="Arial" w:hAnsi="Arial"/>
                <w:sz w:val="14"/>
                <w:szCs w:val="14"/>
                <w:color w:val="auto"/>
              </w:rPr>
              <w:t>2,262,006</w:t>
            </w:r>
          </w:p>
        </w:tc>
        <w:tc>
          <w:tcPr>
            <w:tcW w:w="12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120" w:type="dxa"/>
            <w:vAlign w:val="bottom"/>
            <w:tcBorders>
              <w:top w:val="single" w:sz="8" w:color="CCFFCC"/>
            </w:tcBorders>
            <w:gridSpan w:val="2"/>
          </w:tcPr>
          <w:p>
            <w:pPr>
              <w:jc w:val="right"/>
              <w:ind w:right="220"/>
              <w:spacing w:after="0" w:line="122" w:lineRule="exact"/>
              <w:rPr>
                <w:sz w:val="20"/>
                <w:szCs w:val="20"/>
                <w:color w:val="auto"/>
              </w:rPr>
            </w:pPr>
            <w:r>
              <w:rPr>
                <w:rFonts w:ascii="Arial" w:cs="Arial" w:eastAsia="Arial" w:hAnsi="Arial"/>
                <w:sz w:val="14"/>
                <w:szCs w:val="14"/>
                <w:color w:val="auto"/>
              </w:rPr>
              <w:t>2,250,000</w:t>
            </w:r>
          </w:p>
        </w:tc>
        <w:tc>
          <w:tcPr>
            <w:tcW w:w="1260" w:type="dxa"/>
            <w:vAlign w:val="bottom"/>
            <w:tcBorders>
              <w:top w:val="single" w:sz="8" w:color="CCFFCC"/>
            </w:tcBorders>
            <w:gridSpan w:val="2"/>
          </w:tcPr>
          <w:p>
            <w:pPr>
              <w:jc w:val="right"/>
              <w:spacing w:after="0" w:line="12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17"/>
            <w:shd w:val="clear" w:color="auto" w:fill="CCFFCC"/>
          </w:tcPr>
          <w:p>
            <w:pPr>
              <w:spacing w:after="0" w:line="149" w:lineRule="exact"/>
              <w:rPr>
                <w:sz w:val="20"/>
                <w:szCs w:val="20"/>
                <w:color w:val="auto"/>
              </w:rPr>
            </w:pPr>
            <w:r>
              <w:rPr>
                <w:rFonts w:ascii="Arial" w:cs="Arial" w:eastAsia="Arial" w:hAnsi="Arial"/>
                <w:sz w:val="14"/>
                <w:szCs w:val="14"/>
                <w:color w:val="auto"/>
              </w:rPr>
              <w:t>Preferred shares, Series C-1</w:t>
            </w:r>
          </w:p>
        </w:tc>
        <w:tc>
          <w:tcPr>
            <w:tcW w:w="2760" w:type="dxa"/>
            <w:vAlign w:val="bottom"/>
            <w:gridSpan w:val="2"/>
            <w:shd w:val="clear" w:color="auto" w:fill="CCFFCC"/>
          </w:tcPr>
          <w:p>
            <w:pPr>
              <w:jc w:val="center"/>
              <w:ind w:right="120"/>
              <w:spacing w:after="0" w:line="149" w:lineRule="exact"/>
              <w:rPr>
                <w:sz w:val="20"/>
                <w:szCs w:val="20"/>
                <w:color w:val="auto"/>
              </w:rPr>
            </w:pPr>
            <w:r>
              <w:rPr>
                <w:rFonts w:ascii="Arial" w:cs="Arial" w:eastAsia="Arial" w:hAnsi="Arial"/>
                <w:sz w:val="14"/>
                <w:szCs w:val="14"/>
                <w:color w:val="auto"/>
                <w:w w:val="92"/>
              </w:rPr>
              <w:t>Textbooks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7,509,663</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7,500,000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17"/>
          </w:tcPr>
          <w:p>
            <w:pPr>
              <w:spacing w:after="0" w:line="149" w:lineRule="exact"/>
              <w:rPr>
                <w:sz w:val="20"/>
                <w:szCs w:val="20"/>
                <w:color w:val="auto"/>
              </w:rPr>
            </w:pPr>
            <w:r>
              <w:rPr>
                <w:rFonts w:ascii="Arial" w:cs="Arial" w:eastAsia="Arial" w:hAnsi="Arial"/>
                <w:sz w:val="14"/>
                <w:szCs w:val="14"/>
                <w:color w:val="auto"/>
              </w:rPr>
              <w:t>Common shares</w:t>
            </w: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214,681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205,000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17"/>
            <w:vMerge w:val="restart"/>
            <w:shd w:val="clear" w:color="auto" w:fill="CCFFCC"/>
          </w:tcPr>
          <w:p>
            <w:pPr>
              <w:ind w:left="240"/>
              <w:spacing w:after="0"/>
              <w:rPr>
                <w:sz w:val="20"/>
                <w:szCs w:val="20"/>
                <w:color w:val="auto"/>
              </w:rPr>
            </w:pPr>
            <w:r>
              <w:rPr>
                <w:rFonts w:ascii="Arial" w:cs="Arial" w:eastAsia="Arial" w:hAnsi="Arial"/>
                <w:sz w:val="14"/>
                <w:szCs w:val="14"/>
                <w:color w:val="auto"/>
              </w:rPr>
              <w:t>Total</w:t>
            </w:r>
          </w:p>
        </w:tc>
        <w:tc>
          <w:tcPr>
            <w:tcW w:w="25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7"/>
            <w:vMerge w:val="continue"/>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9,986,350</w:t>
            </w:r>
          </w:p>
        </w:tc>
        <w:tc>
          <w:tcPr>
            <w:tcW w:w="10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9,955,000</w:t>
            </w:r>
          </w:p>
        </w:tc>
        <w:tc>
          <w:tcPr>
            <w:tcW w:w="220" w:type="dxa"/>
            <w:vAlign w:val="bottom"/>
            <w:vMerge w:val="continue"/>
            <w:shd w:val="clear" w:color="auto" w:fill="CCFFCC"/>
          </w:tcPr>
          <w:p>
            <w:pPr>
              <w:spacing w:after="0"/>
              <w:rPr>
                <w:sz w:val="12"/>
                <w:szCs w:val="12"/>
                <w:color w:val="auto"/>
              </w:rPr>
            </w:pP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7"/>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Maven Research, Inc.</w:t>
            </w:r>
          </w:p>
        </w:tc>
        <w:tc>
          <w:tcPr>
            <w:tcW w:w="276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17"/>
          </w:tcPr>
          <w:p>
            <w:pPr>
              <w:spacing w:after="0" w:line="142" w:lineRule="exact"/>
              <w:rPr>
                <w:sz w:val="20"/>
                <w:szCs w:val="20"/>
                <w:color w:val="auto"/>
              </w:rPr>
            </w:pPr>
            <w:r>
              <w:rPr>
                <w:rFonts w:ascii="Arial" w:cs="Arial" w:eastAsia="Arial" w:hAnsi="Arial"/>
                <w:sz w:val="14"/>
                <w:szCs w:val="14"/>
                <w:color w:val="auto"/>
              </w:rPr>
              <w:t>Preferred shares, Series B</w:t>
            </w:r>
          </w:p>
        </w:tc>
        <w:tc>
          <w:tcPr>
            <w:tcW w:w="276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4"/>
              </w:rPr>
              <w:t>Global Knowledge Marketplace</w:t>
            </w: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49,505</w:t>
            </w:r>
          </w:p>
        </w:tc>
        <w:tc>
          <w:tcPr>
            <w:tcW w:w="26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217,206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200,000</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NestGSV, Inc.</w:t>
            </w:r>
          </w:p>
        </w:tc>
        <w:tc>
          <w:tcPr>
            <w:tcW w:w="140" w:type="dxa"/>
            <w:vAlign w:val="bottom"/>
            <w:tcBorders>
              <w:bottom w:val="single" w:sz="8" w:color="auto"/>
            </w:tcBorders>
            <w:gridSpan w:val="4"/>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200" w:type="dxa"/>
            <w:vAlign w:val="bottom"/>
            <w:gridSpan w:val="3"/>
            <w:vMerge w:val="restart"/>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580" w:type="dxa"/>
            <w:vAlign w:val="bottom"/>
            <w:gridSpan w:val="4"/>
            <w:vMerge w:val="restart"/>
          </w:tcPr>
          <w:p>
            <w:pPr>
              <w:spacing w:after="0"/>
              <w:rPr>
                <w:sz w:val="10"/>
                <w:szCs w:val="10"/>
                <w:color w:val="auto"/>
              </w:rPr>
            </w:pPr>
          </w:p>
        </w:tc>
        <w:tc>
          <w:tcPr>
            <w:tcW w:w="27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880" w:type="dxa"/>
            <w:vAlign w:val="bottom"/>
            <w:tcBorders>
              <w:bottom w:val="single" w:sz="8" w:color="auto"/>
            </w:tcBorders>
            <w:gridSpan w:val="3"/>
            <w:vMerge w:val="continue"/>
          </w:tcPr>
          <w:p>
            <w:pPr>
              <w:spacing w:after="0"/>
              <w:rPr>
                <w:sz w:val="2"/>
                <w:szCs w:val="2"/>
                <w:color w:val="auto"/>
              </w:rPr>
            </w:pPr>
          </w:p>
        </w:tc>
        <w:tc>
          <w:tcPr>
            <w:tcW w:w="1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580" w:type="dxa"/>
            <w:vAlign w:val="bottom"/>
            <w:gridSpan w:val="4"/>
            <w:vMerge w:val="continue"/>
          </w:tcPr>
          <w:p>
            <w:pPr>
              <w:spacing w:after="0"/>
              <w:rPr>
                <w:sz w:val="2"/>
                <w:szCs w:val="2"/>
                <w:color w:val="auto"/>
              </w:rPr>
            </w:pPr>
          </w:p>
        </w:tc>
        <w:tc>
          <w:tcPr>
            <w:tcW w:w="27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7"/>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A</w:t>
            </w:r>
          </w:p>
        </w:tc>
        <w:tc>
          <w:tcPr>
            <w:tcW w:w="276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w w:val="93"/>
              </w:rPr>
              <w:t>Entrepreneurial Education</w:t>
            </w: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1,020,145</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1,000,000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7"/>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Palantir Technologies, Inc.</w:t>
            </w:r>
          </w:p>
        </w:tc>
        <w:tc>
          <w:tcPr>
            <w:tcW w:w="2760" w:type="dxa"/>
            <w:vAlign w:val="bottom"/>
            <w:gridSpan w:val="2"/>
            <w:shd w:val="clear" w:color="auto" w:fill="CCFFCC"/>
          </w:tcPr>
          <w:p>
            <w:pPr>
              <w:jc w:val="center"/>
              <w:ind w:right="140"/>
              <w:spacing w:after="0" w:line="135" w:lineRule="exact"/>
              <w:rPr>
                <w:sz w:val="20"/>
                <w:szCs w:val="20"/>
                <w:color w:val="auto"/>
              </w:rPr>
            </w:pPr>
            <w:r>
              <w:rPr>
                <w:rFonts w:ascii="Arial" w:cs="Arial" w:eastAsia="Arial" w:hAnsi="Arial"/>
                <w:sz w:val="14"/>
                <w:szCs w:val="14"/>
                <w:color w:val="auto"/>
                <w:w w:val="98"/>
              </w:rPr>
              <w:t>Palo Alto, CA</w:t>
            </w: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gridSpan w:val="12"/>
          </w:tcPr>
          <w:p>
            <w:pPr>
              <w:spacing w:after="0" w:line="142" w:lineRule="exact"/>
              <w:rPr>
                <w:sz w:val="20"/>
                <w:szCs w:val="20"/>
                <w:color w:val="auto"/>
              </w:rPr>
            </w:pPr>
            <w:r>
              <w:rPr>
                <w:rFonts w:ascii="Arial" w:cs="Arial" w:eastAsia="Arial" w:hAnsi="Arial"/>
                <w:sz w:val="14"/>
                <w:szCs w:val="14"/>
                <w:color w:val="auto"/>
              </w:rPr>
              <w:t>Common shares, Class B</w:t>
            </w:r>
          </w:p>
        </w:tc>
        <w:tc>
          <w:tcPr>
            <w:tcW w:w="1700" w:type="dxa"/>
            <w:vAlign w:val="bottom"/>
            <w:tcBorders>
              <w:top w:val="single" w:sz="8" w:color="CCFFCC"/>
            </w:tcBorders>
            <w:gridSpan w:val="5"/>
          </w:tcPr>
          <w:p>
            <w:pPr>
              <w:spacing w:after="0"/>
              <w:rPr>
                <w:sz w:val="12"/>
                <w:szCs w:val="12"/>
                <w:color w:val="auto"/>
              </w:rPr>
            </w:pPr>
          </w:p>
        </w:tc>
        <w:tc>
          <w:tcPr>
            <w:tcW w:w="2760" w:type="dxa"/>
            <w:vAlign w:val="bottom"/>
            <w:tcBorders>
              <w:top w:val="single" w:sz="8" w:color="CCFFCC"/>
            </w:tcBorders>
            <w:gridSpan w:val="2"/>
          </w:tcPr>
          <w:p>
            <w:pPr>
              <w:jc w:val="center"/>
              <w:ind w:right="140"/>
              <w:spacing w:after="0" w:line="142" w:lineRule="exact"/>
              <w:rPr>
                <w:sz w:val="20"/>
                <w:szCs w:val="20"/>
                <w:color w:val="auto"/>
              </w:rPr>
            </w:pPr>
            <w:r>
              <w:rPr>
                <w:rFonts w:ascii="Arial" w:cs="Arial" w:eastAsia="Arial" w:hAnsi="Arial"/>
                <w:sz w:val="14"/>
                <w:szCs w:val="14"/>
                <w:color w:val="auto"/>
                <w:w w:val="92"/>
              </w:rPr>
              <w:t>Data Security</w:t>
            </w:r>
          </w:p>
        </w:tc>
        <w:tc>
          <w:tcPr>
            <w:tcW w:w="1140" w:type="dxa"/>
            <w:vAlign w:val="bottom"/>
            <w:tcBorders>
              <w:top w:val="single" w:sz="8" w:color="CCFFCC"/>
            </w:tcBorders>
          </w:tcPr>
          <w:p>
            <w:pPr>
              <w:jc w:val="right"/>
              <w:spacing w:after="0" w:line="142" w:lineRule="exact"/>
              <w:rPr>
                <w:sz w:val="20"/>
                <w:szCs w:val="20"/>
                <w:color w:val="auto"/>
              </w:rPr>
            </w:pPr>
            <w:r>
              <w:rPr>
                <w:rFonts w:ascii="Arial" w:cs="Arial" w:eastAsia="Arial" w:hAnsi="Arial"/>
                <w:sz w:val="14"/>
                <w:szCs w:val="14"/>
                <w:color w:val="auto"/>
              </w:rPr>
              <w:t>1,559,419</w:t>
            </w:r>
          </w:p>
        </w:tc>
        <w:tc>
          <w:tcPr>
            <w:tcW w:w="220" w:type="dxa"/>
            <w:vAlign w:val="bottom"/>
            <w:tcBorders>
              <w:top w:val="single" w:sz="8" w:color="CCFFCC"/>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980" w:type="dxa"/>
            <w:vAlign w:val="bottom"/>
            <w:tcBorders>
              <w:top w:val="single" w:sz="8" w:color="CCFFCC"/>
            </w:tcBorders>
            <w:gridSpan w:val="2"/>
          </w:tcPr>
          <w:p>
            <w:pPr>
              <w:jc w:val="right"/>
              <w:ind w:right="100"/>
              <w:spacing w:after="0" w:line="142" w:lineRule="exact"/>
              <w:rPr>
                <w:sz w:val="20"/>
                <w:szCs w:val="20"/>
                <w:color w:val="auto"/>
              </w:rPr>
            </w:pPr>
            <w:r>
              <w:rPr>
                <w:rFonts w:ascii="Arial" w:cs="Arial" w:eastAsia="Arial" w:hAnsi="Arial"/>
                <w:sz w:val="14"/>
                <w:szCs w:val="14"/>
                <w:color w:val="auto"/>
              </w:rPr>
              <w:t>4,239,986</w:t>
            </w:r>
          </w:p>
        </w:tc>
        <w:tc>
          <w:tcPr>
            <w:tcW w:w="12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20" w:type="dxa"/>
            <w:vAlign w:val="bottom"/>
            <w:tcBorders>
              <w:top w:val="single" w:sz="8" w:color="CCFFCC"/>
            </w:tcBorders>
            <w:gridSpan w:val="2"/>
          </w:tcPr>
          <w:p>
            <w:pPr>
              <w:jc w:val="right"/>
              <w:ind w:right="220"/>
              <w:spacing w:after="0" w:line="142" w:lineRule="exact"/>
              <w:rPr>
                <w:sz w:val="20"/>
                <w:szCs w:val="20"/>
                <w:color w:val="auto"/>
              </w:rPr>
            </w:pPr>
            <w:r>
              <w:rPr>
                <w:rFonts w:ascii="Arial" w:cs="Arial" w:eastAsia="Arial" w:hAnsi="Arial"/>
                <w:sz w:val="14"/>
                <w:szCs w:val="14"/>
                <w:color w:val="auto"/>
              </w:rPr>
              <w:t>4,210,431</w:t>
            </w:r>
          </w:p>
        </w:tc>
        <w:tc>
          <w:tcPr>
            <w:tcW w:w="1260" w:type="dxa"/>
            <w:vAlign w:val="bottom"/>
            <w:tcBorders>
              <w:top w:val="single" w:sz="8" w:color="CCFFCC"/>
            </w:tcBorders>
            <w:gridSpan w:val="2"/>
          </w:tcPr>
          <w:p>
            <w:pPr>
              <w:jc w:val="right"/>
              <w:spacing w:after="0" w:line="142"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7"/>
          </w:tcPr>
          <w:p>
            <w:pPr>
              <w:spacing w:after="0" w:line="135" w:lineRule="exact"/>
              <w:rPr>
                <w:sz w:val="20"/>
                <w:szCs w:val="20"/>
                <w:color w:val="auto"/>
              </w:rPr>
            </w:pPr>
            <w:r>
              <w:rPr>
                <w:rFonts w:ascii="Arial" w:cs="Arial" w:eastAsia="Arial" w:hAnsi="Arial"/>
                <w:sz w:val="14"/>
                <w:szCs w:val="14"/>
                <w:b w:val="1"/>
                <w:bCs w:val="1"/>
                <w:color w:val="auto"/>
              </w:rPr>
              <w:t>Serious Energy, Inc.</w:t>
            </w:r>
          </w:p>
        </w:tc>
        <w:tc>
          <w:tcPr>
            <w:tcW w:w="27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Sunnyvale, CA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gridSpan w:val="10"/>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2100" w:type="dxa"/>
            <w:vAlign w:val="bottom"/>
            <w:gridSpan w:val="7"/>
            <w:shd w:val="clear" w:color="auto" w:fill="CCFFCC"/>
          </w:tcPr>
          <w:p>
            <w:pPr>
              <w:spacing w:after="0"/>
              <w:rPr>
                <w:sz w:val="12"/>
                <w:szCs w:val="12"/>
                <w:color w:val="auto"/>
              </w:rPr>
            </w:pPr>
          </w:p>
        </w:tc>
        <w:tc>
          <w:tcPr>
            <w:tcW w:w="2760" w:type="dxa"/>
            <w:vAlign w:val="bottom"/>
            <w:gridSpan w:val="2"/>
            <w:shd w:val="clear" w:color="auto" w:fill="CCFFCC"/>
          </w:tcPr>
          <w:p>
            <w:pPr>
              <w:jc w:val="center"/>
              <w:ind w:right="140"/>
              <w:spacing w:after="0" w:line="142" w:lineRule="exact"/>
              <w:rPr>
                <w:sz w:val="20"/>
                <w:szCs w:val="20"/>
                <w:color w:val="auto"/>
              </w:rPr>
            </w:pPr>
            <w:r>
              <w:rPr>
                <w:rFonts w:ascii="Arial" w:cs="Arial" w:eastAsia="Arial" w:hAnsi="Arial"/>
                <w:sz w:val="14"/>
                <w:szCs w:val="14"/>
                <w:color w:val="auto"/>
                <w:w w:val="94"/>
              </w:rPr>
              <w:t>Green Materials</w:t>
            </w:r>
          </w:p>
        </w:tc>
        <w:tc>
          <w:tcPr>
            <w:tcW w:w="13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178,095</w:t>
            </w: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739,130</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237,460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320" w:type="dxa"/>
            <w:vAlign w:val="bottom"/>
            <w:gridSpan w:val="17"/>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SharesPost, Inc.</w:t>
            </w:r>
          </w:p>
        </w:tc>
        <w:tc>
          <w:tcPr>
            <w:tcW w:w="276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4"/>
              </w:rPr>
              <w:t>San Bruno, CA</w:t>
            </w:r>
          </w:p>
        </w:tc>
        <w:tc>
          <w:tcPr>
            <w:tcW w:w="114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80" w:type="dxa"/>
            <w:vAlign w:val="bottom"/>
            <w:tcBorders>
              <w:top w:val="single" w:sz="8" w:color="auto"/>
            </w:tcBorders>
            <w:gridSpan w:val="6"/>
          </w:tcPr>
          <w:p>
            <w:pPr>
              <w:spacing w:after="0" w:line="122" w:lineRule="exact"/>
              <w:rPr>
                <w:sz w:val="20"/>
                <w:szCs w:val="20"/>
                <w:color w:val="auto"/>
              </w:rPr>
            </w:pPr>
            <w:r>
              <w:rPr>
                <w:rFonts w:ascii="Arial" w:cs="Arial" w:eastAsia="Arial" w:hAnsi="Arial"/>
                <w:sz w:val="14"/>
                <w:szCs w:val="14"/>
                <w:color w:val="auto"/>
                <w:w w:val="88"/>
              </w:rPr>
              <w:t>Preferred shares,</w:t>
            </w:r>
          </w:p>
        </w:tc>
        <w:tc>
          <w:tcPr>
            <w:tcW w:w="2340" w:type="dxa"/>
            <w:vAlign w:val="bottom"/>
            <w:tcBorders>
              <w:top w:val="single" w:sz="8" w:color="CCFFCC"/>
            </w:tcBorders>
            <w:gridSpan w:val="11"/>
          </w:tcPr>
          <w:p>
            <w:pPr>
              <w:jc w:val="right"/>
              <w:ind w:right="1840"/>
              <w:spacing w:after="0" w:line="122" w:lineRule="exact"/>
              <w:rPr>
                <w:sz w:val="20"/>
                <w:szCs w:val="20"/>
                <w:color w:val="auto"/>
              </w:rPr>
            </w:pPr>
            <w:r>
              <w:rPr>
                <w:rFonts w:ascii="Arial" w:cs="Arial" w:eastAsia="Arial" w:hAnsi="Arial"/>
                <w:sz w:val="14"/>
                <w:szCs w:val="14"/>
                <w:color w:val="auto"/>
                <w:w w:val="90"/>
              </w:rPr>
              <w:t>Series B</w:t>
            </w:r>
          </w:p>
        </w:tc>
        <w:tc>
          <w:tcPr>
            <w:tcW w:w="2760" w:type="dxa"/>
            <w:vAlign w:val="bottom"/>
            <w:tcBorders>
              <w:top w:val="single" w:sz="8" w:color="CCFFCC"/>
            </w:tcBorders>
            <w:gridSpan w:val="2"/>
          </w:tcPr>
          <w:p>
            <w:pPr>
              <w:jc w:val="center"/>
              <w:ind w:right="140"/>
              <w:spacing w:after="0" w:line="122" w:lineRule="exact"/>
              <w:rPr>
                <w:sz w:val="20"/>
                <w:szCs w:val="20"/>
                <w:color w:val="auto"/>
              </w:rPr>
            </w:pPr>
            <w:r>
              <w:rPr>
                <w:rFonts w:ascii="Arial" w:cs="Arial" w:eastAsia="Arial" w:hAnsi="Arial"/>
                <w:sz w:val="14"/>
                <w:szCs w:val="14"/>
                <w:color w:val="auto"/>
                <w:w w:val="93"/>
              </w:rPr>
              <w:t>Online</w:t>
            </w:r>
          </w:p>
        </w:tc>
        <w:tc>
          <w:tcPr>
            <w:tcW w:w="1140" w:type="dxa"/>
            <w:vAlign w:val="bottom"/>
            <w:tcBorders>
              <w:top w:val="single" w:sz="8" w:color="CCFFCC"/>
            </w:tcBorders>
          </w:tcPr>
          <w:p>
            <w:pPr>
              <w:jc w:val="right"/>
              <w:spacing w:after="0" w:line="122" w:lineRule="exact"/>
              <w:rPr>
                <w:sz w:val="20"/>
                <w:szCs w:val="20"/>
                <w:color w:val="auto"/>
              </w:rPr>
            </w:pPr>
            <w:r>
              <w:rPr>
                <w:rFonts w:ascii="Arial" w:cs="Arial" w:eastAsia="Arial" w:hAnsi="Arial"/>
                <w:sz w:val="14"/>
                <w:szCs w:val="14"/>
                <w:color w:val="auto"/>
              </w:rPr>
              <w:t>1,771,653</w:t>
            </w:r>
          </w:p>
        </w:tc>
        <w:tc>
          <w:tcPr>
            <w:tcW w:w="220" w:type="dxa"/>
            <w:vAlign w:val="bottom"/>
            <w:tcBorders>
              <w:top w:val="single" w:sz="8" w:color="CCFFCC"/>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980" w:type="dxa"/>
            <w:vAlign w:val="bottom"/>
            <w:tcBorders>
              <w:top w:val="single" w:sz="8" w:color="CCFFCC"/>
            </w:tcBorders>
            <w:gridSpan w:val="2"/>
          </w:tcPr>
          <w:p>
            <w:pPr>
              <w:jc w:val="right"/>
              <w:ind w:right="100"/>
              <w:spacing w:after="0" w:line="122" w:lineRule="exact"/>
              <w:rPr>
                <w:sz w:val="20"/>
                <w:szCs w:val="20"/>
                <w:color w:val="auto"/>
              </w:rPr>
            </w:pPr>
            <w:r>
              <w:rPr>
                <w:rFonts w:ascii="Arial" w:cs="Arial" w:eastAsia="Arial" w:hAnsi="Arial"/>
                <w:sz w:val="14"/>
                <w:szCs w:val="14"/>
                <w:color w:val="auto"/>
              </w:rPr>
              <w:t>2,257,984</w:t>
            </w:r>
          </w:p>
        </w:tc>
        <w:tc>
          <w:tcPr>
            <w:tcW w:w="12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120" w:type="dxa"/>
            <w:vAlign w:val="bottom"/>
            <w:tcBorders>
              <w:top w:val="single" w:sz="8" w:color="CCFFCC"/>
            </w:tcBorders>
            <w:gridSpan w:val="2"/>
          </w:tcPr>
          <w:p>
            <w:pPr>
              <w:jc w:val="right"/>
              <w:ind w:right="220"/>
              <w:spacing w:after="0" w:line="122" w:lineRule="exact"/>
              <w:rPr>
                <w:sz w:val="20"/>
                <w:szCs w:val="20"/>
                <w:color w:val="auto"/>
              </w:rPr>
            </w:pPr>
            <w:r>
              <w:rPr>
                <w:rFonts w:ascii="Arial" w:cs="Arial" w:eastAsia="Arial" w:hAnsi="Arial"/>
                <w:sz w:val="14"/>
                <w:szCs w:val="14"/>
                <w:color w:val="auto"/>
              </w:rPr>
              <w:t>2,256,752</w:t>
            </w:r>
          </w:p>
        </w:tc>
        <w:tc>
          <w:tcPr>
            <w:tcW w:w="1260" w:type="dxa"/>
            <w:vAlign w:val="bottom"/>
            <w:tcBorders>
              <w:top w:val="single" w:sz="8" w:color="CCFFCC"/>
            </w:tcBorders>
            <w:gridSpan w:val="2"/>
          </w:tcPr>
          <w:p>
            <w:pPr>
              <w:jc w:val="right"/>
              <w:spacing w:after="0" w:line="122" w:lineRule="exact"/>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76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4"/>
              </w:rPr>
              <w:t>Marketplace</w:t>
            </w: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17"/>
            <w:shd w:val="clear" w:color="auto" w:fill="CCFFCC"/>
          </w:tcPr>
          <w:p>
            <w:pPr>
              <w:spacing w:after="0"/>
              <w:rPr>
                <w:sz w:val="20"/>
                <w:szCs w:val="20"/>
                <w:color w:val="auto"/>
              </w:rPr>
            </w:pPr>
            <w:r>
              <w:rPr>
                <w:rFonts w:ascii="Arial" w:cs="Arial" w:eastAsia="Arial" w:hAnsi="Arial"/>
                <w:sz w:val="14"/>
                <w:szCs w:val="14"/>
                <w:color w:val="auto"/>
                <w:w w:val="96"/>
              </w:rPr>
              <w:t>Common warrants, $0.13 strike price, expire 6/15/2018</w:t>
            </w:r>
          </w:p>
        </w:tc>
        <w:tc>
          <w:tcPr>
            <w:tcW w:w="2760" w:type="dxa"/>
            <w:vAlign w:val="bottom"/>
            <w:gridSpan w:val="2"/>
            <w:shd w:val="clear" w:color="auto" w:fill="CCFFCC"/>
          </w:tcPr>
          <w:p>
            <w:pPr>
              <w:jc w:val="center"/>
              <w:ind w:right="140"/>
              <w:spacing w:after="0"/>
              <w:rPr>
                <w:sz w:val="20"/>
                <w:szCs w:val="20"/>
                <w:color w:val="auto"/>
              </w:rPr>
            </w:pPr>
            <w:r>
              <w:rPr>
                <w:rFonts w:ascii="Arial" w:cs="Arial" w:eastAsia="Arial" w:hAnsi="Arial"/>
                <w:sz w:val="14"/>
                <w:szCs w:val="14"/>
                <w:color w:val="auto"/>
                <w:w w:val="91"/>
              </w:rPr>
              <w:t>(Finance)</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770,934</w:t>
            </w:r>
          </w:p>
        </w:tc>
        <w:tc>
          <w:tcPr>
            <w:tcW w:w="26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23,128</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8,480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17"/>
            <w:vMerge w:val="restart"/>
          </w:tcPr>
          <w:p>
            <w:pPr>
              <w:ind w:left="240"/>
              <w:spacing w:after="0"/>
              <w:rPr>
                <w:sz w:val="20"/>
                <w:szCs w:val="20"/>
                <w:color w:val="auto"/>
              </w:rPr>
            </w:pPr>
            <w:r>
              <w:rPr>
                <w:rFonts w:ascii="Arial" w:cs="Arial" w:eastAsia="Arial" w:hAnsi="Arial"/>
                <w:sz w:val="14"/>
                <w:szCs w:val="14"/>
                <w:color w:val="auto"/>
              </w:rPr>
              <w:t>Total</w:t>
            </w: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7"/>
            <w:vMerge w:val="continue"/>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2,281,112</w:t>
            </w: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2,265,232</w:t>
            </w:r>
          </w:p>
        </w:tc>
        <w:tc>
          <w:tcPr>
            <w:tcW w:w="220" w:type="dxa"/>
            <w:vAlign w:val="bottom"/>
            <w:vMerge w:val="continue"/>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3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3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25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tcBorders>
              <w:bottom w:val="single" w:sz="8" w:color="auto"/>
            </w:tcBorders>
            <w:gridSpan w:val="13"/>
          </w:tcPr>
          <w:p>
            <w:pPr>
              <w:spacing w:after="0" w:line="135" w:lineRule="exact"/>
              <w:rPr>
                <w:sz w:val="20"/>
                <w:szCs w:val="20"/>
                <w:color w:val="auto"/>
              </w:rPr>
            </w:pPr>
            <w:r>
              <w:rPr>
                <w:rFonts w:ascii="Arial" w:cs="Arial" w:eastAsia="Arial" w:hAnsi="Arial"/>
                <w:sz w:val="14"/>
                <w:szCs w:val="14"/>
                <w:b w:val="1"/>
                <w:bCs w:val="1"/>
                <w:color w:val="auto"/>
                <w:w w:val="92"/>
              </w:rPr>
              <w:t>Silver Spring Networks, Inc.</w:t>
            </w:r>
          </w:p>
        </w:tc>
        <w:tc>
          <w:tcPr>
            <w:tcW w:w="1580" w:type="dxa"/>
            <w:vAlign w:val="bottom"/>
            <w:gridSpan w:val="4"/>
          </w:tcPr>
          <w:p>
            <w:pPr>
              <w:spacing w:after="0"/>
              <w:rPr>
                <w:sz w:val="11"/>
                <w:szCs w:val="11"/>
                <w:color w:val="auto"/>
              </w:rPr>
            </w:pPr>
          </w:p>
        </w:tc>
        <w:tc>
          <w:tcPr>
            <w:tcW w:w="27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7"/>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276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w w:val="94"/>
              </w:rPr>
              <w:t>Smart Grid</w:t>
            </w:r>
          </w:p>
        </w:tc>
        <w:tc>
          <w:tcPr>
            <w:tcW w:w="13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510,143</w:t>
            </w: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5,145,271</w:t>
            </w: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4,901,430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11"/>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27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Headquarters / Industry</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 / Par</w:t>
            </w:r>
          </w:p>
        </w:tc>
        <w:tc>
          <w:tcPr>
            <w:tcW w:w="24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 of Net 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11"/>
            <w:vMerge w:val="continue"/>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top w:val="single" w:sz="8" w:color="auto"/>
            </w:tcBorders>
            <w:gridSpan w:val="14"/>
            <w:shd w:val="clear" w:color="auto" w:fill="CCFFCC"/>
          </w:tcPr>
          <w:p>
            <w:pPr>
              <w:spacing w:after="0" w:line="129" w:lineRule="exact"/>
              <w:rPr>
                <w:sz w:val="20"/>
                <w:szCs w:val="20"/>
                <w:color w:val="auto"/>
              </w:rPr>
            </w:pPr>
            <w:r>
              <w:rPr>
                <w:rFonts w:ascii="Arial" w:cs="Arial" w:eastAsia="Arial" w:hAnsi="Arial"/>
                <w:sz w:val="14"/>
                <w:szCs w:val="14"/>
                <w:b w:val="1"/>
                <w:bCs w:val="1"/>
                <w:color w:val="auto"/>
              </w:rPr>
              <w:t>Solexel, Inc.</w:t>
            </w:r>
          </w:p>
        </w:tc>
        <w:tc>
          <w:tcPr>
            <w:tcW w:w="140" w:type="dxa"/>
            <w:vAlign w:val="bottom"/>
            <w:tcBorders>
              <w:top w:val="single" w:sz="8" w:color="CCFFCC"/>
            </w:tcBorders>
            <w:shd w:val="clear" w:color="auto" w:fill="CCFFCC"/>
          </w:tcPr>
          <w:p>
            <w:pPr>
              <w:spacing w:after="0"/>
              <w:rPr>
                <w:sz w:val="11"/>
                <w:szCs w:val="11"/>
                <w:color w:val="auto"/>
              </w:rPr>
            </w:pPr>
          </w:p>
        </w:tc>
        <w:tc>
          <w:tcPr>
            <w:tcW w:w="2520" w:type="dxa"/>
            <w:vAlign w:val="bottom"/>
            <w:tcBorders>
              <w:top w:val="single" w:sz="8" w:color="auto"/>
            </w:tcBorders>
            <w:shd w:val="clear" w:color="auto" w:fill="CCFFCC"/>
          </w:tcPr>
          <w:p>
            <w:pPr>
              <w:jc w:val="center"/>
              <w:ind w:left="28"/>
              <w:spacing w:after="0" w:line="129" w:lineRule="exact"/>
              <w:rPr>
                <w:sz w:val="20"/>
                <w:szCs w:val="20"/>
                <w:color w:val="auto"/>
              </w:rPr>
            </w:pPr>
            <w:r>
              <w:rPr>
                <w:rFonts w:ascii="Arial" w:cs="Arial" w:eastAsia="Arial" w:hAnsi="Arial"/>
                <w:sz w:val="14"/>
                <w:szCs w:val="14"/>
                <w:color w:val="auto"/>
                <w:w w:val="99"/>
              </w:rPr>
              <w:t>Milpitas, CA</w:t>
            </w:r>
          </w:p>
        </w:tc>
        <w:tc>
          <w:tcPr>
            <w:tcW w:w="240" w:type="dxa"/>
            <w:vAlign w:val="bottom"/>
            <w:tcBorders>
              <w:top w:val="single" w:sz="8" w:color="CCFFCC"/>
            </w:tcBorders>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9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520" w:type="dxa"/>
            <w:vAlign w:val="bottom"/>
            <w:tcBorders>
              <w:top w:val="single" w:sz="8" w:color="CCFFCC"/>
            </w:tcBorders>
            <w:gridSpan w:val="2"/>
          </w:tcPr>
          <w:p>
            <w:pPr>
              <w:spacing w:after="0" w:line="20" w:lineRule="exact"/>
              <w:rPr>
                <w:sz w:val="1"/>
                <w:szCs w:val="1"/>
                <w:color w:val="auto"/>
              </w:rPr>
            </w:pPr>
          </w:p>
        </w:tc>
        <w:tc>
          <w:tcPr>
            <w:tcW w:w="2760" w:type="dxa"/>
            <w:vAlign w:val="bottom"/>
            <w:tcBorders>
              <w:top w:val="single" w:sz="8" w:color="CCFFCC"/>
            </w:tcBorders>
            <w:gridSpan w:val="2"/>
            <w:vMerge w:val="restart"/>
          </w:tcPr>
          <w:p>
            <w:pPr>
              <w:jc w:val="center"/>
              <w:ind w:right="140"/>
              <w:spacing w:after="0" w:line="142" w:lineRule="exact"/>
              <w:rPr>
                <w:sz w:val="20"/>
                <w:szCs w:val="20"/>
                <w:color w:val="auto"/>
              </w:rPr>
            </w:pPr>
            <w:r>
              <w:rPr>
                <w:rFonts w:ascii="Arial" w:cs="Arial" w:eastAsia="Arial" w:hAnsi="Arial"/>
                <w:sz w:val="14"/>
                <w:szCs w:val="14"/>
                <w:color w:val="auto"/>
                <w:w w:val="93"/>
              </w:rPr>
              <w:t>Solar Technology</w:t>
            </w:r>
          </w:p>
        </w:tc>
        <w:tc>
          <w:tcPr>
            <w:tcW w:w="1140" w:type="dxa"/>
            <w:vAlign w:val="bottom"/>
            <w:tcBorders>
              <w:top w:val="single" w:sz="8" w:color="CCFFCC"/>
            </w:tcBorders>
            <w:vMerge w:val="restart"/>
          </w:tcPr>
          <w:p>
            <w:pPr>
              <w:jc w:val="right"/>
              <w:spacing w:after="0" w:line="142" w:lineRule="exact"/>
              <w:rPr>
                <w:sz w:val="20"/>
                <w:szCs w:val="20"/>
                <w:color w:val="auto"/>
              </w:rPr>
            </w:pPr>
            <w:r>
              <w:rPr>
                <w:rFonts w:ascii="Arial" w:cs="Arial" w:eastAsia="Arial" w:hAnsi="Arial"/>
                <w:sz w:val="14"/>
                <w:szCs w:val="14"/>
                <w:color w:val="auto"/>
              </w:rPr>
              <w:t>4,576,659</w:t>
            </w:r>
          </w:p>
        </w:tc>
        <w:tc>
          <w:tcPr>
            <w:tcW w:w="2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vMerge w:val="restart"/>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CCFFCC"/>
            </w:tcBorders>
            <w:gridSpan w:val="2"/>
            <w:vMerge w:val="restart"/>
          </w:tcPr>
          <w:p>
            <w:pPr>
              <w:jc w:val="right"/>
              <w:ind w:right="100"/>
              <w:spacing w:after="0" w:line="142" w:lineRule="exact"/>
              <w:rPr>
                <w:sz w:val="20"/>
                <w:szCs w:val="20"/>
                <w:color w:val="auto"/>
              </w:rPr>
            </w:pPr>
            <w:r>
              <w:rPr>
                <w:rFonts w:ascii="Arial" w:cs="Arial" w:eastAsia="Arial" w:hAnsi="Arial"/>
                <w:sz w:val="14"/>
                <w:szCs w:val="14"/>
                <w:color w:val="auto"/>
              </w:rPr>
              <w:t>10,016,559</w:t>
            </w:r>
          </w:p>
        </w:tc>
        <w:tc>
          <w:tcPr>
            <w:tcW w:w="260" w:type="dxa"/>
            <w:vAlign w:val="bottom"/>
            <w:tcBorders>
              <w:top w:val="single" w:sz="8" w:color="CCFFCC"/>
            </w:tcBorders>
            <w:gridSpan w:val="2"/>
            <w:vMerge w:val="restart"/>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CCFFCC"/>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10,000,000</w:t>
            </w:r>
          </w:p>
        </w:tc>
        <w:tc>
          <w:tcPr>
            <w:tcW w:w="1260" w:type="dxa"/>
            <w:vAlign w:val="bottom"/>
            <w:tcBorders>
              <w:top w:val="single" w:sz="8" w:color="CCFFCC"/>
            </w:tcBorders>
            <w:gridSpan w:val="2"/>
            <w:vMerge w:val="restart"/>
          </w:tcPr>
          <w:p>
            <w:pPr>
              <w:jc w:val="right"/>
              <w:spacing w:after="0" w:line="142" w:lineRule="exact"/>
              <w:rPr>
                <w:sz w:val="20"/>
                <w:szCs w:val="20"/>
                <w:color w:val="auto"/>
              </w:rPr>
            </w:pPr>
            <w:r>
              <w:rPr>
                <w:rFonts w:ascii="Arial" w:cs="Arial" w:eastAsia="Arial" w:hAnsi="Arial"/>
                <w:sz w:val="14"/>
                <w:szCs w:val="14"/>
                <w:color w:val="auto"/>
              </w:rPr>
              <w:t>3.75%</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15"/>
          </w:tcPr>
          <w:p>
            <w:pPr>
              <w:spacing w:after="0" w:line="122" w:lineRule="exact"/>
              <w:rPr>
                <w:sz w:val="20"/>
                <w:szCs w:val="20"/>
                <w:color w:val="auto"/>
              </w:rPr>
            </w:pPr>
            <w:r>
              <w:rPr>
                <w:rFonts w:ascii="Arial" w:cs="Arial" w:eastAsia="Arial" w:hAnsi="Arial"/>
                <w:sz w:val="14"/>
                <w:szCs w:val="14"/>
                <w:color w:val="auto"/>
              </w:rPr>
              <w:t>Preferred shares, Series C</w:t>
            </w:r>
          </w:p>
        </w:tc>
        <w:tc>
          <w:tcPr>
            <w:tcW w:w="276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Borders>
              <w:right w:val="single" w:sz="8" w:color="CCFFCC"/>
            </w:tcBorders>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StormWind, LLC</w:t>
            </w:r>
          </w:p>
        </w:tc>
        <w:tc>
          <w:tcPr>
            <w:tcW w:w="140" w:type="dxa"/>
            <w:vAlign w:val="bottom"/>
            <w:tcBorders>
              <w:bottom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2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1520" w:type="dxa"/>
            <w:vAlign w:val="bottom"/>
            <w:gridSpan w:val="2"/>
            <w:vMerge w:val="restart"/>
          </w:tcPr>
          <w:p>
            <w:pPr>
              <w:spacing w:after="0"/>
              <w:rPr>
                <w:sz w:val="10"/>
                <w:szCs w:val="10"/>
                <w:color w:val="auto"/>
              </w:rPr>
            </w:pPr>
          </w:p>
        </w:tc>
        <w:tc>
          <w:tcPr>
            <w:tcW w:w="27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120" w:type="dxa"/>
            <w:vAlign w:val="bottom"/>
            <w:tcBorders>
              <w:bottom w:val="single" w:sz="8" w:color="auto"/>
            </w:tcBorders>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27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5"/>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B</w:t>
            </w:r>
          </w:p>
        </w:tc>
        <w:tc>
          <w:tcPr>
            <w:tcW w:w="2760" w:type="dxa"/>
            <w:vAlign w:val="bottom"/>
            <w:gridSpan w:val="2"/>
            <w:shd w:val="clear" w:color="auto" w:fill="CCFFCC"/>
          </w:tcPr>
          <w:p>
            <w:pPr>
              <w:jc w:val="center"/>
              <w:ind w:right="140"/>
              <w:spacing w:after="0" w:line="142" w:lineRule="exact"/>
              <w:rPr>
                <w:sz w:val="20"/>
                <w:szCs w:val="20"/>
                <w:color w:val="auto"/>
              </w:rPr>
            </w:pPr>
            <w:r>
              <w:rPr>
                <w:rFonts w:ascii="Arial" w:cs="Arial" w:eastAsia="Arial" w:hAnsi="Arial"/>
                <w:sz w:val="14"/>
                <w:szCs w:val="14"/>
                <w:color w:val="auto"/>
                <w:w w:val="94"/>
              </w:rPr>
              <w:t>Electronic</w:t>
            </w: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3,279,629</w:t>
            </w: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2,019,687</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2,000,000</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80" w:type="dxa"/>
            <w:vAlign w:val="bottom"/>
            <w:tcBorders>
              <w:bottom w:val="single" w:sz="8" w:color="CCFFCC"/>
            </w:tcBorders>
            <w:gridSpan w:val="10"/>
            <w:vMerge w:val="restart"/>
            <w:shd w:val="clear" w:color="auto" w:fill="CCFFCC"/>
          </w:tcPr>
          <w:p>
            <w:pPr>
              <w:spacing w:after="0"/>
              <w:rPr>
                <w:sz w:val="20"/>
                <w:szCs w:val="20"/>
                <w:color w:val="auto"/>
              </w:rPr>
            </w:pPr>
            <w:r>
              <w:rPr>
                <w:rFonts w:ascii="Arial" w:cs="Arial" w:eastAsia="Arial" w:hAnsi="Arial"/>
                <w:sz w:val="14"/>
                <w:szCs w:val="14"/>
                <w:b w:val="1"/>
                <w:bCs w:val="1"/>
                <w:color w:val="auto"/>
                <w:w w:val="92"/>
              </w:rPr>
              <w:t>The Echo System Corp.</w:t>
            </w:r>
          </w:p>
        </w:tc>
        <w:tc>
          <w:tcPr>
            <w:tcW w:w="140" w:type="dxa"/>
            <w:vAlign w:val="bottom"/>
            <w:tcBorders>
              <w:bottom w:val="single" w:sz="8" w:color="auto"/>
            </w:tcBorders>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40" w:type="dxa"/>
            <w:vAlign w:val="bottom"/>
            <w:tcBorders>
              <w:bottom w:val="single" w:sz="8" w:color="CCFFCC"/>
            </w:tcBorders>
            <w:vMerge w:val="restart"/>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1520" w:type="dxa"/>
            <w:vAlign w:val="bottom"/>
            <w:tcBorders>
              <w:bottom w:val="single" w:sz="8" w:color="CCFFCC"/>
            </w:tcBorders>
            <w:gridSpan w:val="2"/>
            <w:vMerge w:val="restart"/>
            <w:shd w:val="clear" w:color="auto" w:fill="CCFFCC"/>
          </w:tcPr>
          <w:p>
            <w:pPr>
              <w:spacing w:after="0"/>
              <w:rPr>
                <w:sz w:val="10"/>
                <w:szCs w:val="10"/>
                <w:color w:val="auto"/>
              </w:rPr>
            </w:pPr>
          </w:p>
        </w:tc>
        <w:tc>
          <w:tcPr>
            <w:tcW w:w="2760" w:type="dxa"/>
            <w:vAlign w:val="bottom"/>
            <w:tcBorders>
              <w:bottom w:val="single" w:sz="8" w:color="CCFFCC"/>
            </w:tcBorders>
            <w:gridSpan w:val="2"/>
            <w:vMerge w:val="restart"/>
            <w:shd w:val="clear" w:color="auto" w:fill="CCFFCC"/>
          </w:tcPr>
          <w:p>
            <w:pPr>
              <w:jc w:val="center"/>
              <w:ind w:right="140"/>
              <w:spacing w:after="0"/>
              <w:rPr>
                <w:sz w:val="20"/>
                <w:szCs w:val="20"/>
                <w:color w:val="auto"/>
              </w:rPr>
            </w:pPr>
            <w:r>
              <w:rPr>
                <w:rFonts w:ascii="Arial" w:cs="Arial" w:eastAsia="Arial" w:hAnsi="Arial"/>
                <w:sz w:val="14"/>
                <w:szCs w:val="14"/>
                <w:color w:val="auto"/>
                <w:w w:val="97"/>
              </w:rPr>
              <w:t>New York, NY</w:t>
            </w:r>
          </w:p>
        </w:tc>
        <w:tc>
          <w:tcPr>
            <w:tcW w:w="114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98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1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80" w:type="dxa"/>
            <w:vAlign w:val="bottom"/>
            <w:tcBorders>
              <w:bottom w:val="single" w:sz="8" w:color="auto"/>
            </w:tcBorders>
            <w:gridSpan w:val="10"/>
            <w:vMerge w:val="continue"/>
            <w:shd w:val="clear" w:color="auto" w:fill="CCFFCC"/>
          </w:tcPr>
          <w:p>
            <w:pPr>
              <w:spacing w:after="0"/>
              <w:rPr>
                <w:sz w:val="2"/>
                <w:szCs w:val="2"/>
                <w:color w:val="auto"/>
              </w:rPr>
            </w:pPr>
          </w:p>
        </w:tc>
        <w:tc>
          <w:tcPr>
            <w:tcW w:w="140" w:type="dxa"/>
            <w:vAlign w:val="bottom"/>
            <w:tcBorders>
              <w:bottom w:val="single" w:sz="8" w:color="CCFFCC"/>
            </w:tcBorders>
            <w:shd w:val="clear" w:color="auto" w:fill="CCFFCC"/>
          </w:tcPr>
          <w:p>
            <w:pPr>
              <w:spacing w:after="0"/>
              <w:rPr>
                <w:sz w:val="2"/>
                <w:szCs w:val="2"/>
                <w:color w:val="auto"/>
              </w:rPr>
            </w:pPr>
          </w:p>
        </w:tc>
        <w:tc>
          <w:tcPr>
            <w:tcW w:w="40" w:type="dxa"/>
            <w:vAlign w:val="bottom"/>
            <w:tcBorders>
              <w:bottom w:val="single" w:sz="8" w:color="CCFFCC"/>
            </w:tcBorders>
            <w:vMerge w:val="continue"/>
            <w:shd w:val="clear" w:color="auto" w:fill="CCFFCC"/>
          </w:tcPr>
          <w:p>
            <w:pPr>
              <w:spacing w:after="0"/>
              <w:rPr>
                <w:sz w:val="2"/>
                <w:szCs w:val="2"/>
                <w:color w:val="auto"/>
              </w:rPr>
            </w:pPr>
          </w:p>
        </w:tc>
        <w:tc>
          <w:tcPr>
            <w:tcW w:w="140" w:type="dxa"/>
            <w:vAlign w:val="bottom"/>
            <w:tcBorders>
              <w:bottom w:val="single" w:sz="8" w:color="CCFFCC"/>
            </w:tcBorders>
            <w:shd w:val="clear" w:color="auto" w:fill="CCFFCC"/>
          </w:tcPr>
          <w:p>
            <w:pPr>
              <w:spacing w:after="0"/>
              <w:rPr>
                <w:sz w:val="2"/>
                <w:szCs w:val="2"/>
                <w:color w:val="auto"/>
              </w:rPr>
            </w:pPr>
          </w:p>
        </w:tc>
        <w:tc>
          <w:tcPr>
            <w:tcW w:w="1520" w:type="dxa"/>
            <w:vAlign w:val="bottom"/>
            <w:tcBorders>
              <w:bottom w:val="single" w:sz="8" w:color="CCFFCC"/>
            </w:tcBorders>
            <w:gridSpan w:val="2"/>
            <w:vMerge w:val="continue"/>
            <w:shd w:val="clear" w:color="auto" w:fill="CCFFCC"/>
          </w:tcPr>
          <w:p>
            <w:pPr>
              <w:spacing w:after="0"/>
              <w:rPr>
                <w:sz w:val="2"/>
                <w:szCs w:val="2"/>
                <w:color w:val="auto"/>
              </w:rPr>
            </w:pPr>
          </w:p>
        </w:tc>
        <w:tc>
          <w:tcPr>
            <w:tcW w:w="2760" w:type="dxa"/>
            <w:vAlign w:val="bottom"/>
            <w:tcBorders>
              <w:bottom w:val="single" w:sz="8" w:color="CCFFCC"/>
            </w:tcBorders>
            <w:gridSpan w:val="2"/>
            <w:vMerge w:val="continue"/>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240" w:type="dxa"/>
            <w:vAlign w:val="bottom"/>
            <w:tcBorders>
              <w:bottom w:val="single" w:sz="8" w:color="CCFFCC"/>
            </w:tcBorders>
            <w:shd w:val="clear" w:color="auto" w:fill="CCFFCC"/>
          </w:tcPr>
          <w:p>
            <w:pPr>
              <w:spacing w:after="0"/>
              <w:rPr>
                <w:sz w:val="2"/>
                <w:szCs w:val="2"/>
                <w:color w:val="auto"/>
              </w:rPr>
            </w:pPr>
          </w:p>
        </w:tc>
        <w:tc>
          <w:tcPr>
            <w:tcW w:w="900" w:type="dxa"/>
            <w:vAlign w:val="bottom"/>
            <w:tcBorders>
              <w:bottom w:val="single" w:sz="8" w:color="CCFFCC"/>
            </w:tcBorders>
            <w:shd w:val="clear" w:color="auto" w:fill="CCFFCC"/>
          </w:tcPr>
          <w:p>
            <w:pPr>
              <w:spacing w:after="0"/>
              <w:rPr>
                <w:sz w:val="2"/>
                <w:szCs w:val="2"/>
                <w:color w:val="auto"/>
              </w:rPr>
            </w:pPr>
          </w:p>
        </w:tc>
        <w:tc>
          <w:tcPr>
            <w:tcW w:w="10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140" w:type="dxa"/>
            <w:vAlign w:val="bottom"/>
            <w:tcBorders>
              <w:bottom w:val="single" w:sz="8" w:color="CCFFCC"/>
            </w:tcBorders>
            <w:shd w:val="clear" w:color="auto" w:fill="CCFFCC"/>
          </w:tcPr>
          <w:p>
            <w:pPr>
              <w:spacing w:after="0"/>
              <w:rPr>
                <w:sz w:val="2"/>
                <w:szCs w:val="2"/>
                <w:color w:val="auto"/>
              </w:rPr>
            </w:pPr>
          </w:p>
        </w:tc>
        <w:tc>
          <w:tcPr>
            <w:tcW w:w="98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5"/>
          </w:tcPr>
          <w:p>
            <w:pPr>
              <w:spacing w:after="0" w:line="142" w:lineRule="exact"/>
              <w:rPr>
                <w:sz w:val="20"/>
                <w:szCs w:val="20"/>
                <w:color w:val="auto"/>
              </w:rPr>
            </w:pPr>
            <w:r>
              <w:rPr>
                <w:rFonts w:ascii="Arial" w:cs="Arial" w:eastAsia="Arial" w:hAnsi="Arial"/>
                <w:sz w:val="14"/>
                <w:szCs w:val="14"/>
                <w:color w:val="auto"/>
              </w:rPr>
              <w:t>Preferred shares, Series A</w:t>
            </w:r>
          </w:p>
        </w:tc>
        <w:tc>
          <w:tcPr>
            <w:tcW w:w="2760" w:type="dxa"/>
            <w:vAlign w:val="bottom"/>
            <w:gridSpan w:val="2"/>
          </w:tcPr>
          <w:p>
            <w:pPr>
              <w:jc w:val="center"/>
              <w:ind w:right="140"/>
              <w:spacing w:after="0" w:line="142" w:lineRule="exact"/>
              <w:rPr>
                <w:sz w:val="20"/>
                <w:szCs w:val="20"/>
                <w:color w:val="auto"/>
              </w:rPr>
            </w:pPr>
            <w:r>
              <w:rPr>
                <w:rFonts w:ascii="Arial" w:cs="Arial" w:eastAsia="Arial" w:hAnsi="Arial"/>
                <w:sz w:val="14"/>
                <w:szCs w:val="14"/>
                <w:color w:val="auto"/>
                <w:w w:val="95"/>
              </w:rPr>
              <w:t>Social Analytics</w:t>
            </w: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512,365</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1,436,404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1,639,568</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15"/>
            <w:shd w:val="clear" w:color="auto" w:fill="CCFFCC"/>
          </w:tcPr>
          <w:p>
            <w:pPr>
              <w:spacing w:after="0" w:line="130" w:lineRule="exact"/>
              <w:rPr>
                <w:sz w:val="20"/>
                <w:szCs w:val="20"/>
                <w:color w:val="auto"/>
              </w:rPr>
            </w:pPr>
            <w:r>
              <w:rPr>
                <w:rFonts w:ascii="Arial" w:cs="Arial" w:eastAsia="Arial" w:hAnsi="Arial"/>
                <w:sz w:val="14"/>
                <w:szCs w:val="14"/>
                <w:color w:val="auto"/>
              </w:rPr>
              <w:t>Preferred warrants, $0.20 strike price, expire</w:t>
            </w:r>
          </w:p>
        </w:tc>
        <w:tc>
          <w:tcPr>
            <w:tcW w:w="25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color w:val="auto"/>
                <w:w w:val="96"/>
              </w:rPr>
              <w:t>11/14/2016</w:t>
            </w:r>
          </w:p>
        </w:tc>
        <w:tc>
          <w:tcPr>
            <w:tcW w:w="100" w:type="dxa"/>
            <w:vAlign w:val="bottom"/>
            <w:tcBorders>
              <w:left w:val="single" w:sz="8" w:color="CCFFCC"/>
            </w:tcBorders>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3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68,359</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75,988</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73,176</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15"/>
            <w:vMerge w:val="restart"/>
          </w:tcPr>
          <w:p>
            <w:pPr>
              <w:ind w:left="240"/>
              <w:spacing w:after="0"/>
              <w:rPr>
                <w:sz w:val="20"/>
                <w:szCs w:val="20"/>
                <w:color w:val="auto"/>
              </w:rPr>
            </w:pPr>
            <w:r>
              <w:rPr>
                <w:rFonts w:ascii="Arial" w:cs="Arial" w:eastAsia="Arial" w:hAnsi="Arial"/>
                <w:sz w:val="14"/>
                <w:szCs w:val="14"/>
                <w:color w:val="auto"/>
              </w:rPr>
              <w:t>Total</w:t>
            </w: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5"/>
            <w:vMerge w:val="continue"/>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1,512,392</w:t>
            </w: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1,712,744</w:t>
            </w:r>
          </w:p>
        </w:tc>
        <w:tc>
          <w:tcPr>
            <w:tcW w:w="220" w:type="dxa"/>
            <w:vAlign w:val="bottom"/>
            <w:vMerge w:val="continue"/>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 w:type="dxa"/>
            <w:vAlign w:val="bottom"/>
            <w:tcBorders>
              <w:top w:val="single" w:sz="8" w:color="CCFFCC"/>
              <w:right w:val="single" w:sz="8" w:color="CCFFCC"/>
            </w:tcBorders>
            <w:shd w:val="clear" w:color="auto" w:fill="CCFFCC"/>
          </w:tcPr>
          <w:p>
            <w:pPr>
              <w:spacing w:after="0"/>
              <w:rPr>
                <w:sz w:val="12"/>
                <w:szCs w:val="12"/>
                <w:color w:val="auto"/>
              </w:rPr>
            </w:pPr>
          </w:p>
        </w:tc>
        <w:tc>
          <w:tcPr>
            <w:tcW w:w="100" w:type="dxa"/>
            <w:vAlign w:val="bottom"/>
            <w:tcBorders>
              <w:top w:val="single" w:sz="8" w:color="CCFFCC"/>
              <w:left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138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25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tcPr>
          <w:p>
            <w:pPr>
              <w:spacing w:after="0" w:line="135" w:lineRule="exact"/>
              <w:rPr>
                <w:sz w:val="20"/>
                <w:szCs w:val="20"/>
                <w:color w:val="auto"/>
              </w:rPr>
            </w:pPr>
            <w:r>
              <w:rPr>
                <w:rFonts w:ascii="Arial" w:cs="Arial" w:eastAsia="Arial" w:hAnsi="Arial"/>
                <w:sz w:val="14"/>
                <w:szCs w:val="14"/>
                <w:b w:val="1"/>
                <w:bCs w:val="1"/>
                <w:color w:val="auto"/>
              </w:rPr>
              <w:t>The rSmart Group, Inc.</w:t>
            </w:r>
          </w:p>
        </w:tc>
        <w:tc>
          <w:tcPr>
            <w:tcW w:w="27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Borders>
              <w:top w:val="single" w:sz="8" w:color="auto"/>
              <w:right w:val="single" w:sz="8" w:color="CCFFCC"/>
            </w:tcBorders>
            <w:shd w:val="clear" w:color="auto" w:fill="CCFFCC"/>
          </w:tcPr>
          <w:p>
            <w:pPr>
              <w:spacing w:after="0"/>
              <w:rPr>
                <w:sz w:val="10"/>
                <w:szCs w:val="10"/>
                <w:color w:val="auto"/>
              </w:rPr>
            </w:pPr>
          </w:p>
        </w:tc>
        <w:tc>
          <w:tcPr>
            <w:tcW w:w="100" w:type="dxa"/>
            <w:vAlign w:val="bottom"/>
            <w:tcBorders>
              <w:top w:val="single" w:sz="8" w:color="auto"/>
              <w:left w:val="single" w:sz="8" w:color="CCFFCC"/>
            </w:tcBorders>
            <w:shd w:val="clear" w:color="auto" w:fill="CCFFCC"/>
          </w:tcPr>
          <w:p>
            <w:pPr>
              <w:spacing w:after="0"/>
              <w:rPr>
                <w:sz w:val="10"/>
                <w:szCs w:val="10"/>
                <w:color w:val="auto"/>
              </w:rPr>
            </w:pPr>
          </w:p>
        </w:tc>
        <w:tc>
          <w:tcPr>
            <w:tcW w:w="20" w:type="dxa"/>
            <w:vAlign w:val="bottom"/>
            <w:tcBorders>
              <w:top w:val="single" w:sz="8" w:color="auto"/>
            </w:tcBorders>
            <w:shd w:val="clear" w:color="auto" w:fill="CCFFCC"/>
          </w:tcPr>
          <w:p>
            <w:pPr>
              <w:spacing w:after="0"/>
              <w:rPr>
                <w:sz w:val="10"/>
                <w:szCs w:val="10"/>
                <w:color w:val="auto"/>
              </w:rPr>
            </w:pPr>
          </w:p>
        </w:tc>
        <w:tc>
          <w:tcPr>
            <w:tcW w:w="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3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760" w:type="dxa"/>
            <w:vAlign w:val="bottom"/>
            <w:gridSpan w:val="2"/>
            <w:shd w:val="clear" w:color="auto" w:fill="CCFFCC"/>
          </w:tcPr>
          <w:p>
            <w:pPr>
              <w:jc w:val="center"/>
              <w:ind w:right="140"/>
              <w:spacing w:after="0" w:line="123" w:lineRule="exact"/>
              <w:rPr>
                <w:sz w:val="20"/>
                <w:szCs w:val="20"/>
                <w:color w:val="auto"/>
              </w:rPr>
            </w:pPr>
            <w:r>
              <w:rPr>
                <w:rFonts w:ascii="Arial" w:cs="Arial" w:eastAsia="Arial" w:hAnsi="Arial"/>
                <w:sz w:val="14"/>
                <w:szCs w:val="14"/>
                <w:color w:val="auto"/>
                <w:w w:val="94"/>
              </w:rPr>
              <w:t>Higher Education</w:t>
            </w:r>
          </w:p>
        </w:tc>
        <w:tc>
          <w:tcPr>
            <w:tcW w:w="11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15"/>
            <w:shd w:val="clear" w:color="auto" w:fill="CCFFCC"/>
          </w:tcPr>
          <w:p>
            <w:pPr>
              <w:spacing w:after="0"/>
              <w:rPr>
                <w:sz w:val="20"/>
                <w:szCs w:val="20"/>
                <w:color w:val="auto"/>
              </w:rPr>
            </w:pPr>
            <w:r>
              <w:rPr>
                <w:rFonts w:ascii="Arial" w:cs="Arial" w:eastAsia="Arial" w:hAnsi="Arial"/>
                <w:sz w:val="14"/>
                <w:szCs w:val="14"/>
                <w:color w:val="auto"/>
              </w:rPr>
              <w:t>Preferred shares, Series B</w:t>
            </w:r>
          </w:p>
        </w:tc>
        <w:tc>
          <w:tcPr>
            <w:tcW w:w="2760" w:type="dxa"/>
            <w:vAlign w:val="bottom"/>
            <w:gridSpan w:val="2"/>
            <w:shd w:val="clear" w:color="auto" w:fill="CCFFCC"/>
          </w:tcPr>
          <w:p>
            <w:pPr>
              <w:jc w:val="center"/>
              <w:ind w:right="140"/>
              <w:spacing w:after="0"/>
              <w:rPr>
                <w:sz w:val="20"/>
                <w:szCs w:val="20"/>
                <w:color w:val="auto"/>
              </w:rPr>
            </w:pPr>
            <w:r>
              <w:rPr>
                <w:rFonts w:ascii="Arial" w:cs="Arial" w:eastAsia="Arial" w:hAnsi="Arial"/>
                <w:sz w:val="14"/>
                <w:szCs w:val="14"/>
                <w:color w:val="auto"/>
                <w:w w:val="95"/>
              </w:rPr>
              <w:t>Learning Platform</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1,201,923</w:t>
            </w:r>
          </w:p>
        </w:tc>
        <w:tc>
          <w:tcPr>
            <w:tcW w:w="2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1,266,940</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1,250,000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840" w:type="dxa"/>
            <w:vAlign w:val="bottom"/>
            <w:tcBorders>
              <w:bottom w:val="single" w:sz="8" w:color="CCFFCC"/>
            </w:tcBorders>
            <w:gridSpan w:val="3"/>
            <w:vMerge w:val="restart"/>
            <w:shd w:val="clear" w:color="auto" w:fill="CCFFCC"/>
          </w:tcPr>
          <w:p>
            <w:pPr>
              <w:spacing w:after="0"/>
              <w:rPr>
                <w:sz w:val="20"/>
                <w:szCs w:val="20"/>
                <w:color w:val="auto"/>
              </w:rPr>
            </w:pPr>
            <w:r>
              <w:rPr>
                <w:rFonts w:ascii="Arial" w:cs="Arial" w:eastAsia="Arial" w:hAnsi="Arial"/>
                <w:sz w:val="14"/>
                <w:szCs w:val="14"/>
                <w:b w:val="1"/>
                <w:bCs w:val="1"/>
                <w:color w:val="auto"/>
                <w:w w:val="97"/>
              </w:rPr>
              <w:t>Top Hat, Inc.</w:t>
            </w:r>
          </w:p>
        </w:tc>
        <w:tc>
          <w:tcPr>
            <w:tcW w:w="140" w:type="dxa"/>
            <w:vAlign w:val="bottom"/>
            <w:tcBorders>
              <w:bottom w:val="single" w:sz="8" w:color="auto"/>
            </w:tcBorders>
            <w:gridSpan w:val="2"/>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240" w:type="dxa"/>
            <w:vAlign w:val="bottom"/>
            <w:tcBorders>
              <w:bottom w:val="single" w:sz="8" w:color="CCFFCC"/>
            </w:tcBorders>
            <w:gridSpan w:val="2"/>
            <w:vMerge w:val="restart"/>
            <w:shd w:val="clear" w:color="auto" w:fill="CCFFCC"/>
          </w:tcPr>
          <w:p>
            <w:pPr>
              <w:spacing w:after="0"/>
              <w:rPr>
                <w:sz w:val="10"/>
                <w:szCs w:val="10"/>
                <w:color w:val="auto"/>
              </w:rPr>
            </w:pPr>
          </w:p>
        </w:tc>
        <w:tc>
          <w:tcPr>
            <w:tcW w:w="2100" w:type="dxa"/>
            <w:vAlign w:val="bottom"/>
            <w:tcBorders>
              <w:bottom w:val="single" w:sz="8" w:color="CCFFCC"/>
            </w:tcBorders>
            <w:gridSpan w:val="8"/>
            <w:vMerge w:val="restart"/>
            <w:shd w:val="clear" w:color="auto" w:fill="CCFFCC"/>
          </w:tcPr>
          <w:p>
            <w:pPr>
              <w:spacing w:after="0"/>
              <w:rPr>
                <w:sz w:val="10"/>
                <w:szCs w:val="10"/>
                <w:color w:val="auto"/>
              </w:rPr>
            </w:pPr>
          </w:p>
        </w:tc>
        <w:tc>
          <w:tcPr>
            <w:tcW w:w="2760" w:type="dxa"/>
            <w:vAlign w:val="bottom"/>
            <w:tcBorders>
              <w:bottom w:val="single" w:sz="8" w:color="CCFFCC"/>
            </w:tcBorders>
            <w:gridSpan w:val="2"/>
            <w:vMerge w:val="restart"/>
            <w:shd w:val="clear" w:color="auto" w:fill="CCFFCC"/>
          </w:tcPr>
          <w:p>
            <w:pPr>
              <w:jc w:val="center"/>
              <w:ind w:right="140"/>
              <w:spacing w:after="0"/>
              <w:rPr>
                <w:sz w:val="20"/>
                <w:szCs w:val="20"/>
                <w:color w:val="auto"/>
              </w:rPr>
            </w:pPr>
            <w:r>
              <w:rPr>
                <w:rFonts w:ascii="Arial" w:cs="Arial" w:eastAsia="Arial" w:hAnsi="Arial"/>
                <w:sz w:val="14"/>
                <w:szCs w:val="14"/>
                <w:color w:val="auto"/>
                <w:w w:val="92"/>
              </w:rPr>
              <w:t>Shakopee, MN</w:t>
            </w:r>
          </w:p>
        </w:tc>
        <w:tc>
          <w:tcPr>
            <w:tcW w:w="114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24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bottom w:val="single" w:sz="8" w:color="CCFFCC"/>
            </w:tcBorders>
            <w:shd w:val="clear" w:color="auto" w:fill="CCFFCC"/>
          </w:tcPr>
          <w:p>
            <w:pPr>
              <w:spacing w:after="0"/>
              <w:rPr>
                <w:sz w:val="10"/>
                <w:szCs w:val="10"/>
                <w:color w:val="auto"/>
              </w:rPr>
            </w:pPr>
          </w:p>
        </w:tc>
        <w:tc>
          <w:tcPr>
            <w:tcW w:w="98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1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bottom w:val="single" w:sz="8" w:color="auto"/>
            </w:tcBorders>
            <w:gridSpan w:val="3"/>
            <w:vMerge w:val="continue"/>
            <w:shd w:val="clear" w:color="auto" w:fill="CCFFCC"/>
          </w:tcPr>
          <w:p>
            <w:pPr>
              <w:spacing w:after="0"/>
              <w:rPr>
                <w:sz w:val="2"/>
                <w:szCs w:val="2"/>
                <w:color w:val="auto"/>
              </w:rPr>
            </w:pPr>
          </w:p>
        </w:tc>
        <w:tc>
          <w:tcPr>
            <w:tcW w:w="2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240" w:type="dxa"/>
            <w:vAlign w:val="bottom"/>
            <w:tcBorders>
              <w:bottom w:val="single" w:sz="8" w:color="CCFFCC"/>
            </w:tcBorders>
            <w:gridSpan w:val="2"/>
            <w:vMerge w:val="continue"/>
            <w:shd w:val="clear" w:color="auto" w:fill="CCFFCC"/>
          </w:tcPr>
          <w:p>
            <w:pPr>
              <w:spacing w:after="0"/>
              <w:rPr>
                <w:sz w:val="2"/>
                <w:szCs w:val="2"/>
                <w:color w:val="auto"/>
              </w:rPr>
            </w:pPr>
          </w:p>
        </w:tc>
        <w:tc>
          <w:tcPr>
            <w:tcW w:w="2100" w:type="dxa"/>
            <w:vAlign w:val="bottom"/>
            <w:tcBorders>
              <w:bottom w:val="single" w:sz="8" w:color="CCFFCC"/>
            </w:tcBorders>
            <w:gridSpan w:val="8"/>
            <w:vMerge w:val="continue"/>
            <w:shd w:val="clear" w:color="auto" w:fill="CCFFCC"/>
          </w:tcPr>
          <w:p>
            <w:pPr>
              <w:spacing w:after="0"/>
              <w:rPr>
                <w:sz w:val="2"/>
                <w:szCs w:val="2"/>
                <w:color w:val="auto"/>
              </w:rPr>
            </w:pPr>
          </w:p>
        </w:tc>
        <w:tc>
          <w:tcPr>
            <w:tcW w:w="2760" w:type="dxa"/>
            <w:vAlign w:val="bottom"/>
            <w:tcBorders>
              <w:bottom w:val="single" w:sz="8" w:color="CCFFCC"/>
            </w:tcBorders>
            <w:gridSpan w:val="2"/>
            <w:vMerge w:val="continue"/>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240" w:type="dxa"/>
            <w:vAlign w:val="bottom"/>
            <w:tcBorders>
              <w:bottom w:val="single" w:sz="8" w:color="CCFFCC"/>
            </w:tcBorders>
            <w:shd w:val="clear" w:color="auto" w:fill="CCFFCC"/>
          </w:tcPr>
          <w:p>
            <w:pPr>
              <w:spacing w:after="0"/>
              <w:rPr>
                <w:sz w:val="2"/>
                <w:szCs w:val="2"/>
                <w:color w:val="auto"/>
              </w:rPr>
            </w:pPr>
          </w:p>
        </w:tc>
        <w:tc>
          <w:tcPr>
            <w:tcW w:w="900" w:type="dxa"/>
            <w:vAlign w:val="bottom"/>
            <w:tcBorders>
              <w:bottom w:val="single" w:sz="8" w:color="CCFFCC"/>
            </w:tcBorders>
            <w:shd w:val="clear" w:color="auto" w:fill="CCFFCC"/>
          </w:tcPr>
          <w:p>
            <w:pPr>
              <w:spacing w:after="0"/>
              <w:rPr>
                <w:sz w:val="2"/>
                <w:szCs w:val="2"/>
                <w:color w:val="auto"/>
              </w:rPr>
            </w:pPr>
          </w:p>
        </w:tc>
        <w:tc>
          <w:tcPr>
            <w:tcW w:w="10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140" w:type="dxa"/>
            <w:vAlign w:val="bottom"/>
            <w:tcBorders>
              <w:bottom w:val="single" w:sz="8" w:color="CCFFCC"/>
            </w:tcBorders>
            <w:shd w:val="clear" w:color="auto" w:fill="CCFFCC"/>
          </w:tcPr>
          <w:p>
            <w:pPr>
              <w:spacing w:after="0"/>
              <w:rPr>
                <w:sz w:val="2"/>
                <w:szCs w:val="2"/>
                <w:color w:val="auto"/>
              </w:rPr>
            </w:pPr>
          </w:p>
        </w:tc>
        <w:tc>
          <w:tcPr>
            <w:tcW w:w="98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114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5"/>
          </w:tcPr>
          <w:p>
            <w:pPr>
              <w:spacing w:after="0" w:line="142" w:lineRule="exact"/>
              <w:rPr>
                <w:sz w:val="20"/>
                <w:szCs w:val="20"/>
                <w:color w:val="auto"/>
              </w:rPr>
            </w:pPr>
            <w:r>
              <w:rPr>
                <w:rFonts w:ascii="Arial" w:cs="Arial" w:eastAsia="Arial" w:hAnsi="Arial"/>
                <w:sz w:val="14"/>
                <w:szCs w:val="14"/>
                <w:color w:val="auto"/>
              </w:rPr>
              <w:t>Preferred shares, Series A</w:t>
            </w:r>
          </w:p>
        </w:tc>
        <w:tc>
          <w:tcPr>
            <w:tcW w:w="276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4"/>
              </w:rPr>
              <w:t>Jewelry Retailing Technology</w:t>
            </w: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1,777,778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4,014,802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4,000,001</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Borders>
              <w:right w:val="single" w:sz="8" w:color="CCFFCC"/>
            </w:tcBorders>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tcPr>
          <w:p>
            <w:pPr>
              <w:spacing w:after="0" w:line="135" w:lineRule="exact"/>
              <w:rPr>
                <w:sz w:val="20"/>
                <w:szCs w:val="20"/>
                <w:color w:val="auto"/>
              </w:rPr>
            </w:pPr>
            <w:r>
              <w:rPr>
                <w:rFonts w:ascii="Arial" w:cs="Arial" w:eastAsia="Arial" w:hAnsi="Arial"/>
                <w:sz w:val="14"/>
                <w:szCs w:val="14"/>
                <w:b w:val="1"/>
                <w:bCs w:val="1"/>
                <w:color w:val="auto"/>
              </w:rPr>
              <w:t>TrueCar, Inc.</w:t>
            </w:r>
          </w:p>
        </w:tc>
        <w:tc>
          <w:tcPr>
            <w:tcW w:w="27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3"/>
              </w:rPr>
              <w:t>Santa Monica, CA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Borders>
              <w:top w:val="single" w:sz="8" w:color="auto"/>
              <w:right w:val="single" w:sz="8" w:color="CCFFCC"/>
            </w:tcBorders>
            <w:shd w:val="clear" w:color="auto" w:fill="CCFFCC"/>
          </w:tcPr>
          <w:p>
            <w:pPr>
              <w:spacing w:after="0"/>
              <w:rPr>
                <w:sz w:val="10"/>
                <w:szCs w:val="10"/>
                <w:color w:val="auto"/>
              </w:rPr>
            </w:pPr>
          </w:p>
        </w:tc>
        <w:tc>
          <w:tcPr>
            <w:tcW w:w="100" w:type="dxa"/>
            <w:vAlign w:val="bottom"/>
            <w:tcBorders>
              <w:top w:val="single" w:sz="8" w:color="auto"/>
              <w:left w:val="single" w:sz="8" w:color="CCFFCC"/>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138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2760" w:type="dxa"/>
            <w:vAlign w:val="bottom"/>
            <w:tcBorders>
              <w:top w:val="single" w:sz="8" w:color="CCFFCC"/>
            </w:tcBorders>
            <w:gridSpan w:val="2"/>
            <w:shd w:val="clear" w:color="auto" w:fill="CCFFCC"/>
          </w:tcPr>
          <w:p>
            <w:pPr>
              <w:jc w:val="center"/>
              <w:ind w:right="140"/>
              <w:spacing w:after="0" w:line="123" w:lineRule="exact"/>
              <w:rPr>
                <w:sz w:val="20"/>
                <w:szCs w:val="20"/>
                <w:color w:val="auto"/>
              </w:rPr>
            </w:pPr>
            <w:r>
              <w:rPr>
                <w:rFonts w:ascii="Arial" w:cs="Arial" w:eastAsia="Arial" w:hAnsi="Arial"/>
                <w:sz w:val="14"/>
                <w:szCs w:val="14"/>
                <w:color w:val="auto"/>
                <w:w w:val="93"/>
              </w:rPr>
              <w:t>Online</w:t>
            </w:r>
          </w:p>
        </w:tc>
        <w:tc>
          <w:tcPr>
            <w:tcW w:w="114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9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98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114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15"/>
            <w:shd w:val="clear" w:color="auto" w:fill="CCFFCC"/>
          </w:tcPr>
          <w:p>
            <w:pPr>
              <w:spacing w:after="0"/>
              <w:rPr>
                <w:sz w:val="20"/>
                <w:szCs w:val="20"/>
                <w:color w:val="auto"/>
              </w:rPr>
            </w:pPr>
            <w:r>
              <w:rPr>
                <w:rFonts w:ascii="Arial" w:cs="Arial" w:eastAsia="Arial" w:hAnsi="Arial"/>
                <w:sz w:val="14"/>
                <w:szCs w:val="14"/>
                <w:color w:val="auto"/>
              </w:rPr>
              <w:t>Common shares</w:t>
            </w:r>
          </w:p>
        </w:tc>
        <w:tc>
          <w:tcPr>
            <w:tcW w:w="276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4"/>
              </w:rPr>
              <w:t>Marketplace (Cars)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377,358</w:t>
            </w:r>
          </w:p>
        </w:tc>
        <w:tc>
          <w:tcPr>
            <w:tcW w:w="24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2,014,863</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1,999,997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Twitter, Inc.</w:t>
            </w:r>
          </w:p>
        </w:tc>
        <w:tc>
          <w:tcPr>
            <w:tcW w:w="276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40" w:type="dxa"/>
            <w:vAlign w:val="bottom"/>
            <w:tcBorders>
              <w:top w:val="single" w:sz="8" w:color="CCFFCC"/>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4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38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2760" w:type="dxa"/>
            <w:vAlign w:val="bottom"/>
            <w:tcBorders>
              <w:top w:val="single" w:sz="8" w:color="CCFFCC"/>
            </w:tcBorders>
            <w:gridSpan w:val="2"/>
          </w:tcPr>
          <w:p>
            <w:pPr>
              <w:jc w:val="center"/>
              <w:ind w:right="120"/>
              <w:spacing w:after="0" w:line="123" w:lineRule="exact"/>
              <w:rPr>
                <w:sz w:val="20"/>
                <w:szCs w:val="20"/>
                <w:color w:val="auto"/>
              </w:rPr>
            </w:pPr>
            <w:r>
              <w:rPr>
                <w:rFonts w:ascii="Arial" w:cs="Arial" w:eastAsia="Arial" w:hAnsi="Arial"/>
                <w:sz w:val="14"/>
                <w:szCs w:val="14"/>
                <w:color w:val="auto"/>
                <w:w w:val="94"/>
              </w:rPr>
              <w:t>Social</w:t>
            </w:r>
          </w:p>
        </w:tc>
        <w:tc>
          <w:tcPr>
            <w:tcW w:w="114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90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98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gridSpan w:val="16"/>
          </w:tcPr>
          <w:p>
            <w:pPr>
              <w:spacing w:after="0"/>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Communication</w:t>
            </w:r>
          </w:p>
        </w:tc>
        <w:tc>
          <w:tcPr>
            <w:tcW w:w="1140" w:type="dxa"/>
            <w:vAlign w:val="bottom"/>
          </w:tcPr>
          <w:p>
            <w:pPr>
              <w:jc w:val="right"/>
              <w:spacing w:after="0"/>
              <w:rPr>
                <w:sz w:val="20"/>
                <w:szCs w:val="20"/>
                <w:color w:val="auto"/>
              </w:rPr>
            </w:pPr>
            <w:r>
              <w:rPr>
                <w:rFonts w:ascii="Arial" w:cs="Arial" w:eastAsia="Arial" w:hAnsi="Arial"/>
                <w:sz w:val="14"/>
                <w:szCs w:val="14"/>
                <w:color w:val="auto"/>
              </w:rPr>
              <w:t>1,835,600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31,751,748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31,513,493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Borders>
              <w:right w:val="single" w:sz="8" w:color="CCFFCC"/>
            </w:tcBorders>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tcPr>
          <w:p>
            <w:pPr>
              <w:spacing w:after="0" w:line="135" w:lineRule="exact"/>
              <w:rPr>
                <w:sz w:val="20"/>
                <w:szCs w:val="20"/>
                <w:color w:val="auto"/>
              </w:rPr>
            </w:pPr>
            <w:r>
              <w:rPr>
                <w:rFonts w:ascii="Arial" w:cs="Arial" w:eastAsia="Arial" w:hAnsi="Arial"/>
                <w:sz w:val="14"/>
                <w:szCs w:val="14"/>
                <w:b w:val="1"/>
                <w:bCs w:val="1"/>
                <w:color w:val="auto"/>
              </w:rPr>
              <w:t>Violin Memory, Inc.</w:t>
            </w:r>
          </w:p>
        </w:tc>
        <w:tc>
          <w:tcPr>
            <w:tcW w:w="27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100" w:type="dxa"/>
            <w:vAlign w:val="bottom"/>
            <w:gridSpan w:val="8"/>
            <w:shd w:val="clear" w:color="auto" w:fill="CCFFCC"/>
          </w:tcPr>
          <w:p>
            <w:pPr>
              <w:spacing w:after="0" w:line="20" w:lineRule="exact"/>
              <w:rPr>
                <w:sz w:val="1"/>
                <w:szCs w:val="1"/>
                <w:color w:val="auto"/>
              </w:rPr>
            </w:pPr>
          </w:p>
        </w:tc>
        <w:tc>
          <w:tcPr>
            <w:tcW w:w="2760" w:type="dxa"/>
            <w:vAlign w:val="bottom"/>
            <w:gridSpan w:val="2"/>
            <w:vMerge w:val="restart"/>
            <w:shd w:val="clear" w:color="auto" w:fill="CCFFCC"/>
          </w:tcPr>
          <w:p>
            <w:pPr>
              <w:jc w:val="center"/>
              <w:ind w:right="140"/>
              <w:spacing w:after="0"/>
              <w:rPr>
                <w:sz w:val="20"/>
                <w:szCs w:val="20"/>
                <w:color w:val="auto"/>
              </w:rPr>
            </w:pPr>
            <w:r>
              <w:rPr>
                <w:rFonts w:ascii="Arial" w:cs="Arial" w:eastAsia="Arial" w:hAnsi="Arial"/>
                <w:sz w:val="14"/>
                <w:szCs w:val="14"/>
                <w:color w:val="auto"/>
                <w:w w:val="87"/>
              </w:rPr>
              <w:t>Flash</w:t>
            </w:r>
          </w:p>
        </w:tc>
        <w:tc>
          <w:tcPr>
            <w:tcW w:w="13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800,000</w:t>
            </w:r>
          </w:p>
        </w:tc>
        <w:tc>
          <w:tcPr>
            <w:tcW w:w="240" w:type="dxa"/>
            <w:vAlign w:val="bottom"/>
            <w:shd w:val="clear" w:color="auto" w:fill="CCFFCC"/>
          </w:tcPr>
          <w:p>
            <w:pPr>
              <w:spacing w:after="0" w:line="20" w:lineRule="exact"/>
              <w:rPr>
                <w:sz w:val="1"/>
                <w:szCs w:val="1"/>
                <w:color w:val="auto"/>
              </w:rPr>
            </w:pPr>
          </w:p>
        </w:tc>
        <w:tc>
          <w:tcPr>
            <w:tcW w:w="10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4,800,000</w:t>
            </w: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4,800,000</w:t>
            </w:r>
          </w:p>
        </w:tc>
        <w:tc>
          <w:tcPr>
            <w:tcW w:w="126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5"/>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B</w:t>
            </w:r>
          </w:p>
        </w:tc>
        <w:tc>
          <w:tcPr>
            <w:tcW w:w="2760" w:type="dxa"/>
            <w:vAlign w:val="bottom"/>
            <w:gridSpan w:val="2"/>
            <w:vMerge w:val="continue"/>
            <w:shd w:val="clear" w:color="auto" w:fill="CCFFCC"/>
          </w:tcPr>
          <w:p>
            <w:pPr>
              <w:spacing w:after="0"/>
              <w:rPr>
                <w:sz w:val="12"/>
                <w:szCs w:val="12"/>
                <w:color w:val="auto"/>
              </w:rPr>
            </w:pPr>
          </w:p>
        </w:tc>
        <w:tc>
          <w:tcPr>
            <w:tcW w:w="1360" w:type="dxa"/>
            <w:vAlign w:val="bottom"/>
            <w:gridSpan w:val="2"/>
            <w:vMerge w:val="continue"/>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vMerge w:val="continue"/>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0" w:type="dxa"/>
            <w:vAlign w:val="bottom"/>
            <w:gridSpan w:val="2"/>
            <w:vMerge w:val="continue"/>
            <w:shd w:val="clear" w:color="auto" w:fill="CCFFCC"/>
          </w:tcPr>
          <w:p>
            <w:pPr>
              <w:spacing w:after="0"/>
              <w:rPr>
                <w:sz w:val="12"/>
                <w:szCs w:val="12"/>
                <w:color w:val="auto"/>
              </w:rPr>
            </w:pPr>
          </w:p>
        </w:tc>
        <w:tc>
          <w:tcPr>
            <w:tcW w:w="1260" w:type="dxa"/>
            <w:vAlign w:val="bottom"/>
            <w:gridSpan w:val="2"/>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15"/>
          </w:tcPr>
          <w:p>
            <w:pPr>
              <w:spacing w:after="0" w:line="149" w:lineRule="exact"/>
              <w:rPr>
                <w:sz w:val="20"/>
                <w:szCs w:val="20"/>
                <w:color w:val="auto"/>
              </w:rPr>
            </w:pPr>
            <w:r>
              <w:rPr>
                <w:rFonts w:ascii="Arial" w:cs="Arial" w:eastAsia="Arial" w:hAnsi="Arial"/>
                <w:sz w:val="14"/>
                <w:szCs w:val="14"/>
                <w:color w:val="auto"/>
              </w:rPr>
              <w:t>Preferred shares, Series D</w:t>
            </w:r>
          </w:p>
        </w:tc>
        <w:tc>
          <w:tcPr>
            <w:tcW w:w="2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Memory</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1,666,666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10,018,045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9,999,996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15"/>
            <w:vMerge w:val="restart"/>
            <w:shd w:val="clear" w:color="auto" w:fill="CCFFCC"/>
          </w:tcPr>
          <w:p>
            <w:pPr>
              <w:ind w:left="240"/>
              <w:spacing w:after="0"/>
              <w:rPr>
                <w:sz w:val="20"/>
                <w:szCs w:val="20"/>
                <w:color w:val="auto"/>
              </w:rPr>
            </w:pPr>
            <w:r>
              <w:rPr>
                <w:rFonts w:ascii="Arial" w:cs="Arial" w:eastAsia="Arial" w:hAnsi="Arial"/>
                <w:sz w:val="14"/>
                <w:szCs w:val="14"/>
                <w:color w:val="auto"/>
              </w:rPr>
              <w:t>Total</w:t>
            </w:r>
          </w:p>
        </w:tc>
        <w:tc>
          <w:tcPr>
            <w:tcW w:w="25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15"/>
            <w:vMerge w:val="continue"/>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14,818,045</w:t>
            </w:r>
          </w:p>
        </w:tc>
        <w:tc>
          <w:tcPr>
            <w:tcW w:w="100" w:type="dxa"/>
            <w:vAlign w:val="bottom"/>
            <w:vMerge w:val="continue"/>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14,799,996</w:t>
            </w:r>
          </w:p>
        </w:tc>
        <w:tc>
          <w:tcPr>
            <w:tcW w:w="220" w:type="dxa"/>
            <w:vAlign w:val="bottom"/>
            <w:vMerge w:val="continue"/>
            <w:shd w:val="clear" w:color="auto" w:fill="CCFFCC"/>
          </w:tcPr>
          <w:p>
            <w:pPr>
              <w:spacing w:after="0"/>
              <w:rPr>
                <w:sz w:val="12"/>
                <w:szCs w:val="12"/>
                <w:color w:val="auto"/>
              </w:rPr>
            </w:pP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ZocDoc Inc.</w:t>
            </w:r>
          </w:p>
        </w:tc>
        <w:tc>
          <w:tcPr>
            <w:tcW w:w="2760" w:type="dxa"/>
            <w:vAlign w:val="bottom"/>
            <w:gridSpan w:val="2"/>
            <w:shd w:val="clear" w:color="auto" w:fill="CCFFCC"/>
          </w:tcPr>
          <w:p>
            <w:pPr>
              <w:jc w:val="center"/>
              <w:ind w:right="140"/>
              <w:spacing w:after="0" w:line="135" w:lineRule="exact"/>
              <w:rPr>
                <w:sz w:val="20"/>
                <w:szCs w:val="20"/>
                <w:color w:val="auto"/>
              </w:rPr>
            </w:pPr>
            <w:r>
              <w:rPr>
                <w:rFonts w:ascii="Arial" w:cs="Arial" w:eastAsia="Arial" w:hAnsi="Arial"/>
                <w:sz w:val="14"/>
                <w:szCs w:val="14"/>
                <w:color w:val="auto"/>
                <w:w w:val="97"/>
              </w:rPr>
              <w:t>New York, NY</w:t>
            </w: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40" w:type="dxa"/>
            <w:vAlign w:val="bottom"/>
            <w:tcBorders>
              <w:top w:val="single" w:sz="8" w:color="CCFFCC"/>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4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38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2760" w:type="dxa"/>
            <w:vAlign w:val="bottom"/>
            <w:tcBorders>
              <w:top w:val="single" w:sz="8" w:color="CCFFCC"/>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7"/>
              </w:rPr>
              <w:t>Online Medical</w:t>
            </w:r>
          </w:p>
        </w:tc>
        <w:tc>
          <w:tcPr>
            <w:tcW w:w="114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90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98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1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gridSpan w:val="16"/>
          </w:tcPr>
          <w:p>
            <w:pPr>
              <w:spacing w:after="0"/>
              <w:rPr>
                <w:sz w:val="20"/>
                <w:szCs w:val="20"/>
                <w:color w:val="auto"/>
              </w:rPr>
            </w:pPr>
            <w:r>
              <w:rPr>
                <w:rFonts w:ascii="Arial" w:cs="Arial" w:eastAsia="Arial" w:hAnsi="Arial"/>
                <w:sz w:val="14"/>
                <w:szCs w:val="14"/>
                <w:color w:val="auto"/>
              </w:rPr>
              <w:t>Preferred shares, Series A</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Scheduling</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200,000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3,563,178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3,500,000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Borders>
              <w:right w:val="single" w:sz="8" w:color="CCFFCC"/>
            </w:tcBorders>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tcPr>
          <w:p>
            <w:pPr>
              <w:spacing w:after="0" w:line="135" w:lineRule="exact"/>
              <w:rPr>
                <w:sz w:val="20"/>
                <w:szCs w:val="20"/>
                <w:color w:val="auto"/>
              </w:rPr>
            </w:pPr>
            <w:r>
              <w:rPr>
                <w:rFonts w:ascii="Arial" w:cs="Arial" w:eastAsia="Arial" w:hAnsi="Arial"/>
                <w:sz w:val="14"/>
                <w:szCs w:val="14"/>
                <w:b w:val="1"/>
                <w:bCs w:val="1"/>
                <w:color w:val="auto"/>
              </w:rPr>
              <w:t>ZoomSystems</w:t>
            </w:r>
          </w:p>
        </w:tc>
        <w:tc>
          <w:tcPr>
            <w:tcW w:w="27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Borders>
              <w:top w:val="single" w:sz="8" w:color="auto"/>
              <w:right w:val="single" w:sz="8" w:color="CCFFCC"/>
            </w:tcBorders>
            <w:shd w:val="clear" w:color="auto" w:fill="CCFFCC"/>
          </w:tcPr>
          <w:p>
            <w:pPr>
              <w:spacing w:after="0"/>
              <w:rPr>
                <w:sz w:val="10"/>
                <w:szCs w:val="10"/>
                <w:color w:val="auto"/>
              </w:rPr>
            </w:pPr>
          </w:p>
        </w:tc>
        <w:tc>
          <w:tcPr>
            <w:tcW w:w="100" w:type="dxa"/>
            <w:vAlign w:val="bottom"/>
            <w:tcBorders>
              <w:top w:val="single" w:sz="8" w:color="auto"/>
              <w:left w:val="single" w:sz="8" w:color="CCFFCC"/>
            </w:tcBorders>
            <w:shd w:val="clear" w:color="auto" w:fill="CCFFCC"/>
          </w:tcPr>
          <w:p>
            <w:pPr>
              <w:spacing w:after="0"/>
              <w:rPr>
                <w:sz w:val="10"/>
                <w:szCs w:val="10"/>
                <w:color w:val="auto"/>
              </w:rPr>
            </w:pPr>
          </w:p>
        </w:tc>
        <w:tc>
          <w:tcPr>
            <w:tcW w:w="20" w:type="dxa"/>
            <w:vAlign w:val="bottom"/>
            <w:tcBorders>
              <w:top w:val="single" w:sz="8" w:color="auto"/>
            </w:tcBorders>
            <w:shd w:val="clear" w:color="auto" w:fill="CCFFCC"/>
          </w:tcPr>
          <w:p>
            <w:pPr>
              <w:spacing w:after="0"/>
              <w:rPr>
                <w:sz w:val="10"/>
                <w:szCs w:val="10"/>
                <w:color w:val="auto"/>
              </w:rPr>
            </w:pPr>
          </w:p>
        </w:tc>
        <w:tc>
          <w:tcPr>
            <w:tcW w:w="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3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760" w:type="dxa"/>
            <w:vAlign w:val="bottom"/>
            <w:gridSpan w:val="2"/>
            <w:shd w:val="clear" w:color="auto" w:fill="CCFFCC"/>
          </w:tcPr>
          <w:p>
            <w:pPr>
              <w:jc w:val="center"/>
              <w:ind w:right="120"/>
              <w:spacing w:after="0" w:line="123" w:lineRule="exact"/>
              <w:rPr>
                <w:sz w:val="20"/>
                <w:szCs w:val="20"/>
                <w:color w:val="auto"/>
              </w:rPr>
            </w:pPr>
            <w:r>
              <w:rPr>
                <w:rFonts w:ascii="Arial" w:cs="Arial" w:eastAsia="Arial" w:hAnsi="Arial"/>
                <w:sz w:val="14"/>
                <w:szCs w:val="14"/>
                <w:color w:val="auto"/>
                <w:w w:val="94"/>
              </w:rPr>
              <w:t>Smart e-tail</w:t>
            </w:r>
          </w:p>
        </w:tc>
        <w:tc>
          <w:tcPr>
            <w:tcW w:w="11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15"/>
            <w:shd w:val="clear" w:color="auto" w:fill="CCFFCC"/>
          </w:tcPr>
          <w:p>
            <w:pPr>
              <w:spacing w:after="0"/>
              <w:rPr>
                <w:sz w:val="20"/>
                <w:szCs w:val="20"/>
                <w:color w:val="auto"/>
              </w:rPr>
            </w:pPr>
            <w:r>
              <w:rPr>
                <w:rFonts w:ascii="Arial" w:cs="Arial" w:eastAsia="Arial" w:hAnsi="Arial"/>
                <w:sz w:val="14"/>
                <w:szCs w:val="14"/>
                <w:color w:val="auto"/>
              </w:rPr>
              <w:t>Preferred shares, Series A</w:t>
            </w:r>
          </w:p>
        </w:tc>
        <w:tc>
          <w:tcPr>
            <w:tcW w:w="276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7"/>
              </w:rPr>
              <w:t>(Retail)</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1,250,000</w:t>
            </w:r>
          </w:p>
        </w:tc>
        <w:tc>
          <w:tcPr>
            <w:tcW w:w="2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260,476</w:t>
            </w: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250,000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15"/>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Zynga, Inc.</w:t>
            </w:r>
          </w:p>
        </w:tc>
        <w:tc>
          <w:tcPr>
            <w:tcW w:w="276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15"/>
          </w:tcPr>
          <w:p>
            <w:pPr>
              <w:spacing w:after="0" w:line="142" w:lineRule="exact"/>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40"/>
              <w:spacing w:after="0" w:line="142" w:lineRule="exact"/>
              <w:rPr>
                <w:sz w:val="20"/>
                <w:szCs w:val="20"/>
                <w:color w:val="auto"/>
              </w:rPr>
            </w:pPr>
            <w:r>
              <w:rPr>
                <w:rFonts w:ascii="Arial" w:cs="Arial" w:eastAsia="Arial" w:hAnsi="Arial"/>
                <w:sz w:val="14"/>
                <w:szCs w:val="14"/>
                <w:color w:val="auto"/>
                <w:w w:val="94"/>
              </w:rPr>
              <w:t>Social Gaming</w:t>
            </w: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533,333</w:t>
            </w: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3,002,665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2,901,332</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0" w:type="dxa"/>
            <w:vAlign w:val="bottom"/>
            <w:tcBorders>
              <w:right w:val="single" w:sz="8" w:color="CCFFCC"/>
            </w:tcBorders>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Total Portfolio Investments</w:t>
            </w:r>
          </w:p>
        </w:tc>
        <w:tc>
          <w:tcPr>
            <w:tcW w:w="25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174,181,527</w:t>
            </w:r>
          </w:p>
        </w:tc>
        <w:tc>
          <w:tcPr>
            <w:tcW w:w="10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171,598,410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-3566795</wp:posOffset>
            </wp:positionV>
            <wp:extent cx="2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Shares / Par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gridSpan w:val="2"/>
          </w:tcPr>
          <w:p>
            <w:pPr>
              <w:ind w:left="60"/>
              <w:spacing w:after="0"/>
              <w:rPr>
                <w:sz w:val="20"/>
                <w:szCs w:val="20"/>
                <w:color w:val="auto"/>
              </w:rPr>
            </w:pPr>
            <w:r>
              <w:rPr>
                <w:rFonts w:ascii="Arial" w:cs="Arial" w:eastAsia="Arial" w:hAnsi="Arial"/>
                <w:sz w:val="18"/>
                <w:szCs w:val="18"/>
                <w:b w:val="1"/>
                <w:bCs w:val="1"/>
                <w:color w:val="auto"/>
              </w:rPr>
              <w:t>Non-Portfolio Investments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Fair Value</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20" w:type="dxa"/>
            <w:vAlign w:val="bottom"/>
            <w:tcBorders>
              <w:bottom w:val="single" w:sz="8" w:color="CCFFCC"/>
            </w:tcBorders>
            <w:vMerge w:val="restart"/>
            <w:shd w:val="clear" w:color="auto" w:fill="CCFFCC"/>
          </w:tcPr>
          <w:p>
            <w:pPr>
              <w:spacing w:after="0"/>
              <w:rPr>
                <w:sz w:val="20"/>
                <w:szCs w:val="20"/>
                <w:color w:val="auto"/>
              </w:rPr>
            </w:pPr>
            <w:r>
              <w:rPr>
                <w:rFonts w:ascii="Arial" w:cs="Arial" w:eastAsia="Arial" w:hAnsi="Arial"/>
                <w:sz w:val="18"/>
                <w:szCs w:val="18"/>
                <w:b w:val="1"/>
                <w:bCs w:val="1"/>
                <w:color w:val="auto"/>
                <w:w w:val="94"/>
              </w:rPr>
              <w:t>Money Market Funds</w:t>
            </w:r>
          </w:p>
        </w:tc>
        <w:tc>
          <w:tcPr>
            <w:tcW w:w="1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b w:val="1"/>
                <w:bCs w:val="1"/>
                <w:color w:val="auto"/>
                <w:w w:val="81"/>
              </w:rPr>
              <w:t>(1)</w:t>
            </w:r>
          </w:p>
        </w:tc>
        <w:tc>
          <w:tcPr>
            <w:tcW w:w="4180" w:type="dxa"/>
            <w:vAlign w:val="bottom"/>
            <w:tcBorders>
              <w:bottom w:val="single" w:sz="8" w:color="CCFFCC"/>
            </w:tcBorders>
            <w:gridSpan w:val="2"/>
            <w:vMerge w:val="restart"/>
            <w:shd w:val="clear" w:color="auto" w:fill="CCFFCC"/>
          </w:tcPr>
          <w:p>
            <w:pPr>
              <w:spacing w:after="0"/>
              <w:rPr>
                <w:sz w:val="12"/>
                <w:szCs w:val="12"/>
                <w:color w:val="auto"/>
              </w:rPr>
            </w:pPr>
          </w:p>
        </w:tc>
        <w:tc>
          <w:tcPr>
            <w:tcW w:w="112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60" w:type="dxa"/>
            <w:vAlign w:val="bottom"/>
            <w:tcBorders>
              <w:bottom w:val="single" w:sz="8" w:color="CCFFCC"/>
            </w:tcBorders>
            <w:shd w:val="clear" w:color="auto" w:fill="CCFFCC"/>
          </w:tcPr>
          <w:p>
            <w:pPr>
              <w:spacing w:after="0"/>
              <w:rPr>
                <w:sz w:val="12"/>
                <w:szCs w:val="12"/>
                <w:color w:val="auto"/>
              </w:rPr>
            </w:pPr>
          </w:p>
        </w:tc>
        <w:tc>
          <w:tcPr>
            <w:tcW w:w="98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02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CCFFCC"/>
            </w:tcBorders>
            <w:shd w:val="clear" w:color="auto" w:fill="CCFFCC"/>
          </w:tcPr>
          <w:p>
            <w:pPr>
              <w:spacing w:after="0"/>
              <w:rPr>
                <w:sz w:val="12"/>
                <w:szCs w:val="12"/>
                <w:color w:val="auto"/>
              </w:rPr>
            </w:pPr>
          </w:p>
        </w:tc>
        <w:tc>
          <w:tcPr>
            <w:tcW w:w="1140" w:type="dxa"/>
            <w:vAlign w:val="bottom"/>
            <w:tcBorders>
              <w:bottom w:val="single" w:sz="8" w:color="CCFFCC"/>
            </w:tcBorders>
            <w:shd w:val="clear" w:color="auto" w:fill="CCFFCC"/>
          </w:tcPr>
          <w:p>
            <w:pPr>
              <w:spacing w:after="0"/>
              <w:rPr>
                <w:sz w:val="12"/>
                <w:szCs w:val="12"/>
                <w:color w:val="auto"/>
              </w:rPr>
            </w:pPr>
          </w:p>
        </w:tc>
        <w:tc>
          <w:tcPr>
            <w:tcW w:w="16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720" w:type="dxa"/>
            <w:vAlign w:val="bottom"/>
            <w:tcBorders>
              <w:bottom w:val="single" w:sz="8" w:color="auto"/>
            </w:tcBorders>
            <w:vMerge w:val="continue"/>
            <w:shd w:val="clear" w:color="auto" w:fill="CCFFCC"/>
          </w:tcPr>
          <w:p>
            <w:pPr>
              <w:spacing w:after="0"/>
              <w:rPr>
                <w:sz w:val="5"/>
                <w:szCs w:val="5"/>
                <w:color w:val="auto"/>
              </w:rPr>
            </w:pPr>
          </w:p>
        </w:tc>
        <w:tc>
          <w:tcPr>
            <w:tcW w:w="160" w:type="dxa"/>
            <w:vAlign w:val="bottom"/>
            <w:tcBorders>
              <w:bottom w:val="single" w:sz="8" w:color="CCFFCC"/>
            </w:tcBorders>
            <w:shd w:val="clear" w:color="auto" w:fill="CCFFCC"/>
          </w:tcPr>
          <w:p>
            <w:pPr>
              <w:spacing w:after="0"/>
              <w:rPr>
                <w:sz w:val="5"/>
                <w:szCs w:val="5"/>
                <w:color w:val="auto"/>
              </w:rPr>
            </w:pPr>
          </w:p>
        </w:tc>
        <w:tc>
          <w:tcPr>
            <w:tcW w:w="4180" w:type="dxa"/>
            <w:vAlign w:val="bottom"/>
            <w:tcBorders>
              <w:bottom w:val="single" w:sz="8" w:color="CCFFCC"/>
            </w:tcBorders>
            <w:gridSpan w:val="2"/>
            <w:vMerge w:val="continue"/>
            <w:shd w:val="clear" w:color="auto" w:fill="CCFFCC"/>
          </w:tcPr>
          <w:p>
            <w:pPr>
              <w:spacing w:after="0"/>
              <w:rPr>
                <w:sz w:val="5"/>
                <w:szCs w:val="5"/>
                <w:color w:val="auto"/>
              </w:rPr>
            </w:pPr>
          </w:p>
        </w:tc>
        <w:tc>
          <w:tcPr>
            <w:tcW w:w="1120" w:type="dxa"/>
            <w:vAlign w:val="bottom"/>
            <w:tcBorders>
              <w:bottom w:val="single" w:sz="8" w:color="CCFFCC"/>
            </w:tcBorders>
            <w:shd w:val="clear" w:color="auto" w:fill="CCFFCC"/>
          </w:tcPr>
          <w:p>
            <w:pPr>
              <w:spacing w:after="0"/>
              <w:rPr>
                <w:sz w:val="5"/>
                <w:szCs w:val="5"/>
                <w:color w:val="auto"/>
              </w:rPr>
            </w:pPr>
          </w:p>
        </w:tc>
        <w:tc>
          <w:tcPr>
            <w:tcW w:w="120" w:type="dxa"/>
            <w:vAlign w:val="bottom"/>
            <w:tcBorders>
              <w:bottom w:val="single" w:sz="8" w:color="CCFFCC"/>
            </w:tcBorders>
            <w:shd w:val="clear" w:color="auto" w:fill="CCFFCC"/>
          </w:tcPr>
          <w:p>
            <w:pPr>
              <w:spacing w:after="0"/>
              <w:rPr>
                <w:sz w:val="5"/>
                <w:szCs w:val="5"/>
                <w:color w:val="auto"/>
              </w:rPr>
            </w:pPr>
          </w:p>
        </w:tc>
        <w:tc>
          <w:tcPr>
            <w:tcW w:w="100" w:type="dxa"/>
            <w:vAlign w:val="bottom"/>
            <w:tcBorders>
              <w:bottom w:val="single" w:sz="8" w:color="CCFFCC"/>
            </w:tcBorders>
            <w:shd w:val="clear" w:color="auto" w:fill="CCFFCC"/>
          </w:tcPr>
          <w:p>
            <w:pPr>
              <w:spacing w:after="0"/>
              <w:rPr>
                <w:sz w:val="5"/>
                <w:szCs w:val="5"/>
                <w:color w:val="auto"/>
              </w:rPr>
            </w:pPr>
          </w:p>
        </w:tc>
        <w:tc>
          <w:tcPr>
            <w:tcW w:w="160" w:type="dxa"/>
            <w:vAlign w:val="bottom"/>
            <w:tcBorders>
              <w:bottom w:val="single" w:sz="8" w:color="CCFFCC"/>
            </w:tcBorders>
            <w:shd w:val="clear" w:color="auto" w:fill="CCFFCC"/>
          </w:tcPr>
          <w:p>
            <w:pPr>
              <w:spacing w:after="0"/>
              <w:rPr>
                <w:sz w:val="5"/>
                <w:szCs w:val="5"/>
                <w:color w:val="auto"/>
              </w:rPr>
            </w:pPr>
          </w:p>
        </w:tc>
        <w:tc>
          <w:tcPr>
            <w:tcW w:w="980" w:type="dxa"/>
            <w:vAlign w:val="bottom"/>
            <w:tcBorders>
              <w:bottom w:val="single" w:sz="8" w:color="CCFFCC"/>
            </w:tcBorders>
            <w:shd w:val="clear" w:color="auto" w:fill="CCFFCC"/>
          </w:tcPr>
          <w:p>
            <w:pPr>
              <w:spacing w:after="0"/>
              <w:rPr>
                <w:sz w:val="5"/>
                <w:szCs w:val="5"/>
                <w:color w:val="auto"/>
              </w:rPr>
            </w:pPr>
          </w:p>
        </w:tc>
        <w:tc>
          <w:tcPr>
            <w:tcW w:w="220" w:type="dxa"/>
            <w:vAlign w:val="bottom"/>
            <w:tcBorders>
              <w:bottom w:val="single" w:sz="8" w:color="CCFFCC"/>
            </w:tcBorders>
            <w:shd w:val="clear" w:color="auto" w:fill="CCFFCC"/>
          </w:tcPr>
          <w:p>
            <w:pPr>
              <w:spacing w:after="0"/>
              <w:rPr>
                <w:sz w:val="5"/>
                <w:szCs w:val="5"/>
                <w:color w:val="auto"/>
              </w:rPr>
            </w:pPr>
          </w:p>
        </w:tc>
        <w:tc>
          <w:tcPr>
            <w:tcW w:w="100" w:type="dxa"/>
            <w:vAlign w:val="bottom"/>
            <w:tcBorders>
              <w:bottom w:val="single" w:sz="8" w:color="CCFFCC"/>
            </w:tcBorders>
            <w:shd w:val="clear" w:color="auto" w:fill="CCFFCC"/>
          </w:tcPr>
          <w:p>
            <w:pPr>
              <w:spacing w:after="0"/>
              <w:rPr>
                <w:sz w:val="5"/>
                <w:szCs w:val="5"/>
                <w:color w:val="auto"/>
              </w:rPr>
            </w:pPr>
          </w:p>
        </w:tc>
        <w:tc>
          <w:tcPr>
            <w:tcW w:w="1020" w:type="dxa"/>
            <w:vAlign w:val="bottom"/>
            <w:tcBorders>
              <w:bottom w:val="single" w:sz="8" w:color="CCFFCC"/>
            </w:tcBorders>
            <w:shd w:val="clear" w:color="auto" w:fill="CCFFCC"/>
          </w:tcPr>
          <w:p>
            <w:pPr>
              <w:spacing w:after="0"/>
              <w:rPr>
                <w:sz w:val="5"/>
                <w:szCs w:val="5"/>
                <w:color w:val="auto"/>
              </w:rPr>
            </w:pPr>
          </w:p>
        </w:tc>
        <w:tc>
          <w:tcPr>
            <w:tcW w:w="220" w:type="dxa"/>
            <w:vAlign w:val="bottom"/>
            <w:tcBorders>
              <w:bottom w:val="single" w:sz="8" w:color="CCFFCC"/>
            </w:tcBorders>
            <w:shd w:val="clear" w:color="auto" w:fill="CCFFCC"/>
          </w:tcPr>
          <w:p>
            <w:pPr>
              <w:spacing w:after="0"/>
              <w:rPr>
                <w:sz w:val="5"/>
                <w:szCs w:val="5"/>
                <w:color w:val="auto"/>
              </w:rPr>
            </w:pPr>
          </w:p>
        </w:tc>
        <w:tc>
          <w:tcPr>
            <w:tcW w:w="1140" w:type="dxa"/>
            <w:vAlign w:val="bottom"/>
            <w:tcBorders>
              <w:bottom w:val="single" w:sz="8" w:color="CCFFCC"/>
            </w:tcBorders>
            <w:shd w:val="clear" w:color="auto" w:fill="CCFFCC"/>
          </w:tcPr>
          <w:p>
            <w:pPr>
              <w:spacing w:after="0"/>
              <w:rPr>
                <w:sz w:val="5"/>
                <w:szCs w:val="5"/>
                <w:color w:val="auto"/>
              </w:rPr>
            </w:pPr>
          </w:p>
        </w:tc>
        <w:tc>
          <w:tcPr>
            <w:tcW w:w="160" w:type="dxa"/>
            <w:vAlign w:val="bottom"/>
            <w:tcBorders>
              <w:bottom w:val="single" w:sz="8" w:color="CCFFCC"/>
            </w:tcBorders>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FFCC"/>
            </w:tcBorders>
            <w:gridSpan w:val="4"/>
          </w:tcPr>
          <w:p>
            <w:pPr>
              <w:spacing w:after="0"/>
              <w:rPr>
                <w:sz w:val="20"/>
                <w:szCs w:val="20"/>
                <w:color w:val="auto"/>
              </w:rPr>
            </w:pPr>
            <w:r>
              <w:rPr>
                <w:rFonts w:ascii="Arial" w:cs="Arial" w:eastAsia="Arial" w:hAnsi="Arial"/>
                <w:sz w:val="18"/>
                <w:szCs w:val="18"/>
                <w:color w:val="auto"/>
              </w:rPr>
              <w:t>Fidelity Institutional Money Market Funds</w:t>
            </w:r>
          </w:p>
        </w:tc>
        <w:tc>
          <w:tcPr>
            <w:tcW w:w="1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Money Market Portfolio</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8,000,000</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8,000,000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Prime Money Market Portfolio</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4"/>
            <w:vMerge w:val="restart"/>
            <w:shd w:val="clear" w:color="auto" w:fill="CCFFCC"/>
          </w:tcPr>
          <w:p>
            <w:pPr>
              <w:spacing w:after="0"/>
              <w:rPr>
                <w:sz w:val="20"/>
                <w:szCs w:val="20"/>
                <w:color w:val="auto"/>
              </w:rPr>
            </w:pPr>
            <w:r>
              <w:rPr>
                <w:rFonts w:ascii="Arial" w:cs="Arial" w:eastAsia="Arial" w:hAnsi="Arial"/>
                <w:sz w:val="18"/>
                <w:szCs w:val="18"/>
                <w:color w:val="auto"/>
              </w:rPr>
              <w:t>Total Money Market Funds</w:t>
            </w:r>
          </w:p>
        </w:tc>
        <w:tc>
          <w:tcPr>
            <w:tcW w:w="1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vMerge w:val="continue"/>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2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20" w:type="dxa"/>
            <w:vAlign w:val="bottom"/>
            <w:vMerge w:val="continue"/>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Total Investments</w:t>
            </w: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190,181,527</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187,598,410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6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30"/>
          <w:szCs w:val="30"/>
          <w:b w:val="1"/>
          <w:bCs w:val="1"/>
          <w:color w:val="auto"/>
          <w:vertAlign w:val="superscript"/>
        </w:rPr>
      </w:pPr>
      <w:r>
        <w:rPr>
          <w:rFonts w:ascii="Arial" w:cs="Arial" w:eastAsia="Arial" w:hAnsi="Arial"/>
          <w:sz w:val="18"/>
          <w:szCs w:val="18"/>
          <w:color w:val="auto"/>
        </w:rPr>
        <w:t>Investment is income producing.</w:t>
      </w:r>
    </w:p>
    <w:p>
      <w:pPr>
        <w:spacing w:after="0" w:line="309" w:lineRule="exact"/>
        <w:rPr>
          <w:rFonts w:ascii="Arial" w:cs="Arial" w:eastAsia="Arial" w:hAnsi="Arial"/>
          <w:sz w:val="30"/>
          <w:szCs w:val="30"/>
          <w:b w:val="1"/>
          <w:bCs w:val="1"/>
          <w:color w:val="auto"/>
          <w:vertAlign w:val="superscript"/>
        </w:rPr>
      </w:pPr>
    </w:p>
    <w:p>
      <w:pPr>
        <w:jc w:val="both"/>
        <w:ind w:left="340" w:hanging="332"/>
        <w:spacing w:after="0" w:line="209" w:lineRule="auto"/>
        <w:tabs>
          <w:tab w:leader="none" w:pos="340" w:val="left"/>
        </w:tabs>
        <w:numPr>
          <w:ilvl w:val="0"/>
          <w:numId w:val="3"/>
        </w:numPr>
        <w:rPr>
          <w:rFonts w:ascii="Arial" w:cs="Arial" w:eastAsia="Arial" w:hAnsi="Arial"/>
          <w:sz w:val="30"/>
          <w:szCs w:val="30"/>
          <w:b w:val="1"/>
          <w:bCs w:val="1"/>
          <w:color w:val="auto"/>
          <w:vertAlign w:val="superscript"/>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but less than 25% of the voting securities of such company.</w:t>
      </w:r>
    </w:p>
    <w:p>
      <w:pPr>
        <w:spacing w:after="0" w:line="95" w:lineRule="exact"/>
        <w:rPr>
          <w:rFonts w:ascii="Arial" w:cs="Arial" w:eastAsia="Arial" w:hAnsi="Arial"/>
          <w:sz w:val="30"/>
          <w:szCs w:val="30"/>
          <w:b w:val="1"/>
          <w:bCs w:val="1"/>
          <w:color w:val="auto"/>
          <w:vertAlign w:val="superscript"/>
        </w:rPr>
      </w:pPr>
    </w:p>
    <w:p>
      <w:pPr>
        <w:jc w:val="both"/>
        <w:ind w:left="340" w:hanging="332"/>
        <w:spacing w:after="0" w:line="209" w:lineRule="auto"/>
        <w:tabs>
          <w:tab w:leader="none" w:pos="340" w:val="left"/>
        </w:tabs>
        <w:numPr>
          <w:ilvl w:val="0"/>
          <w:numId w:val="3"/>
        </w:numPr>
        <w:rPr>
          <w:rFonts w:ascii="Arial" w:cs="Arial" w:eastAsia="Arial" w:hAnsi="Arial"/>
          <w:sz w:val="30"/>
          <w:szCs w:val="30"/>
          <w:b w:val="1"/>
          <w:bCs w:val="1"/>
          <w:color w:val="auto"/>
          <w:vertAlign w:val="superscript"/>
        </w:rPr>
      </w:pPr>
      <w:r>
        <w:rPr>
          <w:rFonts w:ascii="Arial" w:cs="Arial" w:eastAsia="Arial" w:hAnsi="Arial"/>
          <w:sz w:val="18"/>
          <w:szCs w:val="18"/>
          <w:color w:val="auto"/>
        </w:rPr>
        <w:t>On May 17, 2012, Facebook, Inc. priced its initial public offering, selling 421,233,615 shares at a price of $38.00 per share. GSV Capital Corp.’s shares in Facebook, Inc. are subject to a lock-up agreement that expires on November 14, 2012. At June 30, 2012, GSV Capital Corp. valued Facebook based on its June 29, 2012 closing price, less a discount for the lock-up restriction.</w:t>
      </w:r>
    </w:p>
    <w:p>
      <w:pPr>
        <w:spacing w:after="0" w:line="95" w:lineRule="exact"/>
        <w:rPr>
          <w:rFonts w:ascii="Arial" w:cs="Arial" w:eastAsia="Arial" w:hAnsi="Arial"/>
          <w:sz w:val="30"/>
          <w:szCs w:val="30"/>
          <w:b w:val="1"/>
          <w:bCs w:val="1"/>
          <w:color w:val="auto"/>
          <w:vertAlign w:val="superscript"/>
        </w:rPr>
      </w:pPr>
    </w:p>
    <w:p>
      <w:pPr>
        <w:jc w:val="both"/>
        <w:ind w:left="340" w:hanging="332"/>
        <w:spacing w:after="0" w:line="209" w:lineRule="auto"/>
        <w:tabs>
          <w:tab w:leader="none" w:pos="340" w:val="left"/>
        </w:tabs>
        <w:numPr>
          <w:ilvl w:val="0"/>
          <w:numId w:val="3"/>
        </w:numPr>
        <w:rPr>
          <w:rFonts w:ascii="Arial" w:cs="Arial" w:eastAsia="Arial" w:hAnsi="Arial"/>
          <w:sz w:val="30"/>
          <w:szCs w:val="30"/>
          <w:b w:val="1"/>
          <w:bCs w:val="1"/>
          <w:color w:val="auto"/>
          <w:vertAlign w:val="superscript"/>
        </w:rPr>
      </w:pPr>
      <w:r>
        <w:rPr>
          <w:rFonts w:ascii="Arial" w:cs="Arial" w:eastAsia="Arial" w:hAnsi="Arial"/>
          <w:sz w:val="18"/>
          <w:szCs w:val="18"/>
          <w:color w:val="auto"/>
        </w:rPr>
        <w:t>On November 8, 2011, Groupon, Inc. priced its initial public offering, selling 35,000,000 shares at a price of $20.00 per share. GSV Capital Corp.’s shares in Groupon, Inc. are subject to a lock-up agreement that expired on June 1, 2012. At June 30, 2012, GSV Capital Corp. valued Groupon, Inc. based on its June 29, 2012 closing price.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27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Headquarters / Industry</w:t>
            </w:r>
          </w:p>
        </w:tc>
        <w:tc>
          <w:tcPr>
            <w:tcW w:w="1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 / Par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13"/>
            <w:vMerge w:val="continue"/>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Borders>
              <w:top w:val="single" w:sz="8" w:color="auto"/>
              <w:bottom w:val="single" w:sz="8" w:color="CCFFCC"/>
            </w:tcBorders>
            <w:shd w:val="clear" w:color="auto" w:fill="CCFFCC"/>
          </w:tcPr>
          <w:p>
            <w:pPr>
              <w:spacing w:after="0"/>
              <w:rPr>
                <w:sz w:val="11"/>
                <w:szCs w:val="11"/>
                <w:color w:val="auto"/>
              </w:rPr>
            </w:pPr>
          </w:p>
        </w:tc>
        <w:tc>
          <w:tcPr>
            <w:tcW w:w="1700" w:type="dxa"/>
            <w:vAlign w:val="bottom"/>
            <w:tcBorders>
              <w:top w:val="single" w:sz="8" w:color="auto"/>
              <w:bottom w:val="single" w:sz="8" w:color="auto"/>
            </w:tcBorders>
            <w:gridSpan w:val="12"/>
            <w:shd w:val="clear" w:color="auto" w:fill="CCFFCC"/>
          </w:tcPr>
          <w:p>
            <w:pPr>
              <w:spacing w:after="0" w:line="129" w:lineRule="exact"/>
              <w:rPr>
                <w:sz w:val="20"/>
                <w:szCs w:val="20"/>
                <w:color w:val="auto"/>
              </w:rPr>
            </w:pPr>
            <w:r>
              <w:rPr>
                <w:rFonts w:ascii="Arial" w:cs="Arial" w:eastAsia="Arial" w:hAnsi="Arial"/>
                <w:sz w:val="14"/>
                <w:szCs w:val="14"/>
                <w:b w:val="1"/>
                <w:bCs w:val="1"/>
                <w:color w:val="auto"/>
                <w:w w:val="93"/>
              </w:rPr>
              <w:t>Bloom Energy Corporation</w:t>
            </w:r>
          </w:p>
        </w:tc>
        <w:tc>
          <w:tcPr>
            <w:tcW w:w="940" w:type="dxa"/>
            <w:vAlign w:val="bottom"/>
            <w:tcBorders>
              <w:top w:val="single" w:sz="8" w:color="auto"/>
              <w:bottom w:val="single" w:sz="8" w:color="CCFFCC"/>
            </w:tcBorders>
            <w:shd w:val="clear" w:color="auto" w:fill="CCFFCC"/>
          </w:tcPr>
          <w:p>
            <w:pPr>
              <w:spacing w:after="0"/>
              <w:rPr>
                <w:sz w:val="11"/>
                <w:szCs w:val="11"/>
                <w:color w:val="auto"/>
              </w:rPr>
            </w:pPr>
          </w:p>
        </w:tc>
        <w:tc>
          <w:tcPr>
            <w:tcW w:w="140" w:type="dxa"/>
            <w:vAlign w:val="bottom"/>
            <w:tcBorders>
              <w:top w:val="single" w:sz="8" w:color="CCFFCC"/>
              <w:bottom w:val="single" w:sz="8" w:color="CCFFCC"/>
            </w:tcBorders>
            <w:shd w:val="clear" w:color="auto" w:fill="CCFFCC"/>
          </w:tcPr>
          <w:p>
            <w:pPr>
              <w:spacing w:after="0"/>
              <w:rPr>
                <w:sz w:val="11"/>
                <w:szCs w:val="11"/>
                <w:color w:val="auto"/>
              </w:rPr>
            </w:pPr>
          </w:p>
        </w:tc>
        <w:tc>
          <w:tcPr>
            <w:tcW w:w="2520" w:type="dxa"/>
            <w:vAlign w:val="bottom"/>
            <w:tcBorders>
              <w:top w:val="single" w:sz="8" w:color="auto"/>
              <w:bottom w:val="single" w:sz="8" w:color="CCFFCC"/>
            </w:tcBorders>
            <w:shd w:val="clear" w:color="auto" w:fill="CCFFCC"/>
          </w:tcPr>
          <w:p>
            <w:pPr>
              <w:jc w:val="center"/>
              <w:ind w:left="48"/>
              <w:spacing w:after="0" w:line="129" w:lineRule="exact"/>
              <w:rPr>
                <w:sz w:val="20"/>
                <w:szCs w:val="20"/>
                <w:color w:val="auto"/>
              </w:rPr>
            </w:pPr>
            <w:r>
              <w:rPr>
                <w:rFonts w:ascii="Arial" w:cs="Arial" w:eastAsia="Arial" w:hAnsi="Arial"/>
                <w:sz w:val="14"/>
                <w:szCs w:val="14"/>
                <w:color w:val="auto"/>
                <w:w w:val="94"/>
              </w:rPr>
              <w:t>Sunnyvale, CA</w:t>
            </w:r>
          </w:p>
        </w:tc>
        <w:tc>
          <w:tcPr>
            <w:tcW w:w="240" w:type="dxa"/>
            <w:vAlign w:val="bottom"/>
            <w:tcBorders>
              <w:top w:val="single" w:sz="8" w:color="CCFFCC"/>
              <w:bottom w:val="single" w:sz="8" w:color="CCFFCC"/>
            </w:tcBorders>
            <w:shd w:val="clear" w:color="auto" w:fill="CCFFCC"/>
          </w:tcPr>
          <w:p>
            <w:pPr>
              <w:spacing w:after="0"/>
              <w:rPr>
                <w:sz w:val="11"/>
                <w:szCs w:val="11"/>
                <w:color w:val="auto"/>
              </w:rPr>
            </w:pPr>
          </w:p>
        </w:tc>
        <w:tc>
          <w:tcPr>
            <w:tcW w:w="160" w:type="dxa"/>
            <w:vAlign w:val="bottom"/>
            <w:tcBorders>
              <w:top w:val="single" w:sz="8" w:color="auto"/>
              <w:bottom w:val="single" w:sz="8" w:color="CCFFCC"/>
            </w:tcBorders>
            <w:shd w:val="clear" w:color="auto" w:fill="CCFFCC"/>
          </w:tcPr>
          <w:p>
            <w:pPr>
              <w:spacing w:after="0"/>
              <w:rPr>
                <w:sz w:val="11"/>
                <w:szCs w:val="11"/>
                <w:color w:val="auto"/>
              </w:rPr>
            </w:pPr>
          </w:p>
        </w:tc>
        <w:tc>
          <w:tcPr>
            <w:tcW w:w="1100" w:type="dxa"/>
            <w:vAlign w:val="bottom"/>
            <w:tcBorders>
              <w:top w:val="single" w:sz="8" w:color="auto"/>
              <w:bottom w:val="single" w:sz="8" w:color="CCFFCC"/>
            </w:tcBorders>
            <w:shd w:val="clear" w:color="auto" w:fill="CCFFCC"/>
          </w:tcPr>
          <w:p>
            <w:pPr>
              <w:spacing w:after="0"/>
              <w:rPr>
                <w:sz w:val="11"/>
                <w:szCs w:val="11"/>
                <w:color w:val="auto"/>
              </w:rPr>
            </w:pPr>
          </w:p>
        </w:tc>
        <w:tc>
          <w:tcPr>
            <w:tcW w:w="120" w:type="dxa"/>
            <w:vAlign w:val="bottom"/>
            <w:tcBorders>
              <w:top w:val="single" w:sz="8" w:color="CCFFCC"/>
              <w:bottom w:val="single" w:sz="8" w:color="CCFFCC"/>
            </w:tcBorders>
            <w:shd w:val="clear" w:color="auto" w:fill="CCFFCC"/>
          </w:tcPr>
          <w:p>
            <w:pPr>
              <w:spacing w:after="0"/>
              <w:rPr>
                <w:sz w:val="11"/>
                <w:szCs w:val="11"/>
                <w:color w:val="auto"/>
              </w:rPr>
            </w:pPr>
          </w:p>
        </w:tc>
        <w:tc>
          <w:tcPr>
            <w:tcW w:w="120" w:type="dxa"/>
            <w:vAlign w:val="bottom"/>
            <w:tcBorders>
              <w:top w:val="single" w:sz="8" w:color="CCFFCC"/>
              <w:bottom w:val="single" w:sz="8" w:color="CCFFCC"/>
            </w:tcBorders>
            <w:shd w:val="clear" w:color="auto" w:fill="CCFFCC"/>
          </w:tcPr>
          <w:p>
            <w:pPr>
              <w:spacing w:after="0"/>
              <w:rPr>
                <w:sz w:val="11"/>
                <w:szCs w:val="11"/>
                <w:color w:val="auto"/>
              </w:rPr>
            </w:pPr>
          </w:p>
        </w:tc>
        <w:tc>
          <w:tcPr>
            <w:tcW w:w="280" w:type="dxa"/>
            <w:vAlign w:val="bottom"/>
            <w:tcBorders>
              <w:top w:val="single" w:sz="8" w:color="auto"/>
              <w:bottom w:val="single" w:sz="8" w:color="CCFFCC"/>
            </w:tcBorders>
            <w:shd w:val="clear" w:color="auto" w:fill="CCFFCC"/>
          </w:tcPr>
          <w:p>
            <w:pPr>
              <w:spacing w:after="0"/>
              <w:rPr>
                <w:sz w:val="11"/>
                <w:szCs w:val="11"/>
                <w:color w:val="auto"/>
              </w:rPr>
            </w:pPr>
          </w:p>
        </w:tc>
        <w:tc>
          <w:tcPr>
            <w:tcW w:w="96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top w:val="single" w:sz="8" w:color="CCFFCC"/>
              <w:bottom w:val="single" w:sz="8" w:color="CCFFCC"/>
            </w:tcBorders>
            <w:shd w:val="clear" w:color="auto" w:fill="CCFFCC"/>
          </w:tcPr>
          <w:p>
            <w:pPr>
              <w:spacing w:after="0"/>
              <w:rPr>
                <w:sz w:val="11"/>
                <w:szCs w:val="11"/>
                <w:color w:val="auto"/>
              </w:rPr>
            </w:pPr>
          </w:p>
        </w:tc>
        <w:tc>
          <w:tcPr>
            <w:tcW w:w="180" w:type="dxa"/>
            <w:vAlign w:val="bottom"/>
            <w:tcBorders>
              <w:top w:val="single" w:sz="8" w:color="auto"/>
              <w:bottom w:val="single" w:sz="8" w:color="CCFFCC"/>
            </w:tcBorders>
            <w:shd w:val="clear" w:color="auto" w:fill="CCFFCC"/>
          </w:tcPr>
          <w:p>
            <w:pPr>
              <w:spacing w:after="0"/>
              <w:rPr>
                <w:sz w:val="11"/>
                <w:szCs w:val="11"/>
                <w:color w:val="auto"/>
              </w:rPr>
            </w:pPr>
          </w:p>
        </w:tc>
        <w:tc>
          <w:tcPr>
            <w:tcW w:w="106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top w:val="single" w:sz="8" w:color="CCFFCC"/>
              <w:bottom w:val="single" w:sz="8" w:color="CCFFCC"/>
            </w:tcBorders>
            <w:shd w:val="clear" w:color="auto" w:fill="CCFFCC"/>
          </w:tcPr>
          <w:p>
            <w:pPr>
              <w:spacing w:after="0"/>
              <w:rPr>
                <w:sz w:val="11"/>
                <w:szCs w:val="11"/>
                <w:color w:val="auto"/>
              </w:rPr>
            </w:pPr>
          </w:p>
        </w:tc>
        <w:tc>
          <w:tcPr>
            <w:tcW w:w="1240" w:type="dxa"/>
            <w:vAlign w:val="bottom"/>
            <w:tcBorders>
              <w:top w:val="single" w:sz="8" w:color="auto"/>
              <w:bottom w:val="single" w:sz="8" w:color="CCFFCC"/>
            </w:tcBorders>
            <w:shd w:val="clear" w:color="auto" w:fill="CCFFCC"/>
          </w:tcPr>
          <w:p>
            <w:pPr>
              <w:spacing w:after="0"/>
              <w:rPr>
                <w:sz w:val="11"/>
                <w:szCs w:val="11"/>
                <w:color w:val="auto"/>
              </w:rPr>
            </w:pPr>
          </w:p>
        </w:tc>
        <w:tc>
          <w:tcPr>
            <w:tcW w:w="120" w:type="dxa"/>
            <w:vAlign w:val="bottom"/>
            <w:tcBorders>
              <w:top w:val="single" w:sz="8" w:color="CCFFCC"/>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780" w:type="dxa"/>
            <w:vAlign w:val="bottom"/>
            <w:gridSpan w:val="14"/>
          </w:tcPr>
          <w:p>
            <w:pPr>
              <w:spacing w:after="0" w:line="142" w:lineRule="exact"/>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40"/>
              <w:spacing w:after="0" w:line="142" w:lineRule="exact"/>
              <w:rPr>
                <w:sz w:val="20"/>
                <w:szCs w:val="20"/>
                <w:color w:val="auto"/>
              </w:rPr>
            </w:pPr>
            <w:r>
              <w:rPr>
                <w:rFonts w:ascii="Arial" w:cs="Arial" w:eastAsia="Arial" w:hAnsi="Arial"/>
                <w:sz w:val="14"/>
                <w:szCs w:val="14"/>
                <w:color w:val="auto"/>
                <w:w w:val="94"/>
              </w:rPr>
              <w:t>Fuel Cell Energy</w:t>
            </w:r>
          </w:p>
        </w:tc>
        <w:tc>
          <w:tcPr>
            <w:tcW w:w="160" w:type="dxa"/>
            <w:vAlign w:val="bottom"/>
          </w:tcPr>
          <w:p>
            <w:pPr>
              <w:spacing w:after="0"/>
              <w:rPr>
                <w:sz w:val="12"/>
                <w:szCs w:val="12"/>
                <w:color w:val="auto"/>
              </w:rPr>
            </w:pPr>
          </w:p>
        </w:tc>
        <w:tc>
          <w:tcPr>
            <w:tcW w:w="12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96,389</w:t>
            </w:r>
          </w:p>
        </w:tc>
        <w:tc>
          <w:tcPr>
            <w:tcW w:w="4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1,815,818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1,771,335</w:t>
            </w:r>
          </w:p>
        </w:tc>
        <w:tc>
          <w:tcPr>
            <w:tcW w:w="22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780" w:type="dxa"/>
            <w:vAlign w:val="bottom"/>
            <w:gridSpan w:val="14"/>
          </w:tcPr>
          <w:p>
            <w:pPr>
              <w:spacing w:after="0" w:line="135" w:lineRule="exact"/>
              <w:rPr>
                <w:sz w:val="20"/>
                <w:szCs w:val="20"/>
                <w:color w:val="auto"/>
              </w:rPr>
            </w:pPr>
            <w:r>
              <w:rPr>
                <w:rFonts w:ascii="Arial" w:cs="Arial" w:eastAsia="Arial" w:hAnsi="Arial"/>
                <w:sz w:val="14"/>
                <w:szCs w:val="14"/>
                <w:b w:val="1"/>
                <w:bCs w:val="1"/>
                <w:color w:val="auto"/>
              </w:rPr>
              <w:t>Chegg, Inc.</w:t>
            </w:r>
          </w:p>
        </w:tc>
        <w:tc>
          <w:tcPr>
            <w:tcW w:w="27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2"/>
              </w:rPr>
              <w:t>Santa Clara,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FFCC"/>
          </w:tcPr>
          <w:p>
            <w:pPr>
              <w:spacing w:after="0"/>
              <w:rPr>
                <w:sz w:val="12"/>
                <w:szCs w:val="12"/>
                <w:color w:val="auto"/>
              </w:rPr>
            </w:pPr>
          </w:p>
        </w:tc>
        <w:tc>
          <w:tcPr>
            <w:tcW w:w="2780" w:type="dxa"/>
            <w:vAlign w:val="bottom"/>
            <w:gridSpan w:val="14"/>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276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w w:val="94"/>
              </w:rPr>
              <w:t>Textbook Rental</w:t>
            </w:r>
          </w:p>
        </w:tc>
        <w:tc>
          <w:tcPr>
            <w:tcW w:w="16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774,193</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6,003,694</w:t>
            </w: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5,999,996</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Borders>
              <w:bottom w:val="single" w:sz="8" w:color="CCFFCC"/>
            </w:tcBorders>
            <w:shd w:val="clear" w:color="auto" w:fill="CCFFCC"/>
          </w:tcPr>
          <w:p>
            <w:pPr>
              <w:spacing w:after="0"/>
              <w:rPr>
                <w:sz w:val="11"/>
                <w:szCs w:val="11"/>
                <w:color w:val="auto"/>
              </w:rPr>
            </w:pPr>
          </w:p>
        </w:tc>
        <w:tc>
          <w:tcPr>
            <w:tcW w:w="1360" w:type="dxa"/>
            <w:vAlign w:val="bottom"/>
            <w:tcBorders>
              <w:bottom w:val="single" w:sz="8" w:color="auto"/>
            </w:tcBorders>
            <w:gridSpan w:val="10"/>
            <w:shd w:val="clear" w:color="auto" w:fill="CCFFCC"/>
          </w:tcPr>
          <w:p>
            <w:pPr>
              <w:spacing w:after="0" w:line="135" w:lineRule="exact"/>
              <w:rPr>
                <w:sz w:val="20"/>
                <w:szCs w:val="20"/>
                <w:color w:val="auto"/>
              </w:rPr>
            </w:pPr>
            <w:r>
              <w:rPr>
                <w:rFonts w:ascii="Arial" w:cs="Arial" w:eastAsia="Arial" w:hAnsi="Arial"/>
                <w:sz w:val="14"/>
                <w:szCs w:val="14"/>
                <w:b w:val="1"/>
                <w:bCs w:val="1"/>
                <w:color w:val="auto"/>
                <w:w w:val="94"/>
              </w:rPr>
              <w:t>Control4 Corporation</w:t>
            </w:r>
          </w:p>
        </w:tc>
        <w:tc>
          <w:tcPr>
            <w:tcW w:w="1420" w:type="dxa"/>
            <w:vAlign w:val="bottom"/>
            <w:tcBorders>
              <w:bottom w:val="single" w:sz="8" w:color="CCFFCC"/>
            </w:tcBorders>
            <w:gridSpan w:val="4"/>
            <w:shd w:val="clear" w:color="auto" w:fill="CCFFCC"/>
          </w:tcPr>
          <w:p>
            <w:pPr>
              <w:spacing w:after="0"/>
              <w:rPr>
                <w:sz w:val="11"/>
                <w:szCs w:val="11"/>
                <w:color w:val="auto"/>
              </w:rPr>
            </w:pPr>
          </w:p>
        </w:tc>
        <w:tc>
          <w:tcPr>
            <w:tcW w:w="2760" w:type="dxa"/>
            <w:vAlign w:val="bottom"/>
            <w:tcBorders>
              <w:bottom w:val="single" w:sz="8" w:color="CCFFCC"/>
            </w:tcBorders>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5"/>
              </w:rPr>
              <w:t>Salt Lake City, UT</w:t>
            </w:r>
          </w:p>
        </w:tc>
        <w:tc>
          <w:tcPr>
            <w:tcW w:w="16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280" w:type="dxa"/>
            <w:vAlign w:val="bottom"/>
            <w:tcBorders>
              <w:bottom w:val="single" w:sz="8" w:color="CCFFCC"/>
            </w:tcBorders>
            <w:shd w:val="clear" w:color="auto" w:fill="CCFFCC"/>
          </w:tcPr>
          <w:p>
            <w:pPr>
              <w:spacing w:after="0"/>
              <w:rPr>
                <w:sz w:val="11"/>
                <w:szCs w:val="11"/>
                <w:color w:val="auto"/>
              </w:rPr>
            </w:pPr>
          </w:p>
        </w:tc>
        <w:tc>
          <w:tcPr>
            <w:tcW w:w="96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CCFFCC"/>
            </w:tcBorders>
            <w:shd w:val="clear" w:color="auto" w:fill="CCFFCC"/>
          </w:tcPr>
          <w:p>
            <w:pPr>
              <w:spacing w:after="0"/>
              <w:rPr>
                <w:sz w:val="11"/>
                <w:szCs w:val="11"/>
                <w:color w:val="auto"/>
              </w:rPr>
            </w:pPr>
          </w:p>
        </w:tc>
        <w:tc>
          <w:tcPr>
            <w:tcW w:w="106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124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780" w:type="dxa"/>
            <w:vAlign w:val="bottom"/>
            <w:gridSpan w:val="14"/>
          </w:tcPr>
          <w:p>
            <w:pPr>
              <w:spacing w:after="0" w:line="142" w:lineRule="exact"/>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6"/>
              </w:rPr>
              <w:t>Home Automation</w:t>
            </w:r>
          </w:p>
        </w:tc>
        <w:tc>
          <w:tcPr>
            <w:tcW w:w="160" w:type="dxa"/>
            <w:vAlign w:val="bottom"/>
          </w:tcPr>
          <w:p>
            <w:pPr>
              <w:spacing w:after="0"/>
              <w:rPr>
                <w:sz w:val="12"/>
                <w:szCs w:val="12"/>
                <w:color w:val="auto"/>
              </w:rPr>
            </w:pPr>
          </w:p>
        </w:tc>
        <w:tc>
          <w:tcPr>
            <w:tcW w:w="12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666,667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1,034,827</w:t>
            </w: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580" w:type="dxa"/>
            <w:vAlign w:val="bottom"/>
            <w:tcBorders>
              <w:bottom w:val="single" w:sz="8" w:color="auto"/>
            </w:tcBorders>
            <w:gridSpan w:val="11"/>
          </w:tcPr>
          <w:p>
            <w:pPr>
              <w:spacing w:after="0" w:line="135" w:lineRule="exact"/>
              <w:rPr>
                <w:sz w:val="20"/>
                <w:szCs w:val="20"/>
                <w:color w:val="auto"/>
              </w:rPr>
            </w:pPr>
            <w:r>
              <w:rPr>
                <w:rFonts w:ascii="Arial" w:cs="Arial" w:eastAsia="Arial" w:hAnsi="Arial"/>
                <w:sz w:val="14"/>
                <w:szCs w:val="14"/>
                <w:b w:val="1"/>
                <w:bCs w:val="1"/>
                <w:color w:val="auto"/>
                <w:w w:val="94"/>
              </w:rPr>
              <w:t>DreamBox Learning, Inc.</w:t>
            </w:r>
          </w:p>
        </w:tc>
        <w:tc>
          <w:tcPr>
            <w:tcW w:w="1200" w:type="dxa"/>
            <w:vAlign w:val="bottom"/>
            <w:gridSpan w:val="3"/>
          </w:tcPr>
          <w:p>
            <w:pPr>
              <w:spacing w:after="0"/>
              <w:rPr>
                <w:sz w:val="11"/>
                <w:szCs w:val="11"/>
                <w:color w:val="auto"/>
              </w:rPr>
            </w:pPr>
          </w:p>
        </w:tc>
        <w:tc>
          <w:tcPr>
            <w:tcW w:w="27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Bellevue, WA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FFCC"/>
          </w:tcPr>
          <w:p>
            <w:pPr>
              <w:spacing w:after="0"/>
              <w:rPr>
                <w:sz w:val="12"/>
                <w:szCs w:val="12"/>
                <w:color w:val="auto"/>
              </w:rPr>
            </w:pPr>
          </w:p>
        </w:tc>
        <w:tc>
          <w:tcPr>
            <w:tcW w:w="2780" w:type="dxa"/>
            <w:vAlign w:val="bottom"/>
            <w:gridSpan w:val="14"/>
            <w:shd w:val="clear" w:color="auto" w:fill="CCFFCC"/>
          </w:tcPr>
          <w:p>
            <w:pPr>
              <w:spacing w:after="0" w:line="142" w:lineRule="exact"/>
              <w:rPr>
                <w:sz w:val="20"/>
                <w:szCs w:val="20"/>
                <w:color w:val="auto"/>
              </w:rPr>
            </w:pPr>
            <w:r>
              <w:rPr>
                <w:rFonts w:ascii="Arial" w:cs="Arial" w:eastAsia="Arial" w:hAnsi="Arial"/>
                <w:sz w:val="14"/>
                <w:szCs w:val="14"/>
                <w:color w:val="auto"/>
              </w:rPr>
              <w:t>Preferred shares, Series A</w:t>
            </w:r>
          </w:p>
        </w:tc>
        <w:tc>
          <w:tcPr>
            <w:tcW w:w="2760" w:type="dxa"/>
            <w:vAlign w:val="bottom"/>
            <w:gridSpan w:val="2"/>
            <w:shd w:val="clear" w:color="auto" w:fill="CCFFCC"/>
          </w:tcPr>
          <w:p>
            <w:pPr>
              <w:jc w:val="center"/>
              <w:ind w:right="140"/>
              <w:spacing w:after="0" w:line="142" w:lineRule="exact"/>
              <w:rPr>
                <w:sz w:val="20"/>
                <w:szCs w:val="20"/>
                <w:color w:val="auto"/>
              </w:rPr>
            </w:pPr>
            <w:r>
              <w:rPr>
                <w:rFonts w:ascii="Arial" w:cs="Arial" w:eastAsia="Arial" w:hAnsi="Arial"/>
                <w:sz w:val="14"/>
                <w:szCs w:val="14"/>
                <w:color w:val="auto"/>
                <w:w w:val="93"/>
              </w:rPr>
              <w:t>Education Technology</w:t>
            </w: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3,579,610</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757,955</w:t>
            </w:r>
          </w:p>
        </w:tc>
        <w:tc>
          <w:tcPr>
            <w:tcW w:w="18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750,000</w:t>
            </w:r>
          </w:p>
        </w:tc>
        <w:tc>
          <w:tcPr>
            <w:tcW w:w="13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 w:type="dxa"/>
            <w:vAlign w:val="bottom"/>
            <w:tcBorders>
              <w:bottom w:val="single" w:sz="8" w:color="CCFFCC"/>
            </w:tcBorders>
            <w:shd w:val="clear" w:color="auto" w:fill="CCFFCC"/>
          </w:tcPr>
          <w:p>
            <w:pPr>
              <w:spacing w:after="0"/>
              <w:rPr>
                <w:sz w:val="13"/>
                <w:szCs w:val="13"/>
                <w:color w:val="auto"/>
              </w:rPr>
            </w:pPr>
          </w:p>
        </w:tc>
        <w:tc>
          <w:tcPr>
            <w:tcW w:w="900" w:type="dxa"/>
            <w:vAlign w:val="bottom"/>
            <w:tcBorders>
              <w:bottom w:val="single" w:sz="8" w:color="auto"/>
              <w:right w:val="single" w:sz="8" w:color="CCFFCC"/>
            </w:tcBorders>
            <w:gridSpan w:val="4"/>
            <w:shd w:val="clear" w:color="auto" w:fill="CCFFCC"/>
          </w:tcPr>
          <w:p>
            <w:pPr>
              <w:spacing w:after="0" w:line="135" w:lineRule="exact"/>
              <w:rPr>
                <w:sz w:val="20"/>
                <w:szCs w:val="20"/>
                <w:color w:val="auto"/>
              </w:rPr>
            </w:pPr>
            <w:r>
              <w:rPr>
                <w:rFonts w:ascii="Arial" w:cs="Arial" w:eastAsia="Arial" w:hAnsi="Arial"/>
                <w:sz w:val="14"/>
                <w:szCs w:val="14"/>
                <w:b w:val="1"/>
                <w:bCs w:val="1"/>
                <w:color w:val="auto"/>
                <w:w w:val="96"/>
              </w:rPr>
              <w:t>Dropbox, Inc.</w:t>
            </w:r>
          </w:p>
        </w:tc>
        <w:tc>
          <w:tcPr>
            <w:tcW w:w="1880" w:type="dxa"/>
            <w:vAlign w:val="bottom"/>
            <w:tcBorders>
              <w:bottom w:val="single" w:sz="8" w:color="CCFFCC"/>
            </w:tcBorders>
            <w:gridSpan w:val="10"/>
            <w:shd w:val="clear" w:color="auto" w:fill="CCFFCC"/>
          </w:tcPr>
          <w:p>
            <w:pPr>
              <w:spacing w:after="0"/>
              <w:rPr>
                <w:sz w:val="13"/>
                <w:szCs w:val="13"/>
                <w:color w:val="auto"/>
              </w:rPr>
            </w:pPr>
          </w:p>
        </w:tc>
        <w:tc>
          <w:tcPr>
            <w:tcW w:w="2760" w:type="dxa"/>
            <w:vAlign w:val="bottom"/>
            <w:tcBorders>
              <w:bottom w:val="single" w:sz="8" w:color="CCFFCC"/>
            </w:tcBorders>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6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80" w:type="dxa"/>
            <w:vAlign w:val="bottom"/>
            <w:tcBorders>
              <w:bottom w:val="single" w:sz="8" w:color="CCFFCC"/>
            </w:tcBorders>
            <w:shd w:val="clear" w:color="auto" w:fill="CCFFCC"/>
          </w:tcPr>
          <w:p>
            <w:pPr>
              <w:spacing w:after="0"/>
              <w:rPr>
                <w:sz w:val="13"/>
                <w:szCs w:val="13"/>
                <w:color w:val="auto"/>
              </w:rPr>
            </w:pPr>
          </w:p>
        </w:tc>
        <w:tc>
          <w:tcPr>
            <w:tcW w:w="96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180" w:type="dxa"/>
            <w:vAlign w:val="bottom"/>
            <w:tcBorders>
              <w:bottom w:val="single" w:sz="8" w:color="CCFFCC"/>
            </w:tcBorders>
            <w:shd w:val="clear" w:color="auto" w:fill="CCFFCC"/>
          </w:tcPr>
          <w:p>
            <w:pPr>
              <w:spacing w:after="0"/>
              <w:rPr>
                <w:sz w:val="13"/>
                <w:szCs w:val="13"/>
                <w:color w:val="auto"/>
              </w:rPr>
            </w:pPr>
          </w:p>
        </w:tc>
        <w:tc>
          <w:tcPr>
            <w:tcW w:w="106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124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780" w:type="dxa"/>
            <w:vAlign w:val="bottom"/>
            <w:gridSpan w:val="14"/>
          </w:tcPr>
          <w:p>
            <w:pPr>
              <w:spacing w:after="0" w:line="122" w:lineRule="exact"/>
              <w:rPr>
                <w:sz w:val="20"/>
                <w:szCs w:val="20"/>
                <w:color w:val="auto"/>
              </w:rPr>
            </w:pPr>
            <w:r>
              <w:rPr>
                <w:rFonts w:ascii="Arial" w:cs="Arial" w:eastAsia="Arial" w:hAnsi="Arial"/>
                <w:sz w:val="14"/>
                <w:szCs w:val="14"/>
                <w:color w:val="auto"/>
              </w:rPr>
              <w:t>Preferred shares, Series A</w:t>
            </w:r>
          </w:p>
        </w:tc>
        <w:tc>
          <w:tcPr>
            <w:tcW w:w="2760" w:type="dxa"/>
            <w:vAlign w:val="bottom"/>
            <w:gridSpan w:val="2"/>
          </w:tcPr>
          <w:p>
            <w:pPr>
              <w:jc w:val="center"/>
              <w:ind w:right="140"/>
              <w:spacing w:after="0" w:line="122" w:lineRule="exact"/>
              <w:rPr>
                <w:sz w:val="20"/>
                <w:szCs w:val="20"/>
                <w:color w:val="auto"/>
              </w:rPr>
            </w:pPr>
            <w:r>
              <w:rPr>
                <w:rFonts w:ascii="Arial" w:cs="Arial" w:eastAsia="Arial" w:hAnsi="Arial"/>
                <w:sz w:val="14"/>
                <w:szCs w:val="14"/>
                <w:color w:val="auto"/>
                <w:w w:val="92"/>
              </w:rPr>
              <w:t>Online Storage</w:t>
            </w:r>
          </w:p>
        </w:tc>
        <w:tc>
          <w:tcPr>
            <w:tcW w:w="160" w:type="dxa"/>
            <w:vAlign w:val="bottom"/>
          </w:tcPr>
          <w:p>
            <w:pPr>
              <w:spacing w:after="0"/>
              <w:rPr>
                <w:sz w:val="10"/>
                <w:szCs w:val="10"/>
                <w:color w:val="auto"/>
              </w:rPr>
            </w:pP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552,486</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5,015,333</w:t>
            </w:r>
          </w:p>
        </w:tc>
        <w:tc>
          <w:tcPr>
            <w:tcW w:w="18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4"/>
                <w:szCs w:val="14"/>
                <w:color w:val="auto"/>
              </w:rPr>
              <w:t>4,999,998</w:t>
            </w:r>
          </w:p>
        </w:tc>
        <w:tc>
          <w:tcPr>
            <w:tcW w:w="220" w:type="dxa"/>
            <w:vAlign w:val="bottom"/>
          </w:tcPr>
          <w:p>
            <w:pPr>
              <w:spacing w:after="0"/>
              <w:rPr>
                <w:sz w:val="10"/>
                <w:szCs w:val="10"/>
                <w:color w:val="auto"/>
              </w:rPr>
            </w:pPr>
          </w:p>
        </w:tc>
        <w:tc>
          <w:tcPr>
            <w:tcW w:w="13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780" w:type="dxa"/>
            <w:vAlign w:val="bottom"/>
            <w:gridSpan w:val="14"/>
          </w:tcPr>
          <w:p>
            <w:pPr>
              <w:spacing w:after="0" w:line="135" w:lineRule="exact"/>
              <w:rPr>
                <w:sz w:val="20"/>
                <w:szCs w:val="20"/>
                <w:color w:val="auto"/>
              </w:rPr>
            </w:pPr>
            <w:r>
              <w:rPr>
                <w:rFonts w:ascii="Arial" w:cs="Arial" w:eastAsia="Arial" w:hAnsi="Arial"/>
                <w:sz w:val="14"/>
                <w:szCs w:val="14"/>
                <w:b w:val="1"/>
                <w:bCs w:val="1"/>
                <w:color w:val="auto"/>
              </w:rPr>
              <w:t>Facebook, Inc.</w:t>
            </w:r>
          </w:p>
        </w:tc>
        <w:tc>
          <w:tcPr>
            <w:tcW w:w="27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8"/>
              </w:rPr>
              <w:t>Palo Alto,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FFCC"/>
          </w:tcPr>
          <w:p>
            <w:pPr>
              <w:spacing w:after="0"/>
              <w:rPr>
                <w:sz w:val="12"/>
                <w:szCs w:val="12"/>
                <w:color w:val="auto"/>
              </w:rPr>
            </w:pPr>
          </w:p>
        </w:tc>
        <w:tc>
          <w:tcPr>
            <w:tcW w:w="2780" w:type="dxa"/>
            <w:vAlign w:val="bottom"/>
            <w:gridSpan w:val="14"/>
            <w:shd w:val="clear" w:color="auto" w:fill="CCFFCC"/>
          </w:tcPr>
          <w:p>
            <w:pPr>
              <w:spacing w:after="0" w:line="142" w:lineRule="exact"/>
              <w:rPr>
                <w:sz w:val="20"/>
                <w:szCs w:val="20"/>
                <w:color w:val="auto"/>
              </w:rPr>
            </w:pPr>
            <w:r>
              <w:rPr>
                <w:rFonts w:ascii="Arial" w:cs="Arial" w:eastAsia="Arial" w:hAnsi="Arial"/>
                <w:sz w:val="14"/>
                <w:szCs w:val="14"/>
                <w:color w:val="auto"/>
              </w:rPr>
              <w:t>Common shares, Class B</w:t>
            </w:r>
          </w:p>
        </w:tc>
        <w:tc>
          <w:tcPr>
            <w:tcW w:w="276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w w:val="96"/>
              </w:rPr>
              <w:t>Social Networking</w:t>
            </w:r>
          </w:p>
        </w:tc>
        <w:tc>
          <w:tcPr>
            <w:tcW w:w="16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350,000</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10,465,981</w:t>
            </w: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10,462,500</w:t>
            </w:r>
          </w:p>
        </w:tc>
        <w:tc>
          <w:tcPr>
            <w:tcW w:w="2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FFCC"/>
          </w:tcPr>
          <w:p>
            <w:pPr>
              <w:spacing w:after="0"/>
              <w:rPr>
                <w:sz w:val="11"/>
                <w:szCs w:val="11"/>
                <w:color w:val="auto"/>
              </w:rPr>
            </w:pPr>
          </w:p>
        </w:tc>
        <w:tc>
          <w:tcPr>
            <w:tcW w:w="2780" w:type="dxa"/>
            <w:vAlign w:val="bottom"/>
            <w:gridSpan w:val="14"/>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Gilt Groupe, Inc.</w:t>
            </w:r>
          </w:p>
        </w:tc>
        <w:tc>
          <w:tcPr>
            <w:tcW w:w="2760" w:type="dxa"/>
            <w:vAlign w:val="bottom"/>
            <w:gridSpan w:val="2"/>
            <w:shd w:val="clear" w:color="auto" w:fill="CCFFCC"/>
          </w:tcPr>
          <w:p>
            <w:pPr>
              <w:jc w:val="center"/>
              <w:ind w:right="140"/>
              <w:spacing w:after="0" w:line="135" w:lineRule="exact"/>
              <w:rPr>
                <w:sz w:val="20"/>
                <w:szCs w:val="20"/>
                <w:color w:val="auto"/>
              </w:rPr>
            </w:pPr>
            <w:r>
              <w:rPr>
                <w:rFonts w:ascii="Arial" w:cs="Arial" w:eastAsia="Arial" w:hAnsi="Arial"/>
                <w:sz w:val="14"/>
                <w:szCs w:val="14"/>
                <w:color w:val="auto"/>
                <w:w w:val="97"/>
              </w:rPr>
              <w:t>New York, NY</w:t>
            </w:r>
          </w:p>
        </w:tc>
        <w:tc>
          <w:tcPr>
            <w:tcW w:w="16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94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2760" w:type="dxa"/>
            <w:vAlign w:val="bottom"/>
            <w:tcBorders>
              <w:top w:val="single" w:sz="8" w:color="CCFFCC"/>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1"/>
              </w:rPr>
              <w:t>e-Commerce</w:t>
            </w:r>
          </w:p>
        </w:tc>
        <w:tc>
          <w:tcPr>
            <w:tcW w:w="160" w:type="dxa"/>
            <w:vAlign w:val="bottom"/>
            <w:tcBorders>
              <w:top w:val="single" w:sz="8" w:color="CCFFCC"/>
            </w:tcBorders>
          </w:tcPr>
          <w:p>
            <w:pPr>
              <w:spacing w:after="0"/>
              <w:rPr>
                <w:sz w:val="10"/>
                <w:szCs w:val="10"/>
                <w:color w:val="auto"/>
              </w:rPr>
            </w:pPr>
          </w:p>
        </w:tc>
        <w:tc>
          <w:tcPr>
            <w:tcW w:w="1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280" w:type="dxa"/>
            <w:vAlign w:val="bottom"/>
            <w:tcBorders>
              <w:top w:val="single" w:sz="8" w:color="CCFFCC"/>
            </w:tcBorders>
          </w:tcPr>
          <w:p>
            <w:pPr>
              <w:spacing w:after="0"/>
              <w:rPr>
                <w:sz w:val="10"/>
                <w:szCs w:val="10"/>
                <w:color w:val="auto"/>
              </w:rPr>
            </w:pPr>
          </w:p>
        </w:tc>
        <w:tc>
          <w:tcPr>
            <w:tcW w:w="96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106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2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2780" w:type="dxa"/>
            <w:vAlign w:val="bottom"/>
            <w:gridSpan w:val="14"/>
          </w:tcPr>
          <w:p>
            <w:pPr>
              <w:spacing w:after="0"/>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Flash Sales</w:t>
            </w:r>
          </w:p>
        </w:tc>
        <w:tc>
          <w:tcPr>
            <w:tcW w:w="1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203,100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5,576,979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5,499,250</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780" w:type="dxa"/>
            <w:vAlign w:val="bottom"/>
            <w:gridSpan w:val="14"/>
          </w:tcPr>
          <w:p>
            <w:pPr>
              <w:spacing w:after="0" w:line="135" w:lineRule="exact"/>
              <w:rPr>
                <w:sz w:val="20"/>
                <w:szCs w:val="20"/>
                <w:color w:val="auto"/>
              </w:rPr>
            </w:pPr>
            <w:r>
              <w:rPr>
                <w:rFonts w:ascii="Arial" w:cs="Arial" w:eastAsia="Arial" w:hAnsi="Arial"/>
                <w:sz w:val="14"/>
                <w:szCs w:val="14"/>
                <w:b w:val="1"/>
                <w:bCs w:val="1"/>
                <w:color w:val="auto"/>
              </w:rPr>
              <w:t>Grockit, Inc.</w:t>
            </w:r>
          </w:p>
        </w:tc>
        <w:tc>
          <w:tcPr>
            <w:tcW w:w="27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120" w:type="dxa"/>
            <w:vAlign w:val="bottom"/>
            <w:tcBorders>
              <w:righ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760" w:type="dxa"/>
            <w:vAlign w:val="bottom"/>
            <w:gridSpan w:val="2"/>
            <w:shd w:val="clear" w:color="auto" w:fill="CCFFCC"/>
          </w:tcPr>
          <w:p>
            <w:pPr>
              <w:jc w:val="center"/>
              <w:ind w:right="140"/>
              <w:spacing w:after="0" w:line="123" w:lineRule="exact"/>
              <w:rPr>
                <w:sz w:val="20"/>
                <w:szCs w:val="20"/>
                <w:color w:val="auto"/>
              </w:rPr>
            </w:pPr>
            <w:r>
              <w:rPr>
                <w:rFonts w:ascii="Arial" w:cs="Arial" w:eastAsia="Arial" w:hAnsi="Arial"/>
                <w:sz w:val="14"/>
                <w:szCs w:val="14"/>
                <w:color w:val="auto"/>
                <w:w w:val="92"/>
              </w:rPr>
              <w:t>Online Test</w:t>
            </w:r>
          </w:p>
        </w:tc>
        <w:tc>
          <w:tcPr>
            <w:tcW w:w="16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2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 w:type="dxa"/>
            <w:vAlign w:val="bottom"/>
            <w:shd w:val="clear" w:color="auto" w:fill="CCFFCC"/>
          </w:tcPr>
          <w:p>
            <w:pPr>
              <w:spacing w:after="0"/>
              <w:rPr>
                <w:sz w:val="14"/>
                <w:szCs w:val="14"/>
                <w:color w:val="auto"/>
              </w:rPr>
            </w:pPr>
          </w:p>
        </w:tc>
        <w:tc>
          <w:tcPr>
            <w:tcW w:w="2780" w:type="dxa"/>
            <w:vAlign w:val="bottom"/>
            <w:gridSpan w:val="14"/>
            <w:shd w:val="clear" w:color="auto" w:fill="CCFFCC"/>
          </w:tcPr>
          <w:p>
            <w:pPr>
              <w:spacing w:after="0"/>
              <w:rPr>
                <w:sz w:val="20"/>
                <w:szCs w:val="20"/>
                <w:color w:val="auto"/>
              </w:rPr>
            </w:pPr>
            <w:r>
              <w:rPr>
                <w:rFonts w:ascii="Arial" w:cs="Arial" w:eastAsia="Arial" w:hAnsi="Arial"/>
                <w:sz w:val="14"/>
                <w:szCs w:val="14"/>
                <w:color w:val="auto"/>
              </w:rPr>
              <w:t>Preferred shares, Series B</w:t>
            </w:r>
          </w:p>
        </w:tc>
        <w:tc>
          <w:tcPr>
            <w:tcW w:w="2760" w:type="dxa"/>
            <w:vAlign w:val="bottom"/>
            <w:gridSpan w:val="2"/>
            <w:shd w:val="clear" w:color="auto" w:fill="CCFFCC"/>
          </w:tcPr>
          <w:p>
            <w:pPr>
              <w:jc w:val="center"/>
              <w:ind w:right="140"/>
              <w:spacing w:after="0"/>
              <w:rPr>
                <w:sz w:val="20"/>
                <w:szCs w:val="20"/>
                <w:color w:val="auto"/>
              </w:rPr>
            </w:pPr>
            <w:r>
              <w:rPr>
                <w:rFonts w:ascii="Arial" w:cs="Arial" w:eastAsia="Arial" w:hAnsi="Arial"/>
                <w:sz w:val="14"/>
                <w:szCs w:val="14"/>
                <w:color w:val="auto"/>
                <w:w w:val="91"/>
              </w:rPr>
              <w:t>Preparation</w:t>
            </w:r>
          </w:p>
        </w:tc>
        <w:tc>
          <w:tcPr>
            <w:tcW w:w="160" w:type="dxa"/>
            <w:vAlign w:val="bottom"/>
            <w:shd w:val="clear" w:color="auto" w:fill="CCFFCC"/>
          </w:tcPr>
          <w:p>
            <w:pPr>
              <w:spacing w:after="0"/>
              <w:rPr>
                <w:sz w:val="14"/>
                <w:szCs w:val="1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2,728,252</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2,005,945</w:t>
            </w:r>
          </w:p>
        </w:tc>
        <w:tc>
          <w:tcPr>
            <w:tcW w:w="180" w:type="dxa"/>
            <w:vAlign w:val="bottom"/>
            <w:shd w:val="clear" w:color="auto" w:fill="CCFFCC"/>
          </w:tcPr>
          <w:p>
            <w:pPr>
              <w:spacing w:after="0"/>
              <w:rPr>
                <w:sz w:val="14"/>
                <w:szCs w:val="14"/>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right w:val="single" w:sz="8" w:color="CCFFCC"/>
            </w:tcBorders>
            <w:gridSpan w:val="4"/>
            <w:vMerge w:val="restart"/>
            <w:shd w:val="clear" w:color="auto" w:fill="CCFFCC"/>
          </w:tcPr>
          <w:p>
            <w:pPr>
              <w:spacing w:after="0"/>
              <w:rPr>
                <w:sz w:val="20"/>
                <w:szCs w:val="20"/>
                <w:color w:val="auto"/>
              </w:rPr>
            </w:pPr>
            <w:r>
              <w:rPr>
                <w:rFonts w:ascii="Arial" w:cs="Arial" w:eastAsia="Arial" w:hAnsi="Arial"/>
                <w:sz w:val="14"/>
                <w:szCs w:val="14"/>
                <w:b w:val="1"/>
                <w:bCs w:val="1"/>
                <w:color w:val="auto"/>
                <w:w w:val="94"/>
              </w:rPr>
              <w:t>Groupon, Inc.</w:t>
            </w:r>
          </w:p>
        </w:tc>
        <w:tc>
          <w:tcPr>
            <w:tcW w:w="140" w:type="dxa"/>
            <w:vAlign w:val="bottom"/>
            <w:tcBorders>
              <w:bottom w:val="single" w:sz="8" w:color="auto"/>
            </w:tcBorders>
            <w:gridSpan w:val="2"/>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200" w:type="dxa"/>
            <w:vAlign w:val="bottom"/>
            <w:tcBorders>
              <w:bottom w:val="single" w:sz="8" w:color="CCFFCC"/>
            </w:tcBorders>
            <w:gridSpan w:val="2"/>
            <w:vMerge w:val="restart"/>
            <w:shd w:val="clear" w:color="auto" w:fill="CCFFCC"/>
          </w:tcPr>
          <w:p>
            <w:pPr>
              <w:spacing w:after="0"/>
              <w:rPr>
                <w:sz w:val="10"/>
                <w:szCs w:val="10"/>
                <w:color w:val="auto"/>
              </w:rPr>
            </w:pPr>
          </w:p>
        </w:tc>
        <w:tc>
          <w:tcPr>
            <w:tcW w:w="60" w:type="dxa"/>
            <w:vAlign w:val="bottom"/>
            <w:tcBorders>
              <w:bottom w:val="single" w:sz="8" w:color="CCFFCC"/>
            </w:tcBorders>
            <w:vMerge w:val="restart"/>
            <w:shd w:val="clear" w:color="auto" w:fill="CCFFCC"/>
          </w:tcPr>
          <w:p>
            <w:pPr>
              <w:spacing w:after="0"/>
              <w:rPr>
                <w:sz w:val="10"/>
                <w:szCs w:val="10"/>
                <w:color w:val="auto"/>
              </w:rPr>
            </w:pPr>
          </w:p>
        </w:tc>
        <w:tc>
          <w:tcPr>
            <w:tcW w:w="1480" w:type="dxa"/>
            <w:vAlign w:val="bottom"/>
            <w:tcBorders>
              <w:bottom w:val="single" w:sz="8" w:color="CCFFCC"/>
            </w:tcBorders>
            <w:gridSpan w:val="5"/>
            <w:vMerge w:val="restart"/>
            <w:shd w:val="clear" w:color="auto" w:fill="CCFFCC"/>
          </w:tcPr>
          <w:p>
            <w:pPr>
              <w:spacing w:after="0"/>
              <w:rPr>
                <w:sz w:val="10"/>
                <w:szCs w:val="10"/>
                <w:color w:val="auto"/>
              </w:rPr>
            </w:pPr>
          </w:p>
        </w:tc>
        <w:tc>
          <w:tcPr>
            <w:tcW w:w="2760" w:type="dxa"/>
            <w:vAlign w:val="bottom"/>
            <w:tcBorders>
              <w:bottom w:val="single" w:sz="8" w:color="CCFFCC"/>
            </w:tcBorders>
            <w:gridSpan w:val="2"/>
            <w:vMerge w:val="restart"/>
            <w:shd w:val="clear" w:color="auto" w:fill="CCFFCC"/>
          </w:tcPr>
          <w:p>
            <w:pPr>
              <w:jc w:val="center"/>
              <w:ind w:right="120"/>
              <w:spacing w:after="0"/>
              <w:rPr>
                <w:sz w:val="20"/>
                <w:szCs w:val="20"/>
                <w:color w:val="auto"/>
              </w:rPr>
            </w:pPr>
            <w:r>
              <w:rPr>
                <w:rFonts w:ascii="Arial" w:cs="Arial" w:eastAsia="Arial" w:hAnsi="Arial"/>
                <w:sz w:val="14"/>
                <w:szCs w:val="14"/>
                <w:color w:val="auto"/>
                <w:w w:val="95"/>
              </w:rPr>
              <w:t>Chicago, IL</w:t>
            </w:r>
          </w:p>
        </w:tc>
        <w:tc>
          <w:tcPr>
            <w:tcW w:w="160" w:type="dxa"/>
            <w:vAlign w:val="bottom"/>
            <w:tcBorders>
              <w:bottom w:val="single" w:sz="8" w:color="CCFFCC"/>
            </w:tcBorders>
            <w:shd w:val="clear" w:color="auto" w:fill="CCFFCC"/>
          </w:tcPr>
          <w:p>
            <w:pPr>
              <w:spacing w:after="0"/>
              <w:rPr>
                <w:sz w:val="10"/>
                <w:szCs w:val="10"/>
                <w:color w:val="auto"/>
              </w:rPr>
            </w:pPr>
          </w:p>
        </w:tc>
        <w:tc>
          <w:tcPr>
            <w:tcW w:w="1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280" w:type="dxa"/>
            <w:vAlign w:val="bottom"/>
            <w:tcBorders>
              <w:bottom w:val="single" w:sz="8" w:color="CCFFCC"/>
            </w:tcBorders>
            <w:shd w:val="clear" w:color="auto" w:fill="CCFFCC"/>
          </w:tcPr>
          <w:p>
            <w:pPr>
              <w:spacing w:after="0"/>
              <w:rPr>
                <w:sz w:val="10"/>
                <w:szCs w:val="10"/>
                <w:color w:val="auto"/>
              </w:rPr>
            </w:pPr>
          </w:p>
        </w:tc>
        <w:tc>
          <w:tcPr>
            <w:tcW w:w="96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80" w:type="dxa"/>
            <w:vAlign w:val="bottom"/>
            <w:tcBorders>
              <w:bottom w:val="single" w:sz="8" w:color="CCFFCC"/>
            </w:tcBorders>
            <w:shd w:val="clear" w:color="auto" w:fill="CCFFCC"/>
          </w:tcPr>
          <w:p>
            <w:pPr>
              <w:spacing w:after="0"/>
              <w:rPr>
                <w:sz w:val="10"/>
                <w:szCs w:val="10"/>
                <w:color w:val="auto"/>
              </w:rPr>
            </w:pPr>
          </w:p>
        </w:tc>
        <w:tc>
          <w:tcPr>
            <w:tcW w:w="106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2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CCFFCC"/>
            </w:tcBorders>
            <w:shd w:val="clear" w:color="auto" w:fill="CCFFCC"/>
          </w:tcPr>
          <w:p>
            <w:pPr>
              <w:spacing w:after="0"/>
              <w:rPr>
                <w:sz w:val="4"/>
                <w:szCs w:val="4"/>
                <w:color w:val="auto"/>
              </w:rPr>
            </w:pPr>
          </w:p>
        </w:tc>
        <w:tc>
          <w:tcPr>
            <w:tcW w:w="900" w:type="dxa"/>
            <w:vAlign w:val="bottom"/>
            <w:tcBorders>
              <w:bottom w:val="single" w:sz="8" w:color="auto"/>
              <w:right w:val="single" w:sz="8" w:color="CCFFCC"/>
            </w:tcBorders>
            <w:gridSpan w:val="4"/>
            <w:vMerge w:val="continue"/>
            <w:shd w:val="clear" w:color="auto" w:fill="CCFFCC"/>
          </w:tcPr>
          <w:p>
            <w:pPr>
              <w:spacing w:after="0"/>
              <w:rPr>
                <w:sz w:val="4"/>
                <w:szCs w:val="4"/>
                <w:color w:val="auto"/>
              </w:rPr>
            </w:pPr>
          </w:p>
        </w:tc>
        <w:tc>
          <w:tcPr>
            <w:tcW w:w="100" w:type="dxa"/>
            <w:vAlign w:val="bottom"/>
            <w:tcBorders>
              <w:bottom w:val="single" w:sz="8" w:color="CCFFCC"/>
            </w:tcBorders>
            <w:shd w:val="clear" w:color="auto" w:fill="CCFFCC"/>
          </w:tcPr>
          <w:p>
            <w:pPr>
              <w:spacing w:after="0"/>
              <w:rPr>
                <w:sz w:val="4"/>
                <w:szCs w:val="4"/>
                <w:color w:val="auto"/>
              </w:rPr>
            </w:pPr>
          </w:p>
        </w:tc>
        <w:tc>
          <w:tcPr>
            <w:tcW w:w="40" w:type="dxa"/>
            <w:vAlign w:val="bottom"/>
            <w:tcBorders>
              <w:bottom w:val="single" w:sz="8" w:color="CCFFCC"/>
            </w:tcBorders>
            <w:shd w:val="clear" w:color="auto" w:fill="CCFFCC"/>
          </w:tcPr>
          <w:p>
            <w:pPr>
              <w:spacing w:after="0"/>
              <w:rPr>
                <w:sz w:val="4"/>
                <w:szCs w:val="4"/>
                <w:color w:val="auto"/>
              </w:rPr>
            </w:pPr>
          </w:p>
        </w:tc>
        <w:tc>
          <w:tcPr>
            <w:tcW w:w="200" w:type="dxa"/>
            <w:vAlign w:val="bottom"/>
            <w:tcBorders>
              <w:bottom w:val="single" w:sz="8" w:color="CCFFCC"/>
            </w:tcBorders>
            <w:gridSpan w:val="2"/>
            <w:vMerge w:val="continue"/>
            <w:shd w:val="clear" w:color="auto" w:fill="CCFFCC"/>
          </w:tcPr>
          <w:p>
            <w:pPr>
              <w:spacing w:after="0"/>
              <w:rPr>
                <w:sz w:val="4"/>
                <w:szCs w:val="4"/>
                <w:color w:val="auto"/>
              </w:rPr>
            </w:pPr>
          </w:p>
        </w:tc>
        <w:tc>
          <w:tcPr>
            <w:tcW w:w="60" w:type="dxa"/>
            <w:vAlign w:val="bottom"/>
            <w:tcBorders>
              <w:bottom w:val="single" w:sz="8" w:color="CCFFCC"/>
            </w:tcBorders>
            <w:vMerge w:val="continue"/>
            <w:shd w:val="clear" w:color="auto" w:fill="CCFFCC"/>
          </w:tcPr>
          <w:p>
            <w:pPr>
              <w:spacing w:after="0"/>
              <w:rPr>
                <w:sz w:val="4"/>
                <w:szCs w:val="4"/>
                <w:color w:val="auto"/>
              </w:rPr>
            </w:pPr>
          </w:p>
        </w:tc>
        <w:tc>
          <w:tcPr>
            <w:tcW w:w="1480" w:type="dxa"/>
            <w:vAlign w:val="bottom"/>
            <w:tcBorders>
              <w:bottom w:val="single" w:sz="8" w:color="CCFFCC"/>
            </w:tcBorders>
            <w:gridSpan w:val="5"/>
            <w:vMerge w:val="continue"/>
            <w:shd w:val="clear" w:color="auto" w:fill="CCFFCC"/>
          </w:tcPr>
          <w:p>
            <w:pPr>
              <w:spacing w:after="0"/>
              <w:rPr>
                <w:sz w:val="4"/>
                <w:szCs w:val="4"/>
                <w:color w:val="auto"/>
              </w:rPr>
            </w:pPr>
          </w:p>
        </w:tc>
        <w:tc>
          <w:tcPr>
            <w:tcW w:w="2760" w:type="dxa"/>
            <w:vAlign w:val="bottom"/>
            <w:tcBorders>
              <w:bottom w:val="single" w:sz="8" w:color="CCFFCC"/>
            </w:tcBorders>
            <w:gridSpan w:val="2"/>
            <w:vMerge w:val="continue"/>
            <w:shd w:val="clear" w:color="auto" w:fill="CCFFCC"/>
          </w:tcPr>
          <w:p>
            <w:pPr>
              <w:spacing w:after="0"/>
              <w:rPr>
                <w:sz w:val="4"/>
                <w:szCs w:val="4"/>
                <w:color w:val="auto"/>
              </w:rPr>
            </w:pPr>
          </w:p>
        </w:tc>
        <w:tc>
          <w:tcPr>
            <w:tcW w:w="160" w:type="dxa"/>
            <w:vAlign w:val="bottom"/>
            <w:tcBorders>
              <w:bottom w:val="single" w:sz="8" w:color="CCFFCC"/>
            </w:tcBorders>
            <w:shd w:val="clear" w:color="auto" w:fill="CCFFCC"/>
          </w:tcPr>
          <w:p>
            <w:pPr>
              <w:spacing w:after="0"/>
              <w:rPr>
                <w:sz w:val="4"/>
                <w:szCs w:val="4"/>
                <w:color w:val="auto"/>
              </w:rPr>
            </w:pPr>
          </w:p>
        </w:tc>
        <w:tc>
          <w:tcPr>
            <w:tcW w:w="110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280" w:type="dxa"/>
            <w:vAlign w:val="bottom"/>
            <w:tcBorders>
              <w:bottom w:val="single" w:sz="8" w:color="CCFFCC"/>
            </w:tcBorders>
            <w:shd w:val="clear" w:color="auto" w:fill="CCFFCC"/>
          </w:tcPr>
          <w:p>
            <w:pPr>
              <w:spacing w:after="0"/>
              <w:rPr>
                <w:sz w:val="4"/>
                <w:szCs w:val="4"/>
                <w:color w:val="auto"/>
              </w:rPr>
            </w:pPr>
          </w:p>
        </w:tc>
        <w:tc>
          <w:tcPr>
            <w:tcW w:w="96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180" w:type="dxa"/>
            <w:vAlign w:val="bottom"/>
            <w:tcBorders>
              <w:bottom w:val="single" w:sz="8" w:color="CCFFCC"/>
            </w:tcBorders>
            <w:shd w:val="clear" w:color="auto" w:fill="CCFFCC"/>
          </w:tcPr>
          <w:p>
            <w:pPr>
              <w:spacing w:after="0"/>
              <w:rPr>
                <w:sz w:val="4"/>
                <w:szCs w:val="4"/>
                <w:color w:val="auto"/>
              </w:rPr>
            </w:pPr>
          </w:p>
        </w:tc>
        <w:tc>
          <w:tcPr>
            <w:tcW w:w="106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124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900" w:type="dxa"/>
            <w:vAlign w:val="bottom"/>
            <w:gridSpan w:val="4"/>
          </w:tcPr>
          <w:p>
            <w:pPr>
              <w:spacing w:after="0" w:line="122" w:lineRule="exact"/>
              <w:rPr>
                <w:sz w:val="20"/>
                <w:szCs w:val="20"/>
                <w:color w:val="auto"/>
              </w:rPr>
            </w:pPr>
            <w:r>
              <w:rPr>
                <w:rFonts w:ascii="Arial" w:cs="Arial" w:eastAsia="Arial" w:hAnsi="Arial"/>
                <w:sz w:val="14"/>
                <w:szCs w:val="14"/>
                <w:color w:val="auto"/>
                <w:w w:val="83"/>
              </w:rPr>
              <w:t>Common shares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5"/>
          </w:tcPr>
          <w:p>
            <w:pPr>
              <w:spacing w:after="0"/>
              <w:rPr>
                <w:sz w:val="10"/>
                <w:szCs w:val="10"/>
                <w:color w:val="auto"/>
              </w:rPr>
            </w:pPr>
          </w:p>
        </w:tc>
        <w:tc>
          <w:tcPr>
            <w:tcW w:w="2760" w:type="dxa"/>
            <w:vAlign w:val="bottom"/>
            <w:gridSpan w:val="2"/>
          </w:tcPr>
          <w:p>
            <w:pPr>
              <w:jc w:val="center"/>
              <w:ind w:right="120"/>
              <w:spacing w:after="0" w:line="122" w:lineRule="exact"/>
              <w:rPr>
                <w:sz w:val="20"/>
                <w:szCs w:val="20"/>
                <w:color w:val="auto"/>
              </w:rPr>
            </w:pPr>
            <w:r>
              <w:rPr>
                <w:rFonts w:ascii="Arial" w:cs="Arial" w:eastAsia="Arial" w:hAnsi="Arial"/>
                <w:sz w:val="14"/>
                <w:szCs w:val="14"/>
                <w:color w:val="auto"/>
                <w:w w:val="94"/>
              </w:rPr>
              <w:t>Online Deals</w:t>
            </w:r>
          </w:p>
        </w:tc>
        <w:tc>
          <w:tcPr>
            <w:tcW w:w="160" w:type="dxa"/>
            <w:vAlign w:val="bottom"/>
          </w:tcPr>
          <w:p>
            <w:pPr>
              <w:spacing w:after="0"/>
              <w:rPr>
                <w:sz w:val="10"/>
                <w:szCs w:val="10"/>
                <w:color w:val="auto"/>
              </w:rPr>
            </w:pPr>
          </w:p>
        </w:tc>
        <w:tc>
          <w:tcPr>
            <w:tcW w:w="122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80,000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2,128,585</w:t>
            </w:r>
          </w:p>
        </w:tc>
        <w:tc>
          <w:tcPr>
            <w:tcW w:w="18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4"/>
                <w:szCs w:val="14"/>
                <w:color w:val="auto"/>
              </w:rPr>
              <w:t>1,188,288</w:t>
            </w:r>
          </w:p>
        </w:tc>
        <w:tc>
          <w:tcPr>
            <w:tcW w:w="220" w:type="dxa"/>
            <w:vAlign w:val="bottom"/>
          </w:tcPr>
          <w:p>
            <w:pPr>
              <w:spacing w:after="0"/>
              <w:rPr>
                <w:sz w:val="10"/>
                <w:szCs w:val="10"/>
                <w:color w:val="auto"/>
              </w:rPr>
            </w:pPr>
          </w:p>
        </w:tc>
        <w:tc>
          <w:tcPr>
            <w:tcW w:w="13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780" w:type="dxa"/>
            <w:vAlign w:val="bottom"/>
            <w:gridSpan w:val="14"/>
          </w:tcPr>
          <w:p>
            <w:pPr>
              <w:spacing w:after="0" w:line="135" w:lineRule="exact"/>
              <w:rPr>
                <w:sz w:val="20"/>
                <w:szCs w:val="20"/>
                <w:color w:val="auto"/>
              </w:rPr>
            </w:pPr>
            <w:r>
              <w:rPr>
                <w:rFonts w:ascii="Arial" w:cs="Arial" w:eastAsia="Arial" w:hAnsi="Arial"/>
                <w:sz w:val="14"/>
                <w:szCs w:val="14"/>
                <w:b w:val="1"/>
                <w:bCs w:val="1"/>
                <w:color w:val="auto"/>
              </w:rPr>
              <w:t>Kno, Inc.</w:t>
            </w:r>
          </w:p>
        </w:tc>
        <w:tc>
          <w:tcPr>
            <w:tcW w:w="27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2"/>
              </w:rPr>
              <w:t>Santa Clara,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w w:val="95"/>
              </w:rPr>
              <w:t>Preferred</w:t>
            </w:r>
          </w:p>
        </w:tc>
        <w:tc>
          <w:tcPr>
            <w:tcW w:w="2200" w:type="dxa"/>
            <w:vAlign w:val="bottom"/>
            <w:tcBorders>
              <w:top w:val="single" w:sz="8" w:color="CCFFCC"/>
            </w:tcBorders>
            <w:gridSpan w:val="13"/>
            <w:shd w:val="clear" w:color="auto" w:fill="CCFFCC"/>
          </w:tcPr>
          <w:p>
            <w:pPr>
              <w:spacing w:after="0" w:line="142" w:lineRule="exact"/>
              <w:rPr>
                <w:sz w:val="20"/>
                <w:szCs w:val="20"/>
                <w:color w:val="auto"/>
              </w:rPr>
            </w:pPr>
            <w:r>
              <w:rPr>
                <w:rFonts w:ascii="Arial" w:cs="Arial" w:eastAsia="Arial" w:hAnsi="Arial"/>
                <w:sz w:val="14"/>
                <w:szCs w:val="14"/>
                <w:color w:val="auto"/>
              </w:rPr>
              <w:t>shares, Series C</w:t>
            </w:r>
          </w:p>
        </w:tc>
        <w:tc>
          <w:tcPr>
            <w:tcW w:w="2760" w:type="dxa"/>
            <w:vAlign w:val="bottom"/>
            <w:tcBorders>
              <w:top w:val="single" w:sz="8" w:color="CCFFCC"/>
            </w:tcBorders>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rPr>
              <w:t>Digital</w:t>
            </w:r>
          </w:p>
        </w:tc>
        <w:tc>
          <w:tcPr>
            <w:tcW w:w="160" w:type="dxa"/>
            <w:vAlign w:val="bottom"/>
            <w:tcBorders>
              <w:top w:val="single" w:sz="8" w:color="CCFFCC"/>
            </w:tcBorders>
            <w:shd w:val="clear" w:color="auto" w:fill="CCFFCC"/>
          </w:tcPr>
          <w:p>
            <w:pPr>
              <w:spacing w:after="0"/>
              <w:rPr>
                <w:sz w:val="12"/>
                <w:szCs w:val="12"/>
                <w:color w:val="auto"/>
              </w:rPr>
            </w:pPr>
          </w:p>
        </w:tc>
        <w:tc>
          <w:tcPr>
            <w:tcW w:w="1220" w:type="dxa"/>
            <w:vAlign w:val="bottom"/>
            <w:tcBorders>
              <w:top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440,313</w:t>
            </w:r>
          </w:p>
        </w:tc>
        <w:tc>
          <w:tcPr>
            <w:tcW w:w="12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CCFFCC"/>
            </w:tcBorders>
            <w:shd w:val="clear" w:color="auto" w:fill="CCFFCC"/>
          </w:tcPr>
          <w:p>
            <w:pPr>
              <w:spacing w:after="0"/>
              <w:rPr>
                <w:sz w:val="12"/>
                <w:szCs w:val="12"/>
                <w:color w:val="auto"/>
              </w:rPr>
            </w:pPr>
          </w:p>
        </w:tc>
        <w:tc>
          <w:tcPr>
            <w:tcW w:w="1180" w:type="dxa"/>
            <w:vAlign w:val="bottom"/>
            <w:tcBorders>
              <w:top w:val="single" w:sz="8" w:color="CCFFCC"/>
            </w:tcBorders>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2,262,006</w:t>
            </w:r>
          </w:p>
        </w:tc>
        <w:tc>
          <w:tcPr>
            <w:tcW w:w="18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2,250,000</w:t>
            </w:r>
          </w:p>
        </w:tc>
        <w:tc>
          <w:tcPr>
            <w:tcW w:w="220" w:type="dxa"/>
            <w:vAlign w:val="bottom"/>
            <w:tcBorders>
              <w:top w:val="single" w:sz="8" w:color="CCFFCC"/>
            </w:tcBorders>
            <w:shd w:val="clear" w:color="auto" w:fill="CCFFCC"/>
          </w:tcPr>
          <w:p>
            <w:pPr>
              <w:spacing w:after="0"/>
              <w:rPr>
                <w:sz w:val="12"/>
                <w:szCs w:val="12"/>
                <w:color w:val="auto"/>
              </w:rPr>
            </w:pPr>
          </w:p>
        </w:tc>
        <w:tc>
          <w:tcPr>
            <w:tcW w:w="1360" w:type="dxa"/>
            <w:vAlign w:val="bottom"/>
            <w:tcBorders>
              <w:top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2"/>
        </w:trPr>
        <w:tc>
          <w:tcPr>
            <w:tcW w:w="2880" w:type="dxa"/>
            <w:vAlign w:val="bottom"/>
            <w:gridSpan w:val="15"/>
          </w:tcPr>
          <w:p>
            <w:pPr>
              <w:spacing w:after="0"/>
              <w:rPr>
                <w:sz w:val="20"/>
                <w:szCs w:val="20"/>
                <w:color w:val="auto"/>
              </w:rPr>
            </w:pPr>
            <w:r>
              <w:rPr>
                <w:rFonts w:ascii="Arial" w:cs="Arial" w:eastAsia="Arial" w:hAnsi="Arial"/>
                <w:sz w:val="14"/>
                <w:szCs w:val="14"/>
                <w:color w:val="auto"/>
              </w:rPr>
              <w:t>Common shares</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Textbooks</w:t>
            </w:r>
          </w:p>
        </w:tc>
        <w:tc>
          <w:tcPr>
            <w:tcW w:w="1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214,303</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205,000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42"/>
        </w:trPr>
        <w:tc>
          <w:tcPr>
            <w:tcW w:w="100" w:type="dxa"/>
            <w:vAlign w:val="bottom"/>
            <w:tcBorders>
              <w:top w:val="single" w:sz="8" w:color="CCFFCC"/>
            </w:tcBorders>
            <w:shd w:val="clear" w:color="auto" w:fill="CCFFCC"/>
          </w:tcPr>
          <w:p>
            <w:pPr>
              <w:spacing w:after="0"/>
              <w:rPr>
                <w:sz w:val="12"/>
                <w:szCs w:val="12"/>
                <w:color w:val="auto"/>
              </w:rPr>
            </w:pPr>
          </w:p>
        </w:tc>
        <w:tc>
          <w:tcPr>
            <w:tcW w:w="2780" w:type="dxa"/>
            <w:vAlign w:val="bottom"/>
            <w:tcBorders>
              <w:top w:val="single" w:sz="8" w:color="CCFFCC"/>
            </w:tcBorders>
            <w:gridSpan w:val="14"/>
            <w:shd w:val="clear" w:color="auto" w:fill="CCFFCC"/>
          </w:tcPr>
          <w:p>
            <w:pPr>
              <w:ind w:left="260"/>
              <w:spacing w:after="0" w:line="142" w:lineRule="exact"/>
              <w:rPr>
                <w:sz w:val="20"/>
                <w:szCs w:val="20"/>
                <w:color w:val="auto"/>
              </w:rPr>
            </w:pPr>
            <w:r>
              <w:rPr>
                <w:rFonts w:ascii="Arial" w:cs="Arial" w:eastAsia="Arial" w:hAnsi="Arial"/>
                <w:sz w:val="14"/>
                <w:szCs w:val="14"/>
                <w:color w:val="auto"/>
              </w:rPr>
              <w:t>Total</w:t>
            </w:r>
          </w:p>
        </w:tc>
        <w:tc>
          <w:tcPr>
            <w:tcW w:w="25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bottom w:val="single" w:sz="8" w:color="auto"/>
            </w:tcBorders>
            <w:shd w:val="clear" w:color="auto" w:fill="CCFFCC"/>
          </w:tcPr>
          <w:p>
            <w:pPr>
              <w:spacing w:after="0"/>
              <w:rPr>
                <w:sz w:val="12"/>
                <w:szCs w:val="12"/>
                <w:color w:val="auto"/>
              </w:rPr>
            </w:pP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2,476,309</w:t>
            </w:r>
          </w:p>
        </w:tc>
        <w:tc>
          <w:tcPr>
            <w:tcW w:w="2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2,455,000</w:t>
            </w: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3.44</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CCFFCC"/>
            </w:tcBorders>
            <w:shd w:val="clear" w:color="auto" w:fill="CCFFCC"/>
          </w:tcPr>
          <w:p>
            <w:pPr>
              <w:spacing w:after="0"/>
              <w:rPr>
                <w:sz w:val="10"/>
                <w:szCs w:val="10"/>
                <w:color w:val="auto"/>
              </w:rPr>
            </w:pPr>
          </w:p>
        </w:tc>
        <w:tc>
          <w:tcPr>
            <w:tcW w:w="1000" w:type="dxa"/>
            <w:vAlign w:val="bottom"/>
            <w:tcBorders>
              <w:bottom w:val="single" w:sz="8" w:color="CCFFCC"/>
            </w:tcBorders>
            <w:gridSpan w:val="5"/>
            <w:vMerge w:val="restart"/>
            <w:shd w:val="clear" w:color="auto" w:fill="CCFFCC"/>
          </w:tcPr>
          <w:p>
            <w:pPr>
              <w:spacing w:after="0"/>
              <w:rPr>
                <w:sz w:val="20"/>
                <w:szCs w:val="20"/>
                <w:color w:val="auto"/>
              </w:rPr>
            </w:pPr>
            <w:r>
              <w:rPr>
                <w:rFonts w:ascii="Arial" w:cs="Arial" w:eastAsia="Arial" w:hAnsi="Arial"/>
                <w:sz w:val="14"/>
                <w:szCs w:val="14"/>
                <w:b w:val="1"/>
                <w:bCs w:val="1"/>
                <w:color w:val="auto"/>
              </w:rPr>
              <w:t>PJB Fund LLC</w:t>
            </w:r>
          </w:p>
        </w:tc>
        <w:tc>
          <w:tcPr>
            <w:tcW w:w="300" w:type="dxa"/>
            <w:vAlign w:val="bottom"/>
            <w:tcBorders>
              <w:bottom w:val="single" w:sz="8" w:color="auto"/>
            </w:tcBorders>
            <w:gridSpan w:val="4"/>
            <w:shd w:val="clear" w:color="auto" w:fill="CCFFCC"/>
          </w:tcPr>
          <w:p>
            <w:pPr>
              <w:jc w:val="right"/>
              <w:spacing w:after="0" w:line="102" w:lineRule="exact"/>
              <w:rPr>
                <w:sz w:val="20"/>
                <w:szCs w:val="20"/>
                <w:color w:val="auto"/>
              </w:rPr>
            </w:pPr>
            <w:r>
              <w:rPr>
                <w:rFonts w:ascii="Arial" w:cs="Arial" w:eastAsia="Arial" w:hAnsi="Arial"/>
                <w:sz w:val="11"/>
                <w:szCs w:val="11"/>
                <w:b w:val="1"/>
                <w:bCs w:val="1"/>
                <w:color w:val="auto"/>
                <w:w w:val="93"/>
              </w:rPr>
              <w:t>(1) (3)</w:t>
            </w:r>
          </w:p>
        </w:tc>
        <w:tc>
          <w:tcPr>
            <w:tcW w:w="1480" w:type="dxa"/>
            <w:vAlign w:val="bottom"/>
            <w:tcBorders>
              <w:bottom w:val="single" w:sz="8" w:color="CCFFCC"/>
            </w:tcBorders>
            <w:gridSpan w:val="5"/>
            <w:vMerge w:val="restart"/>
            <w:shd w:val="clear" w:color="auto" w:fill="CCFFCC"/>
          </w:tcPr>
          <w:p>
            <w:pPr>
              <w:spacing w:after="0"/>
              <w:rPr>
                <w:sz w:val="10"/>
                <w:szCs w:val="10"/>
                <w:color w:val="auto"/>
              </w:rPr>
            </w:pPr>
          </w:p>
        </w:tc>
        <w:tc>
          <w:tcPr>
            <w:tcW w:w="2760" w:type="dxa"/>
            <w:vAlign w:val="bottom"/>
            <w:tcBorders>
              <w:bottom w:val="single" w:sz="8" w:color="CCFFCC"/>
            </w:tcBorders>
            <w:gridSpan w:val="2"/>
            <w:vMerge w:val="restart"/>
            <w:shd w:val="clear" w:color="auto" w:fill="CCFFCC"/>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60" w:type="dxa"/>
            <w:vAlign w:val="bottom"/>
            <w:tcBorders>
              <w:bottom w:val="single" w:sz="8" w:color="CCFFCC"/>
            </w:tcBorders>
            <w:shd w:val="clear" w:color="auto" w:fill="CCFFCC"/>
          </w:tcPr>
          <w:p>
            <w:pPr>
              <w:spacing w:after="0"/>
              <w:rPr>
                <w:sz w:val="10"/>
                <w:szCs w:val="10"/>
                <w:color w:val="auto"/>
              </w:rPr>
            </w:pPr>
          </w:p>
        </w:tc>
        <w:tc>
          <w:tcPr>
            <w:tcW w:w="1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280" w:type="dxa"/>
            <w:vAlign w:val="bottom"/>
            <w:tcBorders>
              <w:bottom w:val="single" w:sz="8" w:color="CCFFCC"/>
            </w:tcBorders>
            <w:shd w:val="clear" w:color="auto" w:fill="CCFFCC"/>
          </w:tcPr>
          <w:p>
            <w:pPr>
              <w:spacing w:after="0"/>
              <w:rPr>
                <w:sz w:val="10"/>
                <w:szCs w:val="10"/>
                <w:color w:val="auto"/>
              </w:rPr>
            </w:pPr>
          </w:p>
        </w:tc>
        <w:tc>
          <w:tcPr>
            <w:tcW w:w="96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80" w:type="dxa"/>
            <w:vAlign w:val="bottom"/>
            <w:tcBorders>
              <w:bottom w:val="single" w:sz="8" w:color="CCFFCC"/>
            </w:tcBorders>
            <w:shd w:val="clear" w:color="auto" w:fill="CCFFCC"/>
          </w:tcPr>
          <w:p>
            <w:pPr>
              <w:spacing w:after="0"/>
              <w:rPr>
                <w:sz w:val="10"/>
                <w:szCs w:val="10"/>
                <w:color w:val="auto"/>
              </w:rPr>
            </w:pPr>
          </w:p>
        </w:tc>
        <w:tc>
          <w:tcPr>
            <w:tcW w:w="106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bottom w:val="single" w:sz="8" w:color="CCFFCC"/>
            </w:tcBorders>
            <w:shd w:val="clear" w:color="auto" w:fill="CCFFCC"/>
          </w:tcPr>
          <w:p>
            <w:pPr>
              <w:spacing w:after="0"/>
              <w:rPr>
                <w:sz w:val="10"/>
                <w:szCs w:val="10"/>
                <w:color w:val="auto"/>
              </w:rPr>
            </w:pPr>
          </w:p>
        </w:tc>
        <w:tc>
          <w:tcPr>
            <w:tcW w:w="124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00" w:type="dxa"/>
            <w:vAlign w:val="bottom"/>
            <w:tcBorders>
              <w:bottom w:val="single" w:sz="8" w:color="CCFFCC"/>
            </w:tcBorders>
            <w:shd w:val="clear" w:color="auto" w:fill="CCFFCC"/>
          </w:tcPr>
          <w:p>
            <w:pPr>
              <w:spacing w:after="0"/>
              <w:rPr>
                <w:sz w:val="2"/>
                <w:szCs w:val="2"/>
                <w:color w:val="auto"/>
              </w:rPr>
            </w:pPr>
          </w:p>
        </w:tc>
        <w:tc>
          <w:tcPr>
            <w:tcW w:w="1000" w:type="dxa"/>
            <w:vAlign w:val="bottom"/>
            <w:tcBorders>
              <w:bottom w:val="single" w:sz="8" w:color="auto"/>
            </w:tcBorders>
            <w:gridSpan w:val="5"/>
            <w:vMerge w:val="continue"/>
            <w:shd w:val="clear" w:color="auto" w:fill="CCFFCC"/>
          </w:tcPr>
          <w:p>
            <w:pPr>
              <w:spacing w:after="0"/>
              <w:rPr>
                <w:sz w:val="2"/>
                <w:szCs w:val="2"/>
                <w:color w:val="auto"/>
              </w:rPr>
            </w:pPr>
          </w:p>
        </w:tc>
        <w:tc>
          <w:tcPr>
            <w:tcW w:w="240" w:type="dxa"/>
            <w:vAlign w:val="bottom"/>
            <w:tcBorders>
              <w:bottom w:val="single" w:sz="8" w:color="CCFFCC"/>
            </w:tcBorders>
            <w:gridSpan w:val="3"/>
            <w:shd w:val="clear" w:color="auto" w:fill="CCFFCC"/>
          </w:tcPr>
          <w:p>
            <w:pPr>
              <w:spacing w:after="0"/>
              <w:rPr>
                <w:sz w:val="2"/>
                <w:szCs w:val="2"/>
                <w:color w:val="auto"/>
              </w:rPr>
            </w:pPr>
          </w:p>
        </w:tc>
        <w:tc>
          <w:tcPr>
            <w:tcW w:w="60" w:type="dxa"/>
            <w:vAlign w:val="bottom"/>
            <w:tcBorders>
              <w:bottom w:val="single" w:sz="8" w:color="CCFFCC"/>
            </w:tcBorders>
            <w:shd w:val="clear" w:color="auto" w:fill="CCFFCC"/>
          </w:tcPr>
          <w:p>
            <w:pPr>
              <w:spacing w:after="0"/>
              <w:rPr>
                <w:sz w:val="2"/>
                <w:szCs w:val="2"/>
                <w:color w:val="auto"/>
              </w:rPr>
            </w:pPr>
          </w:p>
        </w:tc>
        <w:tc>
          <w:tcPr>
            <w:tcW w:w="1480" w:type="dxa"/>
            <w:vAlign w:val="bottom"/>
            <w:tcBorders>
              <w:bottom w:val="single" w:sz="8" w:color="CCFFCC"/>
            </w:tcBorders>
            <w:gridSpan w:val="5"/>
            <w:vMerge w:val="continue"/>
            <w:shd w:val="clear" w:color="auto" w:fill="CCFFCC"/>
          </w:tcPr>
          <w:p>
            <w:pPr>
              <w:spacing w:after="0"/>
              <w:rPr>
                <w:sz w:val="2"/>
                <w:szCs w:val="2"/>
                <w:color w:val="auto"/>
              </w:rPr>
            </w:pPr>
          </w:p>
        </w:tc>
        <w:tc>
          <w:tcPr>
            <w:tcW w:w="2760" w:type="dxa"/>
            <w:vAlign w:val="bottom"/>
            <w:tcBorders>
              <w:bottom w:val="single" w:sz="8" w:color="CCFFCC"/>
            </w:tcBorders>
            <w:gridSpan w:val="2"/>
            <w:vMerge w:val="continue"/>
            <w:shd w:val="clear" w:color="auto" w:fill="CCFFCC"/>
          </w:tcPr>
          <w:p>
            <w:pPr>
              <w:spacing w:after="0"/>
              <w:rPr>
                <w:sz w:val="2"/>
                <w:szCs w:val="2"/>
                <w:color w:val="auto"/>
              </w:rPr>
            </w:pPr>
          </w:p>
        </w:tc>
        <w:tc>
          <w:tcPr>
            <w:tcW w:w="160" w:type="dxa"/>
            <w:vAlign w:val="bottom"/>
            <w:tcBorders>
              <w:bottom w:val="single" w:sz="8" w:color="CCFFCC"/>
            </w:tcBorders>
            <w:shd w:val="clear" w:color="auto" w:fill="CCFFCC"/>
          </w:tcPr>
          <w:p>
            <w:pPr>
              <w:spacing w:after="0"/>
              <w:rPr>
                <w:sz w:val="2"/>
                <w:szCs w:val="2"/>
                <w:color w:val="auto"/>
              </w:rPr>
            </w:pPr>
          </w:p>
        </w:tc>
        <w:tc>
          <w:tcPr>
            <w:tcW w:w="110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280" w:type="dxa"/>
            <w:vAlign w:val="bottom"/>
            <w:tcBorders>
              <w:bottom w:val="single" w:sz="8" w:color="CCFFCC"/>
            </w:tcBorders>
            <w:shd w:val="clear" w:color="auto" w:fill="CCFFCC"/>
          </w:tcPr>
          <w:p>
            <w:pPr>
              <w:spacing w:after="0"/>
              <w:rPr>
                <w:sz w:val="2"/>
                <w:szCs w:val="2"/>
                <w:color w:val="auto"/>
              </w:rPr>
            </w:pPr>
          </w:p>
        </w:tc>
        <w:tc>
          <w:tcPr>
            <w:tcW w:w="96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180" w:type="dxa"/>
            <w:vAlign w:val="bottom"/>
            <w:tcBorders>
              <w:bottom w:val="single" w:sz="8" w:color="CCFFCC"/>
            </w:tcBorders>
            <w:shd w:val="clear" w:color="auto" w:fill="CCFFCC"/>
          </w:tcPr>
          <w:p>
            <w:pPr>
              <w:spacing w:after="0"/>
              <w:rPr>
                <w:sz w:val="2"/>
                <w:szCs w:val="2"/>
                <w:color w:val="auto"/>
              </w:rPr>
            </w:pPr>
          </w:p>
        </w:tc>
        <w:tc>
          <w:tcPr>
            <w:tcW w:w="1060" w:type="dxa"/>
            <w:vAlign w:val="bottom"/>
            <w:tcBorders>
              <w:bottom w:val="single" w:sz="8" w:color="CCFFCC"/>
            </w:tcBorders>
            <w:shd w:val="clear" w:color="auto" w:fill="CCFFCC"/>
          </w:tcPr>
          <w:p>
            <w:pPr>
              <w:spacing w:after="0"/>
              <w:rPr>
                <w:sz w:val="2"/>
                <w:szCs w:val="2"/>
                <w:color w:val="auto"/>
              </w:rPr>
            </w:pPr>
          </w:p>
        </w:tc>
        <w:tc>
          <w:tcPr>
            <w:tcW w:w="220" w:type="dxa"/>
            <w:vAlign w:val="bottom"/>
            <w:tcBorders>
              <w:bottom w:val="single" w:sz="8" w:color="CCFFCC"/>
            </w:tcBorders>
            <w:shd w:val="clear" w:color="auto" w:fill="CCFFCC"/>
          </w:tcPr>
          <w:p>
            <w:pPr>
              <w:spacing w:after="0"/>
              <w:rPr>
                <w:sz w:val="2"/>
                <w:szCs w:val="2"/>
                <w:color w:val="auto"/>
              </w:rPr>
            </w:pPr>
          </w:p>
        </w:tc>
        <w:tc>
          <w:tcPr>
            <w:tcW w:w="1240" w:type="dxa"/>
            <w:vAlign w:val="bottom"/>
            <w:tcBorders>
              <w:bottom w:val="single" w:sz="8" w:color="CCFFCC"/>
            </w:tcBorders>
            <w:shd w:val="clear" w:color="auto" w:fill="CCFFCC"/>
          </w:tcPr>
          <w:p>
            <w:pPr>
              <w:spacing w:after="0"/>
              <w:rPr>
                <w:sz w:val="2"/>
                <w:szCs w:val="2"/>
                <w:color w:val="auto"/>
              </w:rPr>
            </w:pPr>
          </w:p>
        </w:tc>
        <w:tc>
          <w:tcPr>
            <w:tcW w:w="120" w:type="dxa"/>
            <w:vAlign w:val="bottom"/>
            <w:tcBorders>
              <w:bottom w:val="single" w:sz="8" w:color="CCFFCC"/>
            </w:tcBorders>
            <w:shd w:val="clear" w:color="auto" w:fill="CCFFCC"/>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780" w:type="dxa"/>
            <w:vAlign w:val="bottom"/>
            <w:gridSpan w:val="14"/>
          </w:tcPr>
          <w:p>
            <w:pPr>
              <w:spacing w:after="0" w:line="142" w:lineRule="exact"/>
              <w:rPr>
                <w:sz w:val="20"/>
                <w:szCs w:val="20"/>
                <w:color w:val="auto"/>
              </w:rPr>
            </w:pPr>
            <w:r>
              <w:rPr>
                <w:rFonts w:ascii="Arial" w:cs="Arial" w:eastAsia="Arial" w:hAnsi="Arial"/>
                <w:sz w:val="14"/>
                <w:szCs w:val="14"/>
                <w:color w:val="auto"/>
              </w:rPr>
              <w:t>Structured note, 10%, due 8/15/2012</w:t>
            </w:r>
          </w:p>
        </w:tc>
        <w:tc>
          <w:tcPr>
            <w:tcW w:w="2760" w:type="dxa"/>
            <w:vAlign w:val="bottom"/>
            <w:gridSpan w:val="2"/>
          </w:tcPr>
          <w:p>
            <w:pPr>
              <w:jc w:val="center"/>
              <w:ind w:right="140"/>
              <w:spacing w:after="0" w:line="142" w:lineRule="exact"/>
              <w:rPr>
                <w:sz w:val="20"/>
                <w:szCs w:val="20"/>
                <w:color w:val="auto"/>
              </w:rPr>
            </w:pPr>
            <w:r>
              <w:rPr>
                <w:rFonts w:ascii="Arial" w:cs="Arial" w:eastAsia="Arial" w:hAnsi="Arial"/>
                <w:sz w:val="14"/>
                <w:szCs w:val="14"/>
                <w:color w:val="auto"/>
                <w:w w:val="94"/>
              </w:rPr>
              <w:t>Social Gaming</w:t>
            </w: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4,029,259</w:t>
            </w: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22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780" w:type="dxa"/>
            <w:vAlign w:val="bottom"/>
            <w:gridSpan w:val="14"/>
          </w:tcPr>
          <w:p>
            <w:pPr>
              <w:spacing w:after="0" w:line="135" w:lineRule="exact"/>
              <w:rPr>
                <w:sz w:val="20"/>
                <w:szCs w:val="20"/>
                <w:color w:val="auto"/>
              </w:rPr>
            </w:pPr>
            <w:r>
              <w:rPr>
                <w:rFonts w:ascii="Arial" w:cs="Arial" w:eastAsia="Arial" w:hAnsi="Arial"/>
                <w:sz w:val="14"/>
                <w:szCs w:val="14"/>
                <w:b w:val="1"/>
                <w:bCs w:val="1"/>
                <w:color w:val="auto"/>
              </w:rPr>
              <w:t>Serious Energy, Inc.</w:t>
            </w:r>
          </w:p>
        </w:tc>
        <w:tc>
          <w:tcPr>
            <w:tcW w:w="27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Sunnyvale,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gridSpan w:val="8"/>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1540" w:type="dxa"/>
            <w:vAlign w:val="bottom"/>
            <w:tcBorders>
              <w:top w:val="single" w:sz="8" w:color="CCFFCC"/>
            </w:tcBorders>
            <w:gridSpan w:val="6"/>
            <w:shd w:val="clear" w:color="auto" w:fill="CCFFCC"/>
          </w:tcPr>
          <w:p>
            <w:pPr>
              <w:spacing w:after="0"/>
              <w:rPr>
                <w:sz w:val="12"/>
                <w:szCs w:val="12"/>
                <w:color w:val="auto"/>
              </w:rPr>
            </w:pPr>
          </w:p>
        </w:tc>
        <w:tc>
          <w:tcPr>
            <w:tcW w:w="2760" w:type="dxa"/>
            <w:vAlign w:val="bottom"/>
            <w:tcBorders>
              <w:top w:val="single" w:sz="8" w:color="CCFFCC"/>
            </w:tcBorders>
            <w:gridSpan w:val="2"/>
            <w:shd w:val="clear" w:color="auto" w:fill="CCFFCC"/>
          </w:tcPr>
          <w:p>
            <w:pPr>
              <w:jc w:val="center"/>
              <w:ind w:right="140"/>
              <w:spacing w:after="0" w:line="142" w:lineRule="exact"/>
              <w:rPr>
                <w:sz w:val="20"/>
                <w:szCs w:val="20"/>
                <w:color w:val="auto"/>
              </w:rPr>
            </w:pPr>
            <w:r>
              <w:rPr>
                <w:rFonts w:ascii="Arial" w:cs="Arial" w:eastAsia="Arial" w:hAnsi="Arial"/>
                <w:sz w:val="14"/>
                <w:szCs w:val="14"/>
                <w:color w:val="auto"/>
                <w:w w:val="94"/>
              </w:rPr>
              <w:t>Green Materials</w:t>
            </w:r>
          </w:p>
        </w:tc>
        <w:tc>
          <w:tcPr>
            <w:tcW w:w="160" w:type="dxa"/>
            <w:vAlign w:val="bottom"/>
            <w:tcBorders>
              <w:top w:val="single" w:sz="8" w:color="CCFFCC"/>
            </w:tcBorders>
            <w:shd w:val="clear" w:color="auto" w:fill="CCFFCC"/>
          </w:tcPr>
          <w:p>
            <w:pPr>
              <w:spacing w:after="0"/>
              <w:rPr>
                <w:sz w:val="12"/>
                <w:szCs w:val="12"/>
                <w:color w:val="auto"/>
              </w:rPr>
            </w:pPr>
          </w:p>
        </w:tc>
        <w:tc>
          <w:tcPr>
            <w:tcW w:w="1220" w:type="dxa"/>
            <w:vAlign w:val="bottom"/>
            <w:tcBorders>
              <w:top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178,095</w:t>
            </w:r>
          </w:p>
        </w:tc>
        <w:tc>
          <w:tcPr>
            <w:tcW w:w="12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CCFFCC"/>
            </w:tcBorders>
            <w:shd w:val="clear" w:color="auto" w:fill="CCFFCC"/>
          </w:tcPr>
          <w:p>
            <w:pPr>
              <w:spacing w:after="0"/>
              <w:rPr>
                <w:sz w:val="12"/>
                <w:szCs w:val="12"/>
                <w:color w:val="auto"/>
              </w:rPr>
            </w:pPr>
          </w:p>
        </w:tc>
        <w:tc>
          <w:tcPr>
            <w:tcW w:w="1180" w:type="dxa"/>
            <w:vAlign w:val="bottom"/>
            <w:tcBorders>
              <w:top w:val="single" w:sz="8" w:color="CCFFCC"/>
            </w:tcBorders>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739,130</w:t>
            </w:r>
          </w:p>
        </w:tc>
        <w:tc>
          <w:tcPr>
            <w:tcW w:w="180" w:type="dxa"/>
            <w:vAlign w:val="bottom"/>
            <w:tcBorders>
              <w:top w:val="single" w:sz="8" w:color="CCFFCC"/>
            </w:tcBorders>
            <w:shd w:val="clear" w:color="auto" w:fill="CCFFCC"/>
          </w:tcPr>
          <w:p>
            <w:pPr>
              <w:spacing w:after="0"/>
              <w:rPr>
                <w:sz w:val="12"/>
                <w:szCs w:val="12"/>
                <w:color w:val="auto"/>
              </w:rPr>
            </w:pPr>
          </w:p>
        </w:tc>
        <w:tc>
          <w:tcPr>
            <w:tcW w:w="1280" w:type="dxa"/>
            <w:vAlign w:val="bottom"/>
            <w:tcBorders>
              <w:top w:val="single" w:sz="8" w:color="CCFFCC"/>
            </w:tcBorders>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712,380</w:t>
            </w:r>
          </w:p>
        </w:tc>
        <w:tc>
          <w:tcPr>
            <w:tcW w:w="1360" w:type="dxa"/>
            <w:vAlign w:val="bottom"/>
            <w:tcBorders>
              <w:top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Portfolio Investments*</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Headquarters /</w:t>
            </w:r>
          </w:p>
        </w:tc>
        <w:tc>
          <w:tcPr>
            <w:tcW w:w="1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 / Par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198"/>
              <w:spacing w:after="0"/>
              <w:rPr>
                <w:sz w:val="20"/>
                <w:szCs w:val="20"/>
                <w:color w:val="auto"/>
              </w:rPr>
            </w:pPr>
            <w:r>
              <w:rPr>
                <w:rFonts w:ascii="Arial" w:cs="Arial" w:eastAsia="Arial" w:hAnsi="Arial"/>
                <w:sz w:val="14"/>
                <w:szCs w:val="14"/>
                <w:b w:val="1"/>
                <w:bCs w:val="1"/>
                <w:color w:val="auto"/>
                <w:w w:val="92"/>
              </w:rPr>
              <w:t>% of Net Assets</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Industry</w:t>
            </w:r>
          </w:p>
        </w:tc>
        <w:tc>
          <w:tcPr>
            <w:tcW w:w="16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Borders>
              <w:top w:val="single" w:sz="8" w:color="auto"/>
            </w:tcBorders>
            <w:shd w:val="clear" w:color="auto" w:fill="CCFFCC"/>
          </w:tcPr>
          <w:p>
            <w:pPr>
              <w:spacing w:after="0"/>
              <w:rPr>
                <w:sz w:val="11"/>
                <w:szCs w:val="11"/>
                <w:color w:val="auto"/>
              </w:rPr>
            </w:pPr>
          </w:p>
        </w:tc>
        <w:tc>
          <w:tcPr>
            <w:tcW w:w="3900" w:type="dxa"/>
            <w:vAlign w:val="bottom"/>
            <w:tcBorders>
              <w:top w:val="single" w:sz="8" w:color="auto"/>
            </w:tcBorders>
            <w:gridSpan w:val="11"/>
            <w:shd w:val="clear" w:color="auto" w:fill="CCFFCC"/>
          </w:tcPr>
          <w:p>
            <w:pPr>
              <w:spacing w:after="0" w:line="129" w:lineRule="exact"/>
              <w:rPr>
                <w:sz w:val="20"/>
                <w:szCs w:val="20"/>
                <w:color w:val="auto"/>
              </w:rPr>
            </w:pPr>
            <w:r>
              <w:rPr>
                <w:rFonts w:ascii="Arial" w:cs="Arial" w:eastAsia="Arial" w:hAnsi="Arial"/>
                <w:sz w:val="14"/>
                <w:szCs w:val="14"/>
                <w:b w:val="1"/>
                <w:bCs w:val="1"/>
                <w:color w:val="auto"/>
              </w:rPr>
              <w:t>SharesPost, Inc.</w:t>
            </w:r>
          </w:p>
        </w:tc>
        <w:tc>
          <w:tcPr>
            <w:tcW w:w="120" w:type="dxa"/>
            <w:vAlign w:val="bottom"/>
            <w:tcBorders>
              <w:top w:val="single" w:sz="8" w:color="CCFFCC"/>
            </w:tcBorders>
            <w:shd w:val="clear" w:color="auto" w:fill="CCFFCC"/>
          </w:tcPr>
          <w:p>
            <w:pPr>
              <w:spacing w:after="0"/>
              <w:rPr>
                <w:sz w:val="11"/>
                <w:szCs w:val="11"/>
                <w:color w:val="auto"/>
              </w:rPr>
            </w:pPr>
          </w:p>
        </w:tc>
        <w:tc>
          <w:tcPr>
            <w:tcW w:w="1280" w:type="dxa"/>
            <w:vAlign w:val="bottom"/>
            <w:tcBorders>
              <w:top w:val="single" w:sz="8" w:color="auto"/>
            </w:tcBorders>
            <w:shd w:val="clear" w:color="auto" w:fill="CCFFCC"/>
          </w:tcPr>
          <w:p>
            <w:pPr>
              <w:jc w:val="center"/>
              <w:ind w:left="49"/>
              <w:spacing w:after="0" w:line="129" w:lineRule="exact"/>
              <w:rPr>
                <w:sz w:val="20"/>
                <w:szCs w:val="20"/>
                <w:color w:val="auto"/>
              </w:rPr>
            </w:pPr>
            <w:r>
              <w:rPr>
                <w:rFonts w:ascii="Arial" w:cs="Arial" w:eastAsia="Arial" w:hAnsi="Arial"/>
                <w:sz w:val="14"/>
                <w:szCs w:val="14"/>
                <w:color w:val="auto"/>
                <w:w w:val="94"/>
              </w:rPr>
              <w:t>San Bruno, CA</w:t>
            </w:r>
          </w:p>
        </w:tc>
        <w:tc>
          <w:tcPr>
            <w:tcW w:w="24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11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280" w:type="dxa"/>
            <w:vAlign w:val="bottom"/>
            <w:tcBorders>
              <w:top w:val="single" w:sz="8" w:color="auto"/>
            </w:tcBorders>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106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160" w:type="dxa"/>
            <w:vAlign w:val="bottom"/>
            <w:tcBorders>
              <w:top w:val="single" w:sz="8" w:color="auto"/>
              <w:right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6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4020" w:type="dxa"/>
            <w:vAlign w:val="bottom"/>
            <w:gridSpan w:val="12"/>
          </w:tcPr>
          <w:p>
            <w:pPr>
              <w:spacing w:after="0" w:line="142" w:lineRule="exact"/>
              <w:rPr>
                <w:sz w:val="20"/>
                <w:szCs w:val="20"/>
                <w:color w:val="auto"/>
              </w:rPr>
            </w:pPr>
            <w:r>
              <w:rPr>
                <w:rFonts w:ascii="Arial" w:cs="Arial" w:eastAsia="Arial" w:hAnsi="Arial"/>
                <w:sz w:val="14"/>
                <w:szCs w:val="14"/>
                <w:color w:val="auto"/>
              </w:rPr>
              <w:t>Preferred shares, Series B</w:t>
            </w:r>
          </w:p>
        </w:tc>
        <w:tc>
          <w:tcPr>
            <w:tcW w:w="15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8"/>
              </w:rPr>
              <w:t>Online</w:t>
            </w:r>
          </w:p>
        </w:tc>
        <w:tc>
          <w:tcPr>
            <w:tcW w:w="1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1,776,970</w:t>
            </w:r>
          </w:p>
        </w:tc>
        <w:tc>
          <w:tcPr>
            <w:tcW w:w="120" w:type="dxa"/>
            <w:vAlign w:val="bottom"/>
          </w:tcPr>
          <w:p>
            <w:pPr>
              <w:spacing w:after="0"/>
              <w:rPr>
                <w:sz w:val="12"/>
                <w:szCs w:val="12"/>
                <w:color w:val="auto"/>
              </w:rPr>
            </w:pPr>
          </w:p>
        </w:tc>
        <w:tc>
          <w:tcPr>
            <w:tcW w:w="4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2,257,984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2,256,752</w:t>
            </w:r>
          </w:p>
        </w:tc>
        <w:tc>
          <w:tcPr>
            <w:tcW w:w="22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30"/>
        </w:trPr>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52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4"/>
              </w:rPr>
              <w:t>Marketplace</w:t>
            </w:r>
          </w:p>
        </w:tc>
        <w:tc>
          <w:tcPr>
            <w:tcW w:w="16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16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0" w:type="dxa"/>
            <w:vAlign w:val="bottom"/>
            <w:shd w:val="clear" w:color="auto" w:fill="CCFFCC"/>
          </w:tcPr>
          <w:p>
            <w:pPr>
              <w:spacing w:after="0"/>
              <w:rPr>
                <w:sz w:val="15"/>
                <w:szCs w:val="15"/>
                <w:color w:val="auto"/>
              </w:rPr>
            </w:pPr>
          </w:p>
        </w:tc>
        <w:tc>
          <w:tcPr>
            <w:tcW w:w="4020" w:type="dxa"/>
            <w:vAlign w:val="bottom"/>
            <w:gridSpan w:val="12"/>
            <w:shd w:val="clear" w:color="auto" w:fill="CCFFCC"/>
          </w:tcPr>
          <w:p>
            <w:pPr>
              <w:spacing w:after="0"/>
              <w:rPr>
                <w:sz w:val="20"/>
                <w:szCs w:val="20"/>
                <w:color w:val="auto"/>
              </w:rPr>
            </w:pPr>
            <w:r>
              <w:rPr>
                <w:rFonts w:ascii="Arial" w:cs="Arial" w:eastAsia="Arial" w:hAnsi="Arial"/>
                <w:sz w:val="14"/>
                <w:szCs w:val="14"/>
                <w:color w:val="auto"/>
              </w:rPr>
              <w:t>Common warrants, $0.13 strike price, expire 6/15/2018</w:t>
            </w:r>
          </w:p>
        </w:tc>
        <w:tc>
          <w:tcPr>
            <w:tcW w:w="152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4"/>
              </w:rPr>
              <w:t>(Finance)</w:t>
            </w:r>
          </w:p>
        </w:tc>
        <w:tc>
          <w:tcPr>
            <w:tcW w:w="16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ind w:left="640"/>
              <w:spacing w:after="0"/>
              <w:rPr>
                <w:sz w:val="20"/>
                <w:szCs w:val="20"/>
                <w:color w:val="auto"/>
              </w:rPr>
            </w:pPr>
            <w:r>
              <w:rPr>
                <w:rFonts w:ascii="Arial" w:cs="Arial" w:eastAsia="Arial" w:hAnsi="Arial"/>
                <w:sz w:val="14"/>
                <w:szCs w:val="14"/>
                <w:color w:val="auto"/>
              </w:rPr>
              <w:t>770,934</w:t>
            </w: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23,128</w:t>
            </w:r>
          </w:p>
        </w:tc>
        <w:tc>
          <w:tcPr>
            <w:tcW w:w="180" w:type="dxa"/>
            <w:vAlign w:val="bottom"/>
            <w:shd w:val="clear" w:color="auto" w:fill="CCFFCC"/>
          </w:tcPr>
          <w:p>
            <w:pPr>
              <w:spacing w:after="0"/>
              <w:rPr>
                <w:sz w:val="15"/>
                <w:szCs w:val="15"/>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17,731</w:t>
            </w: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2"/>
        </w:trPr>
        <w:tc>
          <w:tcPr>
            <w:tcW w:w="100" w:type="dxa"/>
            <w:vAlign w:val="bottom"/>
            <w:tcBorders>
              <w:bottom w:val="single" w:sz="8" w:color="CCFFCC"/>
            </w:tcBorders>
          </w:tcPr>
          <w:p>
            <w:pPr>
              <w:spacing w:after="0"/>
              <w:rPr>
                <w:sz w:val="12"/>
                <w:szCs w:val="12"/>
                <w:color w:val="auto"/>
              </w:rPr>
            </w:pPr>
          </w:p>
        </w:tc>
        <w:tc>
          <w:tcPr>
            <w:tcW w:w="4020" w:type="dxa"/>
            <w:vAlign w:val="bottom"/>
            <w:tcBorders>
              <w:bottom w:val="single" w:sz="8" w:color="CCFFCC"/>
            </w:tcBorders>
            <w:gridSpan w:val="12"/>
          </w:tcPr>
          <w:p>
            <w:pPr>
              <w:ind w:left="260"/>
              <w:spacing w:after="0" w:line="142" w:lineRule="exact"/>
              <w:rPr>
                <w:sz w:val="20"/>
                <w:szCs w:val="20"/>
                <w:color w:val="auto"/>
              </w:rPr>
            </w:pPr>
            <w:r>
              <w:rPr>
                <w:rFonts w:ascii="Arial" w:cs="Arial" w:eastAsia="Arial" w:hAnsi="Arial"/>
                <w:sz w:val="14"/>
                <w:szCs w:val="14"/>
                <w:color w:val="auto"/>
              </w:rPr>
              <w:t>Total</w:t>
            </w:r>
          </w:p>
        </w:tc>
        <w:tc>
          <w:tcPr>
            <w:tcW w:w="1280" w:type="dxa"/>
            <w:vAlign w:val="bottom"/>
            <w:tcBorders>
              <w:bottom w:val="single" w:sz="8" w:color="CCFFCC"/>
            </w:tcBorders>
          </w:tcPr>
          <w:p>
            <w:pPr>
              <w:spacing w:after="0"/>
              <w:rPr>
                <w:sz w:val="12"/>
                <w:szCs w:val="12"/>
                <w:color w:val="auto"/>
              </w:rPr>
            </w:pPr>
          </w:p>
        </w:tc>
        <w:tc>
          <w:tcPr>
            <w:tcW w:w="24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1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2,281,112</w:t>
            </w:r>
          </w:p>
        </w:tc>
        <w:tc>
          <w:tcPr>
            <w:tcW w:w="2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2,274,483</w:t>
            </w:r>
          </w:p>
        </w:tc>
        <w:tc>
          <w:tcPr>
            <w:tcW w:w="220" w:type="dxa"/>
            <w:vAlign w:val="bottom"/>
            <w:tcBorders>
              <w:bottom w:val="single" w:sz="8" w:color="CCFFCC"/>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3.18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760" w:type="dxa"/>
            <w:vAlign w:val="bottom"/>
            <w:tcBorders>
              <w:bottom w:val="single" w:sz="8" w:color="auto"/>
            </w:tcBorders>
            <w:gridSpan w:val="10"/>
          </w:tcPr>
          <w:p>
            <w:pPr>
              <w:spacing w:after="0" w:line="135" w:lineRule="exact"/>
              <w:rPr>
                <w:sz w:val="20"/>
                <w:szCs w:val="20"/>
                <w:color w:val="auto"/>
              </w:rPr>
            </w:pPr>
            <w:r>
              <w:rPr>
                <w:rFonts w:ascii="Arial" w:cs="Arial" w:eastAsia="Arial" w:hAnsi="Arial"/>
                <w:sz w:val="14"/>
                <w:szCs w:val="14"/>
                <w:b w:val="1"/>
                <w:bCs w:val="1"/>
                <w:color w:val="auto"/>
                <w:w w:val="93"/>
              </w:rPr>
              <w:t>Silver Spring Networks, Inc.</w:t>
            </w:r>
          </w:p>
        </w:tc>
        <w:tc>
          <w:tcPr>
            <w:tcW w:w="2260" w:type="dxa"/>
            <w:vAlign w:val="bottom"/>
            <w:gridSpan w:val="2"/>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6"/>
              </w:rPr>
              <w:t>Redwood City,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CFFCC"/>
          </w:tcPr>
          <w:p>
            <w:pPr>
              <w:spacing w:after="0"/>
              <w:rPr>
                <w:sz w:val="12"/>
                <w:szCs w:val="12"/>
                <w:color w:val="auto"/>
              </w:rPr>
            </w:pPr>
          </w:p>
        </w:tc>
        <w:tc>
          <w:tcPr>
            <w:tcW w:w="4020" w:type="dxa"/>
            <w:vAlign w:val="bottom"/>
            <w:gridSpan w:val="12"/>
            <w:shd w:val="clear" w:color="auto" w:fill="CCFFCC"/>
          </w:tcPr>
          <w:p>
            <w:pPr>
              <w:spacing w:after="0" w:line="142" w:lineRule="exact"/>
              <w:rPr>
                <w:sz w:val="20"/>
                <w:szCs w:val="20"/>
                <w:color w:val="auto"/>
              </w:rPr>
            </w:pPr>
            <w:r>
              <w:rPr>
                <w:rFonts w:ascii="Arial" w:cs="Arial" w:eastAsia="Arial" w:hAnsi="Arial"/>
                <w:sz w:val="14"/>
                <w:szCs w:val="14"/>
                <w:color w:val="auto"/>
              </w:rPr>
              <w:t>Common shares</w:t>
            </w:r>
          </w:p>
        </w:tc>
        <w:tc>
          <w:tcPr>
            <w:tcW w:w="152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4"/>
                <w:szCs w:val="14"/>
                <w:color w:val="auto"/>
                <w:w w:val="94"/>
              </w:rPr>
              <w:t>Smart Grid</w:t>
            </w: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ind w:left="640"/>
              <w:spacing w:after="0" w:line="142" w:lineRule="exact"/>
              <w:rPr>
                <w:sz w:val="20"/>
                <w:szCs w:val="20"/>
                <w:color w:val="auto"/>
              </w:rPr>
            </w:pPr>
            <w:r>
              <w:rPr>
                <w:rFonts w:ascii="Arial" w:cs="Arial" w:eastAsia="Arial" w:hAnsi="Arial"/>
                <w:sz w:val="14"/>
                <w:szCs w:val="14"/>
                <w:color w:val="auto"/>
                <w:w w:val="86"/>
              </w:rPr>
              <w:t>110,143</w:t>
            </w: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1,153,381</w:t>
            </w: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1,101,430</w:t>
            </w:r>
          </w:p>
        </w:tc>
        <w:tc>
          <w:tcPr>
            <w:tcW w:w="220" w:type="dxa"/>
            <w:vAlign w:val="bottom"/>
            <w:shd w:val="clear" w:color="auto" w:fill="CCFFCC"/>
          </w:tcPr>
          <w:p>
            <w:pPr>
              <w:spacing w:after="0"/>
              <w:rPr>
                <w:sz w:val="12"/>
                <w:szCs w:val="12"/>
                <w:color w:val="auto"/>
              </w:rPr>
            </w:pPr>
          </w:p>
        </w:tc>
        <w:tc>
          <w:tcPr>
            <w:tcW w:w="1360" w:type="dxa"/>
            <w:vAlign w:val="bottom"/>
            <w:gridSpan w:val="3"/>
            <w:shd w:val="clear" w:color="auto" w:fill="CCFFCC"/>
          </w:tcPr>
          <w:p>
            <w:pPr>
              <w:jc w:val="right"/>
              <w:spacing w:after="0" w:line="142"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auto"/>
            </w:tcBorders>
            <w:gridSpan w:val="6"/>
            <w:shd w:val="clear" w:color="auto" w:fill="CCFFCC"/>
          </w:tcPr>
          <w:p>
            <w:pPr>
              <w:spacing w:after="0" w:line="135" w:lineRule="exact"/>
              <w:rPr>
                <w:sz w:val="20"/>
                <w:szCs w:val="20"/>
                <w:color w:val="auto"/>
              </w:rPr>
            </w:pPr>
            <w:r>
              <w:rPr>
                <w:rFonts w:ascii="Arial" w:cs="Arial" w:eastAsia="Arial" w:hAnsi="Arial"/>
                <w:sz w:val="14"/>
                <w:szCs w:val="14"/>
                <w:b w:val="1"/>
                <w:bCs w:val="1"/>
                <w:color w:val="auto"/>
                <w:w w:val="98"/>
              </w:rPr>
              <w:t>StormWind, LLC</w:t>
            </w:r>
          </w:p>
        </w:tc>
        <w:tc>
          <w:tcPr>
            <w:tcW w:w="2920" w:type="dxa"/>
            <w:vAlign w:val="bottom"/>
            <w:tcBorders>
              <w:bottom w:val="single" w:sz="8" w:color="CCFFCC"/>
            </w:tcBorders>
            <w:gridSpan w:val="6"/>
            <w:shd w:val="clear" w:color="auto" w:fill="CCFFCC"/>
          </w:tcPr>
          <w:p>
            <w:pPr>
              <w:spacing w:after="0"/>
              <w:rPr>
                <w:sz w:val="13"/>
                <w:szCs w:val="13"/>
                <w:color w:val="auto"/>
              </w:rPr>
            </w:pPr>
          </w:p>
        </w:tc>
        <w:tc>
          <w:tcPr>
            <w:tcW w:w="1520" w:type="dxa"/>
            <w:vAlign w:val="bottom"/>
            <w:tcBorders>
              <w:bottom w:val="single" w:sz="8" w:color="CCFFCC"/>
            </w:tcBorders>
            <w:gridSpan w:val="2"/>
            <w:shd w:val="clear" w:color="auto" w:fill="CCFFCC"/>
          </w:tcPr>
          <w:p>
            <w:pPr>
              <w:jc w:val="center"/>
              <w:ind w:right="100"/>
              <w:spacing w:after="0" w:line="135" w:lineRule="exact"/>
              <w:rPr>
                <w:sz w:val="20"/>
                <w:szCs w:val="20"/>
                <w:color w:val="auto"/>
              </w:rPr>
            </w:pPr>
            <w:r>
              <w:rPr>
                <w:rFonts w:ascii="Arial" w:cs="Arial" w:eastAsia="Arial" w:hAnsi="Arial"/>
                <w:sz w:val="14"/>
                <w:szCs w:val="14"/>
                <w:color w:val="auto"/>
                <w:w w:val="94"/>
              </w:rPr>
              <w:t>Scottsdale, AZ</w:t>
            </w:r>
          </w:p>
        </w:tc>
        <w:tc>
          <w:tcPr>
            <w:tcW w:w="16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80" w:type="dxa"/>
            <w:vAlign w:val="bottom"/>
            <w:tcBorders>
              <w:bottom w:val="single" w:sz="8" w:color="CCFFCC"/>
            </w:tcBorders>
            <w:shd w:val="clear" w:color="auto" w:fill="CCFFCC"/>
          </w:tcPr>
          <w:p>
            <w:pPr>
              <w:spacing w:after="0"/>
              <w:rPr>
                <w:sz w:val="13"/>
                <w:szCs w:val="13"/>
                <w:color w:val="auto"/>
              </w:rPr>
            </w:pPr>
          </w:p>
        </w:tc>
        <w:tc>
          <w:tcPr>
            <w:tcW w:w="96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180" w:type="dxa"/>
            <w:vAlign w:val="bottom"/>
            <w:tcBorders>
              <w:bottom w:val="single" w:sz="8" w:color="CCFFCC"/>
            </w:tcBorders>
            <w:shd w:val="clear" w:color="auto" w:fill="CCFFCC"/>
          </w:tcPr>
          <w:p>
            <w:pPr>
              <w:spacing w:after="0"/>
              <w:rPr>
                <w:sz w:val="13"/>
                <w:szCs w:val="13"/>
                <w:color w:val="auto"/>
              </w:rPr>
            </w:pPr>
          </w:p>
        </w:tc>
        <w:tc>
          <w:tcPr>
            <w:tcW w:w="106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160" w:type="dxa"/>
            <w:vAlign w:val="bottom"/>
            <w:tcBorders>
              <w:bottom w:val="single" w:sz="8" w:color="CCFFCC"/>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4020" w:type="dxa"/>
            <w:vAlign w:val="bottom"/>
            <w:gridSpan w:val="12"/>
          </w:tcPr>
          <w:p>
            <w:pPr>
              <w:spacing w:after="0" w:line="122" w:lineRule="exact"/>
              <w:rPr>
                <w:sz w:val="20"/>
                <w:szCs w:val="20"/>
                <w:color w:val="auto"/>
              </w:rPr>
            </w:pPr>
            <w:r>
              <w:rPr>
                <w:rFonts w:ascii="Arial" w:cs="Arial" w:eastAsia="Arial" w:hAnsi="Arial"/>
                <w:sz w:val="14"/>
                <w:szCs w:val="14"/>
                <w:color w:val="auto"/>
              </w:rPr>
              <w:t>Preferred shares, Series B</w:t>
            </w:r>
          </w:p>
        </w:tc>
        <w:tc>
          <w:tcPr>
            <w:tcW w:w="1520" w:type="dxa"/>
            <w:vAlign w:val="bottom"/>
            <w:gridSpan w:val="2"/>
          </w:tcPr>
          <w:p>
            <w:pPr>
              <w:jc w:val="center"/>
              <w:ind w:right="120"/>
              <w:spacing w:after="0" w:line="122" w:lineRule="exact"/>
              <w:rPr>
                <w:sz w:val="20"/>
                <w:szCs w:val="20"/>
                <w:color w:val="auto"/>
              </w:rPr>
            </w:pPr>
            <w:r>
              <w:rPr>
                <w:rFonts w:ascii="Arial" w:cs="Arial" w:eastAsia="Arial" w:hAnsi="Arial"/>
                <w:sz w:val="14"/>
                <w:szCs w:val="14"/>
                <w:color w:val="auto"/>
                <w:w w:val="97"/>
              </w:rPr>
              <w:t>Electronic</w:t>
            </w:r>
          </w:p>
        </w:tc>
        <w:tc>
          <w:tcPr>
            <w:tcW w:w="16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4"/>
                <w:szCs w:val="14"/>
                <w:color w:val="auto"/>
              </w:rPr>
              <w:t>1,711,111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959,209</w:t>
            </w:r>
          </w:p>
        </w:tc>
        <w:tc>
          <w:tcPr>
            <w:tcW w:w="180" w:type="dxa"/>
            <w:vAlign w:val="bottom"/>
          </w:tcPr>
          <w:p>
            <w:pPr>
              <w:spacing w:after="0"/>
              <w:rPr>
                <w:sz w:val="10"/>
                <w:szCs w:val="10"/>
                <w:color w:val="auto"/>
              </w:rPr>
            </w:pPr>
          </w:p>
        </w:tc>
        <w:tc>
          <w:tcPr>
            <w:tcW w:w="128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946,335</w:t>
            </w:r>
          </w:p>
        </w:tc>
        <w:tc>
          <w:tcPr>
            <w:tcW w:w="136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0"/>
        </w:trPr>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52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4"/>
              </w:rPr>
              <w:t>Marketing and</w:t>
            </w:r>
          </w:p>
        </w:tc>
        <w:tc>
          <w:tcPr>
            <w:tcW w:w="16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16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0" w:type="dxa"/>
            <w:vAlign w:val="bottom"/>
            <w:shd w:val="clear" w:color="auto" w:fill="CCFFCC"/>
          </w:tcPr>
          <w:p>
            <w:pPr>
              <w:spacing w:after="0"/>
              <w:rPr>
                <w:sz w:val="15"/>
                <w:szCs w:val="15"/>
                <w:color w:val="auto"/>
              </w:rPr>
            </w:pPr>
          </w:p>
        </w:tc>
        <w:tc>
          <w:tcPr>
            <w:tcW w:w="4020" w:type="dxa"/>
            <w:vAlign w:val="bottom"/>
            <w:gridSpan w:val="12"/>
            <w:shd w:val="clear" w:color="auto" w:fill="CCFFCC"/>
          </w:tcPr>
          <w:p>
            <w:pPr>
              <w:spacing w:after="0"/>
              <w:rPr>
                <w:sz w:val="20"/>
                <w:szCs w:val="20"/>
                <w:color w:val="auto"/>
              </w:rPr>
            </w:pPr>
            <w:r>
              <w:rPr>
                <w:rFonts w:ascii="Arial" w:cs="Arial" w:eastAsia="Arial" w:hAnsi="Arial"/>
                <w:sz w:val="14"/>
                <w:szCs w:val="14"/>
                <w:color w:val="auto"/>
              </w:rPr>
              <w:t>Preferred warrants, $0.64 strike price, expire 12/1/2012</w:t>
            </w:r>
          </w:p>
        </w:tc>
        <w:tc>
          <w:tcPr>
            <w:tcW w:w="152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160" w:type="dxa"/>
            <w:vAlign w:val="bottom"/>
            <w:shd w:val="clear" w:color="auto" w:fill="CCFFCC"/>
          </w:tcPr>
          <w:p>
            <w:pPr>
              <w:spacing w:after="0"/>
              <w:rPr>
                <w:sz w:val="15"/>
                <w:szCs w:val="15"/>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1,568,518</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53,665</w:t>
            </w:r>
          </w:p>
        </w:tc>
        <w:tc>
          <w:tcPr>
            <w:tcW w:w="180" w:type="dxa"/>
            <w:vAlign w:val="bottom"/>
            <w:shd w:val="clear" w:color="auto" w:fill="CCFFCC"/>
          </w:tcPr>
          <w:p>
            <w:pPr>
              <w:spacing w:after="0"/>
              <w:rPr>
                <w:sz w:val="15"/>
                <w:szCs w:val="15"/>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53,665</w:t>
            </w: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2"/>
        </w:trPr>
        <w:tc>
          <w:tcPr>
            <w:tcW w:w="100" w:type="dxa"/>
            <w:vAlign w:val="bottom"/>
            <w:tcBorders>
              <w:bottom w:val="single" w:sz="8" w:color="CCFFCC"/>
            </w:tcBorders>
          </w:tcPr>
          <w:p>
            <w:pPr>
              <w:spacing w:after="0"/>
              <w:rPr>
                <w:sz w:val="12"/>
                <w:szCs w:val="12"/>
                <w:color w:val="auto"/>
              </w:rPr>
            </w:pPr>
          </w:p>
        </w:tc>
        <w:tc>
          <w:tcPr>
            <w:tcW w:w="4020" w:type="dxa"/>
            <w:vAlign w:val="bottom"/>
            <w:tcBorders>
              <w:bottom w:val="single" w:sz="8" w:color="CCFFCC"/>
            </w:tcBorders>
            <w:gridSpan w:val="12"/>
          </w:tcPr>
          <w:p>
            <w:pPr>
              <w:ind w:left="260"/>
              <w:spacing w:after="0" w:line="142" w:lineRule="exact"/>
              <w:rPr>
                <w:sz w:val="20"/>
                <w:szCs w:val="20"/>
                <w:color w:val="auto"/>
              </w:rPr>
            </w:pPr>
            <w:r>
              <w:rPr>
                <w:rFonts w:ascii="Arial" w:cs="Arial" w:eastAsia="Arial" w:hAnsi="Arial"/>
                <w:sz w:val="14"/>
                <w:szCs w:val="14"/>
                <w:color w:val="auto"/>
              </w:rPr>
              <w:t>Total</w:t>
            </w:r>
          </w:p>
        </w:tc>
        <w:tc>
          <w:tcPr>
            <w:tcW w:w="1280" w:type="dxa"/>
            <w:vAlign w:val="bottom"/>
            <w:tcBorders>
              <w:bottom w:val="single" w:sz="8" w:color="CCFFCC"/>
            </w:tcBorders>
          </w:tcPr>
          <w:p>
            <w:pPr>
              <w:spacing w:after="0"/>
              <w:rPr>
                <w:sz w:val="12"/>
                <w:szCs w:val="12"/>
                <w:color w:val="auto"/>
              </w:rPr>
            </w:pPr>
          </w:p>
        </w:tc>
        <w:tc>
          <w:tcPr>
            <w:tcW w:w="24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1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1,012,874</w:t>
            </w:r>
          </w:p>
        </w:tc>
        <w:tc>
          <w:tcPr>
            <w:tcW w:w="2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1,000,000</w:t>
            </w:r>
          </w:p>
        </w:tc>
        <w:tc>
          <w:tcPr>
            <w:tcW w:w="220" w:type="dxa"/>
            <w:vAlign w:val="bottom"/>
            <w:tcBorders>
              <w:bottom w:val="single" w:sz="8" w:color="CCFFCC"/>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1.40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500" w:type="dxa"/>
            <w:vAlign w:val="bottom"/>
            <w:gridSpan w:val="8"/>
            <w:vMerge w:val="restart"/>
          </w:tcPr>
          <w:p>
            <w:pPr>
              <w:spacing w:after="0"/>
              <w:rPr>
                <w:sz w:val="20"/>
                <w:szCs w:val="20"/>
                <w:color w:val="auto"/>
              </w:rPr>
            </w:pPr>
            <w:r>
              <w:rPr>
                <w:rFonts w:ascii="Arial" w:cs="Arial" w:eastAsia="Arial" w:hAnsi="Arial"/>
                <w:sz w:val="14"/>
                <w:szCs w:val="14"/>
                <w:b w:val="1"/>
                <w:bCs w:val="1"/>
                <w:color w:val="auto"/>
                <w:w w:val="94"/>
              </w:rPr>
              <w:t>The Echo System Corp.</w:t>
            </w:r>
          </w:p>
        </w:tc>
        <w:tc>
          <w:tcPr>
            <w:tcW w:w="1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2380" w:type="dxa"/>
            <w:vAlign w:val="bottom"/>
            <w:gridSpan w:val="3"/>
            <w:vMerge w:val="restart"/>
          </w:tcPr>
          <w:p>
            <w:pPr>
              <w:spacing w:after="0"/>
              <w:rPr>
                <w:sz w:val="10"/>
                <w:szCs w:val="10"/>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New York, NY</w:t>
            </w: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00" w:type="dxa"/>
            <w:vAlign w:val="bottom"/>
          </w:tcPr>
          <w:p>
            <w:pPr>
              <w:spacing w:after="0"/>
              <w:rPr>
                <w:sz w:val="2"/>
                <w:szCs w:val="2"/>
                <w:color w:val="auto"/>
              </w:rPr>
            </w:pPr>
          </w:p>
        </w:tc>
        <w:tc>
          <w:tcPr>
            <w:tcW w:w="1500" w:type="dxa"/>
            <w:vAlign w:val="bottom"/>
            <w:tcBorders>
              <w:bottom w:val="single" w:sz="8" w:color="auto"/>
            </w:tcBorders>
            <w:gridSpan w:val="8"/>
            <w:vMerge w:val="continue"/>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gridSpan w:val="3"/>
            <w:vMerge w:val="continue"/>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00" w:type="dxa"/>
            <w:vAlign w:val="bottom"/>
            <w:shd w:val="clear" w:color="auto" w:fill="CCFFCC"/>
          </w:tcPr>
          <w:p>
            <w:pPr>
              <w:spacing w:after="0"/>
              <w:rPr>
                <w:sz w:val="10"/>
                <w:szCs w:val="10"/>
                <w:color w:val="auto"/>
              </w:rPr>
            </w:pPr>
          </w:p>
        </w:tc>
        <w:tc>
          <w:tcPr>
            <w:tcW w:w="4020" w:type="dxa"/>
            <w:vAlign w:val="bottom"/>
            <w:gridSpan w:val="12"/>
            <w:shd w:val="clear" w:color="auto" w:fill="CCFFCC"/>
          </w:tcPr>
          <w:p>
            <w:pPr>
              <w:spacing w:after="0" w:line="123" w:lineRule="exact"/>
              <w:rPr>
                <w:sz w:val="20"/>
                <w:szCs w:val="20"/>
                <w:color w:val="auto"/>
              </w:rPr>
            </w:pPr>
            <w:r>
              <w:rPr>
                <w:rFonts w:ascii="Arial" w:cs="Arial" w:eastAsia="Arial" w:hAnsi="Arial"/>
                <w:sz w:val="14"/>
                <w:szCs w:val="14"/>
                <w:color w:val="auto"/>
              </w:rPr>
              <w:t>Structured note, 6%, due 1/28/2013, and warrant, $0.20 strike</w:t>
            </w:r>
          </w:p>
        </w:tc>
        <w:tc>
          <w:tcPr>
            <w:tcW w:w="12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160" w:type="dxa"/>
            <w:vAlign w:val="bottom"/>
            <w:tcBorders>
              <w:righ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 w:type="dxa"/>
            <w:vAlign w:val="bottom"/>
            <w:shd w:val="clear" w:color="auto" w:fill="CCFFCC"/>
          </w:tcPr>
          <w:p>
            <w:pPr>
              <w:spacing w:after="0"/>
              <w:rPr>
                <w:sz w:val="14"/>
                <w:szCs w:val="14"/>
                <w:color w:val="auto"/>
              </w:rPr>
            </w:pPr>
          </w:p>
        </w:tc>
        <w:tc>
          <w:tcPr>
            <w:tcW w:w="4020" w:type="dxa"/>
            <w:vAlign w:val="bottom"/>
            <w:gridSpan w:val="12"/>
            <w:shd w:val="clear" w:color="auto" w:fill="CCFFCC"/>
          </w:tcPr>
          <w:p>
            <w:pPr>
              <w:spacing w:after="0"/>
              <w:rPr>
                <w:sz w:val="20"/>
                <w:szCs w:val="20"/>
                <w:color w:val="auto"/>
              </w:rPr>
            </w:pPr>
            <w:r>
              <w:rPr>
                <w:rFonts w:ascii="Arial" w:cs="Arial" w:eastAsia="Arial" w:hAnsi="Arial"/>
                <w:sz w:val="14"/>
                <w:szCs w:val="14"/>
                <w:color w:val="auto"/>
              </w:rPr>
              <w:t>price, expires 11/14/2016</w:t>
            </w:r>
          </w:p>
        </w:tc>
        <w:tc>
          <w:tcPr>
            <w:tcW w:w="152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7"/>
              </w:rPr>
              <w:t>Social Analytics</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FFCC"/>
          </w:tcPr>
          <w:p>
            <w:pPr>
              <w:ind w:left="64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505,823</w:t>
            </w:r>
          </w:p>
        </w:tc>
        <w:tc>
          <w:tcPr>
            <w:tcW w:w="18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500,000</w:t>
            </w: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 w:type="dxa"/>
            <w:vAlign w:val="bottom"/>
            <w:shd w:val="clear" w:color="auto" w:fill="CCFFCC"/>
          </w:tcPr>
          <w:p>
            <w:pPr>
              <w:spacing w:after="0"/>
              <w:rPr>
                <w:sz w:val="13"/>
                <w:szCs w:val="13"/>
                <w:color w:val="auto"/>
              </w:rPr>
            </w:pPr>
          </w:p>
        </w:tc>
        <w:tc>
          <w:tcPr>
            <w:tcW w:w="4020" w:type="dxa"/>
            <w:vAlign w:val="bottom"/>
            <w:gridSpan w:val="12"/>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The rSmart Group, Inc.</w:t>
            </w:r>
          </w:p>
        </w:tc>
        <w:tc>
          <w:tcPr>
            <w:tcW w:w="1520" w:type="dxa"/>
            <w:vAlign w:val="bottom"/>
            <w:gridSpan w:val="2"/>
            <w:shd w:val="clear" w:color="auto" w:fill="CCFFCC"/>
          </w:tcPr>
          <w:p>
            <w:pPr>
              <w:jc w:val="center"/>
              <w:ind w:right="100"/>
              <w:spacing w:after="0" w:line="135" w:lineRule="exact"/>
              <w:rPr>
                <w:sz w:val="20"/>
                <w:szCs w:val="20"/>
                <w:color w:val="auto"/>
              </w:rPr>
            </w:pPr>
            <w:r>
              <w:rPr>
                <w:rFonts w:ascii="Arial" w:cs="Arial" w:eastAsia="Arial" w:hAnsi="Arial"/>
                <w:sz w:val="14"/>
                <w:szCs w:val="14"/>
                <w:color w:val="auto"/>
                <w:w w:val="94"/>
              </w:rPr>
              <w:t>Scottsdale, AZ</w:t>
            </w:r>
          </w:p>
        </w:tc>
        <w:tc>
          <w:tcPr>
            <w:tcW w:w="160" w:type="dxa"/>
            <w:vAlign w:val="bottom"/>
            <w:shd w:val="clear" w:color="auto" w:fill="CCFFCC"/>
          </w:tcPr>
          <w:p>
            <w:pPr>
              <w:spacing w:after="0"/>
              <w:rPr>
                <w:sz w:val="13"/>
                <w:szCs w:val="13"/>
                <w:color w:val="auto"/>
              </w:rPr>
            </w:pPr>
          </w:p>
        </w:tc>
        <w:tc>
          <w:tcPr>
            <w:tcW w:w="1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80" w:type="dxa"/>
            <w:vAlign w:val="bottom"/>
            <w:shd w:val="clear" w:color="auto" w:fill="CCFFCC"/>
          </w:tcPr>
          <w:p>
            <w:pPr>
              <w:spacing w:after="0"/>
              <w:rPr>
                <w:sz w:val="13"/>
                <w:szCs w:val="13"/>
                <w:color w:val="auto"/>
              </w:rPr>
            </w:pPr>
          </w:p>
        </w:tc>
        <w:tc>
          <w:tcPr>
            <w:tcW w:w="96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1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00" w:type="dxa"/>
            <w:vAlign w:val="bottom"/>
            <w:tcBorders>
              <w:top w:val="single" w:sz="8" w:color="CCFFCC"/>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Borders>
              <w:top w:val="single" w:sz="8" w:color="CCFFCC"/>
            </w:tcBorders>
          </w:tcPr>
          <w:p>
            <w:pPr>
              <w:spacing w:after="0"/>
              <w:rPr>
                <w:sz w:val="8"/>
                <w:szCs w:val="8"/>
                <w:color w:val="auto"/>
              </w:rPr>
            </w:pPr>
          </w:p>
        </w:tc>
        <w:tc>
          <w:tcPr>
            <w:tcW w:w="14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214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1520" w:type="dxa"/>
            <w:vAlign w:val="bottom"/>
            <w:tcBorders>
              <w:top w:val="single" w:sz="8" w:color="CCFFCC"/>
            </w:tcBorders>
            <w:gridSpan w:val="2"/>
          </w:tcPr>
          <w:p>
            <w:pPr>
              <w:jc w:val="center"/>
              <w:ind w:right="100"/>
              <w:spacing w:after="0" w:line="104" w:lineRule="exact"/>
              <w:rPr>
                <w:sz w:val="20"/>
                <w:szCs w:val="20"/>
                <w:color w:val="auto"/>
              </w:rPr>
            </w:pPr>
            <w:r>
              <w:rPr>
                <w:rFonts w:ascii="Arial" w:cs="Arial" w:eastAsia="Arial" w:hAnsi="Arial"/>
                <w:sz w:val="11"/>
                <w:szCs w:val="11"/>
                <w:color w:val="auto"/>
              </w:rPr>
              <w:t>Higher Education</w:t>
            </w:r>
          </w:p>
        </w:tc>
        <w:tc>
          <w:tcPr>
            <w:tcW w:w="160" w:type="dxa"/>
            <w:vAlign w:val="bottom"/>
            <w:tcBorders>
              <w:top w:val="single" w:sz="8" w:color="CCFFCC"/>
            </w:tcBorders>
          </w:tcPr>
          <w:p>
            <w:pPr>
              <w:spacing w:after="0"/>
              <w:rPr>
                <w:sz w:val="8"/>
                <w:szCs w:val="8"/>
                <w:color w:val="auto"/>
              </w:rPr>
            </w:pPr>
          </w:p>
        </w:tc>
        <w:tc>
          <w:tcPr>
            <w:tcW w:w="110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280" w:type="dxa"/>
            <w:vAlign w:val="bottom"/>
            <w:tcBorders>
              <w:top w:val="single" w:sz="8" w:color="CCFFCC"/>
            </w:tcBorders>
          </w:tcPr>
          <w:p>
            <w:pPr>
              <w:spacing w:after="0"/>
              <w:rPr>
                <w:sz w:val="8"/>
                <w:szCs w:val="8"/>
                <w:color w:val="auto"/>
              </w:rPr>
            </w:pPr>
          </w:p>
        </w:tc>
        <w:tc>
          <w:tcPr>
            <w:tcW w:w="960" w:type="dxa"/>
            <w:vAlign w:val="bottom"/>
            <w:tcBorders>
              <w:top w:val="single" w:sz="8" w:color="CCFFCC"/>
            </w:tcBorders>
          </w:tcPr>
          <w:p>
            <w:pPr>
              <w:spacing w:after="0"/>
              <w:rPr>
                <w:sz w:val="8"/>
                <w:szCs w:val="8"/>
                <w:color w:val="auto"/>
              </w:rPr>
            </w:pPr>
          </w:p>
        </w:tc>
        <w:tc>
          <w:tcPr>
            <w:tcW w:w="220" w:type="dxa"/>
            <w:vAlign w:val="bottom"/>
            <w:tcBorders>
              <w:top w:val="single" w:sz="8" w:color="CCFFCC"/>
            </w:tcBorders>
          </w:tcPr>
          <w:p>
            <w:pPr>
              <w:spacing w:after="0"/>
              <w:rPr>
                <w:sz w:val="8"/>
                <w:szCs w:val="8"/>
                <w:color w:val="auto"/>
              </w:rPr>
            </w:pPr>
          </w:p>
        </w:tc>
        <w:tc>
          <w:tcPr>
            <w:tcW w:w="180" w:type="dxa"/>
            <w:vAlign w:val="bottom"/>
            <w:tcBorders>
              <w:top w:val="single" w:sz="8" w:color="CCFFCC"/>
            </w:tcBorders>
          </w:tcPr>
          <w:p>
            <w:pPr>
              <w:spacing w:after="0"/>
              <w:rPr>
                <w:sz w:val="8"/>
                <w:szCs w:val="8"/>
                <w:color w:val="auto"/>
              </w:rPr>
            </w:pPr>
          </w:p>
        </w:tc>
        <w:tc>
          <w:tcPr>
            <w:tcW w:w="1060" w:type="dxa"/>
            <w:vAlign w:val="bottom"/>
            <w:tcBorders>
              <w:top w:val="single" w:sz="8" w:color="CCFFCC"/>
            </w:tcBorders>
          </w:tcPr>
          <w:p>
            <w:pPr>
              <w:spacing w:after="0"/>
              <w:rPr>
                <w:sz w:val="8"/>
                <w:szCs w:val="8"/>
                <w:color w:val="auto"/>
              </w:rPr>
            </w:pPr>
          </w:p>
        </w:tc>
        <w:tc>
          <w:tcPr>
            <w:tcW w:w="220" w:type="dxa"/>
            <w:vAlign w:val="bottom"/>
            <w:tcBorders>
              <w:top w:val="single" w:sz="8" w:color="CCFFCC"/>
            </w:tcBorders>
          </w:tcPr>
          <w:p>
            <w:pPr>
              <w:spacing w:after="0"/>
              <w:rPr>
                <w:sz w:val="8"/>
                <w:szCs w:val="8"/>
                <w:color w:val="auto"/>
              </w:rPr>
            </w:pPr>
          </w:p>
        </w:tc>
        <w:tc>
          <w:tcPr>
            <w:tcW w:w="100" w:type="dxa"/>
            <w:vAlign w:val="bottom"/>
            <w:tcBorders>
              <w:top w:val="single" w:sz="8" w:color="CCFFCC"/>
            </w:tcBorders>
          </w:tcPr>
          <w:p>
            <w:pPr>
              <w:spacing w:after="0"/>
              <w:rPr>
                <w:sz w:val="8"/>
                <w:szCs w:val="8"/>
                <w:color w:val="auto"/>
              </w:rPr>
            </w:pPr>
          </w:p>
        </w:tc>
        <w:tc>
          <w:tcPr>
            <w:tcW w:w="1160" w:type="dxa"/>
            <w:vAlign w:val="bottom"/>
            <w:tcBorders>
              <w:top w:val="single" w:sz="8" w:color="CCFFCC"/>
            </w:tcBorders>
          </w:tcPr>
          <w:p>
            <w:pPr>
              <w:spacing w:after="0"/>
              <w:rPr>
                <w:sz w:val="8"/>
                <w:szCs w:val="8"/>
                <w:color w:val="auto"/>
              </w:rPr>
            </w:pPr>
          </w:p>
        </w:tc>
        <w:tc>
          <w:tcPr>
            <w:tcW w:w="100" w:type="dxa"/>
            <w:vAlign w:val="bottom"/>
            <w:tcBorders>
              <w:top w:val="single" w:sz="8" w:color="CCFFCC"/>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20" w:type="dxa"/>
            <w:vAlign w:val="bottom"/>
            <w:gridSpan w:val="12"/>
          </w:tcPr>
          <w:p>
            <w:pPr>
              <w:spacing w:after="0"/>
              <w:rPr>
                <w:sz w:val="20"/>
                <w:szCs w:val="20"/>
                <w:color w:val="auto"/>
              </w:rPr>
            </w:pPr>
            <w:r>
              <w:rPr>
                <w:rFonts w:ascii="Arial" w:cs="Arial" w:eastAsia="Arial" w:hAnsi="Arial"/>
                <w:sz w:val="14"/>
                <w:szCs w:val="14"/>
                <w:color w:val="auto"/>
              </w:rPr>
              <w:t>Preferred shares, Series B</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Learning Platform</w:t>
            </w:r>
          </w:p>
        </w:tc>
        <w:tc>
          <w:tcPr>
            <w:tcW w:w="160" w:type="dxa"/>
            <w:vAlign w:val="bottom"/>
          </w:tcPr>
          <w:p>
            <w:pPr>
              <w:spacing w:after="0"/>
              <w:rPr>
                <w:sz w:val="14"/>
                <w:szCs w:val="14"/>
                <w:color w:val="auto"/>
              </w:rPr>
            </w:pP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480,769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513,311</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500,000</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020" w:type="dxa"/>
            <w:vAlign w:val="bottom"/>
            <w:gridSpan w:val="12"/>
          </w:tcPr>
          <w:p>
            <w:pPr>
              <w:spacing w:after="0" w:line="135" w:lineRule="exact"/>
              <w:rPr>
                <w:sz w:val="20"/>
                <w:szCs w:val="20"/>
                <w:color w:val="auto"/>
              </w:rPr>
            </w:pPr>
            <w:r>
              <w:rPr>
                <w:rFonts w:ascii="Arial" w:cs="Arial" w:eastAsia="Arial" w:hAnsi="Arial"/>
                <w:sz w:val="14"/>
                <w:szCs w:val="14"/>
                <w:b w:val="1"/>
                <w:bCs w:val="1"/>
                <w:color w:val="auto"/>
              </w:rPr>
              <w:t>TrueCar, Inc.</w:t>
            </w: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Santa Monica, CA</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520" w:type="dxa"/>
            <w:vAlign w:val="bottom"/>
            <w:gridSpan w:val="2"/>
            <w:shd w:val="clear" w:color="auto" w:fill="CCFFCC"/>
          </w:tcPr>
          <w:p>
            <w:pPr>
              <w:jc w:val="center"/>
              <w:ind w:right="120"/>
              <w:spacing w:after="0" w:line="123" w:lineRule="exact"/>
              <w:rPr>
                <w:sz w:val="20"/>
                <w:szCs w:val="20"/>
                <w:color w:val="auto"/>
              </w:rPr>
            </w:pPr>
            <w:r>
              <w:rPr>
                <w:rFonts w:ascii="Arial" w:cs="Arial" w:eastAsia="Arial" w:hAnsi="Arial"/>
                <w:sz w:val="14"/>
                <w:szCs w:val="14"/>
                <w:color w:val="auto"/>
                <w:w w:val="98"/>
              </w:rPr>
              <w:t>Online</w:t>
            </w:r>
          </w:p>
        </w:tc>
        <w:tc>
          <w:tcPr>
            <w:tcW w:w="16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160" w:type="dxa"/>
            <w:vAlign w:val="bottom"/>
            <w:tcBorders>
              <w:righ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 w:type="dxa"/>
            <w:vAlign w:val="bottom"/>
            <w:shd w:val="clear" w:color="auto" w:fill="CCFFCC"/>
          </w:tcPr>
          <w:p>
            <w:pPr>
              <w:spacing w:after="0"/>
              <w:rPr>
                <w:sz w:val="14"/>
                <w:szCs w:val="14"/>
                <w:color w:val="auto"/>
              </w:rPr>
            </w:pPr>
          </w:p>
        </w:tc>
        <w:tc>
          <w:tcPr>
            <w:tcW w:w="4020" w:type="dxa"/>
            <w:vAlign w:val="bottom"/>
            <w:gridSpan w:val="12"/>
            <w:shd w:val="clear" w:color="auto" w:fill="CCFFCC"/>
          </w:tcPr>
          <w:p>
            <w:pPr>
              <w:spacing w:after="0"/>
              <w:rPr>
                <w:sz w:val="20"/>
                <w:szCs w:val="20"/>
                <w:color w:val="auto"/>
              </w:rPr>
            </w:pPr>
            <w:r>
              <w:rPr>
                <w:rFonts w:ascii="Arial" w:cs="Arial" w:eastAsia="Arial" w:hAnsi="Arial"/>
                <w:sz w:val="14"/>
                <w:szCs w:val="14"/>
                <w:color w:val="auto"/>
              </w:rPr>
              <w:t>Common shares</w:t>
            </w:r>
          </w:p>
        </w:tc>
        <w:tc>
          <w:tcPr>
            <w:tcW w:w="152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4"/>
              </w:rPr>
              <w:t>Marketplace (Cars)</w:t>
            </w:r>
          </w:p>
        </w:tc>
        <w:tc>
          <w:tcPr>
            <w:tcW w:w="16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ind w:left="640"/>
              <w:spacing w:after="0"/>
              <w:rPr>
                <w:sz w:val="20"/>
                <w:szCs w:val="20"/>
                <w:color w:val="auto"/>
              </w:rPr>
            </w:pPr>
            <w:r>
              <w:rPr>
                <w:rFonts w:ascii="Arial" w:cs="Arial" w:eastAsia="Arial" w:hAnsi="Arial"/>
                <w:sz w:val="14"/>
                <w:szCs w:val="14"/>
                <w:color w:val="auto"/>
              </w:rPr>
              <w:t>377,358</w:t>
            </w: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2,014,551</w:t>
            </w:r>
          </w:p>
        </w:tc>
        <w:tc>
          <w:tcPr>
            <w:tcW w:w="180" w:type="dxa"/>
            <w:vAlign w:val="bottom"/>
            <w:shd w:val="clear" w:color="auto" w:fill="CCFFCC"/>
          </w:tcPr>
          <w:p>
            <w:pPr>
              <w:spacing w:after="0"/>
              <w:rPr>
                <w:sz w:val="14"/>
                <w:szCs w:val="14"/>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1,999,997</w:t>
            </w:r>
          </w:p>
        </w:tc>
        <w:tc>
          <w:tcPr>
            <w:tcW w:w="220" w:type="dxa"/>
            <w:vAlign w:val="bottom"/>
            <w:shd w:val="clear" w:color="auto" w:fill="CCFFCC"/>
          </w:tcPr>
          <w:p>
            <w:pPr>
              <w:spacing w:after="0"/>
              <w:rPr>
                <w:sz w:val="14"/>
                <w:szCs w:val="14"/>
                <w:color w:val="auto"/>
              </w:rPr>
            </w:pP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 w:type="dxa"/>
            <w:vAlign w:val="bottom"/>
            <w:shd w:val="clear" w:color="auto" w:fill="CCFFCC"/>
          </w:tcPr>
          <w:p>
            <w:pPr>
              <w:spacing w:after="0"/>
              <w:rPr>
                <w:sz w:val="13"/>
                <w:szCs w:val="13"/>
                <w:color w:val="auto"/>
              </w:rPr>
            </w:pPr>
          </w:p>
        </w:tc>
        <w:tc>
          <w:tcPr>
            <w:tcW w:w="4020" w:type="dxa"/>
            <w:vAlign w:val="bottom"/>
            <w:gridSpan w:val="12"/>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Twitter, Inc.</w:t>
            </w:r>
          </w:p>
        </w:tc>
        <w:tc>
          <w:tcPr>
            <w:tcW w:w="152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60" w:type="dxa"/>
            <w:vAlign w:val="bottom"/>
            <w:shd w:val="clear" w:color="auto" w:fill="CCFFCC"/>
          </w:tcPr>
          <w:p>
            <w:pPr>
              <w:spacing w:after="0"/>
              <w:rPr>
                <w:sz w:val="13"/>
                <w:szCs w:val="13"/>
                <w:color w:val="auto"/>
              </w:rPr>
            </w:pPr>
          </w:p>
        </w:tc>
        <w:tc>
          <w:tcPr>
            <w:tcW w:w="1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80" w:type="dxa"/>
            <w:vAlign w:val="bottom"/>
            <w:shd w:val="clear" w:color="auto" w:fill="CCFFCC"/>
          </w:tcPr>
          <w:p>
            <w:pPr>
              <w:spacing w:after="0"/>
              <w:rPr>
                <w:sz w:val="13"/>
                <w:szCs w:val="13"/>
                <w:color w:val="auto"/>
              </w:rPr>
            </w:pPr>
          </w:p>
        </w:tc>
        <w:tc>
          <w:tcPr>
            <w:tcW w:w="96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1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00" w:type="dxa"/>
            <w:vAlign w:val="bottom"/>
            <w:tcBorders>
              <w:top w:val="single" w:sz="8" w:color="CCFFCC"/>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CCFFCC"/>
            </w:tcBorders>
          </w:tcPr>
          <w:p>
            <w:pPr>
              <w:spacing w:after="0"/>
              <w:rPr>
                <w:sz w:val="8"/>
                <w:szCs w:val="8"/>
                <w:color w:val="auto"/>
              </w:rPr>
            </w:pPr>
          </w:p>
        </w:tc>
        <w:tc>
          <w:tcPr>
            <w:tcW w:w="2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380" w:type="dxa"/>
            <w:vAlign w:val="bottom"/>
            <w:tcBorders>
              <w:top w:val="single" w:sz="8" w:color="CCFFCC"/>
            </w:tcBorders>
          </w:tcPr>
          <w:p>
            <w:pPr>
              <w:spacing w:after="0"/>
              <w:rPr>
                <w:sz w:val="8"/>
                <w:szCs w:val="8"/>
                <w:color w:val="auto"/>
              </w:rPr>
            </w:pPr>
          </w:p>
        </w:tc>
        <w:tc>
          <w:tcPr>
            <w:tcW w:w="20" w:type="dxa"/>
            <w:vAlign w:val="bottom"/>
            <w:tcBorders>
              <w:top w:val="single" w:sz="8" w:color="CCFFCC"/>
            </w:tcBorders>
          </w:tcPr>
          <w:p>
            <w:pPr>
              <w:spacing w:after="0"/>
              <w:rPr>
                <w:sz w:val="8"/>
                <w:szCs w:val="8"/>
                <w:color w:val="auto"/>
              </w:rPr>
            </w:pPr>
          </w:p>
        </w:tc>
        <w:tc>
          <w:tcPr>
            <w:tcW w:w="14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214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1520" w:type="dxa"/>
            <w:vAlign w:val="bottom"/>
            <w:tcBorders>
              <w:top w:val="single" w:sz="8" w:color="CCFFCC"/>
            </w:tcBorders>
            <w:gridSpan w:val="2"/>
          </w:tcPr>
          <w:p>
            <w:pPr>
              <w:jc w:val="center"/>
              <w:ind w:right="120"/>
              <w:spacing w:after="0" w:line="104" w:lineRule="exact"/>
              <w:rPr>
                <w:sz w:val="20"/>
                <w:szCs w:val="20"/>
                <w:color w:val="auto"/>
              </w:rPr>
            </w:pPr>
            <w:r>
              <w:rPr>
                <w:rFonts w:ascii="Arial" w:cs="Arial" w:eastAsia="Arial" w:hAnsi="Arial"/>
                <w:sz w:val="11"/>
                <w:szCs w:val="11"/>
                <w:color w:val="auto"/>
              </w:rPr>
              <w:t>Social</w:t>
            </w:r>
          </w:p>
        </w:tc>
        <w:tc>
          <w:tcPr>
            <w:tcW w:w="160" w:type="dxa"/>
            <w:vAlign w:val="bottom"/>
            <w:tcBorders>
              <w:top w:val="single" w:sz="8" w:color="CCFFCC"/>
            </w:tcBorders>
          </w:tcPr>
          <w:p>
            <w:pPr>
              <w:spacing w:after="0"/>
              <w:rPr>
                <w:sz w:val="8"/>
                <w:szCs w:val="8"/>
                <w:color w:val="auto"/>
              </w:rPr>
            </w:pPr>
          </w:p>
        </w:tc>
        <w:tc>
          <w:tcPr>
            <w:tcW w:w="110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120" w:type="dxa"/>
            <w:vAlign w:val="bottom"/>
            <w:tcBorders>
              <w:top w:val="single" w:sz="8" w:color="CCFFCC"/>
            </w:tcBorders>
          </w:tcPr>
          <w:p>
            <w:pPr>
              <w:spacing w:after="0"/>
              <w:rPr>
                <w:sz w:val="8"/>
                <w:szCs w:val="8"/>
                <w:color w:val="auto"/>
              </w:rPr>
            </w:pPr>
          </w:p>
        </w:tc>
        <w:tc>
          <w:tcPr>
            <w:tcW w:w="280" w:type="dxa"/>
            <w:vAlign w:val="bottom"/>
            <w:tcBorders>
              <w:top w:val="single" w:sz="8" w:color="CCFFCC"/>
            </w:tcBorders>
          </w:tcPr>
          <w:p>
            <w:pPr>
              <w:spacing w:after="0"/>
              <w:rPr>
                <w:sz w:val="8"/>
                <w:szCs w:val="8"/>
                <w:color w:val="auto"/>
              </w:rPr>
            </w:pPr>
          </w:p>
        </w:tc>
        <w:tc>
          <w:tcPr>
            <w:tcW w:w="960" w:type="dxa"/>
            <w:vAlign w:val="bottom"/>
            <w:tcBorders>
              <w:top w:val="single" w:sz="8" w:color="CCFFCC"/>
            </w:tcBorders>
          </w:tcPr>
          <w:p>
            <w:pPr>
              <w:spacing w:after="0"/>
              <w:rPr>
                <w:sz w:val="8"/>
                <w:szCs w:val="8"/>
                <w:color w:val="auto"/>
              </w:rPr>
            </w:pPr>
          </w:p>
        </w:tc>
        <w:tc>
          <w:tcPr>
            <w:tcW w:w="220" w:type="dxa"/>
            <w:vAlign w:val="bottom"/>
            <w:tcBorders>
              <w:top w:val="single" w:sz="8" w:color="CCFFCC"/>
            </w:tcBorders>
          </w:tcPr>
          <w:p>
            <w:pPr>
              <w:spacing w:after="0"/>
              <w:rPr>
                <w:sz w:val="8"/>
                <w:szCs w:val="8"/>
                <w:color w:val="auto"/>
              </w:rPr>
            </w:pPr>
          </w:p>
        </w:tc>
        <w:tc>
          <w:tcPr>
            <w:tcW w:w="180" w:type="dxa"/>
            <w:vAlign w:val="bottom"/>
            <w:tcBorders>
              <w:top w:val="single" w:sz="8" w:color="CCFFCC"/>
            </w:tcBorders>
          </w:tcPr>
          <w:p>
            <w:pPr>
              <w:spacing w:after="0"/>
              <w:rPr>
                <w:sz w:val="8"/>
                <w:szCs w:val="8"/>
                <w:color w:val="auto"/>
              </w:rPr>
            </w:pPr>
          </w:p>
        </w:tc>
        <w:tc>
          <w:tcPr>
            <w:tcW w:w="1060" w:type="dxa"/>
            <w:vAlign w:val="bottom"/>
            <w:tcBorders>
              <w:top w:val="single" w:sz="8" w:color="CCFFCC"/>
            </w:tcBorders>
          </w:tcPr>
          <w:p>
            <w:pPr>
              <w:spacing w:after="0"/>
              <w:rPr>
                <w:sz w:val="8"/>
                <w:szCs w:val="8"/>
                <w:color w:val="auto"/>
              </w:rPr>
            </w:pPr>
          </w:p>
        </w:tc>
        <w:tc>
          <w:tcPr>
            <w:tcW w:w="220" w:type="dxa"/>
            <w:vAlign w:val="bottom"/>
            <w:tcBorders>
              <w:top w:val="single" w:sz="8" w:color="CCFFCC"/>
            </w:tcBorders>
          </w:tcPr>
          <w:p>
            <w:pPr>
              <w:spacing w:after="0"/>
              <w:rPr>
                <w:sz w:val="8"/>
                <w:szCs w:val="8"/>
                <w:color w:val="auto"/>
              </w:rPr>
            </w:pPr>
          </w:p>
        </w:tc>
        <w:tc>
          <w:tcPr>
            <w:tcW w:w="100" w:type="dxa"/>
            <w:vAlign w:val="bottom"/>
            <w:tcBorders>
              <w:top w:val="single" w:sz="8" w:color="CCFFCC"/>
            </w:tcBorders>
          </w:tcPr>
          <w:p>
            <w:pPr>
              <w:spacing w:after="0"/>
              <w:rPr>
                <w:sz w:val="8"/>
                <w:szCs w:val="8"/>
                <w:color w:val="auto"/>
              </w:rPr>
            </w:pPr>
          </w:p>
        </w:tc>
        <w:tc>
          <w:tcPr>
            <w:tcW w:w="1160" w:type="dxa"/>
            <w:vAlign w:val="bottom"/>
            <w:tcBorders>
              <w:top w:val="single" w:sz="8" w:color="CCFFCC"/>
            </w:tcBorders>
          </w:tcPr>
          <w:p>
            <w:pPr>
              <w:spacing w:after="0"/>
              <w:rPr>
                <w:sz w:val="8"/>
                <w:szCs w:val="8"/>
                <w:color w:val="auto"/>
              </w:rPr>
            </w:pPr>
          </w:p>
        </w:tc>
        <w:tc>
          <w:tcPr>
            <w:tcW w:w="100" w:type="dxa"/>
            <w:vAlign w:val="bottom"/>
            <w:tcBorders>
              <w:top w:val="single" w:sz="8" w:color="CCFFCC"/>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20" w:type="dxa"/>
            <w:vAlign w:val="bottom"/>
            <w:gridSpan w:val="12"/>
          </w:tcPr>
          <w:p>
            <w:pPr>
              <w:spacing w:after="0"/>
              <w:rPr>
                <w:sz w:val="20"/>
                <w:szCs w:val="20"/>
                <w:color w:val="auto"/>
              </w:rPr>
            </w:pPr>
            <w:r>
              <w:rPr>
                <w:rFonts w:ascii="Arial" w:cs="Arial" w:eastAsia="Arial" w:hAnsi="Arial"/>
                <w:sz w:val="14"/>
                <w:szCs w:val="14"/>
                <w:color w:val="auto"/>
              </w:rPr>
              <w:t>Common shares</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Communication</w:t>
            </w:r>
          </w:p>
        </w:tc>
        <w:tc>
          <w:tcPr>
            <w:tcW w:w="160" w:type="dxa"/>
            <w:vAlign w:val="bottom"/>
          </w:tcPr>
          <w:p>
            <w:pPr>
              <w:spacing w:after="0"/>
              <w:rPr>
                <w:sz w:val="14"/>
                <w:szCs w:val="14"/>
                <w:color w:val="auto"/>
              </w:rPr>
            </w:pP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735,600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12,304,345</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12,113,493</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149"/>
        </w:trPr>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020" w:type="dxa"/>
            <w:vAlign w:val="bottom"/>
            <w:gridSpan w:val="12"/>
          </w:tcPr>
          <w:p>
            <w:pPr>
              <w:spacing w:after="0" w:line="135" w:lineRule="exact"/>
              <w:rPr>
                <w:sz w:val="20"/>
                <w:szCs w:val="20"/>
                <w:color w:val="auto"/>
              </w:rPr>
            </w:pPr>
            <w:r>
              <w:rPr>
                <w:rFonts w:ascii="Arial" w:cs="Arial" w:eastAsia="Arial" w:hAnsi="Arial"/>
                <w:sz w:val="14"/>
                <w:szCs w:val="14"/>
                <w:b w:val="1"/>
                <w:bCs w:val="1"/>
                <w:color w:val="auto"/>
              </w:rPr>
              <w:t>ZocDoc Inc.</w:t>
            </w: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rPr>
              <w:t>New York, NY</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1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520" w:type="dxa"/>
            <w:vAlign w:val="bottom"/>
            <w:gridSpan w:val="2"/>
            <w:shd w:val="clear" w:color="auto" w:fill="CCFFCC"/>
          </w:tcPr>
          <w:p>
            <w:pPr>
              <w:jc w:val="center"/>
              <w:ind w:right="100"/>
              <w:spacing w:after="0" w:line="123" w:lineRule="exact"/>
              <w:rPr>
                <w:sz w:val="20"/>
                <w:szCs w:val="20"/>
                <w:color w:val="auto"/>
              </w:rPr>
            </w:pPr>
            <w:r>
              <w:rPr>
                <w:rFonts w:ascii="Arial" w:cs="Arial" w:eastAsia="Arial" w:hAnsi="Arial"/>
                <w:sz w:val="14"/>
                <w:szCs w:val="14"/>
                <w:color w:val="auto"/>
                <w:w w:val="97"/>
              </w:rPr>
              <w:t>Online Medical</w:t>
            </w:r>
          </w:p>
        </w:tc>
        <w:tc>
          <w:tcPr>
            <w:tcW w:w="16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160" w:type="dxa"/>
            <w:vAlign w:val="bottom"/>
            <w:tcBorders>
              <w:right w:val="single" w:sz="8" w:color="CCFFCC"/>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 w:type="dxa"/>
            <w:vAlign w:val="bottom"/>
            <w:shd w:val="clear" w:color="auto" w:fill="CCFFCC"/>
          </w:tcPr>
          <w:p>
            <w:pPr>
              <w:spacing w:after="0"/>
              <w:rPr>
                <w:sz w:val="14"/>
                <w:szCs w:val="14"/>
                <w:color w:val="auto"/>
              </w:rPr>
            </w:pPr>
          </w:p>
        </w:tc>
        <w:tc>
          <w:tcPr>
            <w:tcW w:w="4020" w:type="dxa"/>
            <w:vAlign w:val="bottom"/>
            <w:gridSpan w:val="12"/>
            <w:shd w:val="clear" w:color="auto" w:fill="CCFFCC"/>
          </w:tcPr>
          <w:p>
            <w:pPr>
              <w:spacing w:after="0"/>
              <w:rPr>
                <w:sz w:val="20"/>
                <w:szCs w:val="20"/>
                <w:color w:val="auto"/>
              </w:rPr>
            </w:pPr>
            <w:r>
              <w:rPr>
                <w:rFonts w:ascii="Arial" w:cs="Arial" w:eastAsia="Arial" w:hAnsi="Arial"/>
                <w:sz w:val="14"/>
                <w:szCs w:val="14"/>
                <w:color w:val="auto"/>
              </w:rPr>
              <w:t>Preferred shares</w:t>
            </w:r>
          </w:p>
        </w:tc>
        <w:tc>
          <w:tcPr>
            <w:tcW w:w="152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color w:val="auto"/>
                <w:w w:val="92"/>
              </w:rPr>
              <w:t>Scheduling</w:t>
            </w:r>
          </w:p>
        </w:tc>
        <w:tc>
          <w:tcPr>
            <w:tcW w:w="16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ind w:left="640"/>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3,563,178</w:t>
            </w:r>
          </w:p>
        </w:tc>
        <w:tc>
          <w:tcPr>
            <w:tcW w:w="180" w:type="dxa"/>
            <w:vAlign w:val="bottom"/>
            <w:shd w:val="clear" w:color="auto" w:fill="CCFFCC"/>
          </w:tcPr>
          <w:p>
            <w:pPr>
              <w:spacing w:after="0"/>
              <w:rPr>
                <w:sz w:val="14"/>
                <w:szCs w:val="14"/>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3,500,000</w:t>
            </w:r>
          </w:p>
        </w:tc>
        <w:tc>
          <w:tcPr>
            <w:tcW w:w="220" w:type="dxa"/>
            <w:vAlign w:val="bottom"/>
            <w:shd w:val="clear" w:color="auto" w:fill="CCFFCC"/>
          </w:tcPr>
          <w:p>
            <w:pPr>
              <w:spacing w:after="0"/>
              <w:rPr>
                <w:sz w:val="14"/>
                <w:szCs w:val="14"/>
                <w:color w:val="auto"/>
              </w:rPr>
            </w:pP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FFCC"/>
          </w:tcPr>
          <w:p>
            <w:pPr>
              <w:spacing w:after="0"/>
              <w:rPr>
                <w:sz w:val="11"/>
                <w:szCs w:val="11"/>
                <w:color w:val="auto"/>
              </w:rPr>
            </w:pPr>
          </w:p>
        </w:tc>
        <w:tc>
          <w:tcPr>
            <w:tcW w:w="4020" w:type="dxa"/>
            <w:vAlign w:val="bottom"/>
            <w:gridSpan w:val="12"/>
            <w:shd w:val="clear" w:color="auto" w:fill="CCFFCC"/>
          </w:tcPr>
          <w:p>
            <w:pPr>
              <w:spacing w:after="0" w:line="135" w:lineRule="exact"/>
              <w:rPr>
                <w:sz w:val="20"/>
                <w:szCs w:val="20"/>
                <w:color w:val="auto"/>
              </w:rPr>
            </w:pPr>
            <w:r>
              <w:rPr>
                <w:rFonts w:ascii="Arial" w:cs="Arial" w:eastAsia="Arial" w:hAnsi="Arial"/>
                <w:sz w:val="14"/>
                <w:szCs w:val="14"/>
                <w:b w:val="1"/>
                <w:bCs w:val="1"/>
                <w:color w:val="auto"/>
              </w:rPr>
              <w:t>ZoomSystems</w:t>
            </w:r>
          </w:p>
        </w:tc>
        <w:tc>
          <w:tcPr>
            <w:tcW w:w="152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4"/>
                <w:szCs w:val="14"/>
                <w:color w:val="auto"/>
                <w:w w:val="92"/>
              </w:rPr>
              <w:t>San Francisco, CA</w:t>
            </w:r>
          </w:p>
        </w:tc>
        <w:tc>
          <w:tcPr>
            <w:tcW w:w="16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16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380" w:type="dxa"/>
            <w:vAlign w:val="bottom"/>
            <w:tcBorders>
              <w:top w:val="single" w:sz="8" w:color="CCFFCC"/>
            </w:tcBorders>
          </w:tcPr>
          <w:p>
            <w:pPr>
              <w:spacing w:after="0"/>
              <w:rPr>
                <w:sz w:val="10"/>
                <w:szCs w:val="10"/>
                <w:color w:val="auto"/>
              </w:rPr>
            </w:pPr>
          </w:p>
        </w:tc>
        <w:tc>
          <w:tcPr>
            <w:tcW w:w="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21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520" w:type="dxa"/>
            <w:vAlign w:val="bottom"/>
            <w:tcBorders>
              <w:top w:val="single" w:sz="8" w:color="CCFFCC"/>
            </w:tcBorders>
            <w:gridSpan w:val="2"/>
          </w:tcPr>
          <w:p>
            <w:pPr>
              <w:jc w:val="center"/>
              <w:ind w:right="120"/>
              <w:spacing w:after="0" w:line="123" w:lineRule="exact"/>
              <w:rPr>
                <w:sz w:val="20"/>
                <w:szCs w:val="20"/>
                <w:color w:val="auto"/>
              </w:rPr>
            </w:pPr>
            <w:r>
              <w:rPr>
                <w:rFonts w:ascii="Arial" w:cs="Arial" w:eastAsia="Arial" w:hAnsi="Arial"/>
                <w:sz w:val="14"/>
                <w:szCs w:val="14"/>
                <w:color w:val="auto"/>
                <w:w w:val="94"/>
              </w:rPr>
              <w:t>Smart e-tail</w:t>
            </w:r>
          </w:p>
        </w:tc>
        <w:tc>
          <w:tcPr>
            <w:tcW w:w="160" w:type="dxa"/>
            <w:vAlign w:val="bottom"/>
            <w:tcBorders>
              <w:top w:val="single" w:sz="8" w:color="CCFFCC"/>
            </w:tcBorders>
          </w:tcPr>
          <w:p>
            <w:pPr>
              <w:spacing w:after="0"/>
              <w:rPr>
                <w:sz w:val="10"/>
                <w:szCs w:val="10"/>
                <w:color w:val="auto"/>
              </w:rPr>
            </w:pPr>
          </w:p>
        </w:tc>
        <w:tc>
          <w:tcPr>
            <w:tcW w:w="1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280" w:type="dxa"/>
            <w:vAlign w:val="bottom"/>
            <w:tcBorders>
              <w:top w:val="single" w:sz="8" w:color="CCFFCC"/>
            </w:tcBorders>
          </w:tcPr>
          <w:p>
            <w:pPr>
              <w:spacing w:after="0"/>
              <w:rPr>
                <w:sz w:val="10"/>
                <w:szCs w:val="10"/>
                <w:color w:val="auto"/>
              </w:rPr>
            </w:pPr>
          </w:p>
        </w:tc>
        <w:tc>
          <w:tcPr>
            <w:tcW w:w="96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106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16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4020" w:type="dxa"/>
            <w:vAlign w:val="bottom"/>
            <w:gridSpan w:val="12"/>
          </w:tcPr>
          <w:p>
            <w:pPr>
              <w:spacing w:after="0"/>
              <w:rPr>
                <w:sz w:val="20"/>
                <w:szCs w:val="20"/>
                <w:color w:val="auto"/>
              </w:rPr>
            </w:pPr>
            <w:r>
              <w:rPr>
                <w:rFonts w:ascii="Arial" w:cs="Arial" w:eastAsia="Arial" w:hAnsi="Arial"/>
                <w:sz w:val="14"/>
                <w:szCs w:val="14"/>
                <w:color w:val="auto"/>
              </w:rPr>
              <w:t>Preferred shares, Series A</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(Retail)</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260,476</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250,000</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42"/>
        </w:trPr>
        <w:tc>
          <w:tcPr>
            <w:tcW w:w="100" w:type="dxa"/>
            <w:vAlign w:val="bottom"/>
            <w:tcBorders>
              <w:top w:val="single" w:sz="8" w:color="CCFFCC"/>
            </w:tcBorders>
            <w:shd w:val="clear" w:color="auto" w:fill="CCFFCC"/>
          </w:tcPr>
          <w:p>
            <w:pPr>
              <w:spacing w:after="0"/>
              <w:rPr>
                <w:sz w:val="12"/>
                <w:szCs w:val="12"/>
                <w:color w:val="auto"/>
              </w:rPr>
            </w:pPr>
          </w:p>
        </w:tc>
        <w:tc>
          <w:tcPr>
            <w:tcW w:w="74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38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1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8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160" w:type="dxa"/>
            <w:vAlign w:val="bottom"/>
            <w:tcBorders>
              <w:top w:val="single" w:sz="8" w:color="auto"/>
              <w:right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020" w:type="dxa"/>
            <w:vAlign w:val="bottom"/>
            <w:gridSpan w:val="12"/>
          </w:tcPr>
          <w:p>
            <w:pPr>
              <w:spacing w:after="0"/>
              <w:rPr>
                <w:sz w:val="20"/>
                <w:szCs w:val="20"/>
                <w:color w:val="auto"/>
              </w:rPr>
            </w:pPr>
            <w:r>
              <w:rPr>
                <w:rFonts w:ascii="Arial" w:cs="Arial" w:eastAsia="Arial" w:hAnsi="Arial"/>
                <w:sz w:val="14"/>
                <w:szCs w:val="14"/>
                <w:b w:val="1"/>
                <w:bCs w:val="1"/>
                <w:color w:val="auto"/>
              </w:rPr>
              <w:t>Total Portfolio Investments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65,658,866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64,078,150</w:t>
            </w: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89.62%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Headquarters /</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 / Par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0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Non-Portfolio Investments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Industry</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 w:type="dxa"/>
            <w:vAlign w:val="bottom"/>
            <w:tcBorders>
              <w:bottom w:val="single" w:sz="8" w:color="CCFFCC"/>
            </w:tcBorders>
            <w:shd w:val="clear" w:color="auto" w:fill="CCFFCC"/>
          </w:tcPr>
          <w:p>
            <w:pPr>
              <w:spacing w:after="0"/>
              <w:rPr>
                <w:sz w:val="12"/>
                <w:szCs w:val="12"/>
                <w:color w:val="auto"/>
              </w:rPr>
            </w:pPr>
          </w:p>
        </w:tc>
        <w:tc>
          <w:tcPr>
            <w:tcW w:w="1820" w:type="dxa"/>
            <w:vAlign w:val="bottom"/>
            <w:tcBorders>
              <w:bottom w:val="single" w:sz="8" w:color="CCFFCC"/>
            </w:tcBorders>
            <w:gridSpan w:val="2"/>
            <w:vMerge w:val="restart"/>
            <w:shd w:val="clear" w:color="auto" w:fill="CCFFCC"/>
          </w:tcPr>
          <w:p>
            <w:pPr>
              <w:spacing w:after="0"/>
              <w:rPr>
                <w:sz w:val="20"/>
                <w:szCs w:val="20"/>
                <w:color w:val="auto"/>
              </w:rPr>
            </w:pPr>
            <w:r>
              <w:rPr>
                <w:rFonts w:ascii="Arial" w:cs="Arial" w:eastAsia="Arial" w:hAnsi="Arial"/>
                <w:sz w:val="18"/>
                <w:szCs w:val="18"/>
                <w:b w:val="1"/>
                <w:bCs w:val="1"/>
                <w:color w:val="auto"/>
                <w:w w:val="91"/>
              </w:rPr>
              <w:t>United States Treasury</w:t>
            </w:r>
          </w:p>
        </w:tc>
        <w:tc>
          <w:tcPr>
            <w:tcW w:w="160" w:type="dxa"/>
            <w:vAlign w:val="bottom"/>
            <w:tcBorders>
              <w:bottom w:val="single" w:sz="8" w:color="auto"/>
            </w:tcBorders>
            <w:gridSpan w:val="2"/>
            <w:shd w:val="clear" w:color="auto" w:fill="CCFFCC"/>
          </w:tcPr>
          <w:p>
            <w:pPr>
              <w:jc w:val="right"/>
              <w:spacing w:after="0" w:line="129" w:lineRule="exact"/>
              <w:rPr>
                <w:sz w:val="20"/>
                <w:szCs w:val="20"/>
                <w:color w:val="auto"/>
              </w:rPr>
            </w:pPr>
            <w:r>
              <w:rPr>
                <w:rFonts w:ascii="Arial" w:cs="Arial" w:eastAsia="Arial" w:hAnsi="Arial"/>
                <w:sz w:val="14"/>
                <w:szCs w:val="14"/>
                <w:b w:val="1"/>
                <w:bCs w:val="1"/>
                <w:color w:val="auto"/>
                <w:w w:val="81"/>
              </w:rPr>
              <w:t>(1)</w:t>
            </w:r>
          </w:p>
        </w:tc>
        <w:tc>
          <w:tcPr>
            <w:tcW w:w="2040" w:type="dxa"/>
            <w:vAlign w:val="bottom"/>
            <w:tcBorders>
              <w:bottom w:val="single" w:sz="8" w:color="CCFFCC"/>
            </w:tcBorders>
            <w:gridSpan w:val="2"/>
            <w:vMerge w:val="restart"/>
            <w:shd w:val="clear" w:color="auto" w:fill="CCFFCC"/>
          </w:tcPr>
          <w:p>
            <w:pPr>
              <w:spacing w:after="0"/>
              <w:rPr>
                <w:sz w:val="12"/>
                <w:szCs w:val="12"/>
                <w:color w:val="auto"/>
              </w:rPr>
            </w:pPr>
          </w:p>
        </w:tc>
        <w:tc>
          <w:tcPr>
            <w:tcW w:w="1280" w:type="dxa"/>
            <w:vAlign w:val="bottom"/>
            <w:tcBorders>
              <w:bottom w:val="single" w:sz="8" w:color="CCFFCC"/>
            </w:tcBorders>
            <w:shd w:val="clear" w:color="auto" w:fill="CCFFCC"/>
          </w:tcPr>
          <w:p>
            <w:pPr>
              <w:spacing w:after="0"/>
              <w:rPr>
                <w:sz w:val="12"/>
                <w:szCs w:val="12"/>
                <w:color w:val="auto"/>
              </w:rPr>
            </w:pPr>
          </w:p>
        </w:tc>
        <w:tc>
          <w:tcPr>
            <w:tcW w:w="240" w:type="dxa"/>
            <w:vAlign w:val="bottom"/>
            <w:tcBorders>
              <w:bottom w:val="single" w:sz="8" w:color="CCFFCC"/>
            </w:tcBorders>
            <w:shd w:val="clear" w:color="auto" w:fill="CCFFCC"/>
          </w:tcPr>
          <w:p>
            <w:pPr>
              <w:spacing w:after="0"/>
              <w:rPr>
                <w:sz w:val="12"/>
                <w:szCs w:val="12"/>
                <w:color w:val="auto"/>
              </w:rPr>
            </w:pPr>
          </w:p>
        </w:tc>
        <w:tc>
          <w:tcPr>
            <w:tcW w:w="124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260" w:type="dxa"/>
            <w:vAlign w:val="bottom"/>
            <w:tcBorders>
              <w:bottom w:val="single" w:sz="8" w:color="CCFFCC"/>
            </w:tcBorders>
            <w:shd w:val="clear" w:color="auto" w:fill="CCFFCC"/>
          </w:tcPr>
          <w:p>
            <w:pPr>
              <w:spacing w:after="0"/>
              <w:rPr>
                <w:sz w:val="12"/>
                <w:szCs w:val="12"/>
                <w:color w:val="auto"/>
              </w:rPr>
            </w:pPr>
          </w:p>
        </w:tc>
        <w:tc>
          <w:tcPr>
            <w:tcW w:w="98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40" w:type="dxa"/>
            <w:vAlign w:val="bottom"/>
            <w:tcBorders>
              <w:bottom w:val="single" w:sz="8" w:color="CCFFCC"/>
            </w:tcBorders>
            <w:shd w:val="clear" w:color="auto" w:fill="CCFFCC"/>
          </w:tcPr>
          <w:p>
            <w:pPr>
              <w:spacing w:after="0"/>
              <w:rPr>
                <w:sz w:val="12"/>
                <w:szCs w:val="12"/>
                <w:color w:val="auto"/>
              </w:rPr>
            </w:pPr>
          </w:p>
        </w:tc>
        <w:tc>
          <w:tcPr>
            <w:tcW w:w="110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CCFFCC"/>
            </w:tcBorders>
            <w:shd w:val="clear" w:color="auto" w:fill="CCFFCC"/>
          </w:tcPr>
          <w:p>
            <w:pPr>
              <w:spacing w:after="0"/>
              <w:rPr>
                <w:sz w:val="12"/>
                <w:szCs w:val="12"/>
                <w:color w:val="auto"/>
              </w:rPr>
            </w:pPr>
          </w:p>
        </w:tc>
        <w:tc>
          <w:tcPr>
            <w:tcW w:w="1240" w:type="dxa"/>
            <w:vAlign w:val="bottom"/>
            <w:tcBorders>
              <w:bottom w:val="single" w:sz="8" w:color="CCFFCC"/>
            </w:tcBorders>
            <w:shd w:val="clear" w:color="auto" w:fill="CCFFCC"/>
          </w:tcPr>
          <w:p>
            <w:pPr>
              <w:spacing w:after="0"/>
              <w:rPr>
                <w:sz w:val="12"/>
                <w:szCs w:val="12"/>
                <w:color w:val="auto"/>
              </w:rPr>
            </w:pPr>
          </w:p>
        </w:tc>
        <w:tc>
          <w:tcPr>
            <w:tcW w:w="20" w:type="dxa"/>
            <w:vAlign w:val="bottom"/>
            <w:tcBorders>
              <w:bottom w:val="single" w:sz="8" w:color="CCFFCC"/>
            </w:tcBorders>
            <w:shd w:val="clear" w:color="auto" w:fill="CCFFCC"/>
          </w:tcPr>
          <w:p>
            <w:pPr>
              <w:spacing w:after="0"/>
              <w:rPr>
                <w:sz w:val="12"/>
                <w:szCs w:val="12"/>
                <w:color w:val="auto"/>
              </w:rPr>
            </w:pPr>
          </w:p>
        </w:tc>
        <w:tc>
          <w:tcPr>
            <w:tcW w:w="14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CCFFCC"/>
            </w:tcBorders>
            <w:shd w:val="clear" w:color="auto" w:fill="CCFFCC"/>
          </w:tcPr>
          <w:p>
            <w:pPr>
              <w:spacing w:after="0"/>
              <w:rPr>
                <w:sz w:val="5"/>
                <w:szCs w:val="5"/>
                <w:color w:val="auto"/>
              </w:rPr>
            </w:pPr>
          </w:p>
        </w:tc>
        <w:tc>
          <w:tcPr>
            <w:tcW w:w="1820" w:type="dxa"/>
            <w:vAlign w:val="bottom"/>
            <w:tcBorders>
              <w:bottom w:val="single" w:sz="8" w:color="auto"/>
            </w:tcBorders>
            <w:gridSpan w:val="2"/>
            <w:vMerge w:val="continue"/>
            <w:shd w:val="clear" w:color="auto" w:fill="CCFFCC"/>
          </w:tcPr>
          <w:p>
            <w:pPr>
              <w:spacing w:after="0"/>
              <w:rPr>
                <w:sz w:val="5"/>
                <w:szCs w:val="5"/>
                <w:color w:val="auto"/>
              </w:rPr>
            </w:pPr>
          </w:p>
        </w:tc>
        <w:tc>
          <w:tcPr>
            <w:tcW w:w="80" w:type="dxa"/>
            <w:vAlign w:val="bottom"/>
            <w:tcBorders>
              <w:bottom w:val="single" w:sz="8" w:color="CCFFCC"/>
            </w:tcBorders>
            <w:shd w:val="clear" w:color="auto" w:fill="CCFFCC"/>
          </w:tcPr>
          <w:p>
            <w:pPr>
              <w:spacing w:after="0"/>
              <w:rPr>
                <w:sz w:val="5"/>
                <w:szCs w:val="5"/>
                <w:color w:val="auto"/>
              </w:rPr>
            </w:pPr>
          </w:p>
        </w:tc>
        <w:tc>
          <w:tcPr>
            <w:tcW w:w="80" w:type="dxa"/>
            <w:vAlign w:val="bottom"/>
            <w:tcBorders>
              <w:bottom w:val="single" w:sz="8" w:color="CCFFCC"/>
            </w:tcBorders>
            <w:shd w:val="clear" w:color="auto" w:fill="CCFFCC"/>
          </w:tcPr>
          <w:p>
            <w:pPr>
              <w:spacing w:after="0"/>
              <w:rPr>
                <w:sz w:val="5"/>
                <w:szCs w:val="5"/>
                <w:color w:val="auto"/>
              </w:rPr>
            </w:pPr>
          </w:p>
        </w:tc>
        <w:tc>
          <w:tcPr>
            <w:tcW w:w="2040" w:type="dxa"/>
            <w:vAlign w:val="bottom"/>
            <w:tcBorders>
              <w:bottom w:val="single" w:sz="8" w:color="CCFFCC"/>
            </w:tcBorders>
            <w:gridSpan w:val="2"/>
            <w:vMerge w:val="continue"/>
            <w:shd w:val="clear" w:color="auto" w:fill="CCFFCC"/>
          </w:tcPr>
          <w:p>
            <w:pPr>
              <w:spacing w:after="0"/>
              <w:rPr>
                <w:sz w:val="5"/>
                <w:szCs w:val="5"/>
                <w:color w:val="auto"/>
              </w:rPr>
            </w:pPr>
          </w:p>
        </w:tc>
        <w:tc>
          <w:tcPr>
            <w:tcW w:w="1280" w:type="dxa"/>
            <w:vAlign w:val="bottom"/>
            <w:tcBorders>
              <w:bottom w:val="single" w:sz="8" w:color="CCFFCC"/>
            </w:tcBorders>
            <w:shd w:val="clear" w:color="auto" w:fill="CCFFCC"/>
          </w:tcPr>
          <w:p>
            <w:pPr>
              <w:spacing w:after="0"/>
              <w:rPr>
                <w:sz w:val="5"/>
                <w:szCs w:val="5"/>
                <w:color w:val="auto"/>
              </w:rPr>
            </w:pPr>
          </w:p>
        </w:tc>
        <w:tc>
          <w:tcPr>
            <w:tcW w:w="240" w:type="dxa"/>
            <w:vAlign w:val="bottom"/>
            <w:tcBorders>
              <w:bottom w:val="single" w:sz="8" w:color="CCFFCC"/>
            </w:tcBorders>
            <w:shd w:val="clear" w:color="auto" w:fill="CCFFCC"/>
          </w:tcPr>
          <w:p>
            <w:pPr>
              <w:spacing w:after="0"/>
              <w:rPr>
                <w:sz w:val="5"/>
                <w:szCs w:val="5"/>
                <w:color w:val="auto"/>
              </w:rPr>
            </w:pPr>
          </w:p>
        </w:tc>
        <w:tc>
          <w:tcPr>
            <w:tcW w:w="1240" w:type="dxa"/>
            <w:vAlign w:val="bottom"/>
            <w:tcBorders>
              <w:bottom w:val="single" w:sz="8" w:color="CCFFCC"/>
            </w:tcBorders>
            <w:shd w:val="clear" w:color="auto" w:fill="CCFFCC"/>
          </w:tcPr>
          <w:p>
            <w:pPr>
              <w:spacing w:after="0"/>
              <w:rPr>
                <w:sz w:val="5"/>
                <w:szCs w:val="5"/>
                <w:color w:val="auto"/>
              </w:rPr>
            </w:pPr>
          </w:p>
        </w:tc>
        <w:tc>
          <w:tcPr>
            <w:tcW w:w="120" w:type="dxa"/>
            <w:vAlign w:val="bottom"/>
            <w:tcBorders>
              <w:bottom w:val="single" w:sz="8" w:color="CCFFCC"/>
            </w:tcBorders>
            <w:shd w:val="clear" w:color="auto" w:fill="CCFFCC"/>
          </w:tcPr>
          <w:p>
            <w:pPr>
              <w:spacing w:after="0"/>
              <w:rPr>
                <w:sz w:val="5"/>
                <w:szCs w:val="5"/>
                <w:color w:val="auto"/>
              </w:rPr>
            </w:pPr>
          </w:p>
        </w:tc>
        <w:tc>
          <w:tcPr>
            <w:tcW w:w="100" w:type="dxa"/>
            <w:vAlign w:val="bottom"/>
            <w:tcBorders>
              <w:bottom w:val="single" w:sz="8" w:color="CCFFCC"/>
            </w:tcBorders>
            <w:shd w:val="clear" w:color="auto" w:fill="CCFFCC"/>
          </w:tcPr>
          <w:p>
            <w:pPr>
              <w:spacing w:after="0"/>
              <w:rPr>
                <w:sz w:val="5"/>
                <w:szCs w:val="5"/>
                <w:color w:val="auto"/>
              </w:rPr>
            </w:pPr>
          </w:p>
        </w:tc>
        <w:tc>
          <w:tcPr>
            <w:tcW w:w="260" w:type="dxa"/>
            <w:vAlign w:val="bottom"/>
            <w:tcBorders>
              <w:bottom w:val="single" w:sz="8" w:color="CCFFCC"/>
            </w:tcBorders>
            <w:shd w:val="clear" w:color="auto" w:fill="CCFFCC"/>
          </w:tcPr>
          <w:p>
            <w:pPr>
              <w:spacing w:after="0"/>
              <w:rPr>
                <w:sz w:val="5"/>
                <w:szCs w:val="5"/>
                <w:color w:val="auto"/>
              </w:rPr>
            </w:pPr>
          </w:p>
        </w:tc>
        <w:tc>
          <w:tcPr>
            <w:tcW w:w="980" w:type="dxa"/>
            <w:vAlign w:val="bottom"/>
            <w:tcBorders>
              <w:bottom w:val="single" w:sz="8" w:color="CCFFCC"/>
            </w:tcBorders>
            <w:shd w:val="clear" w:color="auto" w:fill="CCFFCC"/>
          </w:tcPr>
          <w:p>
            <w:pPr>
              <w:spacing w:after="0"/>
              <w:rPr>
                <w:sz w:val="5"/>
                <w:szCs w:val="5"/>
                <w:color w:val="auto"/>
              </w:rPr>
            </w:pPr>
          </w:p>
        </w:tc>
        <w:tc>
          <w:tcPr>
            <w:tcW w:w="100" w:type="dxa"/>
            <w:vAlign w:val="bottom"/>
            <w:tcBorders>
              <w:bottom w:val="single" w:sz="8" w:color="CCFFCC"/>
            </w:tcBorders>
            <w:shd w:val="clear" w:color="auto" w:fill="CCFFCC"/>
          </w:tcPr>
          <w:p>
            <w:pPr>
              <w:spacing w:after="0"/>
              <w:rPr>
                <w:sz w:val="5"/>
                <w:szCs w:val="5"/>
                <w:color w:val="auto"/>
              </w:rPr>
            </w:pPr>
          </w:p>
        </w:tc>
        <w:tc>
          <w:tcPr>
            <w:tcW w:w="120" w:type="dxa"/>
            <w:vAlign w:val="bottom"/>
            <w:tcBorders>
              <w:bottom w:val="single" w:sz="8" w:color="CCFFCC"/>
            </w:tcBorders>
            <w:shd w:val="clear" w:color="auto" w:fill="CCFFCC"/>
          </w:tcPr>
          <w:p>
            <w:pPr>
              <w:spacing w:after="0"/>
              <w:rPr>
                <w:sz w:val="5"/>
                <w:szCs w:val="5"/>
                <w:color w:val="auto"/>
              </w:rPr>
            </w:pPr>
          </w:p>
        </w:tc>
        <w:tc>
          <w:tcPr>
            <w:tcW w:w="140" w:type="dxa"/>
            <w:vAlign w:val="bottom"/>
            <w:tcBorders>
              <w:bottom w:val="single" w:sz="8" w:color="CCFFCC"/>
            </w:tcBorders>
            <w:shd w:val="clear" w:color="auto" w:fill="CCFFCC"/>
          </w:tcPr>
          <w:p>
            <w:pPr>
              <w:spacing w:after="0"/>
              <w:rPr>
                <w:sz w:val="5"/>
                <w:szCs w:val="5"/>
                <w:color w:val="auto"/>
              </w:rPr>
            </w:pPr>
          </w:p>
        </w:tc>
        <w:tc>
          <w:tcPr>
            <w:tcW w:w="1100" w:type="dxa"/>
            <w:vAlign w:val="bottom"/>
            <w:tcBorders>
              <w:bottom w:val="single" w:sz="8" w:color="CCFFCC"/>
            </w:tcBorders>
            <w:shd w:val="clear" w:color="auto" w:fill="CCFFCC"/>
          </w:tcPr>
          <w:p>
            <w:pPr>
              <w:spacing w:after="0"/>
              <w:rPr>
                <w:sz w:val="5"/>
                <w:szCs w:val="5"/>
                <w:color w:val="auto"/>
              </w:rPr>
            </w:pPr>
          </w:p>
        </w:tc>
        <w:tc>
          <w:tcPr>
            <w:tcW w:w="220" w:type="dxa"/>
            <w:vAlign w:val="bottom"/>
            <w:tcBorders>
              <w:bottom w:val="single" w:sz="8" w:color="CCFFCC"/>
            </w:tcBorders>
            <w:shd w:val="clear" w:color="auto" w:fill="CCFFCC"/>
          </w:tcPr>
          <w:p>
            <w:pPr>
              <w:spacing w:after="0"/>
              <w:rPr>
                <w:sz w:val="5"/>
                <w:szCs w:val="5"/>
                <w:color w:val="auto"/>
              </w:rPr>
            </w:pPr>
          </w:p>
        </w:tc>
        <w:tc>
          <w:tcPr>
            <w:tcW w:w="1240" w:type="dxa"/>
            <w:vAlign w:val="bottom"/>
            <w:tcBorders>
              <w:bottom w:val="single" w:sz="8" w:color="CCFFCC"/>
            </w:tcBorders>
            <w:shd w:val="clear" w:color="auto" w:fill="CCFFCC"/>
          </w:tcPr>
          <w:p>
            <w:pPr>
              <w:spacing w:after="0"/>
              <w:rPr>
                <w:sz w:val="5"/>
                <w:szCs w:val="5"/>
                <w:color w:val="auto"/>
              </w:rPr>
            </w:pPr>
          </w:p>
        </w:tc>
        <w:tc>
          <w:tcPr>
            <w:tcW w:w="20" w:type="dxa"/>
            <w:vAlign w:val="bottom"/>
            <w:tcBorders>
              <w:bottom w:val="single" w:sz="8" w:color="CCFFCC"/>
            </w:tcBorders>
            <w:shd w:val="clear" w:color="auto" w:fill="CCFFCC"/>
          </w:tcPr>
          <w:p>
            <w:pPr>
              <w:spacing w:after="0"/>
              <w:rPr>
                <w:sz w:val="5"/>
                <w:szCs w:val="5"/>
                <w:color w:val="auto"/>
              </w:rPr>
            </w:pPr>
          </w:p>
        </w:tc>
        <w:tc>
          <w:tcPr>
            <w:tcW w:w="140" w:type="dxa"/>
            <w:vAlign w:val="bottom"/>
            <w:tcBorders>
              <w:bottom w:val="single" w:sz="8" w:color="CCFFCC"/>
            </w:tcBorders>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0" w:type="dxa"/>
            <w:vAlign w:val="bottom"/>
            <w:tcBorders>
              <w:top w:val="single" w:sz="8" w:color="CCFFCC"/>
            </w:tcBorders>
          </w:tcPr>
          <w:p>
            <w:pPr>
              <w:spacing w:after="0"/>
              <w:rPr>
                <w:sz w:val="18"/>
                <w:szCs w:val="18"/>
                <w:color w:val="auto"/>
              </w:rPr>
            </w:pPr>
          </w:p>
        </w:tc>
        <w:tc>
          <w:tcPr>
            <w:tcW w:w="4020" w:type="dxa"/>
            <w:vAlign w:val="bottom"/>
            <w:tcBorders>
              <w:top w:val="single" w:sz="8" w:color="CCFFCC"/>
            </w:tcBorders>
            <w:gridSpan w:val="6"/>
          </w:tcPr>
          <w:p>
            <w:pPr>
              <w:spacing w:after="0"/>
              <w:rPr>
                <w:sz w:val="20"/>
                <w:szCs w:val="20"/>
                <w:color w:val="auto"/>
              </w:rPr>
            </w:pPr>
            <w:r>
              <w:rPr>
                <w:rFonts w:ascii="Arial" w:cs="Arial" w:eastAsia="Arial" w:hAnsi="Arial"/>
                <w:sz w:val="18"/>
                <w:szCs w:val="18"/>
                <w:color w:val="auto"/>
              </w:rPr>
              <w:t>United States Treasury Bill, 0%, due 1/26/2012</w:t>
            </w:r>
          </w:p>
        </w:tc>
        <w:tc>
          <w:tcPr>
            <w:tcW w:w="12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36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20,000,000</w:t>
            </w:r>
          </w:p>
        </w:tc>
        <w:tc>
          <w:tcPr>
            <w:tcW w:w="360" w:type="dxa"/>
            <w:vAlign w:val="bottom"/>
            <w:tcBorders>
              <w:top w:val="single" w:sz="8" w:color="CCFFC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19,999,128</w:t>
            </w:r>
          </w:p>
        </w:tc>
        <w:tc>
          <w:tcPr>
            <w:tcW w:w="260" w:type="dxa"/>
            <w:vAlign w:val="bottom"/>
            <w:tcBorders>
              <w:top w:val="single" w:sz="8" w:color="CCFFC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20,000,044</w:t>
            </w:r>
          </w:p>
        </w:tc>
        <w:tc>
          <w:tcPr>
            <w:tcW w:w="1400" w:type="dxa"/>
            <w:vAlign w:val="bottom"/>
            <w:tcBorders>
              <w:top w:val="single" w:sz="8" w:color="CCFFCC"/>
            </w:tcBorders>
            <w:gridSpan w:val="3"/>
          </w:tcPr>
          <w:p>
            <w:pPr>
              <w:jc w:val="right"/>
              <w:ind w:right="2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w w:val="94"/>
              </w:rPr>
              <w:t>Money Market Funds</w:t>
            </w:r>
          </w:p>
        </w:tc>
        <w:tc>
          <w:tcPr>
            <w:tcW w:w="1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(1)</w:t>
            </w:r>
          </w:p>
        </w:tc>
        <w:tc>
          <w:tcPr>
            <w:tcW w:w="2120" w:type="dxa"/>
            <w:vAlign w:val="bottom"/>
            <w:gridSpan w:val="3"/>
            <w:vMerge w:val="restart"/>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720" w:type="dxa"/>
            <w:vAlign w:val="bottom"/>
            <w:tcBorders>
              <w:bottom w:val="single" w:sz="8" w:color="auto"/>
            </w:tcBorders>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40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Fidelity Institutional Money Market Funds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20" w:type="dxa"/>
            <w:vAlign w:val="bottom"/>
            <w:gridSpan w:val="6"/>
          </w:tcPr>
          <w:p>
            <w:pPr>
              <w:spacing w:after="0"/>
              <w:rPr>
                <w:sz w:val="20"/>
                <w:szCs w:val="20"/>
                <w:color w:val="auto"/>
              </w:rPr>
            </w:pPr>
            <w:r>
              <w:rPr>
                <w:rFonts w:ascii="Arial" w:cs="Arial" w:eastAsia="Arial" w:hAnsi="Arial"/>
                <w:sz w:val="18"/>
                <w:szCs w:val="18"/>
                <w:color w:val="auto"/>
              </w:rPr>
              <w:t>Money Market Portfolio</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3,500,000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100" w:type="dxa"/>
            <w:vAlign w:val="bottom"/>
            <w:shd w:val="clear" w:color="auto" w:fill="CCFFCC"/>
          </w:tcPr>
          <w:p>
            <w:pPr>
              <w:spacing w:after="0"/>
              <w:rPr>
                <w:sz w:val="19"/>
                <w:szCs w:val="19"/>
                <w:color w:val="auto"/>
              </w:rPr>
            </w:pPr>
          </w:p>
        </w:tc>
        <w:tc>
          <w:tcPr>
            <w:tcW w:w="40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Prime Money Market Portfolio</w:t>
            </w:r>
          </w:p>
        </w:tc>
        <w:tc>
          <w:tcPr>
            <w:tcW w:w="12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3,500,000</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100" w:type="dxa"/>
            <w:vAlign w:val="bottom"/>
            <w:tcBorders>
              <w:bottom w:val="single" w:sz="8" w:color="CCFFCC"/>
            </w:tcBorders>
          </w:tcPr>
          <w:p>
            <w:pPr>
              <w:spacing w:after="0"/>
              <w:rPr>
                <w:sz w:val="18"/>
                <w:szCs w:val="18"/>
                <w:color w:val="auto"/>
              </w:rPr>
            </w:pPr>
          </w:p>
        </w:tc>
        <w:tc>
          <w:tcPr>
            <w:tcW w:w="4020" w:type="dxa"/>
            <w:vAlign w:val="bottom"/>
            <w:tcBorders>
              <w:bottom w:val="single" w:sz="8" w:color="CCFFCC"/>
            </w:tcBorders>
            <w:gridSpan w:val="6"/>
          </w:tcPr>
          <w:p>
            <w:pPr>
              <w:spacing w:after="0"/>
              <w:rPr>
                <w:sz w:val="20"/>
                <w:szCs w:val="20"/>
                <w:color w:val="auto"/>
              </w:rPr>
            </w:pPr>
            <w:r>
              <w:rPr>
                <w:rFonts w:ascii="Arial" w:cs="Arial" w:eastAsia="Arial" w:hAnsi="Arial"/>
                <w:sz w:val="18"/>
                <w:szCs w:val="18"/>
                <w:color w:val="auto"/>
              </w:rPr>
              <w:t>Total Money Market Funds</w:t>
            </w:r>
          </w:p>
        </w:tc>
        <w:tc>
          <w:tcPr>
            <w:tcW w:w="1280" w:type="dxa"/>
            <w:vAlign w:val="bottom"/>
            <w:tcBorders>
              <w:bottom w:val="single" w:sz="8" w:color="CCFFCC"/>
            </w:tcBorders>
          </w:tcPr>
          <w:p>
            <w:pPr>
              <w:spacing w:after="0"/>
              <w:rPr>
                <w:sz w:val="18"/>
                <w:szCs w:val="18"/>
                <w:color w:val="auto"/>
              </w:rPr>
            </w:pPr>
          </w:p>
        </w:tc>
        <w:tc>
          <w:tcPr>
            <w:tcW w:w="24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CCFFCC"/>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20" w:type="dxa"/>
            <w:vAlign w:val="bottom"/>
            <w:gridSpan w:val="6"/>
          </w:tcPr>
          <w:p>
            <w:pPr>
              <w:spacing w:after="0"/>
              <w:rPr>
                <w:sz w:val="20"/>
                <w:szCs w:val="20"/>
                <w:color w:val="auto"/>
              </w:rPr>
            </w:pPr>
            <w:r>
              <w:rPr>
                <w:rFonts w:ascii="Arial" w:cs="Arial" w:eastAsia="Arial" w:hAnsi="Arial"/>
                <w:sz w:val="18"/>
                <w:szCs w:val="18"/>
                <w:b w:val="1"/>
                <w:bCs w:val="1"/>
                <w:color w:val="auto"/>
              </w:rPr>
              <w:t>Total Investments</w:t>
            </w: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92,657,994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91,078,194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-1517015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6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30"/>
          <w:szCs w:val="30"/>
          <w:b w:val="1"/>
          <w:bCs w:val="1"/>
          <w:color w:val="auto"/>
          <w:vertAlign w:val="superscript"/>
        </w:rPr>
      </w:pPr>
      <w:r>
        <w:rPr>
          <w:rFonts w:ascii="Arial" w:cs="Arial" w:eastAsia="Arial" w:hAnsi="Arial"/>
          <w:sz w:val="18"/>
          <w:szCs w:val="18"/>
          <w:color w:val="auto"/>
        </w:rPr>
        <w:t>Investment is income producing.</w:t>
      </w:r>
    </w:p>
    <w:p>
      <w:pPr>
        <w:spacing w:after="0" w:line="309" w:lineRule="exact"/>
        <w:rPr>
          <w:rFonts w:ascii="Arial" w:cs="Arial" w:eastAsia="Arial" w:hAnsi="Arial"/>
          <w:sz w:val="30"/>
          <w:szCs w:val="30"/>
          <w:b w:val="1"/>
          <w:bCs w:val="1"/>
          <w:color w:val="auto"/>
          <w:vertAlign w:val="superscript"/>
        </w:rPr>
      </w:pPr>
    </w:p>
    <w:p>
      <w:pPr>
        <w:ind w:left="340" w:hanging="332"/>
        <w:spacing w:after="0" w:line="194" w:lineRule="auto"/>
        <w:tabs>
          <w:tab w:leader="none" w:pos="340" w:val="left"/>
        </w:tabs>
        <w:numPr>
          <w:ilvl w:val="0"/>
          <w:numId w:val="5"/>
        </w:numPr>
        <w:rPr>
          <w:rFonts w:ascii="Arial" w:cs="Arial" w:eastAsia="Arial" w:hAnsi="Arial"/>
          <w:sz w:val="30"/>
          <w:szCs w:val="30"/>
          <w:b w:val="1"/>
          <w:bCs w:val="1"/>
          <w:color w:val="auto"/>
          <w:vertAlign w:val="superscript"/>
        </w:rPr>
      </w:pPr>
      <w:r>
        <w:rPr>
          <w:rFonts w:ascii="Arial" w:cs="Arial" w:eastAsia="Arial" w:hAnsi="Arial"/>
          <w:sz w:val="18"/>
          <w:szCs w:val="18"/>
          <w:color w:val="auto"/>
        </w:rPr>
        <w:t>On November 8, 2011, Groupon, Inc. priced its initial public offering, selling 35,000,000 shares at a price of $20.00 per share. GSV Capital Corp.’s shares in Groupon are subject to a lock-up agreement that expires on June 1, 2012.</w:t>
      </w:r>
    </w:p>
    <w:p>
      <w:pPr>
        <w:spacing w:after="0" w:line="310" w:lineRule="exact"/>
        <w:rPr>
          <w:rFonts w:ascii="Arial" w:cs="Arial" w:eastAsia="Arial" w:hAnsi="Arial"/>
          <w:sz w:val="30"/>
          <w:szCs w:val="30"/>
          <w:b w:val="1"/>
          <w:bCs w:val="1"/>
          <w:color w:val="auto"/>
          <w:vertAlign w:val="superscript"/>
        </w:rPr>
      </w:pPr>
    </w:p>
    <w:p>
      <w:pPr>
        <w:jc w:val="both"/>
        <w:ind w:left="340" w:hanging="332"/>
        <w:spacing w:after="0" w:line="256" w:lineRule="auto"/>
        <w:tabs>
          <w:tab w:leader="none" w:pos="34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a $4 million unsecured promissory note with an interest rate of 10% and maturity date of August 15, 2012 that was issued by PJB Fund LLC that may be repaid, at PJB Fund LLC’s election, either by transfer of a certain number of shares of common stock of Zynga, Inc. or with a cash amount of equivalent value. The amount payable under the note will be equal to the face amount, plus the greater of accrued interest (at a rate of 10%) or a return based on the relative value of Zynga, Inc. To the extent the borrower repays the note in cash, GSV Capital Corp. would have no further direct or indirect interest in Zynga, Inc. On December 15, 2011, Zynga, Inc. priced its initial public offering, selling 100,000,000 shares at a price of $10.00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Corp. (formerly NeXt Innovation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(formerly NeXt Asset Management, “GSV Asset Management”).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The application was submitted to the California Department of Corporations and GCL is awaiting receipt of its license from the State.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28, 2011, the board of directors (the “Board”) of the Company approved Articles of Amendment and Restatement, reflecting a change in the Company’s name from NeXt BDC Capital Corp. to NeXt Innovation Corp., which Articles of Amendment and Restatement became effective upon filing with the State Department of Assessment and Taxation of the State of Maryland on March 29, 2011. Then, on May 26, 2011, the board of directors of the Company approved Articles of Amendment, reflecting a change in the Company’s name from NeXt Innovation Corp. to GSV Capital Corp., which Articles of Amendment became effective upon filing with the State Department of Assessment and Taxation of the State of Maryland on May 26, 2011.</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26, 2011, the Company priced a follow-on equity offering, selling 2,185,000 of common shares at a price of $14.15 per share, including an exercise in full by the underwriters of their option to purchase an additional 285,000 shares of common stock to cover overallotments. The follow-on equity offering resulted in net proceeds to the Company of approximately $29.6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10, 2012, the Company priced a subsequent follow-on equity offering, selling 6,900,000 of common shares at a price of $15.00 per share, including an exercise in full by the underwriters of their option to purchase an additional 900,000 shares of common stock to cover overallotments. The follow-on equity offering resulted in net proceeds to the Company of approximately $96.2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11, 2012, the Company priced an additional follow-on equity offering, selling 6,900,000 of common shares at a price of $16.25 per share, including an exercise in full by the underwriters of their option to purchase an additional 900,000 shares of common stock to cover overallotments. The follow-on equity offering resulted in net proceeds to the Company of approximately $105.4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2012. The interim unaudited consolidated financial statements and notes hereto should be read in conjunction with the audited financial statements and notes thereto contained in the Company’s Annual Report on Form 10-K for the year ended December 31, 2011.</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Regulation S-X under the Securities Act of 1933, as amended, and the Securities Exchange Act of 1934, as amended, the Company does not consolidate portfolio company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or a controlled operating company which provides substantially all of its services and benefits to us. Accordingly, our financial statements include our accounts and the accounts of GCL, our wholly-owned subsidiary. All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181"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ind w:left="660" w:right="2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 (examples include active exchange-traded equity securities, exchange-traded derivatives, and most U.S. Government and agency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ind w:left="1300" w:hanging="320"/>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places its cash with U.S. Bank, N.A. and First Republic Bank, N.A., and at times, cash held in these accounts may exceed the Federal Deposit Insurance Corporation insured limit. The Company also invests a portion of its cash in money market funds, within limitations of the 1940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income, adjusted for amortization of premium and accretion of discount, is recorded on an accrual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Commissions and other costs associated with an investment transaction, including legal expenses, are included in the cost basis of purchases and deducted from the proceeds of sales. The Company makes certain acquisitions on the secondary market which involves making deposits to escrow accounts until certain conditions are met including the underlying private company’s right of first refusal. If the underlying private company does not exercise its right to first refusal and all other conditions are met, then the funds in the escrow account are delivered to the seller and the account is closed. These transactions are reflected on the Statement of Assets and Liabilities as Escrow deposits. At June 30, 2012 and December 31, 2011, the Company had $0 in Escrow deposits.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Unsettled Securities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Payable for unsettled securities transaction relates to the purchase of the United States Treasury Bill that was unsettled at December 31, 2011 and settled in January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48"/>
        <w:spacing w:after="0" w:line="291" w:lineRule="auto"/>
        <w:rPr>
          <w:sz w:val="20"/>
          <w:szCs w:val="20"/>
          <w:color w:val="auto"/>
        </w:rPr>
      </w:pPr>
      <w:r>
        <w:rPr>
          <w:rFonts w:ascii="Arial" w:cs="Arial" w:eastAsia="Arial" w:hAnsi="Arial"/>
          <w:sz w:val="16"/>
          <w:szCs w:val="16"/>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Organization costs include costs relating to the formation and incorporation of the business. These costs were expensed as incurred. For the three months ended June 30, 2011, and for the period from January 6, 2011 (date of inception) to June 30, 2011, the Company has incurred and expensed organization costs of $97,855 and $192,495, respectively. The Company did not incur organization costs for the six months ended June 30, 2012.</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Offering costs include legal fees and other costs pertaining to the public offerings. As of June 30, 2012, $737,737 of offering costs were offset against capital proceeds from the secondary offerings on May 11, 2012 and February 10, 2012. As of June 30, 2011, $523,581 of offering costs were offset against capital proceeds from the initial public offering on April 28, 2011. As of December 31, 2011, $56,436 of offering costs were deferred which were related to our offering on February 10,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and diluted earnings (loss) per common share is calculated using the weighted average number of shares outstanding for the period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(loss) per share are the same since there are no potentially dilutive securities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capital accounts including undistributed net investment income,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 For the period from January 6, 2011 (date of inception) to December 31, 2011, the net investment loss of $2,033,864 was determined to be a permanent difference and reduced paid-in capital in excess of par in the Statement of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guidance is effective during interim and annual periods beginning after December 15, 2011. The adoption of this guidance did not have a significant impact on our financial condition, results of operations or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period from the close of the initial public offering through and including December 31, 2011, the fee was payable monthly in arrears, and was calculated based on the initial value of the Company’s assets upon the closing of the public offering. For the three and six months ended June 30, 2012, GSV Asset Management earned $1,126,091 and $1,748,017 in base management fees and $0 in incentive fees, respectively. For the three months ended June 30, 2011 and for the period from January 6, 2011 (date of inception) to June 30, 2011, GSV Asset Management earned $150,943 in base management fees and $0 in incentive fees.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2012, the Company was due $5,901 from GSV Asset Management for reimbursement of legal fees paid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2012, the Company owed certain officers and directors $12,717 for reimbursements of other expenses. The Company owed GSV Asset Management $17,159 for reimbursements of travel-related expenses. These are included in the Statement of Assets and Liabilities.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the Company was due $13,470 from GSV Asset Management for reimbursement of travel-related expenses paid for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the Company owed certain officers and directors $10,782 for reimbursements of travel-related and other expenses. The Company owed GSV Asset Management $78,427 for management fees and reimbursements of travel-related and other expenses. These are included in the Statement of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$602,201 and $947,795 in such costs incurred under the Administration Agreement for the three and six months ended June 30, 2012, respectively. There were $113,035 in such costs incurred under the Administration Agreement for the three months ended June 30, 2011 as well as for the period from January 6, 2011 (date of inception) to June 30,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June 30, 2012, the Company had 41 investments in 34 portfolio companies. The total cost and fair value of the 41 positions were $174,181,527 and $171,598,410, respectively. At December 31, 2011, the Company had 24 investments in 21 portfolio companies. The total cost and fair value of the 24 positions were $65,658,866 and $64,078,150, respectively. The composition of our investments as of June 30, 2012 and December 31, 2011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ind w:left="160"/>
              <w:spacing w:after="0"/>
              <w:rPr>
                <w:sz w:val="20"/>
                <w:szCs w:val="20"/>
                <w:color w:val="auto"/>
              </w:rPr>
            </w:pPr>
            <w:r>
              <w:rPr>
                <w:rFonts w:ascii="Arial" w:cs="Arial" w:eastAsia="Arial" w:hAnsi="Arial"/>
                <w:sz w:val="18"/>
                <w:szCs w:val="18"/>
                <w:b w:val="1"/>
                <w:bCs w:val="1"/>
                <w:color w:val="auto"/>
              </w:rPr>
              <w:t>June 30, 2012 (Unaudited)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7"/>
          </w:tcPr>
          <w:p>
            <w:pPr>
              <w:ind w:left="360"/>
              <w:spacing w:after="0"/>
              <w:rPr>
                <w:sz w:val="20"/>
                <w:szCs w:val="20"/>
                <w:color w:val="auto"/>
              </w:rPr>
            </w:pPr>
            <w:r>
              <w:rPr>
                <w:rFonts w:ascii="Arial" w:cs="Arial" w:eastAsia="Arial" w:hAnsi="Arial"/>
                <w:sz w:val="18"/>
                <w:szCs w:val="18"/>
                <w:b w:val="1"/>
                <w:bCs w:val="1"/>
                <w:color w:val="auto"/>
              </w:rPr>
              <w:t>December 31, 2011</w:t>
            </w:r>
          </w:p>
        </w:tc>
      </w:tr>
      <w:tr>
        <w:trPr>
          <w:trHeight w:val="223"/>
        </w:trPr>
        <w:tc>
          <w:tcPr>
            <w:tcW w:w="5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19"/>
                <w:szCs w:val="19"/>
                <w:color w:val="auto"/>
              </w:rPr>
            </w:pPr>
          </w:p>
        </w:tc>
      </w:tr>
      <w:tr>
        <w:trPr>
          <w:trHeight w:val="210"/>
        </w:trPr>
        <w:tc>
          <w:tcPr>
            <w:tcW w:w="562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91,081,313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87,305,524</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43,451,594</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82,751,098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83,961,230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17,595,397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17,453,085</w:t>
            </w:r>
          </w:p>
        </w:tc>
        <w:tc>
          <w:tcPr>
            <w:tcW w:w="80" w:type="dxa"/>
            <w:vAlign w:val="bottom"/>
          </w:tcPr>
          <w:p>
            <w:pPr>
              <w:spacing w:after="0"/>
              <w:rPr>
                <w:sz w:val="18"/>
                <w:szCs w:val="18"/>
                <w:color w:val="auto"/>
              </w:rPr>
            </w:pPr>
          </w:p>
        </w:tc>
      </w:tr>
      <w:tr>
        <w:trPr>
          <w:trHeight w:val="216"/>
        </w:trPr>
        <w:tc>
          <w:tcPr>
            <w:tcW w:w="56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Structured Note</w:t>
            </w: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4,535,082</w:t>
            </w: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4,500,000</w:t>
            </w:r>
          </w:p>
        </w:tc>
        <w:tc>
          <w:tcPr>
            <w:tcW w:w="80" w:type="dxa"/>
            <w:vAlign w:val="bottom"/>
            <w:shd w:val="clear" w:color="auto" w:fill="CCFFCC"/>
          </w:tcPr>
          <w:p>
            <w:pPr>
              <w:spacing w:after="0"/>
              <w:rPr>
                <w:sz w:val="18"/>
                <w:szCs w:val="18"/>
                <w:color w:val="auto"/>
              </w:rPr>
            </w:pPr>
          </w:p>
        </w:tc>
      </w:tr>
      <w:tr>
        <w:trPr>
          <w:trHeight w:val="230"/>
        </w:trPr>
        <w:tc>
          <w:tcPr>
            <w:tcW w:w="5620" w:type="dxa"/>
            <w:vAlign w:val="bottom"/>
          </w:tcPr>
          <w:p>
            <w:pPr>
              <w:ind w:left="10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81,656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76,793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71,396</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Total Portfolio Investments</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174,181,527</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171,598,410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65,658,866</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64,078,150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Non-Portfolio Investments</w:t>
            </w: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26,999,128</w:t>
            </w:r>
          </w:p>
        </w:tc>
        <w:tc>
          <w:tcPr>
            <w:tcW w:w="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27,000,044</w:t>
            </w:r>
          </w:p>
        </w:tc>
        <w:tc>
          <w:tcPr>
            <w:tcW w:w="80" w:type="dxa"/>
            <w:vAlign w:val="bottom"/>
            <w:shd w:val="clear" w:color="auto" w:fill="CCFFCC"/>
          </w:tcPr>
          <w:p>
            <w:pPr>
              <w:spacing w:after="0"/>
              <w:rPr>
                <w:sz w:val="19"/>
                <w:szCs w:val="19"/>
                <w:color w:val="auto"/>
              </w:rPr>
            </w:pPr>
          </w:p>
        </w:tc>
      </w:tr>
      <w:tr>
        <w:trPr>
          <w:trHeight w:val="223"/>
        </w:trPr>
        <w:tc>
          <w:tcPr>
            <w:tcW w:w="562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190,181,527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187,598,410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92,657,994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91,078,194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Levels 2 and 3 investments as of June 30, 2012.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Asset</w:t>
            </w: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Range</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340" w:type="dxa"/>
            <w:vAlign w:val="bottom"/>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9,361,100</w:t>
            </w:r>
          </w:p>
        </w:tc>
        <w:tc>
          <w:tcPr>
            <w:tcW w:w="250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4"/>
              </w:rPr>
              <w:t>Discount for lack of marketability</w:t>
            </w:r>
          </w:p>
        </w:tc>
        <w:tc>
          <w:tcPr>
            <w:tcW w:w="192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2"/>
              </w:rPr>
              <w:t>in public company</w:t>
            </w:r>
          </w:p>
        </w:tc>
        <w:tc>
          <w:tcPr>
            <w:tcW w:w="340" w:type="dxa"/>
            <w:vAlign w:val="bottom"/>
            <w:vMerge w:val="continue"/>
            <w:shd w:val="clear" w:color="auto" w:fill="CCFFCC"/>
          </w:tcPr>
          <w:p>
            <w:pPr>
              <w:spacing w:after="0"/>
              <w:rPr>
                <w:sz w:val="10"/>
                <w:szCs w:val="10"/>
                <w:color w:val="auto"/>
              </w:rPr>
            </w:pPr>
          </w:p>
        </w:tc>
        <w:tc>
          <w:tcPr>
            <w:tcW w:w="1480" w:type="dxa"/>
            <w:vAlign w:val="bottom"/>
            <w:tcBorders>
              <w:right w:val="single" w:sz="8" w:color="auto"/>
            </w:tcBorders>
            <w:vMerge w:val="continue"/>
            <w:shd w:val="clear" w:color="auto" w:fill="CCFFCC"/>
          </w:tcPr>
          <w:p>
            <w:pPr>
              <w:spacing w:after="0"/>
              <w:rPr>
                <w:sz w:val="10"/>
                <w:szCs w:val="10"/>
                <w:color w:val="auto"/>
              </w:rPr>
            </w:pPr>
          </w:p>
        </w:tc>
        <w:tc>
          <w:tcPr>
            <w:tcW w:w="2500" w:type="dxa"/>
            <w:vAlign w:val="bottom"/>
            <w:tcBorders>
              <w:right w:val="single" w:sz="8" w:color="auto"/>
            </w:tcBorders>
            <w:vMerge w:val="continue"/>
            <w:shd w:val="clear" w:color="auto" w:fill="CCFFCC"/>
          </w:tcPr>
          <w:p>
            <w:pPr>
              <w:spacing w:after="0"/>
              <w:rPr>
                <w:sz w:val="10"/>
                <w:szCs w:val="10"/>
                <w:color w:val="auto"/>
              </w:rPr>
            </w:pPr>
          </w:p>
        </w:tc>
        <w:tc>
          <w:tcPr>
            <w:tcW w:w="2860" w:type="dxa"/>
            <w:vAlign w:val="bottom"/>
            <w:tcBorders>
              <w:right w:val="single" w:sz="8" w:color="auto"/>
            </w:tcBorders>
            <w:vMerge w:val="continue"/>
            <w:shd w:val="clear" w:color="auto" w:fill="CCFFCC"/>
          </w:tcPr>
          <w:p>
            <w:pPr>
              <w:spacing w:after="0"/>
              <w:rPr>
                <w:sz w:val="10"/>
                <w:szCs w:val="10"/>
                <w:color w:val="auto"/>
              </w:rPr>
            </w:pPr>
          </w:p>
        </w:tc>
        <w:tc>
          <w:tcPr>
            <w:tcW w:w="1920" w:type="dxa"/>
            <w:vAlign w:val="bottom"/>
            <w:tcBorders>
              <w:right w:val="single" w:sz="8" w:color="auto"/>
            </w:tcBorders>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shd w:val="clear" w:color="auto" w:fill="CCFFCC"/>
          </w:tcPr>
          <w:p>
            <w:pPr>
              <w:spacing w:after="0"/>
              <w:rPr>
                <w:sz w:val="9"/>
                <w:szCs w:val="9"/>
                <w:color w:val="auto"/>
              </w:rPr>
            </w:pPr>
          </w:p>
        </w:tc>
        <w:tc>
          <w:tcPr>
            <w:tcW w:w="340" w:type="dxa"/>
            <w:vAlign w:val="bottom"/>
            <w:tcBorders>
              <w:bottom w:val="single" w:sz="8" w:color="auto"/>
            </w:tcBorders>
            <w:shd w:val="clear" w:color="auto" w:fill="CCFFCC"/>
          </w:tcPr>
          <w:p>
            <w:pPr>
              <w:spacing w:after="0"/>
              <w:rPr>
                <w:sz w:val="9"/>
                <w:szCs w:val="9"/>
                <w:color w:val="auto"/>
              </w:rPr>
            </w:pPr>
          </w:p>
        </w:tc>
        <w:tc>
          <w:tcPr>
            <w:tcW w:w="1480" w:type="dxa"/>
            <w:vAlign w:val="bottom"/>
            <w:tcBorders>
              <w:bottom w:val="single" w:sz="8" w:color="auto"/>
              <w:right w:val="single" w:sz="8" w:color="auto"/>
            </w:tcBorders>
            <w:shd w:val="clear" w:color="auto" w:fill="CCFFCC"/>
          </w:tcPr>
          <w:p>
            <w:pPr>
              <w:spacing w:after="0"/>
              <w:rPr>
                <w:sz w:val="9"/>
                <w:szCs w:val="9"/>
                <w:color w:val="auto"/>
              </w:rPr>
            </w:pPr>
          </w:p>
        </w:tc>
        <w:tc>
          <w:tcPr>
            <w:tcW w:w="2500" w:type="dxa"/>
            <w:vAlign w:val="bottom"/>
            <w:tcBorders>
              <w:bottom w:val="single" w:sz="8" w:color="auto"/>
              <w:right w:val="single" w:sz="8" w:color="auto"/>
            </w:tcBorders>
            <w:shd w:val="clear" w:color="auto" w:fill="CCFFCC"/>
          </w:tcPr>
          <w:p>
            <w:pPr>
              <w:spacing w:after="0"/>
              <w:rPr>
                <w:sz w:val="9"/>
                <w:szCs w:val="9"/>
                <w:color w:val="auto"/>
              </w:rPr>
            </w:pPr>
          </w:p>
        </w:tc>
        <w:tc>
          <w:tcPr>
            <w:tcW w:w="2860" w:type="dxa"/>
            <w:vAlign w:val="bottom"/>
            <w:tcBorders>
              <w:bottom w:val="single" w:sz="8" w:color="auto"/>
              <w:right w:val="single" w:sz="8" w:color="auto"/>
            </w:tcBorders>
            <w:shd w:val="clear" w:color="auto" w:fill="CCFFCC"/>
          </w:tcPr>
          <w:p>
            <w:pPr>
              <w:spacing w:after="0"/>
              <w:rPr>
                <w:sz w:val="9"/>
                <w:szCs w:val="9"/>
                <w:color w:val="auto"/>
              </w:rPr>
            </w:pPr>
          </w:p>
        </w:tc>
        <w:tc>
          <w:tcPr>
            <w:tcW w:w="1920" w:type="dxa"/>
            <w:vAlign w:val="bottom"/>
            <w:tcBorders>
              <w:bottom w:val="single" w:sz="8" w:color="auto"/>
              <w:right w:val="single" w:sz="8" w:color="auto"/>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74,192,692</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 private companies</w:t>
            </w:r>
          </w:p>
        </w:tc>
        <w:tc>
          <w:tcPr>
            <w:tcW w:w="34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0"/>
              </w:rPr>
              <w:t>Preferred stock</w:t>
            </w:r>
          </w:p>
        </w:tc>
        <w:tc>
          <w:tcPr>
            <w:tcW w:w="340" w:type="dxa"/>
            <w:vAlign w:val="bottom"/>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83,961,230</w:t>
            </w:r>
          </w:p>
        </w:tc>
        <w:tc>
          <w:tcPr>
            <w:tcW w:w="250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in private companies</w:t>
            </w:r>
          </w:p>
        </w:tc>
        <w:tc>
          <w:tcPr>
            <w:tcW w:w="340" w:type="dxa"/>
            <w:vAlign w:val="bottom"/>
            <w:vMerge w:val="continue"/>
            <w:shd w:val="clear" w:color="auto" w:fill="CCFFCC"/>
          </w:tcPr>
          <w:p>
            <w:pPr>
              <w:spacing w:after="0"/>
              <w:rPr>
                <w:sz w:val="10"/>
                <w:szCs w:val="10"/>
                <w:color w:val="auto"/>
              </w:rPr>
            </w:pPr>
          </w:p>
        </w:tc>
        <w:tc>
          <w:tcPr>
            <w:tcW w:w="1480" w:type="dxa"/>
            <w:vAlign w:val="bottom"/>
            <w:tcBorders>
              <w:right w:val="single" w:sz="8" w:color="auto"/>
            </w:tcBorders>
            <w:vMerge w:val="continue"/>
            <w:shd w:val="clear" w:color="auto" w:fill="CCFFCC"/>
          </w:tcPr>
          <w:p>
            <w:pPr>
              <w:spacing w:after="0"/>
              <w:rPr>
                <w:sz w:val="10"/>
                <w:szCs w:val="10"/>
                <w:color w:val="auto"/>
              </w:rPr>
            </w:pPr>
          </w:p>
        </w:tc>
        <w:tc>
          <w:tcPr>
            <w:tcW w:w="2500" w:type="dxa"/>
            <w:vAlign w:val="bottom"/>
            <w:tcBorders>
              <w:right w:val="single" w:sz="8" w:color="auto"/>
            </w:tcBorders>
            <w:vMerge w:val="continue"/>
            <w:shd w:val="clear" w:color="auto" w:fill="CCFFCC"/>
          </w:tcPr>
          <w:p>
            <w:pPr>
              <w:spacing w:after="0"/>
              <w:rPr>
                <w:sz w:val="10"/>
                <w:szCs w:val="10"/>
                <w:color w:val="auto"/>
              </w:rPr>
            </w:pPr>
          </w:p>
        </w:tc>
        <w:tc>
          <w:tcPr>
            <w:tcW w:w="2860" w:type="dxa"/>
            <w:vAlign w:val="bottom"/>
            <w:tcBorders>
              <w:right w:val="single" w:sz="8" w:color="auto"/>
            </w:tcBorders>
            <w:vMerge w:val="continue"/>
            <w:shd w:val="clear" w:color="auto" w:fill="CCFFCC"/>
          </w:tcPr>
          <w:p>
            <w:pPr>
              <w:spacing w:after="0"/>
              <w:rPr>
                <w:sz w:val="10"/>
                <w:szCs w:val="10"/>
                <w:color w:val="auto"/>
              </w:rPr>
            </w:pPr>
          </w:p>
        </w:tc>
        <w:tc>
          <w:tcPr>
            <w:tcW w:w="1920" w:type="dxa"/>
            <w:vAlign w:val="bottom"/>
            <w:tcBorders>
              <w:right w:val="single" w:sz="8" w:color="auto"/>
            </w:tcBorders>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shd w:val="clear" w:color="auto" w:fill="CCFFCC"/>
          </w:tcPr>
          <w:p>
            <w:pPr>
              <w:spacing w:after="0"/>
              <w:rPr>
                <w:sz w:val="9"/>
                <w:szCs w:val="9"/>
                <w:color w:val="auto"/>
              </w:rPr>
            </w:pPr>
          </w:p>
        </w:tc>
        <w:tc>
          <w:tcPr>
            <w:tcW w:w="340" w:type="dxa"/>
            <w:vAlign w:val="bottom"/>
            <w:tcBorders>
              <w:bottom w:val="single" w:sz="8" w:color="auto"/>
            </w:tcBorders>
            <w:shd w:val="clear" w:color="auto" w:fill="CCFFCC"/>
          </w:tcPr>
          <w:p>
            <w:pPr>
              <w:spacing w:after="0"/>
              <w:rPr>
                <w:sz w:val="9"/>
                <w:szCs w:val="9"/>
                <w:color w:val="auto"/>
              </w:rPr>
            </w:pPr>
          </w:p>
        </w:tc>
        <w:tc>
          <w:tcPr>
            <w:tcW w:w="1480" w:type="dxa"/>
            <w:vAlign w:val="bottom"/>
            <w:tcBorders>
              <w:bottom w:val="single" w:sz="8" w:color="auto"/>
              <w:right w:val="single" w:sz="8" w:color="auto"/>
            </w:tcBorders>
            <w:shd w:val="clear" w:color="auto" w:fill="CCFFCC"/>
          </w:tcPr>
          <w:p>
            <w:pPr>
              <w:spacing w:after="0"/>
              <w:rPr>
                <w:sz w:val="9"/>
                <w:szCs w:val="9"/>
                <w:color w:val="auto"/>
              </w:rPr>
            </w:pPr>
          </w:p>
        </w:tc>
        <w:tc>
          <w:tcPr>
            <w:tcW w:w="2500" w:type="dxa"/>
            <w:vAlign w:val="bottom"/>
            <w:tcBorders>
              <w:bottom w:val="single" w:sz="8" w:color="auto"/>
              <w:right w:val="single" w:sz="8" w:color="auto"/>
            </w:tcBorders>
            <w:shd w:val="clear" w:color="auto" w:fill="CCFFCC"/>
          </w:tcPr>
          <w:p>
            <w:pPr>
              <w:spacing w:after="0"/>
              <w:rPr>
                <w:sz w:val="9"/>
                <w:szCs w:val="9"/>
                <w:color w:val="auto"/>
              </w:rPr>
            </w:pPr>
          </w:p>
        </w:tc>
        <w:tc>
          <w:tcPr>
            <w:tcW w:w="2860" w:type="dxa"/>
            <w:vAlign w:val="bottom"/>
            <w:tcBorders>
              <w:bottom w:val="single" w:sz="8" w:color="auto"/>
              <w:right w:val="single" w:sz="8" w:color="auto"/>
            </w:tcBorders>
            <w:shd w:val="clear" w:color="auto" w:fill="CCFFCC"/>
          </w:tcPr>
          <w:p>
            <w:pPr>
              <w:spacing w:after="0"/>
              <w:rPr>
                <w:sz w:val="9"/>
                <w:szCs w:val="9"/>
                <w:color w:val="auto"/>
              </w:rPr>
            </w:pPr>
          </w:p>
        </w:tc>
        <w:tc>
          <w:tcPr>
            <w:tcW w:w="1920" w:type="dxa"/>
            <w:vAlign w:val="bottom"/>
            <w:tcBorders>
              <w:bottom w:val="single" w:sz="8" w:color="auto"/>
              <w:right w:val="single" w:sz="8" w:color="auto"/>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Structured note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250,000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Income approach</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Expected return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CCFFCC"/>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Warrants</w:t>
            </w:r>
          </w:p>
        </w:tc>
        <w:tc>
          <w:tcPr>
            <w:tcW w:w="340" w:type="dxa"/>
            <w:vAlign w:val="bottom"/>
            <w:tcBorders>
              <w:bottom w:val="single" w:sz="8" w:color="CCFFCC"/>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FFCC"/>
              <w:right w:val="single" w:sz="8" w:color="auto"/>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81,656</w:t>
            </w:r>
          </w:p>
        </w:tc>
        <w:tc>
          <w:tcPr>
            <w:tcW w:w="2500" w:type="dxa"/>
            <w:vAlign w:val="bottom"/>
            <w:tcBorders>
              <w:bottom w:val="single" w:sz="8" w:color="CCFFCC"/>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4"/>
              </w:rPr>
              <w:t>Option pricing model</w:t>
            </w:r>
          </w:p>
        </w:tc>
        <w:tc>
          <w:tcPr>
            <w:tcW w:w="28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4"/>
              </w:rPr>
              <w:t>Term to expiration*</w:t>
            </w:r>
          </w:p>
        </w:tc>
        <w:tc>
          <w:tcPr>
            <w:tcW w:w="192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CCFFCC"/>
              <w:right w:val="single" w:sz="8" w:color="auto"/>
            </w:tcBorders>
            <w:vMerge w:val="continue"/>
            <w:shd w:val="clear" w:color="auto" w:fill="CCFFCC"/>
          </w:tcPr>
          <w:p>
            <w:pPr>
              <w:spacing w:after="0"/>
              <w:rPr>
                <w:sz w:val="18"/>
                <w:szCs w:val="18"/>
                <w:color w:val="auto"/>
              </w:rPr>
            </w:pPr>
          </w:p>
        </w:tc>
        <w:tc>
          <w:tcPr>
            <w:tcW w:w="340" w:type="dxa"/>
            <w:vAlign w:val="bottom"/>
            <w:tcBorders>
              <w:bottom w:val="single" w:sz="8" w:color="CCFFCC"/>
            </w:tcBorders>
            <w:vMerge w:val="continue"/>
            <w:shd w:val="clear" w:color="auto" w:fill="CCFFCC"/>
          </w:tcPr>
          <w:p>
            <w:pPr>
              <w:spacing w:after="0"/>
              <w:rPr>
                <w:sz w:val="18"/>
                <w:szCs w:val="18"/>
                <w:color w:val="auto"/>
              </w:rPr>
            </w:pPr>
          </w:p>
        </w:tc>
        <w:tc>
          <w:tcPr>
            <w:tcW w:w="1480" w:type="dxa"/>
            <w:vAlign w:val="bottom"/>
            <w:tcBorders>
              <w:bottom w:val="single" w:sz="8" w:color="CCFFCC"/>
              <w:right w:val="single" w:sz="8" w:color="auto"/>
            </w:tcBorders>
            <w:vMerge w:val="continue"/>
            <w:shd w:val="clear" w:color="auto" w:fill="CCFFCC"/>
          </w:tcPr>
          <w:p>
            <w:pPr>
              <w:spacing w:after="0"/>
              <w:rPr>
                <w:sz w:val="18"/>
                <w:szCs w:val="18"/>
                <w:color w:val="auto"/>
              </w:rPr>
            </w:pPr>
          </w:p>
        </w:tc>
        <w:tc>
          <w:tcPr>
            <w:tcW w:w="2500" w:type="dxa"/>
            <w:vAlign w:val="bottom"/>
            <w:tcBorders>
              <w:bottom w:val="single" w:sz="8" w:color="CCFFCC"/>
              <w:right w:val="single" w:sz="8" w:color="auto"/>
            </w:tcBorders>
            <w:vMerge w:val="continue"/>
            <w:shd w:val="clear" w:color="auto" w:fill="CCFFCC"/>
          </w:tcPr>
          <w:p>
            <w:pPr>
              <w:spacing w:after="0"/>
              <w:rPr>
                <w:sz w:val="18"/>
                <w:szCs w:val="18"/>
                <w:color w:val="auto"/>
              </w:rPr>
            </w:pPr>
          </w:p>
        </w:tc>
        <w:tc>
          <w:tcPr>
            <w:tcW w:w="28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3"/>
              </w:rPr>
              <w:t>Stock price*</w:t>
            </w:r>
          </w:p>
        </w:tc>
        <w:tc>
          <w:tcPr>
            <w:tcW w:w="192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480" w:type="dxa"/>
            <w:vAlign w:val="bottom"/>
            <w:tcBorders>
              <w:bottom w:val="single" w:sz="8" w:color="auto"/>
              <w:right w:val="single" w:sz="8" w:color="auto"/>
            </w:tcBorders>
            <w:shd w:val="clear" w:color="auto" w:fill="CCFFCC"/>
          </w:tcPr>
          <w:p>
            <w:pPr>
              <w:spacing w:after="0"/>
              <w:rPr>
                <w:sz w:val="18"/>
                <w:szCs w:val="18"/>
                <w:color w:val="auto"/>
              </w:rPr>
            </w:pPr>
          </w:p>
        </w:tc>
        <w:tc>
          <w:tcPr>
            <w:tcW w:w="2500" w:type="dxa"/>
            <w:vAlign w:val="bottom"/>
            <w:tcBorders>
              <w:bottom w:val="single" w:sz="8" w:color="auto"/>
              <w:right w:val="single" w:sz="8" w:color="auto"/>
            </w:tcBorders>
            <w:shd w:val="clear" w:color="auto" w:fill="CCFFCC"/>
          </w:tcPr>
          <w:p>
            <w:pPr>
              <w:spacing w:after="0"/>
              <w:rPr>
                <w:sz w:val="18"/>
                <w:szCs w:val="18"/>
                <w:color w:val="auto"/>
              </w:rPr>
            </w:pPr>
          </w:p>
        </w:tc>
        <w:tc>
          <w:tcPr>
            <w:tcW w:w="28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rPr>
              <w:t>Volatility*</w:t>
            </w:r>
          </w:p>
        </w:tc>
        <w:tc>
          <w:tcPr>
            <w:tcW w:w="192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1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Echo System Corp. warrants have an estimated term of 4.4 years, a stock price of $3.20 and a volatility of 40%, and the SharesPost, Inc. warrants have an estimated term of 2.0 years, a stock price of $0.10 and a volatility of 35%.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significant unobservable input used in the fair value of the common stock in public companies is the discount for lack of marketability. A higher discount results in a lower value, all else equal. The significant unobservable inputs used in the fair value of the warrants are the term to expiration, stock price and volatility. A higher stock price and a longer time to expiration result in higher values, all else equal.</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June 30, 2012 and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89"/>
              </w:rPr>
              <w:t>As of June 30, 2012 (Unaudited)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Significant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Securities</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Observable 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3)</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3,751,732</w:t>
            </w:r>
          </w:p>
        </w:tc>
        <w:tc>
          <w:tcPr>
            <w:tcW w:w="2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9,361,100</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74,192,692</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87,305,524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83,961,230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83,961,230</w:t>
            </w:r>
          </w:p>
        </w:tc>
      </w:tr>
      <w:tr>
        <w:trPr>
          <w:trHeight w:val="216"/>
        </w:trPr>
        <w:tc>
          <w:tcPr>
            <w:tcW w:w="47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16,000,000</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Structured Note</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30"/>
        </w:trPr>
        <w:tc>
          <w:tcPr>
            <w:tcW w:w="47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81,656</w:t>
            </w: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81,656</w:t>
            </w:r>
          </w:p>
        </w:tc>
      </w:tr>
      <w:tr>
        <w:trPr>
          <w:trHeight w:val="223"/>
        </w:trPr>
        <w:tc>
          <w:tcPr>
            <w:tcW w:w="470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19,751,732</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9,361,100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158,485,578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187,598,410</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 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Significant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Securities</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Observable 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3)</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Treasury Bill</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20,000,044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17,453,085</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17,453,085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4,500,000</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71,396</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r>
      <w:tr>
        <w:trPr>
          <w:trHeight w:val="223"/>
        </w:trPr>
        <w:tc>
          <w:tcPr>
            <w:tcW w:w="47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27,000,044</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aggregate values of Level 3 portfolio investments changed during the six months ended June 30, 2012 and the period from January 6, 2011 (date of inception) to December 31, 2011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9"/>
          </w:tcPr>
          <w:p>
            <w:pPr>
              <w:jc w:val="right"/>
              <w:ind w:right="900"/>
              <w:spacing w:after="0"/>
              <w:rPr>
                <w:sz w:val="20"/>
                <w:szCs w:val="20"/>
                <w:color w:val="auto"/>
              </w:rPr>
            </w:pPr>
            <w:r>
              <w:rPr>
                <w:rFonts w:ascii="Arial" w:cs="Arial" w:eastAsia="Arial" w:hAnsi="Arial"/>
                <w:sz w:val="18"/>
                <w:szCs w:val="18"/>
                <w:b w:val="1"/>
                <w:bCs w:val="1"/>
                <w:color w:val="auto"/>
              </w:rPr>
              <w:t>Six months ended June 30, 2012 (Unaudited)</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Preferred Stock</w:t>
            </w: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Structured Note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8"/>
              </w:rPr>
              <w:t>Fair value as of December 31, 2011</w:t>
            </w: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17,453,085</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71,396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44,626,865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64,421,634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109,902,735</w:t>
            </w:r>
          </w:p>
        </w:tc>
      </w:tr>
      <w:tr>
        <w:trPr>
          <w:trHeight w:val="205"/>
        </w:trPr>
        <w:tc>
          <w:tcPr>
            <w:tcW w:w="2840" w:type="dxa"/>
            <w:vAlign w:val="bottom"/>
            <w:shd w:val="clear" w:color="auto" w:fill="CCFFCC"/>
          </w:tcPr>
          <w:p>
            <w:pPr>
              <w:spacing w:after="0" w:line="206" w:lineRule="exact"/>
              <w:rPr>
                <w:sz w:val="20"/>
                <w:szCs w:val="20"/>
                <w:color w:val="auto"/>
              </w:rPr>
            </w:pPr>
            <w:r>
              <w:rPr>
                <w:rFonts w:ascii="Arial" w:cs="Arial" w:eastAsia="Arial" w:hAnsi="Arial"/>
                <w:sz w:val="18"/>
                <w:szCs w:val="18"/>
                <w:color w:val="auto"/>
              </w:rPr>
              <w:t>Exercises, conversions and</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67"/>
        </w:trPr>
        <w:tc>
          <w:tcPr>
            <w:tcW w:w="2840" w:type="dxa"/>
            <w:vAlign w:val="bottom"/>
            <w:shd w:val="clear" w:color="auto" w:fill="CCFFCC"/>
          </w:tcPr>
          <w:p>
            <w:pPr>
              <w:ind w:left="180"/>
              <w:spacing w:after="0" w:line="266" w:lineRule="exact"/>
              <w:rPr>
                <w:sz w:val="20"/>
                <w:szCs w:val="20"/>
                <w:color w:val="auto"/>
              </w:rPr>
            </w:pPr>
            <w:r>
              <w:rPr>
                <w:rFonts w:ascii="Arial" w:cs="Arial" w:eastAsia="Arial" w:hAnsi="Arial"/>
                <w:sz w:val="18"/>
                <w:szCs w:val="18"/>
                <w:color w:val="auto"/>
              </w:rPr>
              <w:t xml:space="preserve">assignments </w:t>
            </w:r>
            <w:r>
              <w:rPr>
                <w:rFonts w:ascii="Arial" w:cs="Arial" w:eastAsia="Arial" w:hAnsi="Arial"/>
                <w:sz w:val="30"/>
                <w:szCs w:val="30"/>
                <w:color w:val="auto"/>
                <w:vertAlign w:val="superscript"/>
              </w:rPr>
              <w:t>(1)</w:t>
            </w: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734,067</w:t>
            </w:r>
          </w:p>
        </w:tc>
        <w:tc>
          <w:tcPr>
            <w:tcW w:w="100" w:type="dxa"/>
            <w:vAlign w:val="bottom"/>
            <w:shd w:val="clear" w:color="auto" w:fill="CCFFCC"/>
          </w:tcPr>
          <w:p>
            <w:pPr>
              <w:spacing w:after="0"/>
              <w:rPr>
                <w:sz w:val="23"/>
                <w:szCs w:val="23"/>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(756,390)</w:t>
            </w:r>
          </w:p>
        </w:tc>
        <w:tc>
          <w:tcPr>
            <w:tcW w:w="8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22,323</w:t>
            </w:r>
          </w:p>
        </w:tc>
        <w:tc>
          <w:tcPr>
            <w:tcW w:w="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Sales and settlements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(3,002,665)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(3,002,665)</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Realized loss included in earnings</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(1,380,263)</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(1,380,263)</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Change in unrealized appreciation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w w:val="95"/>
              </w:rPr>
              <w:t>(depreciation) included in earnings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(1,938,454)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1,352,444</w:t>
            </w:r>
          </w:p>
        </w:tc>
        <w:tc>
          <w:tcPr>
            <w:tcW w:w="10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35,082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(12,063)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(562,991)</w:t>
            </w:r>
          </w:p>
        </w:tc>
      </w:tr>
      <w:tr>
        <w:trPr>
          <w:trHeight w:val="230"/>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Transfer to Level 2</w:t>
            </w: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(9,361,100)</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(9,361,100)</w:t>
            </w:r>
          </w:p>
        </w:tc>
      </w:tr>
      <w:tr>
        <w:trPr>
          <w:trHeight w:val="263"/>
        </w:trPr>
        <w:tc>
          <w:tcPr>
            <w:tcW w:w="28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Fair value as of June 30, 2012</w:t>
            </w:r>
          </w:p>
        </w:tc>
        <w:tc>
          <w:tcPr>
            <w:tcW w:w="16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74,192,692</w:t>
            </w:r>
          </w:p>
        </w:tc>
        <w:tc>
          <w:tcPr>
            <w:tcW w:w="14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83,961,230</w:t>
            </w:r>
          </w:p>
        </w:tc>
        <w:tc>
          <w:tcPr>
            <w:tcW w:w="220" w:type="dxa"/>
            <w:vAlign w:val="bottom"/>
            <w:tcBorders>
              <w:bottom w:val="single" w:sz="8" w:color="CCFFC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81,656</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158,485,578</w:t>
            </w:r>
          </w:p>
        </w:tc>
        <w:tc>
          <w:tcPr>
            <w:tcW w:w="100" w:type="dxa"/>
            <w:vAlign w:val="bottom"/>
            <w:tcBorders>
              <w:bottom w:val="single" w:sz="8" w:color="CCFFCC"/>
            </w:tcBorders>
          </w:tcPr>
          <w:p>
            <w:pPr>
              <w:spacing w:after="0"/>
              <w:rPr>
                <w:sz w:val="22"/>
                <w:szCs w:val="22"/>
                <w:color w:val="auto"/>
              </w:rPr>
            </w:pPr>
          </w:p>
        </w:tc>
      </w:tr>
      <w:tr>
        <w:trPr>
          <w:trHeight w:val="155"/>
        </w:trPr>
        <w:tc>
          <w:tcPr>
            <w:tcW w:w="2840" w:type="dxa"/>
            <w:vAlign w:val="bottom"/>
            <w:shd w:val="clear" w:color="auto" w:fill="CCFFCC"/>
          </w:tcPr>
          <w:p>
            <w:pPr>
              <w:spacing w:after="0" w:line="156" w:lineRule="exact"/>
              <w:rPr>
                <w:sz w:val="20"/>
                <w:szCs w:val="20"/>
                <w:color w:val="auto"/>
              </w:rPr>
            </w:pPr>
            <w:r>
              <w:rPr>
                <w:rFonts w:ascii="Arial" w:cs="Arial" w:eastAsia="Arial" w:hAnsi="Arial"/>
                <w:sz w:val="18"/>
                <w:szCs w:val="18"/>
                <w:color w:val="auto"/>
              </w:rPr>
              <w:t>Change in unrealized appreciation</w:t>
            </w:r>
          </w:p>
        </w:tc>
        <w:tc>
          <w:tcPr>
            <w:tcW w:w="1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3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3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3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24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1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r>
      <w:tr>
        <w:trPr>
          <w:trHeight w:val="216"/>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on Level 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investments still held as of</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57"/>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June 30, 2012</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(830,741)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1,352,444</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2"/>
                <w:szCs w:val="22"/>
                <w:color w:val="auto"/>
              </w:rPr>
            </w:pP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(12,063)</w:t>
            </w:r>
          </w:p>
        </w:tc>
        <w:tc>
          <w:tcPr>
            <w:tcW w:w="40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509,640</w:t>
            </w:r>
          </w:p>
        </w:tc>
      </w:tr>
      <w:tr>
        <w:trPr>
          <w:trHeight w:val="20"/>
        </w:trPr>
        <w:tc>
          <w:tcPr>
            <w:tcW w:w="28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240" w:right="260" w:hanging="232"/>
        <w:spacing w:after="0" w:line="264"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six months ended June 30, 2012, the Company converted its structured notes to preferred shares in The Echo System Corp. and exercised its warrants for preferred shares in StormWind, LLC. A portion of The Echo System Corp. structured notes attributable to the warrants was reclassified during the same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3"/>
              </w:rPr>
              <w:t>From January 6, 2011 (date of inception) to December 31, 2011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Structured Note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as of January 6, 2011</w:t>
            </w: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43,451,594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17,595,397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4,535,082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76,793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65,658,866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Change in unrealized depreciation</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(1,397,925)</w:t>
            </w: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(142,312)</w:t>
            </w:r>
          </w:p>
        </w:tc>
        <w:tc>
          <w:tcPr>
            <w:tcW w:w="100" w:type="dxa"/>
            <w:vAlign w:val="bottom"/>
            <w:shd w:val="clear" w:color="auto" w:fill="CCFFCC"/>
          </w:tcPr>
          <w:p>
            <w:pPr>
              <w:spacing w:after="0"/>
              <w:rPr>
                <w:sz w:val="23"/>
                <w:szCs w:val="23"/>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(35,082)</w:t>
            </w:r>
          </w:p>
        </w:tc>
        <w:tc>
          <w:tcPr>
            <w:tcW w:w="8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(5,397)</w:t>
            </w:r>
          </w:p>
        </w:tc>
        <w:tc>
          <w:tcPr>
            <w:tcW w:w="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(1,580,716)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Transfer to Level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(1,188,288)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(1,188,288)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7"/>
              </w:rPr>
              <w:t>Fair value as of December 31, 2011</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17,453,085</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71,396</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Change in unrealized depreciation on</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6"/>
              </w:rPr>
              <w:t>Level 3 investments still held as of</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December 31, 2011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(457,628)</w:t>
            </w:r>
          </w:p>
        </w:tc>
        <w:tc>
          <w:tcPr>
            <w:tcW w:w="2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(142,312)</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(35,082)</w:t>
            </w: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(5,397)</w:t>
            </w:r>
          </w:p>
        </w:tc>
        <w:tc>
          <w:tcPr>
            <w:tcW w:w="40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(640,419)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six months ended June 30, 2012, there were two transfers between levels. Due to the expiration of the lock-up agreement on our shares in Groupon, Inc. on June 1, 2012, the closing price on a public exchange on June 29, 2012 was used for our valuation as of June 30, 2012. This resulted in a transfer of Groupon, Inc. from Level 2 to Level 1. Due to the initial public offering of Facebook, Inc. on May 17, 2012, observable inputs became available for our valuation as of June 30, 2012. However, our shares in Facebook, Inc. are presently subject to a lock-up agreement that expires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297" w:lineRule="auto"/>
        <w:rPr>
          <w:sz w:val="20"/>
          <w:szCs w:val="20"/>
          <w:color w:val="auto"/>
        </w:rPr>
      </w:pPr>
      <w:r>
        <w:rPr>
          <w:rFonts w:ascii="Arial" w:cs="Arial" w:eastAsia="Arial" w:hAnsi="Arial"/>
          <w:sz w:val="16"/>
          <w:szCs w:val="16"/>
          <w:color w:val="auto"/>
        </w:rPr>
        <w:t>During the period from January 6, 2011 (date of inception) to December 31, 2011, there was one transfer from Level 3 to Level 2 related to our investment in Groupon, Inc. Due to its public offering in November 2011, observable inputs became available for our valuation as of December 31, 2011. However, during that period, our shares in Groupon, Inc. were subject to a lock-up agreement that was scheduled to expire on June 1, 2012. As such, the fair value for Groupon, Inc. was estimated using the closing price on a public exchange as of the valuation date, adjusted for a discount due to a lack of marketability of 28% that was primarily based on the market price of publicly traded put options with a similar term as our lock-up as of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issued 5,520,100 shares of our common stock during the period from January 6, 2011 (date of inception) to December 31, 2011. We issued 13,800,000 shares of our common stock during the six months ended June 30, 2012. The proceeds raised, the related underwriting fees, the offering expenses and the prices at which these shares were issued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tcPr>
          <w:p>
            <w:pPr>
              <w:ind w:left="960"/>
              <w:spacing w:after="0"/>
              <w:rPr>
                <w:sz w:val="20"/>
                <w:szCs w:val="20"/>
                <w:color w:val="auto"/>
              </w:rPr>
            </w:pPr>
            <w:r>
              <w:rPr>
                <w:rFonts w:ascii="Arial" w:cs="Arial" w:eastAsia="Arial" w:hAnsi="Arial"/>
                <w:sz w:val="18"/>
                <w:szCs w:val="18"/>
                <w:b w:val="1"/>
                <w:bCs w:val="1"/>
                <w:color w:val="auto"/>
              </w:rPr>
              <w:t>Issuances of</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Gross Proceeds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ind w:left="840"/>
              <w:spacing w:after="0"/>
              <w:rPr>
                <w:sz w:val="20"/>
                <w:szCs w:val="20"/>
                <w:color w:val="auto"/>
              </w:rPr>
            </w:pPr>
            <w:r>
              <w:rPr>
                <w:rFonts w:ascii="Arial" w:cs="Arial" w:eastAsia="Arial" w:hAnsi="Arial"/>
                <w:sz w:val="18"/>
                <w:szCs w:val="18"/>
                <w:b w:val="1"/>
                <w:bCs w:val="1"/>
                <w:color w:val="auto"/>
              </w:rPr>
              <w:t>Common Stock</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20"/>
                <w:szCs w:val="20"/>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Raised</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Underwriting Fees</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Offering Expenses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Offering Price</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February 28, 2011</w:t>
            </w:r>
          </w:p>
        </w:tc>
        <w:tc>
          <w:tcPr>
            <w:tcW w:w="12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April 28, 2011</w:t>
            </w:r>
          </w:p>
        </w:tc>
        <w:tc>
          <w:tcPr>
            <w:tcW w:w="1700" w:type="dxa"/>
            <w:vAlign w:val="bottom"/>
            <w:gridSpan w:val="2"/>
          </w:tcPr>
          <w:p>
            <w:pPr>
              <w:jc w:val="right"/>
              <w:ind w:right="200"/>
              <w:spacing w:after="0" w:line="149" w:lineRule="exact"/>
              <w:rPr>
                <w:sz w:val="20"/>
                <w:szCs w:val="20"/>
                <w:color w:val="auto"/>
              </w:rPr>
            </w:pPr>
            <w:r>
              <w:rPr>
                <w:rFonts w:ascii="Arial" w:cs="Arial" w:eastAsia="Arial" w:hAnsi="Arial"/>
                <w:sz w:val="17"/>
                <w:szCs w:val="17"/>
                <w:color w:val="auto"/>
              </w:rPr>
              <w:t>3,335,000</w:t>
            </w:r>
          </w:p>
        </w:tc>
        <w:tc>
          <w:tcPr>
            <w:tcW w:w="12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50,025,000</w:t>
            </w:r>
          </w:p>
        </w:tc>
        <w:tc>
          <w:tcPr>
            <w:tcW w:w="4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3,501,750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7"/>
                <w:szCs w:val="17"/>
                <w:color w:val="auto"/>
              </w:rPr>
              <w:t>527,166</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4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44"/>
        </w:trPr>
        <w:tc>
          <w:tcPr>
            <w:tcW w:w="2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7"/>
                <w:szCs w:val="17"/>
                <w:color w:val="auto"/>
              </w:rPr>
              <w:t>September 27, 2011</w:t>
            </w:r>
          </w:p>
        </w:tc>
        <w:tc>
          <w:tcPr>
            <w:tcW w:w="17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7"/>
                <w:szCs w:val="17"/>
                <w:color w:val="auto"/>
              </w:rPr>
              <w:t>2,185,000</w:t>
            </w:r>
          </w:p>
        </w:tc>
        <w:tc>
          <w:tcPr>
            <w:tcW w:w="120" w:type="dxa"/>
            <w:vAlign w:val="bottom"/>
            <w:shd w:val="clear" w:color="auto" w:fill="CCFFCC"/>
          </w:tcPr>
          <w:p>
            <w:pPr>
              <w:spacing w:after="0"/>
              <w:rPr>
                <w:sz w:val="12"/>
                <w:szCs w:val="12"/>
                <w:color w:val="auto"/>
              </w:rPr>
            </w:pP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7"/>
                <w:szCs w:val="17"/>
                <w:color w:val="auto"/>
              </w:rPr>
              <w:t>30,917,750</w:t>
            </w:r>
          </w:p>
        </w:tc>
        <w:tc>
          <w:tcPr>
            <w:tcW w:w="4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7"/>
                <w:szCs w:val="17"/>
                <w:color w:val="auto"/>
              </w:rPr>
              <w:t>1,267,300</w:t>
            </w:r>
          </w:p>
        </w:tc>
        <w:tc>
          <w:tcPr>
            <w:tcW w:w="2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49" w:lineRule="exact"/>
              <w:rPr>
                <w:sz w:val="20"/>
                <w:szCs w:val="20"/>
                <w:color w:val="auto"/>
              </w:rPr>
            </w:pPr>
            <w:r>
              <w:rPr>
                <w:rFonts w:ascii="Arial" w:cs="Arial" w:eastAsia="Arial" w:hAnsi="Arial"/>
                <w:sz w:val="17"/>
                <w:szCs w:val="17"/>
                <w:color w:val="auto"/>
              </w:rPr>
              <w:t>531,122</w:t>
            </w:r>
          </w:p>
        </w:tc>
        <w:tc>
          <w:tcPr>
            <w:tcW w:w="280" w:type="dxa"/>
            <w:vAlign w:val="bottom"/>
            <w:vMerge w:val="restart"/>
            <w:shd w:val="clear" w:color="auto" w:fill="CCFFCC"/>
          </w:tcPr>
          <w:p>
            <w:pPr>
              <w:jc w:val="right"/>
              <w:ind w:right="25"/>
              <w:spacing w:after="0"/>
              <w:rPr>
                <w:sz w:val="20"/>
                <w:szCs w:val="20"/>
                <w:color w:val="auto"/>
              </w:rPr>
            </w:pPr>
            <w:r>
              <w:rPr>
                <w:rFonts w:ascii="Arial" w:cs="Arial" w:eastAsia="Arial" w:hAnsi="Arial"/>
                <w:sz w:val="15"/>
                <w:szCs w:val="15"/>
                <w:color w:val="auto"/>
                <w:w w:val="87"/>
              </w:rPr>
              <w:t>(2)</w:t>
            </w:r>
          </w:p>
        </w:tc>
        <w:tc>
          <w:tcPr>
            <w:tcW w:w="14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48"/>
        </w:trPr>
        <w:tc>
          <w:tcPr>
            <w:tcW w:w="288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1500" w:type="dxa"/>
            <w:vAlign w:val="bottom"/>
            <w:tcBorders>
              <w:bottom w:val="single" w:sz="8" w:color="CCFFCC"/>
            </w:tcBorders>
            <w:shd w:val="clear" w:color="auto" w:fill="CCFFCC"/>
          </w:tcPr>
          <w:p>
            <w:pPr>
              <w:spacing w:after="0"/>
              <w:rPr>
                <w:sz w:val="4"/>
                <w:szCs w:val="4"/>
                <w:color w:val="auto"/>
              </w:rPr>
            </w:pPr>
          </w:p>
        </w:tc>
        <w:tc>
          <w:tcPr>
            <w:tcW w:w="20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136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420" w:type="dxa"/>
            <w:vAlign w:val="bottom"/>
            <w:tcBorders>
              <w:bottom w:val="single" w:sz="8" w:color="CCFFCC"/>
            </w:tcBorders>
            <w:shd w:val="clear" w:color="auto" w:fill="CCFFCC"/>
          </w:tcPr>
          <w:p>
            <w:pPr>
              <w:spacing w:after="0"/>
              <w:rPr>
                <w:sz w:val="4"/>
                <w:szCs w:val="4"/>
                <w:color w:val="auto"/>
              </w:rPr>
            </w:pPr>
          </w:p>
        </w:tc>
        <w:tc>
          <w:tcPr>
            <w:tcW w:w="104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500" w:type="dxa"/>
            <w:vAlign w:val="bottom"/>
            <w:tcBorders>
              <w:bottom w:val="single" w:sz="8" w:color="CCFFCC"/>
            </w:tcBorders>
            <w:shd w:val="clear" w:color="auto" w:fill="CCFFCC"/>
          </w:tcPr>
          <w:p>
            <w:pPr>
              <w:spacing w:after="0"/>
              <w:rPr>
                <w:sz w:val="4"/>
                <w:szCs w:val="4"/>
                <w:color w:val="auto"/>
              </w:rPr>
            </w:pPr>
          </w:p>
        </w:tc>
        <w:tc>
          <w:tcPr>
            <w:tcW w:w="980" w:type="dxa"/>
            <w:vAlign w:val="bottom"/>
            <w:tcBorders>
              <w:bottom w:val="single" w:sz="8" w:color="CCFFCC"/>
            </w:tcBorders>
            <w:shd w:val="clear" w:color="auto" w:fill="CCFFCC"/>
          </w:tcPr>
          <w:p>
            <w:pPr>
              <w:spacing w:after="0"/>
              <w:rPr>
                <w:sz w:val="4"/>
                <w:szCs w:val="4"/>
                <w:color w:val="auto"/>
              </w:rPr>
            </w:pPr>
          </w:p>
        </w:tc>
        <w:tc>
          <w:tcPr>
            <w:tcW w:w="280" w:type="dxa"/>
            <w:vAlign w:val="bottom"/>
            <w:tcBorders>
              <w:bottom w:val="single" w:sz="8" w:color="CCFFCC"/>
            </w:tcBorders>
            <w:vMerge w:val="continue"/>
            <w:shd w:val="clear" w:color="auto" w:fill="CCFFCC"/>
          </w:tcPr>
          <w:p>
            <w:pPr>
              <w:spacing w:after="0"/>
              <w:rPr>
                <w:sz w:val="4"/>
                <w:szCs w:val="4"/>
                <w:color w:val="auto"/>
              </w:rPr>
            </w:pPr>
          </w:p>
        </w:tc>
        <w:tc>
          <w:tcPr>
            <w:tcW w:w="140" w:type="dxa"/>
            <w:vAlign w:val="bottom"/>
            <w:tcBorders>
              <w:bottom w:val="single" w:sz="8" w:color="CCFFCC"/>
            </w:tcBorders>
            <w:shd w:val="clear" w:color="auto" w:fill="CCFFCC"/>
          </w:tcPr>
          <w:p>
            <w:pPr>
              <w:spacing w:after="0"/>
              <w:rPr>
                <w:sz w:val="4"/>
                <w:szCs w:val="4"/>
                <w:color w:val="auto"/>
              </w:rPr>
            </w:pPr>
          </w:p>
        </w:tc>
        <w:tc>
          <w:tcPr>
            <w:tcW w:w="1340" w:type="dxa"/>
            <w:vAlign w:val="bottom"/>
            <w:tcBorders>
              <w:bottom w:val="single" w:sz="8" w:color="CCFFCC"/>
            </w:tcBorders>
            <w:shd w:val="clear" w:color="auto" w:fill="CCFFCC"/>
          </w:tcPr>
          <w:p>
            <w:pPr>
              <w:spacing w:after="0"/>
              <w:rPr>
                <w:sz w:val="4"/>
                <w:szCs w:val="4"/>
                <w:color w:val="auto"/>
              </w:rPr>
            </w:pPr>
          </w:p>
        </w:tc>
        <w:tc>
          <w:tcPr>
            <w:tcW w:w="100" w:type="dxa"/>
            <w:vAlign w:val="bottom"/>
            <w:tcBorders>
              <w:bottom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100"/>
              <w:spacing w:after="0"/>
              <w:rPr>
                <w:sz w:val="20"/>
                <w:szCs w:val="20"/>
                <w:color w:val="auto"/>
              </w:rPr>
            </w:pPr>
            <w:r>
              <w:rPr>
                <w:rFonts w:ascii="Arial" w:cs="Arial" w:eastAsia="Arial" w:hAnsi="Arial"/>
                <w:sz w:val="18"/>
                <w:szCs w:val="18"/>
                <w:color w:val="auto"/>
              </w:rPr>
              <w:t>February 10, 2012</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6,900,000</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103,500,000</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7,245,000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326,077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May 11, 2012</w:t>
            </w:r>
          </w:p>
        </w:tc>
        <w:tc>
          <w:tcPr>
            <w:tcW w:w="1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6,900,000</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112,125,000</w:t>
            </w: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6,727,500</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411,660</w:t>
            </w: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information sets forth the computation of net decrease in net assets resulting from operations per common share for the three and six months ended June 30, 2012, for the three months ended June 30, 2011 and for the period from January 6, 2011 (date of inception) to June 30,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Three months ended June 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FFC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bottom w:val="single" w:sz="8" w:color="CCFFC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FFCC"/>
            </w:tcBorders>
          </w:tcPr>
          <w:p>
            <w:pPr>
              <w:spacing w:after="0"/>
              <w:rPr>
                <w:sz w:val="21"/>
                <w:szCs w:val="21"/>
                <w:color w:val="auto"/>
              </w:rPr>
            </w:pPr>
          </w:p>
        </w:tc>
        <w:tc>
          <w:tcPr>
            <w:tcW w:w="80" w:type="dxa"/>
            <w:vAlign w:val="bottom"/>
            <w:tcBorders>
              <w:bottom w:val="single" w:sz="8" w:color="CCFFC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FFC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42"/>
              <w:spacing w:after="0" w:line="251"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9"/>
                <w:szCs w:val="29"/>
                <w:b w:val="1"/>
                <w:bCs w:val="1"/>
                <w:color w:val="auto"/>
                <w:vertAlign w:val="superscript"/>
              </w:rPr>
              <w:t>(1)</w:t>
            </w:r>
          </w:p>
        </w:tc>
        <w:tc>
          <w:tcPr>
            <w:tcW w:w="24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(5,474,894)</w:t>
            </w:r>
          </w:p>
        </w:tc>
        <w:tc>
          <w:tcPr>
            <w:tcW w:w="200" w:type="dxa"/>
            <w:vAlign w:val="bottom"/>
            <w:tcBorders>
              <w:right w:val="single" w:sz="8" w:color="CCFFCC"/>
            </w:tcBorders>
            <w:shd w:val="clear" w:color="auto" w:fill="CCFFCC"/>
          </w:tcPr>
          <w:p>
            <w:pPr>
              <w:spacing w:after="0"/>
              <w:rPr>
                <w:sz w:val="18"/>
                <w:szCs w:val="18"/>
                <w:color w:val="auto"/>
              </w:rPr>
            </w:pP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(624,939)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(5,557,957)</w:t>
            </w: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(735,747)</w:t>
            </w: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0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16,287,133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2,345,595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12,837,133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1,735,385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(2)</w:t>
            </w:r>
          </w:p>
        </w:tc>
        <w:tc>
          <w:tcPr>
            <w:tcW w:w="0" w:type="dxa"/>
            <w:vAlign w:val="bottom"/>
          </w:tcPr>
          <w:p>
            <w:pPr>
              <w:spacing w:after="0" w:line="20" w:lineRule="exact"/>
              <w:rPr>
                <w:sz w:val="1"/>
                <w:szCs w:val="1"/>
                <w:color w:val="auto"/>
              </w:rPr>
            </w:pPr>
          </w:p>
        </w:tc>
      </w:tr>
      <w:tr>
        <w:trPr>
          <w:trHeight w:val="183"/>
        </w:trPr>
        <w:tc>
          <w:tcPr>
            <w:tcW w:w="464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Basic and diluted earnings per common share</w:t>
            </w:r>
          </w:p>
        </w:tc>
        <w:tc>
          <w:tcPr>
            <w:tcW w:w="280" w:type="dxa"/>
            <w:vAlign w:val="bottom"/>
            <w:vMerge w:val="restart"/>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FFCC"/>
            </w:tcBorders>
            <w:gridSpan w:val="2"/>
            <w:shd w:val="clear" w:color="auto" w:fill="CCFFC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vMerge w:val="restart"/>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FFCC"/>
          </w:tcPr>
          <w:p>
            <w:pPr>
              <w:jc w:val="right"/>
              <w:ind w:right="80"/>
              <w:spacing w:after="0" w:line="183" w:lineRule="exact"/>
              <w:rPr>
                <w:sz w:val="20"/>
                <w:szCs w:val="20"/>
                <w:color w:val="auto"/>
              </w:rPr>
            </w:pPr>
            <w:r>
              <w:rPr>
                <w:rFonts w:ascii="Arial" w:cs="Arial" w:eastAsia="Arial" w:hAnsi="Arial"/>
                <w:sz w:val="16"/>
                <w:szCs w:val="16"/>
                <w:color w:val="auto"/>
                <w:w w:val="74"/>
              </w:rPr>
              <w:t>)</w:t>
            </w:r>
          </w:p>
        </w:tc>
        <w:tc>
          <w:tcPr>
            <w:tcW w:w="320" w:type="dxa"/>
            <w:vAlign w:val="bottom"/>
            <w:vMerge w:val="restart"/>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spacing w:after="0"/>
              <w:rPr>
                <w:sz w:val="15"/>
                <w:szCs w:val="15"/>
                <w:color w:val="auto"/>
              </w:rPr>
            </w:pPr>
          </w:p>
        </w:tc>
        <w:tc>
          <w:tcPr>
            <w:tcW w:w="240" w:type="dxa"/>
            <w:vAlign w:val="bottom"/>
            <w:vMerge w:val="continue"/>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640" w:type="dxa"/>
            <w:vAlign w:val="bottom"/>
            <w:shd w:val="clear" w:color="auto" w:fill="CCFFCC"/>
          </w:tcPr>
          <w:p>
            <w:pPr>
              <w:spacing w:after="0"/>
              <w:rPr>
                <w:sz w:val="7"/>
                <w:szCs w:val="7"/>
                <w:color w:val="auto"/>
              </w:rPr>
            </w:pPr>
          </w:p>
        </w:tc>
        <w:tc>
          <w:tcPr>
            <w:tcW w:w="280" w:type="dxa"/>
            <w:vAlign w:val="bottom"/>
            <w:vMerge w:val="continue"/>
            <w:shd w:val="clear" w:color="auto" w:fill="CCFFCC"/>
          </w:tcPr>
          <w:p>
            <w:pPr>
              <w:spacing w:after="0"/>
              <w:rPr>
                <w:sz w:val="7"/>
                <w:szCs w:val="7"/>
                <w:color w:val="auto"/>
              </w:rPr>
            </w:pPr>
          </w:p>
        </w:tc>
        <w:tc>
          <w:tcPr>
            <w:tcW w:w="1400" w:type="dxa"/>
            <w:vAlign w:val="bottom"/>
            <w:tcBorders>
              <w:right w:val="single" w:sz="8" w:color="CCFFCC"/>
            </w:tcBorders>
            <w:gridSpan w:val="2"/>
            <w:shd w:val="clear" w:color="auto" w:fill="CCFFCC"/>
          </w:tcPr>
          <w:p>
            <w:pPr>
              <w:jc w:val="right"/>
              <w:ind w:right="200"/>
              <w:spacing w:after="0" w:line="81" w:lineRule="exact"/>
              <w:rPr>
                <w:sz w:val="20"/>
                <w:szCs w:val="20"/>
                <w:color w:val="auto"/>
              </w:rPr>
            </w:pPr>
            <w:r>
              <w:rPr>
                <w:rFonts w:ascii="Arial" w:cs="Arial" w:eastAsia="Arial" w:hAnsi="Arial"/>
                <w:sz w:val="9"/>
                <w:szCs w:val="9"/>
                <w:color w:val="auto"/>
              </w:rPr>
              <w:t>(0.34</w:t>
            </w:r>
          </w:p>
        </w:tc>
        <w:tc>
          <w:tcPr>
            <w:tcW w:w="360" w:type="dxa"/>
            <w:vAlign w:val="bottom"/>
            <w:vMerge w:val="continue"/>
            <w:shd w:val="clear" w:color="auto" w:fill="CCFFCC"/>
          </w:tcPr>
          <w:p>
            <w:pPr>
              <w:spacing w:after="0"/>
              <w:rPr>
                <w:sz w:val="7"/>
                <w:szCs w:val="7"/>
                <w:color w:val="auto"/>
              </w:rPr>
            </w:pPr>
          </w:p>
        </w:tc>
        <w:tc>
          <w:tcPr>
            <w:tcW w:w="1260" w:type="dxa"/>
            <w:vAlign w:val="bottom"/>
            <w:gridSpan w:val="2"/>
            <w:shd w:val="clear" w:color="auto" w:fill="CCFFCC"/>
          </w:tcPr>
          <w:p>
            <w:pPr>
              <w:jc w:val="right"/>
              <w:ind w:right="140"/>
              <w:spacing w:after="0" w:line="81" w:lineRule="exact"/>
              <w:rPr>
                <w:sz w:val="20"/>
                <w:szCs w:val="20"/>
                <w:color w:val="auto"/>
              </w:rPr>
            </w:pPr>
            <w:r>
              <w:rPr>
                <w:rFonts w:ascii="Arial" w:cs="Arial" w:eastAsia="Arial" w:hAnsi="Arial"/>
                <w:sz w:val="9"/>
                <w:szCs w:val="9"/>
                <w:color w:val="auto"/>
              </w:rPr>
              <w:t>(0.27</w:t>
            </w:r>
          </w:p>
        </w:tc>
        <w:tc>
          <w:tcPr>
            <w:tcW w:w="400" w:type="dxa"/>
            <w:vAlign w:val="bottom"/>
            <w:gridSpan w:val="2"/>
            <w:vMerge w:val="continue"/>
            <w:shd w:val="clear" w:color="auto" w:fill="CCFFCC"/>
          </w:tcPr>
          <w:p>
            <w:pPr>
              <w:spacing w:after="0"/>
              <w:rPr>
                <w:sz w:val="7"/>
                <w:szCs w:val="7"/>
                <w:color w:val="auto"/>
              </w:rPr>
            </w:pPr>
          </w:p>
        </w:tc>
        <w:tc>
          <w:tcPr>
            <w:tcW w:w="1140" w:type="dxa"/>
            <w:vAlign w:val="bottom"/>
            <w:vMerge w:val="continue"/>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320" w:type="dxa"/>
            <w:vAlign w:val="bottom"/>
            <w:vMerge w:val="continue"/>
            <w:shd w:val="clear" w:color="auto" w:fill="CCFFCC"/>
          </w:tcPr>
          <w:p>
            <w:pPr>
              <w:spacing w:after="0"/>
              <w:rPr>
                <w:sz w:val="7"/>
                <w:szCs w:val="7"/>
                <w:color w:val="auto"/>
              </w:rPr>
            </w:pPr>
          </w:p>
        </w:tc>
        <w:tc>
          <w:tcPr>
            <w:tcW w:w="1400" w:type="dxa"/>
            <w:vAlign w:val="bottom"/>
            <w:gridSpan w:val="2"/>
            <w:shd w:val="clear" w:color="auto" w:fill="CCFFCC"/>
          </w:tcPr>
          <w:p>
            <w:pPr>
              <w:jc w:val="right"/>
              <w:ind w:right="181"/>
              <w:spacing w:after="0" w:line="81" w:lineRule="exact"/>
              <w:rPr>
                <w:sz w:val="20"/>
                <w:szCs w:val="20"/>
                <w:color w:val="auto"/>
              </w:rPr>
            </w:pPr>
            <w:r>
              <w:rPr>
                <w:rFonts w:ascii="Arial" w:cs="Arial" w:eastAsia="Arial" w:hAnsi="Arial"/>
                <w:sz w:val="9"/>
                <w:szCs w:val="9"/>
                <w:color w:val="auto"/>
              </w:rPr>
              <w:t>(0.42</w:t>
            </w:r>
          </w:p>
        </w:tc>
        <w:tc>
          <w:tcPr>
            <w:tcW w:w="0" w:type="dxa"/>
            <w:vAlign w:val="bottom"/>
          </w:tcPr>
          <w:p>
            <w:pPr>
              <w:spacing w:after="0"/>
              <w:rPr>
                <w:sz w:val="1"/>
                <w:szCs w:val="1"/>
                <w:color w:val="auto"/>
              </w:rPr>
            </w:pPr>
          </w:p>
        </w:tc>
      </w:tr>
      <w:tr>
        <w:trPr>
          <w:trHeight w:val="20"/>
        </w:trPr>
        <w:tc>
          <w:tcPr>
            <w:tcW w:w="46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period from January 6, 2011 (date of inception) to June 30, 2011.</w:t>
      </w:r>
    </w:p>
    <w:p>
      <w:pPr>
        <w:spacing w:after="0" w:line="23" w:lineRule="exact"/>
        <w:rPr>
          <w:rFonts w:ascii="Arial" w:cs="Arial" w:eastAsia="Arial" w:hAnsi="Arial"/>
          <w:sz w:val="18"/>
          <w:szCs w:val="18"/>
          <w:color w:val="auto"/>
        </w:rPr>
      </w:pPr>
    </w:p>
    <w:p>
      <w:pPr>
        <w:ind w:left="240" w:right="20" w:hanging="232"/>
        <w:spacing w:after="0" w:line="261"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June 30, 2011 was calculated starting from the issuance of 100 shares on February 28,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LEGAL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7 — FINANCIAL HIGHLIGHTS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Three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ended June 30,</w:t>
            </w:r>
          </w:p>
        </w:tc>
        <w:tc>
          <w:tcPr>
            <w:tcW w:w="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Borders>
              <w:bottom w:val="single" w:sz="8" w:color="CCFFCC"/>
            </w:tcBorders>
          </w:tcPr>
          <w:p>
            <w:pPr>
              <w:spacing w:after="0"/>
              <w:rPr>
                <w:sz w:val="20"/>
                <w:szCs w:val="20"/>
                <w:color w:val="auto"/>
              </w:rPr>
            </w:pPr>
          </w:p>
        </w:tc>
        <w:tc>
          <w:tcPr>
            <w:tcW w:w="13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90"/>
              </w:rPr>
              <w:t>June 30, 2012</w:t>
            </w:r>
          </w:p>
        </w:tc>
        <w:tc>
          <w:tcPr>
            <w:tcW w:w="4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13.47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
                <w:szCs w:val="1"/>
                <w:color w:val="auto"/>
              </w:rPr>
              <w:t>Issuance of common shares</w:t>
            </w:r>
          </w:p>
        </w:tc>
        <w:tc>
          <w:tcPr>
            <w:tcW w:w="13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20" w:type="dxa"/>
            <w:vAlign w:val="bottom"/>
            <w:gridSpan w:val="2"/>
            <w:shd w:val="clear" w:color="auto" w:fill="CCFFCC"/>
          </w:tcPr>
          <w:p>
            <w:pPr>
              <w:jc w:val="right"/>
              <w:ind w:right="440"/>
              <w:spacing w:after="0"/>
              <w:rPr>
                <w:sz w:val="20"/>
                <w:szCs w:val="20"/>
                <w:color w:val="auto"/>
              </w:rPr>
            </w:pPr>
            <w:r>
              <w:rPr>
                <w:rFonts w:ascii="Arial" w:cs="Arial" w:eastAsia="Arial" w:hAnsi="Arial"/>
                <w:sz w:val="1"/>
                <w:szCs w:val="1"/>
                <w:color w:val="auto"/>
              </w:rPr>
              <w:t>0.99</w:t>
            </w: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
                <w:szCs w:val="1"/>
                <w:color w:val="auto"/>
              </w:rPr>
              <w:t>1.91</w:t>
            </w:r>
          </w:p>
        </w:tc>
        <w:tc>
          <w:tcPr>
            <w:tcW w:w="400" w:type="dxa"/>
            <w:vAlign w:val="bottom"/>
            <w:vMerge w:val="restart"/>
            <w:shd w:val="clear" w:color="auto" w:fill="CCFFCC"/>
          </w:tcPr>
          <w:p>
            <w:pPr>
              <w:jc w:val="right"/>
              <w:ind w:right="145"/>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26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2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color w:val="auto"/>
              </w:rPr>
              <w:t>(3)</w:t>
            </w: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400" w:type="dxa"/>
            <w:vAlign w:val="bottom"/>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Underwriters’ discount</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(0.35)</w:t>
            </w:r>
            <w:r>
              <w:rPr>
                <w:rFonts w:ascii="Arial" w:cs="Arial" w:eastAsia="Arial" w:hAnsi="Arial"/>
                <w:sz w:val="29"/>
                <w:szCs w:val="29"/>
                <w:color w:val="auto"/>
                <w:vertAlign w:val="superscript"/>
              </w:rPr>
              <w:t>(2)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85"/>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200"/>
              <w:spacing w:after="0" w:line="256"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(2)</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85"/>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9"/>
                <w:szCs w:val="29"/>
                <w:color w:val="auto"/>
                <w:vertAlign w:val="superscript"/>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85"/>
              <w:spacing w:after="0" w:line="256" w:lineRule="exact"/>
              <w:rPr>
                <w:sz w:val="20"/>
                <w:szCs w:val="20"/>
                <w:color w:val="auto"/>
              </w:rPr>
            </w:pPr>
            <w:r>
              <w:rPr>
                <w:rFonts w:ascii="Arial" w:cs="Arial" w:eastAsia="Arial" w:hAnsi="Arial"/>
                <w:sz w:val="18"/>
                <w:szCs w:val="18"/>
                <w:color w:val="auto"/>
              </w:rPr>
              <w:t>(0.16)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Realized loss</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200"/>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(2)</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85"/>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Change in unrealized depreciation</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gridSpan w:val="2"/>
          </w:tcPr>
          <w:p>
            <w:pPr>
              <w:jc w:val="right"/>
              <w:ind w:right="200"/>
              <w:spacing w:after="0" w:line="269" w:lineRule="exact"/>
              <w:rPr>
                <w:sz w:val="20"/>
                <w:szCs w:val="20"/>
                <w:color w:val="auto"/>
              </w:rPr>
            </w:pPr>
            <w:r>
              <w:rPr>
                <w:rFonts w:ascii="Arial" w:cs="Arial" w:eastAsia="Arial" w:hAnsi="Arial"/>
                <w:sz w:val="18"/>
                <w:szCs w:val="18"/>
                <w:color w:val="auto"/>
              </w:rPr>
              <w:t>(0.08)</w:t>
            </w:r>
            <w:r>
              <w:rPr>
                <w:rFonts w:ascii="Arial" w:cs="Arial" w:eastAsia="Arial" w:hAnsi="Arial"/>
                <w:sz w:val="30"/>
                <w:szCs w:val="30"/>
                <w:color w:val="auto"/>
                <w:vertAlign w:val="superscript"/>
              </w:rPr>
              <w:t>(5)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2"/>
          </w:tcPr>
          <w:p>
            <w:pPr>
              <w:jc w:val="right"/>
              <w:ind w:right="85"/>
              <w:spacing w:after="0" w:line="269" w:lineRule="exact"/>
              <w:rPr>
                <w:sz w:val="20"/>
                <w:szCs w:val="20"/>
                <w:color w:val="auto"/>
              </w:rPr>
            </w:pPr>
            <w:r>
              <w:rPr>
                <w:rFonts w:ascii="Arial" w:cs="Arial" w:eastAsia="Arial" w:hAnsi="Arial"/>
                <w:sz w:val="18"/>
                <w:szCs w:val="18"/>
                <w:color w:val="auto"/>
              </w:rPr>
              <w:t>(0.06)</w:t>
            </w:r>
            <w:r>
              <w:rPr>
                <w:rFonts w:ascii="Arial" w:cs="Arial" w:eastAsia="Arial" w:hAnsi="Arial"/>
                <w:sz w:val="30"/>
                <w:szCs w:val="30"/>
                <w:color w:val="auto"/>
                <w:vertAlign w:val="superscript"/>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at end of period</w:t>
            </w:r>
          </w:p>
        </w:tc>
        <w:tc>
          <w:tcPr>
            <w:tcW w:w="13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13.81</w:t>
            </w:r>
          </w:p>
        </w:tc>
        <w:tc>
          <w:tcPr>
            <w:tcW w:w="4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13.81</w:t>
            </w:r>
          </w:p>
        </w:tc>
        <w:tc>
          <w:tcPr>
            <w:tcW w:w="4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9.30</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w:t>
            </w: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(50.27)%</w:t>
            </w:r>
            <w:r>
              <w:rPr>
                <w:rFonts w:ascii="Arial" w:cs="Arial" w:eastAsia="Arial" w:hAnsi="Arial"/>
                <w:sz w:val="29"/>
                <w:szCs w:val="29"/>
                <w:color w:val="auto"/>
                <w:vertAlign w:val="superscript"/>
              </w:rPr>
              <w:t>(6)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(33.33)%</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Total return based on net asset value</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2.52%</w:t>
            </w:r>
            <w:r>
              <w:rPr>
                <w:rFonts w:ascii="Arial" w:cs="Arial" w:eastAsia="Arial" w:hAnsi="Arial"/>
                <w:sz w:val="29"/>
                <w:szCs w:val="29"/>
                <w:color w:val="auto"/>
                <w:vertAlign w:val="superscript"/>
              </w:rPr>
              <w:t>(6)</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spacing w:after="0" w:line="256" w:lineRule="exact"/>
              <w:rPr>
                <w:sz w:val="20"/>
                <w:szCs w:val="20"/>
                <w:color w:val="auto"/>
              </w:rPr>
            </w:pPr>
            <w:r>
              <w:rPr>
                <w:rFonts w:ascii="Arial" w:cs="Arial" w:eastAsia="Arial" w:hAnsi="Arial"/>
                <w:sz w:val="18"/>
                <w:szCs w:val="18"/>
                <w:color w:val="auto"/>
              </w:rPr>
              <w:t>6.64%</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19,320,100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19,320,100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266,860,054</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266,860,054</w:t>
            </w: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Average net assets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201,571,697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153,430,875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gross operating expenses to average net assets </w:t>
            </w:r>
            <w:r>
              <w:rPr>
                <w:rFonts w:ascii="Arial" w:cs="Arial" w:eastAsia="Arial" w:hAnsi="Arial"/>
                <w:sz w:val="29"/>
                <w:szCs w:val="29"/>
                <w:color w:val="auto"/>
                <w:vertAlign w:val="superscript"/>
              </w:rPr>
              <w:t>(8)</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(8)</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165"/>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net investment income to average net assets </w:t>
            </w:r>
            <w:r>
              <w:rPr>
                <w:rFonts w:ascii="Arial" w:cs="Arial" w:eastAsia="Arial" w:hAnsi="Arial"/>
                <w:sz w:val="29"/>
                <w:szCs w:val="29"/>
                <w:color w:val="auto"/>
                <w:vertAlign w:val="superscript"/>
              </w:rPr>
              <w:t>(8)</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For the period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13"/>
              <w:spacing w:after="0"/>
              <w:rPr>
                <w:sz w:val="20"/>
                <w:szCs w:val="20"/>
                <w:color w:val="auto"/>
              </w:rPr>
            </w:pPr>
            <w:r>
              <w:rPr>
                <w:rFonts w:ascii="Arial" w:cs="Arial" w:eastAsia="Arial" w:hAnsi="Arial"/>
                <w:sz w:val="18"/>
                <w:szCs w:val="18"/>
                <w:b w:val="1"/>
                <w:bCs w:val="1"/>
                <w:color w:val="auto"/>
                <w:w w:val="90"/>
              </w:rPr>
              <w:t>For the period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from January 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from January 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3"/>
              <w:spacing w:after="0"/>
              <w:rPr>
                <w:sz w:val="20"/>
                <w:szCs w:val="20"/>
                <w:color w:val="auto"/>
              </w:rPr>
            </w:pPr>
            <w:r>
              <w:rPr>
                <w:rFonts w:ascii="Arial" w:cs="Arial" w:eastAsia="Arial" w:hAnsi="Arial"/>
                <w:sz w:val="18"/>
                <w:szCs w:val="18"/>
                <w:b w:val="1"/>
                <w:bCs w:val="1"/>
                <w:color w:val="auto"/>
                <w:w w:val="89"/>
              </w:rPr>
              <w:t>2011</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53"/>
              <w:spacing w:after="0"/>
              <w:rPr>
                <w:sz w:val="20"/>
                <w:szCs w:val="20"/>
                <w:color w:val="auto"/>
              </w:rPr>
            </w:pPr>
            <w:r>
              <w:rPr>
                <w:rFonts w:ascii="Arial" w:cs="Arial" w:eastAsia="Arial" w:hAnsi="Arial"/>
                <w:sz w:val="18"/>
                <w:szCs w:val="18"/>
                <w:b w:val="1"/>
                <w:bCs w:val="1"/>
                <w:color w:val="auto"/>
                <w:w w:val="84"/>
              </w:rPr>
              <w:t>2011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(date of inception)</w:t>
            </w:r>
          </w:p>
        </w:tc>
        <w:tc>
          <w:tcPr>
            <w:tcW w:w="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6"/>
              </w:rPr>
              <w:t>(date of inceptions)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to December 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June 30, 2011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3"/>
              <w:spacing w:after="0"/>
              <w:rPr>
                <w:sz w:val="20"/>
                <w:szCs w:val="20"/>
                <w:color w:val="auto"/>
              </w:rPr>
            </w:pPr>
            <w:r>
              <w:rPr>
                <w:rFonts w:ascii="Arial" w:cs="Arial" w:eastAsia="Arial" w:hAnsi="Arial"/>
                <w:sz w:val="18"/>
                <w:szCs w:val="18"/>
                <w:b w:val="1"/>
                <w:bCs w:val="1"/>
                <w:color w:val="auto"/>
                <w:w w:val="84"/>
              </w:rPr>
              <w:t>2011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13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shares</w:t>
            </w: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15.00</w:t>
            </w:r>
            <w:r>
              <w:rPr>
                <w:rFonts w:ascii="Arial" w:cs="Arial" w:eastAsia="Arial" w:hAnsi="Arial"/>
                <w:sz w:val="15"/>
                <w:szCs w:val="15"/>
                <w:color w:val="auto"/>
              </w:rPr>
              <w:t>(2)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145"/>
              <w:spacing w:after="0"/>
              <w:rPr>
                <w:sz w:val="20"/>
                <w:szCs w:val="20"/>
                <w:color w:val="auto"/>
              </w:rPr>
            </w:pPr>
            <w:r>
              <w:rPr>
                <w:rFonts w:ascii="Arial" w:cs="Arial" w:eastAsia="Arial" w:hAnsi="Arial"/>
                <w:sz w:val="18"/>
                <w:szCs w:val="18"/>
                <w:color w:val="auto"/>
              </w:rPr>
              <w:t>14.67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Underwriters’ discount</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(1.05)</w:t>
            </w:r>
            <w:r>
              <w:rPr>
                <w:rFonts w:ascii="Arial" w:cs="Arial" w:eastAsia="Arial" w:hAnsi="Arial"/>
                <w:sz w:val="29"/>
                <w:szCs w:val="29"/>
                <w:color w:val="auto"/>
                <w:vertAlign w:val="superscript"/>
              </w:rPr>
              <w:t>(2)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85"/>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200"/>
              <w:spacing w:after="0" w:line="256" w:lineRule="exact"/>
              <w:rPr>
                <w:sz w:val="20"/>
                <w:szCs w:val="20"/>
                <w:color w:val="auto"/>
              </w:rPr>
            </w:pPr>
            <w:r>
              <w:rPr>
                <w:rFonts w:ascii="Arial" w:cs="Arial" w:eastAsia="Arial" w:hAnsi="Arial"/>
                <w:sz w:val="18"/>
                <w:szCs w:val="18"/>
                <w:color w:val="auto"/>
              </w:rPr>
              <w:t>(0.16)</w:t>
            </w:r>
            <w:r>
              <w:rPr>
                <w:rFonts w:ascii="Arial" w:cs="Arial" w:eastAsia="Arial" w:hAnsi="Arial"/>
                <w:sz w:val="29"/>
                <w:szCs w:val="29"/>
                <w:color w:val="auto"/>
                <w:vertAlign w:val="superscript"/>
              </w:rPr>
              <w:t>(2)</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85"/>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(0.20)</w:t>
            </w:r>
            <w:r>
              <w:rPr>
                <w:rFonts w:ascii="Arial" w:cs="Arial" w:eastAsia="Arial" w:hAnsi="Arial"/>
                <w:sz w:val="29"/>
                <w:szCs w:val="29"/>
                <w:color w:val="auto"/>
                <w:vertAlign w:val="superscript"/>
              </w:rPr>
              <w:t>(2)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85"/>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Realized loss</w:t>
            </w: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Change in unrealized depreciation</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gridSpan w:val="2"/>
          </w:tcPr>
          <w:p>
            <w:pPr>
              <w:jc w:val="right"/>
              <w:ind w:right="200"/>
              <w:spacing w:after="0" w:line="269" w:lineRule="exact"/>
              <w:rPr>
                <w:sz w:val="20"/>
                <w:szCs w:val="20"/>
                <w:color w:val="auto"/>
              </w:rPr>
            </w:pPr>
            <w:r>
              <w:rPr>
                <w:rFonts w:ascii="Arial" w:cs="Arial" w:eastAsia="Arial" w:hAnsi="Arial"/>
                <w:sz w:val="18"/>
                <w:szCs w:val="18"/>
                <w:color w:val="auto"/>
              </w:rPr>
              <w:t>(0.02)</w:t>
            </w:r>
            <w:r>
              <w:rPr>
                <w:rFonts w:ascii="Arial" w:cs="Arial" w:eastAsia="Arial" w:hAnsi="Arial"/>
                <w:sz w:val="30"/>
                <w:szCs w:val="30"/>
                <w:color w:val="auto"/>
                <w:vertAlign w:val="superscript"/>
              </w:rPr>
              <w:t>(2)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2"/>
          </w:tcPr>
          <w:p>
            <w:pPr>
              <w:jc w:val="right"/>
              <w:ind w:right="85"/>
              <w:spacing w:after="0" w:line="269" w:lineRule="exact"/>
              <w:rPr>
                <w:sz w:val="20"/>
                <w:szCs w:val="20"/>
                <w:color w:val="auto"/>
              </w:rPr>
            </w:pPr>
            <w:r>
              <w:rPr>
                <w:rFonts w:ascii="Arial" w:cs="Arial" w:eastAsia="Arial" w:hAnsi="Arial"/>
                <w:sz w:val="18"/>
                <w:szCs w:val="18"/>
                <w:color w:val="auto"/>
              </w:rPr>
              <w:t>(0.30)</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at end of period</w:t>
            </w:r>
          </w:p>
        </w:tc>
        <w:tc>
          <w:tcPr>
            <w:tcW w:w="13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13.57</w:t>
            </w:r>
          </w:p>
        </w:tc>
        <w:tc>
          <w:tcPr>
            <w:tcW w:w="4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12.95</w:t>
            </w:r>
          </w:p>
        </w:tc>
        <w:tc>
          <w:tcPr>
            <w:tcW w:w="4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13.93</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13.95</w:t>
            </w: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(7.13)%</w:t>
            </w:r>
            <w:r>
              <w:rPr>
                <w:rFonts w:ascii="Arial" w:cs="Arial" w:eastAsia="Arial" w:hAnsi="Arial"/>
                <w:sz w:val="29"/>
                <w:szCs w:val="29"/>
                <w:color w:val="auto"/>
                <w:vertAlign w:val="superscript"/>
              </w:rPr>
              <w:t>(7)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Total return based on net asset value</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(9.53)%</w:t>
            </w:r>
            <w:r>
              <w:rPr>
                <w:rFonts w:ascii="Arial" w:cs="Arial" w:eastAsia="Arial" w:hAnsi="Arial"/>
                <w:sz w:val="29"/>
                <w:szCs w:val="29"/>
                <w:color w:val="auto"/>
                <w:vertAlign w:val="superscript"/>
              </w:rPr>
              <w:t>(7)</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3,335,100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5,520,100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45,265,422</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71,503,248</w:t>
            </w:r>
          </w:p>
        </w:tc>
        <w:tc>
          <w:tcPr>
            <w:tcW w:w="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Average net assets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22,999,604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44,532,523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gross operating expenses to average net assets </w:t>
            </w:r>
            <w:r>
              <w:rPr>
                <w:rFonts w:ascii="Arial" w:cs="Arial" w:eastAsia="Arial" w:hAnsi="Arial"/>
                <w:sz w:val="29"/>
                <w:szCs w:val="29"/>
                <w:color w:val="auto"/>
                <w:vertAlign w:val="superscript"/>
              </w:rPr>
              <w:t>(8)</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(8)</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165"/>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net investment income to average net assets </w:t>
            </w:r>
            <w:r>
              <w:rPr>
                <w:rFonts w:ascii="Arial" w:cs="Arial" w:eastAsia="Arial" w:hAnsi="Arial"/>
                <w:sz w:val="29"/>
                <w:szCs w:val="29"/>
                <w:color w:val="auto"/>
                <w:vertAlign w:val="superscript"/>
              </w:rPr>
              <w:t>(8)</w:t>
            </w:r>
          </w:p>
        </w:tc>
        <w:tc>
          <w:tcPr>
            <w:tcW w:w="13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6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period.</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9" w:lineRule="exact"/>
        <w:rPr>
          <w:rFonts w:ascii="Arial" w:cs="Arial" w:eastAsia="Arial" w:hAnsi="Arial"/>
          <w:sz w:val="18"/>
          <w:szCs w:val="18"/>
          <w:color w:val="auto"/>
        </w:rPr>
      </w:pPr>
    </w:p>
    <w:p>
      <w:pPr>
        <w:jc w:val="both"/>
        <w:ind w:left="240" w:right="2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common shares for the three months ended June 30, 2012 is based on the change in net asset value from the secondary offering on February 10, 2012. Issuance of common shares for the six months ended June 30, 2012 is based on the change in net asset value from the secondary offerings on February 10, 2012 and May 11, 2012.</w:t>
      </w:r>
    </w:p>
    <w:p>
      <w:pPr>
        <w:spacing w:after="0" w:line="1" w:lineRule="exact"/>
        <w:rPr>
          <w:rFonts w:ascii="Arial" w:cs="Arial" w:eastAsia="Arial" w:hAnsi="Arial"/>
          <w:sz w:val="18"/>
          <w:szCs w:val="18"/>
          <w:color w:val="auto"/>
        </w:rPr>
      </w:pPr>
    </w:p>
    <w:p>
      <w:pPr>
        <w:ind w:left="240" w:right="14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ind w:left="240" w:right="14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ind w:left="240" w:right="60" w:hanging="232"/>
        <w:spacing w:after="0" w:line="331" w:lineRule="auto"/>
        <w:tabs>
          <w:tab w:leader="none" w:pos="2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w:t>
      </w:r>
    </w:p>
    <w:p>
      <w:pPr>
        <w:sectPr>
          <w:pgSz w:w="11900" w:h="16838" w:orient="portrait"/>
          <w:cols w:equalWidth="0" w:num="1">
            <w:col w:w="11420"/>
          </w:cols>
          <w:pgMar w:left="240" w:top="904" w:right="239" w:bottom="0" w:gutter="0" w:footer="0" w:header="0"/>
        </w:sectPr>
      </w:pPr>
    </w:p>
    <w:bookmarkStart w:id="23" w:name="page24"/>
    <w:bookmarkEnd w:id="23"/>
    <w:p>
      <w:pPr>
        <w:ind w:left="232"/>
        <w:spacing w:after="0" w:line="258" w:lineRule="auto"/>
        <w:rPr>
          <w:sz w:val="20"/>
          <w:szCs w:val="20"/>
          <w:color w:val="auto"/>
        </w:rPr>
      </w:pPr>
      <w:r>
        <w:rPr>
          <w:rFonts w:ascii="Arial" w:cs="Arial" w:eastAsia="Arial" w:hAnsi="Arial"/>
          <w:sz w:val="18"/>
          <w:szCs w:val="18"/>
          <w:color w:val="auto"/>
        </w:rPr>
        <w:t>of our common stock at a premium to our net asset value per share, rather than investment returns. Such issuance of our common stock at a premium to net asset value per share are not typical, and may not occur in the future. The total returns are not annualized.</w:t>
      </w:r>
    </w:p>
    <w:p>
      <w:pPr>
        <w:spacing w:after="0" w:line="1" w:lineRule="exact"/>
        <w:rPr>
          <w:sz w:val="20"/>
          <w:szCs w:val="20"/>
          <w:color w:val="auto"/>
        </w:rPr>
      </w:pPr>
    </w:p>
    <w:p>
      <w:pPr>
        <w:jc w:val="both"/>
        <w:ind w:left="232" w:hanging="232"/>
        <w:spacing w:after="0" w:line="250" w:lineRule="auto"/>
        <w:tabs>
          <w:tab w:leader="none" w:pos="2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1" w:lineRule="exact"/>
        <w:rPr>
          <w:rFonts w:ascii="Arial" w:cs="Arial" w:eastAsia="Arial" w:hAnsi="Arial"/>
          <w:sz w:val="18"/>
          <w:szCs w:val="18"/>
          <w:color w:val="auto"/>
        </w:rPr>
      </w:pPr>
    </w:p>
    <w:p>
      <w:pPr>
        <w:jc w:val="both"/>
        <w:ind w:left="232" w:hanging="232"/>
        <w:spacing w:after="0" w:line="253" w:lineRule="auto"/>
        <w:tabs>
          <w:tab w:leader="none" w:pos="2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were not annualized. For the period from January 6, 2011 (date of inception) to June 30, 2011 and for the period from January 6, 2011 (date of inception) to December 31, 2011, the Company incurred $192,495 and $198,831 of organizational expenses, respectively, which were deemed to be non-recurring. Average net assets were calculated starting from the issuance of 100 shares on February 28, 2011.</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 INCOME TAX</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elect to be treated for federal income tax purposes as a RIC. As a RIC, the Company generally will not pay corporate-level U.S. federal income taxes on any net ordinary income or capital gains that the Company distributes to its stockholders as dividends. 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June 30, 2012, the Company closed on investments of $42.6 million, plus transaction costs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$1,999,999, plus transaction costs, in Dataminr, Inc., a social media analytics company, on July 2,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$1,999,998, plus transaction costs, in Maven Research, Inc., a global knowledge marketplace, on July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$500,000, plus transaction costs, in NestGSV Silicon Valley, LLC, an entrepreneurial education company, on July 10,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$1,202,500, plus transaction costs, in Twitter, Inc., a social communication company, on July 10,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$10,000,000, plus transaction costs, in 2tor, Inc., an online education company, on July 16,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$5,000,000, plus transaction costs, in Totus Solutions, Inc., a wireless infrastructure platform, on July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closed on investments of $999,999, $15,228,070 and $135,000, plus transaction costs, in Palantir Technologies, Inc., a data security company, on July 24, 2012, July 27, 2012 and July 31,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$1,001,000, plus transaction costs, in Gilt Groupe, Inc., an eCommerce platform, on July 27,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$400,000, plus transaction costs, in AltEgo, LLC, an avatar technology and games developer, on August 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$500,000, plus transaction costs, in SinoLending Ltd, a Chinese P2P lending platform, on August 7,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$3,589,659, plus transaction costs, in Spotify Technology S.A., a digital music service, on August 7, 2012.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 looking statements contained in this quarterly report on Form 10-Q involve risks and uncertainties, including statements as to:</w:t>
      </w:r>
    </w:p>
    <w:p>
      <w:pPr>
        <w:spacing w:after="0" w:line="2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consolidated financial statements and the related notes included in the annual report on Form 10-K for the year ended December 31, 2011 and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media, mobility, cloud computing, software-as-a-service,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anticipate that substantially all of the net proceeds of our follow-on offerings, which closed in February and May 2012, will be used for the above purposes within six to 12 months, depending on the availability of investment opportunities that are consistent with our investment objectives and market conditions.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seek to create a low-turnover portfolio that we expect will initially include investments in 25 to 35 companies representing a broad range of investment themes. As of March 31, 2012, we have completed investments in 25 companies for aggregate consideration of approximately $75.5 million (exclusive of transaction fees and costs), or 43.8% of the net proceeds from our initial public offering and subsequent follow-on offerings. We expect that the total number of portfolio companies in which we are invested will increase as our equity capital base grows.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equity offering of 2,185,000 shares of our common stock at an offering price $14.15 per share. The follow-on equity offering included the full exercise of the underwriters’ option to purchase an additional 285,000 shares of our common stock, resulting in net proceeds to GSV Capital Corp. of approximately $29.6 million. On February 10, 2012, we priced a subsequent follow-on equity offering of 6,900,000 shares of our common stock at an offering price of $15.00 per share. The follow-on equity offering included the full exercise of the underwriters’ option to purchase an additional 900,000 share of our common stock, resulting in net proceeds to GSV Capital Corp. of approximately $96.2 million. On May 11, 2012, we priced an additional follow-on equity offering of 6,900,000 shares of our common stock at an offering price of $16.25 per share. The follow-on offering included the full exercise of the underwriters’ option to purchase an additional 900,000 share of our common stock, resulting in net proceeds to GSV Capital Corp. of approximately $105.4 million. Our shares are currently listed on the NASDAQ Capital Market under the symbol ‘‘GSVC’’.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our investments can be expected to fluctuate in future periods due to changes in our investments and changes in the fair value of the investments. The investments made during the six months ended June 30, 2012 include: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 plus transaction costs, in AlwaysOn, LLC, a social media company, on January 10,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$200,000, plus transaction costs, in Maven Research, Inc., a global knowledge marketplace, on February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AltEgo, LLC, an avatar technology and games developer, on February 29,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$4,000,000, plus transaction costs, in Chegg, Inc., an online textbook rental company, on March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$150,000, plus transaction costs, in AlwaysOn, LLC, a social media company, on March 9, 2012.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closed on an investment of $250,000, plus transaction costs, in The Echo System Corp., a social analytics company, on March 21,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20" w:firstLine="648"/>
        <w:spacing w:after="0" w:line="277" w:lineRule="auto"/>
        <w:rPr>
          <w:sz w:val="20"/>
          <w:szCs w:val="20"/>
          <w:color w:val="auto"/>
        </w:rPr>
      </w:pPr>
      <w:r>
        <w:rPr>
          <w:rFonts w:ascii="Arial" w:cs="Arial" w:eastAsia="Arial" w:hAnsi="Arial"/>
          <w:sz w:val="18"/>
          <w:szCs w:val="18"/>
          <w:color w:val="auto"/>
        </w:rPr>
        <w:t>We closed on an investment of $1,000,000, plus transaction costs, in StormWind LLC, an electronic marketing and business services platform, on March 23,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$855,000, plus transaction costs, in Bloom Energy Corporation, a fuel cell energy company, on March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$2,000,000, plus transaction costs, in CUX, Inc., a corporate education company, on March 29,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$750,000, plus transaction costs, in The Echo System Corp., a social media company, on March 30,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$750,000, plus transaction costs, in The rSmart Group, Inc., a higher education learning platform, on March 30,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$1,143,800, plus transaction costs, in Bloom Energy Corporation, a fuel cell energy company, on April 4,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$9,999,996, plus transaction costs, in Violin Memory, Inc., a flash memory company, on April 11,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$4,000,000, plus transaction costs, in Top Hat, Inc., an internet commerce company, on April 13,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$2,369,500, $1,277,500 and $350,000, plus transaction costs, in Control4 Corporation, a smart home automation company, on April 18, 20102, April 19, 2012 and April 20, 2012, respectively.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$2,999,998, plus transaction costs, in Global Education Learning (Holdings) Ltd., an Asia-focused education technology company, on April 19, 2012.</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closed on investments of $5,312,492, $4,875,010 and $7,312,498, plus transaction costs, in Twitter, Inc., a social communication company, on April 25, 2012, April 27, 2012, and April 30,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$3,800,000, plus transaction costs, in Silver Spring Networks, Inc., a smart grid company, on May 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$1,969,996, plus transaction costs, in Fullbridge, Inc., a business education company, on May 4,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$888,384 and $2,674,048, plus transaction costs, in Palantir Technologies, Inc., a data security company, on May 7, 2012 and May 11,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$10,000,000, plus transaction costs, in Avenues World Holdings LLC, a globally-focused private school, on May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$6,858,500, plus transaction costs, in Dropbox, Inc., an online storage service, on May 11,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$200,000, plus transaction costs, in AltEgo, LLC, an avatar technology and games developer, on May 11,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$280,005, plus transaction costs, in Fullbridge, Inc., a business education company, on May 15,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$40,500, $67,500 and $540,000, plus transaction costs, in Palantir Technologies, Inc., a data security company, on May 16, 2012, May 21, 2012 and May 22,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$4,800,000, plus transaction costs, in Violin Memory, Inc., a flash memory company, on May 22,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$1,000,000, plus transaction costs, in NestGSV, Inc., an entrepreneurial education company, on May 25, 2012.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We closed on an investment of $1,900,000, plus transaction costs, in Twitter, Inc., a social communication company, on June 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$300,000, plus transaction costs, in AltEgo, LLC, an avatar technology and games developer, on June 15,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$10,000,000, plus transaction costs, in Solexel, Inc., a solar technology company, on June 18, 2012.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investments of $2,400,000 and $1,600,000, plus transaction costs, in Chegg, Inc., an online textbook rental company, on June 20, 2012 and June 25,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$7,500,000, plus transaction costs, in Kno, Inc., an education software company, on June 27,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$2,000,000, plus transaction costs, in Dailybreak, Inc., a social advertising company, on June 29, 2012.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as of June 30, 2012, of all of our portfolio investments was $171,598,410. In addition, we held $16,000,000 in two money market funds as of June 30, 2012. We also held $79,617,068 in unrestricted cash on June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2012 and 2011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April 28, 2011 was the date of our initial public offering, the three months ended June 30, 2011 is not a directly comparable period to the three months ended June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June 30, 2012, we had investment income of $110,354, or $0.01 per share, which consisted of $102,883 of interest income from our portfolio investments and $7,471 of dividend income from our money market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investment income for the three months ended June 30, 2011, given that we did not own income producing investments at that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2012, we had $2,190,473 in total operating expenses consisting primarily of investment management fees and administration fees, in addition to legal, audit and consulting fees. The investment advisory fee for the three months ended June 30, 2012, was $1,126,091, representing the base management fee as provided in our investment advisory agreement. Costs incurred under our administration agreement for the three months ended June 30, 2012, were $602,201. Professional fees, consisting of legal, valuation, audit and consulting fees, were approximately $222,561 for the three months ended June 30, 2012.</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three months ended June 30, 2011, we had $565,305 in total operating expenses, consisting primarily of investment management fees, administration fees, organization expenses and professional fees. The investment advisory fee for the three months ended June 30, 2011, was $150,943, representing the base management fee as provided in our investment advisory agreement. Costs incurred under our administration agreement for the three months ended June 30, 2011 were $113,035. Organizational expenses for the three months ended June 30, 2011 were $97,855. Professional fees, consisting of legal, audit and consulting fees, were approximately $102,582 for the three months ended June 30,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three months ended June 30, 2012, we had a net change in unrealized depreciation of $2,014,512, or $0.12 per share. The change in unrealized depreciation is primarily a result of our investment in Facebook, Inc. We had a net realized loss of $1,380,263, or $0.08 per share, for the three months ended June 30, 2012, resulting from our investment in PJB Fund LLC, which resulted from fluctuating share prices of Zynga, Inc. Net investment loss was $2,080,119, or $0.13 per share, for the three months ended June 30, 2012, resulting primarily from operating expenses incurred during the quarter. Net decrease in net assets resulting from operations was $5,474,894, or $0.34 per share, for the three months ended June 30, 2012.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For the three months ended June 30, 2011, we had a net change in unrealized depreciation of $59,634, or $0.03 per share. Net investment loss was $565,305, or $0.24 per share, for the three months ended June 30, 2011. Net decrease in net assets resulting from operations was $624,939, or $0.27 per share, for the three months ended June 30, 2011.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16,287,133 and 2,345,595 shares outstanding for the three months ended June 30,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2012 and the period from January 6, 2011 (date of inception) to June 30, 2011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January 6, 2011 was our date of inception and April 28, 2011 was the date of our initial public offering, the period from January 6, 2011 to June 30, 2011 is not a directly comparable period to the six months ended June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2012, we had investment income of $228,159, or $0.02 per share, which consisted of $214,984 of interest income from our portfolio investments and $13,175 of dividend income from our money market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have investment income for the period from January 6, 2011 (date of inception) to June 30, 2011, given that we did not own income producing investments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six months ended June 30, 2012, we had $3,402,280 in total operating expenses consisting primarily of investment management fees and administration fees, in addition to legal, audit and consulting fees. The investment advisory fee for the six months ended June 30, 2012, was $1,748,017, representing the base management fee as provided in our investment advisory agreement. Costs incurred under our administration agreement for the six months ended June 30, 2012, were $947,795. Professional fees, consisting of legal, valuation, audit and consulting fees, were approximately $354,406 for the six months ended June 30, 2012.</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period from January 6, 2011 (date of inception) to June 30, 2011, we had $676,113 in total operating expenses, consisting primarily of investment management fees, administration fees, organization expenses and professional fees. The investment advisory fee for the period from January 6, 2011 (date of inception) to June 30, 2011, was $150,943, representing the base management fee as provided in our investment advisory agreement. Costs incurred under our administration agreement for the period from January 6, 2011 (date of inception) to June 30, 2011 were $113,035. Organizational expenses for the period from January 6, 2011 (date of inception) to June 30, 2011 were $192,495. Professional fees, consisting of legal, audit and consulting fees, were approximately $118,632 for the period from January 6, 2011 (date of inception) to June 30,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six months ended June 30, 2012, we had a net change in unrealized depreciation of $1,003,317, or $0.08 per share. The change in unrealized depreciation is primarily a result of our investment in Facebook, Inc. We had a net realized loss of $1,380,519, or $0.11 per share, resulting primarily from our investment in PJB Fund LLC, which resulted from fluctuating share prices of Zynga, Inc. Net investment loss was $3,174,121, or $0.25 per share, for the six months ended June 30, 2012, resulting primarily from operating expenses incurred during the period. Net decrease in net assets resulting from operations was $5,557,957, or $0.43 per share, for the six months ended June 30, 2012.</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period from January 6, 2011 (date of inception) to June 30, 2011, we had a net change in unrealized depreciation of $59,634, or $0.03 per share. Net investment loss was $676,113, or $0.39 per share, for the period from January 6, 2011 (date of inception) to June 30, 2011. Net decrease in net assets resulting from operations was $737,747, or $0.42 per share, for the period from January 6, 2011 (date of inception) to June 30, 2011.</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12,837,133 and 1,735,385 shares outstanding for the six months ended June 30, 2012 and for the period from January 6, 2011 (date of inception) to June 30, 2011,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2012, we had investments in 34 portfolio companies with costs totaling $174,181,527, two money market funds totaling $16,000,000 and cash in the amount of $79,617,068.</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10, 2012, we priced a follow-on equity offering of 6,900,000 shares of our common stock at an offering price of $15.00 per share. The follow-on equity offering included the full exercise of the underwriters’ option to purchase an additional 900,000 share of our common stock, resulting in net proceeds to GSV Capital Corp. of approximately $96.2 million. On May 11, 2012, we priced a subsequent follow-on equity offering of 6,900,000 shares of our common stock at an offering price of $16.25 per share. The follow-on equity offering included the full exercise of the underwriters’ option to purchase an additional 900,000 share of our common stock, resulting in net proceeds to GSV Capital Corp. of approximately $105.4 million. Our shares are currently listed on the NASDAQ Capital Market under the symbol ‘‘GSVC’’.</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June 30, 2012, except for amounts retained for purposes of funding our ongoing expenses.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policy is to maintain cash reserves in an amount sufficient to pay our operating expenses, including investment management fees, incentive fees and costs incurred under the administration agreement, for approximately two years. For a description of the investment advisory and administration services we receive, see ‘‘Related Party Transactions and Certain Relationships’’. We incurred approximately $1,126,091 and $1,748,017 in investment management fees and $602,201 and $947,795 in costs incurred under the administration agreement for the three and six months ended June 30, 2012, respectively.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June 30, 2012, the fair value of our portfolio investments was equal to the cost of the investments, net of unrealized depreciation representing transaction costs and any fair value adjustments. Seven of our investments had fair value adjustments. In May 2012, we purchased common shares in Dropbox, Inc. We determined the price per share of our investment in common shares to be representative of the fair value price per share for our investment in preferred shares and adjusted our investment in preferred shares accordingly. In March 2012, The Echo System Corp. had a Series A financing round which was determined to be the best indication of value and was used to determine fair value. Facebook, Inc. conducted an IPO in May 2012 and our shares are presently subject to a lock-up agreement that expires on November 14, 2012. The fair value of our investment in Facebook, Inc. was estimated using the close price on a public exchange as of the valuation date, adjusted for a discount due to lack of marketability of 14% that was primarily based on the market price of publicly traded put options with a similar term as the lock-up as of June 30, 2012. We have decreased our estimated fair value of our investment in Serious Energy, Inc. due to recent executive departures. Our investments in Groupon, Inc. and Zynga, Inc. were valued using the close price on a public exchange. Our investment in SharesPost includes Series B preferred shares and warrants for common stock, each of which were valued separately as a part of the initial transaction. After our investment in SharesPost in July 2011, SharesPost held a subsequent financing for Series B preferred shares, which did not include warrants. Accordingly, only our investment in preferred shares was adjusted due to the subsequent financing. The fair value of our investments can be expected to fluctuate in future periods due to changes in our investments and changes in the fair value of the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2012,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2011 taxable year. To obtain and maintain RIC tax treatment, we must, among other things, distribute at least 90% of our ordinary income and realized net short-term capital gains in excess of realized net long-term capital losses, if any, for each taxable year. In addition, in order to avoid certain excise taxes imposed on RICs, we currently intend to distribute during each calendar year an amount at least equal to the sum of (1) 98% of our ordinary income for the calendar year,</w:t>
      </w:r>
    </w:p>
    <w:p>
      <w:pPr>
        <w:spacing w:after="0" w:line="2" w:lineRule="exact"/>
        <w:rPr>
          <w:sz w:val="20"/>
          <w:szCs w:val="20"/>
          <w:color w:val="auto"/>
        </w:rPr>
      </w:pPr>
    </w:p>
    <w:p>
      <w:pPr>
        <w:jc w:val="both"/>
        <w:ind w:firstLine="8"/>
        <w:spacing w:after="0" w:line="268" w:lineRule="auto"/>
        <w:tabs>
          <w:tab w:leader="none" w:pos="262" w:val="left"/>
        </w:tabs>
        <w:numPr>
          <w:ilvl w:val="0"/>
          <w:numId w:val="16"/>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one-year period ending on October 31 of the calendar year and (3) any ordinary income and net capital gains for preceding years that were not distributed during such years. Although we currently intend to distribute realized net capital gains (</w:t>
      </w:r>
      <w:r>
        <w:rPr>
          <w:rFonts w:ascii="Arial" w:cs="Arial" w:eastAsia="Arial" w:hAnsi="Arial"/>
          <w:sz w:val="17"/>
          <w:szCs w:val="17"/>
          <w:i w:val="1"/>
          <w:iCs w:val="1"/>
          <w:color w:val="auto"/>
        </w:rPr>
        <w:t>i.e.</w:t>
      </w:r>
      <w:r>
        <w:rPr>
          <w:rFonts w:ascii="Arial" w:cs="Arial" w:eastAsia="Arial" w:hAnsi="Arial"/>
          <w:sz w:val="17"/>
          <w:szCs w:val="17"/>
          <w:color w:val="auto"/>
        </w:rPr>
        <w:t>, net long-term capital gains in excess of net short-term capital losses), if any, at least annually, we may in the future decide to retain such capital gains for investment but designate the retained net capital gain as a “deemed distribution”.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648"/>
        <w:spacing w:after="0" w:line="270"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borrowings outstanding as of June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$1,126,091 and $1,748,017 in base fees and $0 in incentive fees for the three and six months ended June 30, 2012, respectively.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2012, we were owed $5,901 from GSV Asset Management for reimbursement of legal fees paid for by us that were the responsibility of GSV Asset Management.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as of June 30, 2012, we owed GSV Asset Management $17,159 for reimbursement of travel-related and other expenses. We owed certain officers and directors $12,717 in reimbursements for travel-related and other expenses.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$602,201 and $947,795 in such costs incurred under the Administration Agreement for the three and six months ended June 30, 2012, respectively.</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312" w:lineRule="auto"/>
        <w:rPr>
          <w:sz w:val="20"/>
          <w:szCs w:val="20"/>
          <w:color w:val="auto"/>
        </w:rPr>
      </w:pPr>
      <w:r>
        <w:rPr>
          <w:rFonts w:ascii="Arial" w:cs="Arial" w:eastAsia="Arial" w:hAnsi="Arial"/>
          <w:sz w:val="16"/>
          <w:szCs w:val="16"/>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presently serves as a Managing Director of Cherry Tree &amp; Associates, LLC, and may therefore be deemed to have an indirect material interest in such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fair value measurement guidance classifies the inputs used to measure these fair values into the following hierarchy:</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the ability to access.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asset’s categorization within the valuation hierarchy is based upon the lowest level of input that is significant to the fair value measurement.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This accounting standard is effective prospectively for interim and annual reporting periods beginning after December 15, 2011. The adoption of this guidance did not have a significant impact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June 30, 2012, the Company closed on investments of $42.6 million, plus transaction costs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$1,999,999, plus transaction costs, in Dataminr, Inc., a social media analytics company, on July 2,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$1,999,998, plus transaction costs, in Maven Research, Inc., a global knowledge marketplace, on July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$500,000, plus transaction costs, in NestGSV Silicon Valley, LLC, an entrepreneurial education company, on July 10, 2012.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color w:val="auto"/>
        </w:rPr>
        <w:t>The Company closed on an investment of $1,202,500, plus transaction costs, in Twitter, Inc., a social communication company, on July 10,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$10,000,000, plus transaction costs, in 2tor, Inc., an online education company, on July 16,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$5,000,000, plus transaction costs, in Totus Solutions, Inc., a wireless infrastructure platform, on July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closed on investments of $999,999, $15,228,070 and $135,000, plus transaction costs, in Palantir Technologies, Inc., a data security company, on July 24, 2012, July 27, 2012 and July 31,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closed on an investment of $1,001,000, plus transaction costs, in Gilt Groupe, Inc., an eCommerce platform, on July 27,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$400,000, plus transaction costs, in AltEgo, LLC, an avatar technology and games developer, on August 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$500,000, plus transaction costs, in SinoLending Ltd, a Chinese P2P lending platform, on August 7,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$3,589,659, plus transaction costs, in Spotify Technology S.A., a digital music service, on August 7, 2012.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As of June 30, 2012,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June 30, 2012 that have materially affected, or are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2011,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With the exception of the risk factors set forth below, there have been no material changes during the six months ended June 30, 2012 to the risk factors discussed in Item 1A. Risk Factors in our Annual Report on Form 10-K for the year ended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potential conflicts of interest, which could impact our investment returns and limit the flexibility of our investment policies.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any future offerings may incur immediate and substantial dilution.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Commissions and discounts payable to any underwriters, together with our organizational expense and other expenses of any future offering, may reduce the net proceeds of any such offering available for us to invest. As of June 30, 2012 our net asset value was $266,860,054, or $13.81 per share. Depending upon the public offering price, and after deducting the underwriting discounts and commissions and the related offering expenses payable by us, in connection with any future offering, investors in any such offering may be subject to an immediate and substantial dilution.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40"/>
        <w:spacing w:after="0"/>
        <w:rPr>
          <w:sz w:val="20"/>
          <w:szCs w:val="20"/>
          <w:color w:val="auto"/>
        </w:rPr>
      </w:pPr>
      <w:r>
        <w:rPr>
          <w:rFonts w:ascii="Arial" w:cs="Arial" w:eastAsia="Arial" w:hAnsi="Arial"/>
          <w:sz w:val="16"/>
          <w:szCs w:val="16"/>
          <w:b w:val="1"/>
          <w:bCs w:val="1"/>
          <w:color w:val="auto"/>
        </w:rPr>
        <w:t>Item 4. Mine Safety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Investment Advisory Agreement by and between Registrant and GSV Asset Management, LLC (f/k/a NeXt Asset Management, LLC) *</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Administration Agreement by and between Registrant and GSV Capital Service Company, LLC (f/k/a NeXt Innovation Service Company, LLC)*</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Trademark License Agreement by and between Registrant and GSV Asset Management, LLC**</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23"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211"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firstLine="53"/>
        <w:spacing w:after="0" w:line="25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rPr>
          <w:rFonts w:ascii="Arial" w:cs="Arial" w:eastAsia="Arial" w:hAnsi="Arial"/>
          <w:sz w:val="18"/>
          <w:szCs w:val="18"/>
          <w:color w:val="auto"/>
        </w:rPr>
      </w:pPr>
      <w:r>
        <w:rPr>
          <w:rFonts w:ascii="Arial" w:cs="Arial" w:eastAsia="Arial" w:hAnsi="Arial"/>
          <w:sz w:val="18"/>
          <w:szCs w:val="18"/>
          <w:color w:val="auto"/>
        </w:rPr>
        <w:t>** Previously filed in connection with Current Report on Form 8-K (File No. 814-00852) filed on June 1, 2011.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8, 2012</w:t>
      </w:r>
    </w:p>
    <w:tbl>
      <w:tblPr>
        <w:tblLayout w:type="fixed"/>
        <w:tblInd w:w="10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7240" w:type="dxa"/>
            <w:vAlign w:val="bottom"/>
            <w:gridSpan w:val="4"/>
          </w:tcPr>
          <w:p>
            <w:pPr>
              <w:ind w:left="1840"/>
              <w:spacing w:after="0" w:line="185" w:lineRule="exact"/>
              <w:rPr>
                <w:sz w:val="20"/>
                <w:szCs w:val="20"/>
                <w:color w:val="auto"/>
              </w:rPr>
            </w:pPr>
            <w:r>
              <w:rPr>
                <w:rFonts w:ascii="Arial" w:cs="Arial" w:eastAsia="Arial" w:hAnsi="Arial"/>
                <w:sz w:val="18"/>
                <w:szCs w:val="18"/>
                <w:b w:val="1"/>
                <w:bCs w:val="1"/>
                <w:color w:val="auto"/>
              </w:rPr>
              <w:t xml:space="preserve">By: /s/ </w:t>
            </w:r>
            <w:r>
              <w:rPr>
                <w:rFonts w:ascii="Arial" w:cs="Arial" w:eastAsia="Arial" w:hAnsi="Arial"/>
                <w:sz w:val="18"/>
                <w:szCs w:val="18"/>
                <w:color w:val="auto"/>
              </w:rPr>
              <w:t>Michael T. Moe</w:t>
            </w:r>
          </w:p>
        </w:tc>
      </w:tr>
      <w:tr>
        <w:trPr>
          <w:trHeight w:val="20"/>
        </w:trPr>
        <w:tc>
          <w:tcPr>
            <w:tcW w:w="3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7240" w:type="dxa"/>
            <w:vAlign w:val="bottom"/>
            <w:gridSpan w:val="4"/>
          </w:tcPr>
          <w:p>
            <w:pPr>
              <w:ind w:left="1840"/>
              <w:spacing w:after="0"/>
              <w:rPr>
                <w:sz w:val="20"/>
                <w:szCs w:val="20"/>
                <w:color w:val="auto"/>
              </w:rPr>
            </w:pPr>
            <w:r>
              <w:rPr>
                <w:rFonts w:ascii="Arial" w:cs="Arial" w:eastAsia="Arial" w:hAnsi="Arial"/>
                <w:sz w:val="18"/>
                <w:szCs w:val="18"/>
                <w:color w:val="auto"/>
              </w:rPr>
              <w:t>Michael T. Moe</w:t>
            </w:r>
          </w:p>
        </w:tc>
      </w:tr>
      <w:tr>
        <w:trPr>
          <w:trHeight w:val="216"/>
        </w:trPr>
        <w:tc>
          <w:tcPr>
            <w:tcW w:w="3420" w:type="dxa"/>
            <w:vAlign w:val="bottom"/>
          </w:tcPr>
          <w:p>
            <w:pPr>
              <w:spacing w:after="0"/>
              <w:rPr>
                <w:sz w:val="18"/>
                <w:szCs w:val="18"/>
                <w:color w:val="auto"/>
              </w:rPr>
            </w:pPr>
          </w:p>
        </w:tc>
        <w:tc>
          <w:tcPr>
            <w:tcW w:w="7240" w:type="dxa"/>
            <w:vAlign w:val="bottom"/>
            <w:gridSpan w:val="4"/>
          </w:tcPr>
          <w:p>
            <w:pPr>
              <w:ind w:left="1840"/>
              <w:spacing w:after="0"/>
              <w:rPr>
                <w:sz w:val="20"/>
                <w:szCs w:val="20"/>
                <w:color w:val="auto"/>
              </w:rPr>
            </w:pPr>
            <w:r>
              <w:rPr>
                <w:rFonts w:ascii="Arial" w:cs="Arial" w:eastAsia="Arial" w:hAnsi="Arial"/>
                <w:sz w:val="18"/>
                <w:szCs w:val="18"/>
                <w:color w:val="auto"/>
                <w:w w:val="91"/>
              </w:rPr>
              <w:t>Chief Executive Officer, President and Chairman of the Board of Directors</w:t>
            </w:r>
          </w:p>
        </w:tc>
      </w:tr>
      <w:tr>
        <w:trPr>
          <w:trHeight w:val="230"/>
        </w:trPr>
        <w:tc>
          <w:tcPr>
            <w:tcW w:w="3420" w:type="dxa"/>
            <w:vAlign w:val="bottom"/>
          </w:tcPr>
          <w:p>
            <w:pPr>
              <w:spacing w:after="0"/>
              <w:rPr>
                <w:sz w:val="20"/>
                <w:szCs w:val="20"/>
                <w:color w:val="auto"/>
              </w:rPr>
            </w:pPr>
          </w:p>
        </w:tc>
        <w:tc>
          <w:tcPr>
            <w:tcW w:w="7240" w:type="dxa"/>
            <w:vAlign w:val="bottom"/>
            <w:gridSpan w:val="4"/>
          </w:tcPr>
          <w:p>
            <w:pPr>
              <w:ind w:left="184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34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8, 2012</w:t>
            </w:r>
          </w:p>
        </w:tc>
        <w:tc>
          <w:tcPr>
            <w:tcW w:w="7240" w:type="dxa"/>
            <w:vAlign w:val="bottom"/>
            <w:gridSpan w:val="4"/>
          </w:tcPr>
          <w:p>
            <w:pPr>
              <w:ind w:left="1840"/>
              <w:spacing w:after="0"/>
              <w:rPr>
                <w:sz w:val="20"/>
                <w:szCs w:val="20"/>
                <w:color w:val="auto"/>
              </w:rPr>
            </w:pPr>
            <w:r>
              <w:rPr>
                <w:rFonts w:ascii="Arial" w:cs="Arial" w:eastAsia="Arial" w:hAnsi="Arial"/>
                <w:sz w:val="18"/>
                <w:szCs w:val="18"/>
                <w:b w:val="1"/>
                <w:bCs w:val="1"/>
                <w:color w:val="auto"/>
              </w:rPr>
              <w:t xml:space="preserve">By: /s/ </w:t>
            </w:r>
            <w:r>
              <w:rPr>
                <w:rFonts w:ascii="Arial" w:cs="Arial" w:eastAsia="Arial" w:hAnsi="Arial"/>
                <w:sz w:val="18"/>
                <w:szCs w:val="18"/>
                <w:color w:val="auto"/>
              </w:rPr>
              <w:t>Stephen D. Bard</w:t>
            </w:r>
          </w:p>
        </w:tc>
      </w:tr>
      <w:tr>
        <w:trPr>
          <w:trHeight w:val="20"/>
        </w:trPr>
        <w:tc>
          <w:tcPr>
            <w:tcW w:w="3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7240" w:type="dxa"/>
            <w:vAlign w:val="bottom"/>
            <w:gridSpan w:val="4"/>
          </w:tcPr>
          <w:p>
            <w:pPr>
              <w:ind w:left="1840"/>
              <w:spacing w:after="0"/>
              <w:rPr>
                <w:sz w:val="20"/>
                <w:szCs w:val="20"/>
                <w:color w:val="auto"/>
              </w:rPr>
            </w:pPr>
            <w:r>
              <w:rPr>
                <w:rFonts w:ascii="Arial" w:cs="Arial" w:eastAsia="Arial" w:hAnsi="Arial"/>
                <w:sz w:val="18"/>
                <w:szCs w:val="18"/>
                <w:color w:val="auto"/>
              </w:rPr>
              <w:t>Stephen D. Bard</w:t>
            </w:r>
          </w:p>
        </w:tc>
      </w:tr>
      <w:tr>
        <w:trPr>
          <w:trHeight w:val="216"/>
        </w:trPr>
        <w:tc>
          <w:tcPr>
            <w:tcW w:w="3420" w:type="dxa"/>
            <w:vAlign w:val="bottom"/>
          </w:tcPr>
          <w:p>
            <w:pPr>
              <w:spacing w:after="0"/>
              <w:rPr>
                <w:sz w:val="18"/>
                <w:szCs w:val="18"/>
                <w:color w:val="auto"/>
              </w:rPr>
            </w:pPr>
          </w:p>
        </w:tc>
        <w:tc>
          <w:tcPr>
            <w:tcW w:w="7240" w:type="dxa"/>
            <w:vAlign w:val="bottom"/>
            <w:gridSpan w:val="4"/>
          </w:tcPr>
          <w:p>
            <w:pPr>
              <w:ind w:left="1840"/>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420" w:type="dxa"/>
            <w:vAlign w:val="bottom"/>
          </w:tcPr>
          <w:p>
            <w:pPr>
              <w:spacing w:after="0"/>
              <w:rPr>
                <w:sz w:val="20"/>
                <w:szCs w:val="20"/>
                <w:color w:val="auto"/>
              </w:rPr>
            </w:pPr>
          </w:p>
        </w:tc>
        <w:tc>
          <w:tcPr>
            <w:tcW w:w="7240" w:type="dxa"/>
            <w:vAlign w:val="bottom"/>
            <w:gridSpan w:val="4"/>
          </w:tcPr>
          <w:p>
            <w:pPr>
              <w:ind w:left="18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0" w:name="page41"/>
    <w:bookmarkEnd w:id="40"/>
    <w:p>
      <w:pPr>
        <w:ind w:left="40"/>
        <w:spacing w:after="0"/>
        <w:rPr>
          <w:sz w:val="20"/>
          <w:szCs w:val="20"/>
          <w:color w:val="auto"/>
        </w:rPr>
      </w:pPr>
      <w:r>
        <w:rPr>
          <w:rFonts w:ascii="Arial" w:cs="Arial" w:eastAsia="Arial" w:hAnsi="Arial"/>
          <w:sz w:val="32"/>
          <w:szCs w:val="32"/>
          <w:b w:val="1"/>
          <w:bCs w:val="1"/>
          <w:color w:val="auto"/>
        </w:rPr>
        <w:t>Section 2: EX-31.1</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64" w:lineRule="auto"/>
        <w:tabs>
          <w:tab w:leader="none" w:pos="9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308" w:lineRule="auto"/>
        <w:tabs>
          <w:tab w:leader="none" w:pos="9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2012.</w:t>
      </w:r>
    </w:p>
    <w:p>
      <w:pPr>
        <w:spacing w:after="0" w:line="12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14408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1" w:name="page42"/>
    <w:bookmarkEnd w:id="41"/>
    <w:p>
      <w:pPr>
        <w:ind w:left="40"/>
        <w:spacing w:after="0"/>
        <w:rPr>
          <w:sz w:val="20"/>
          <w:szCs w:val="20"/>
          <w:color w:val="auto"/>
        </w:rPr>
      </w:pPr>
      <w:r>
        <w:rPr>
          <w:rFonts w:ascii="Arial" w:cs="Arial" w:eastAsia="Arial" w:hAnsi="Arial"/>
          <w:sz w:val="32"/>
          <w:szCs w:val="32"/>
          <w:b w:val="1"/>
          <w:bCs w:val="1"/>
          <w:color w:val="auto"/>
        </w:rPr>
        <w:t>Section 3: EX-31.2</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494"/>
        <w:spacing w:after="0" w:line="27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494"/>
        <w:spacing w:after="0" w:line="264" w:lineRule="auto"/>
        <w:tabs>
          <w:tab w:leader="none" w:pos="7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94"/>
        <w:spacing w:after="0" w:line="277" w:lineRule="auto"/>
        <w:tabs>
          <w:tab w:leader="none" w:pos="7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94"/>
        <w:spacing w:after="0" w:line="308" w:lineRule="auto"/>
        <w:tabs>
          <w:tab w:leader="none" w:pos="6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2012.</w:t>
      </w:r>
    </w:p>
    <w:p>
      <w:pPr>
        <w:spacing w:after="0" w:line="12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16554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6" w:lineRule="exact"/>
        <w:rPr>
          <w:sz w:val="20"/>
          <w:szCs w:val="20"/>
          <w:color w:val="auto"/>
        </w:rPr>
      </w:pPr>
    </w:p>
    <w:p>
      <w:pPr>
        <w:jc w:val="center"/>
        <w:ind w:right="686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jc w:val="center"/>
        <w:ind w:right="68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2" w:name="page43"/>
    <w:bookmarkEnd w:id="42"/>
    <w:p>
      <w:pPr>
        <w:ind w:left="40"/>
        <w:spacing w:after="0"/>
        <w:rPr>
          <w:sz w:val="20"/>
          <w:szCs w:val="20"/>
          <w:color w:val="auto"/>
        </w:rPr>
      </w:pPr>
      <w:r>
        <w:rPr>
          <w:rFonts w:ascii="Arial" w:cs="Arial" w:eastAsia="Arial" w:hAnsi="Arial"/>
          <w:sz w:val="32"/>
          <w:szCs w:val="32"/>
          <w:b w:val="1"/>
          <w:bCs w:val="1"/>
          <w:color w:val="auto"/>
        </w:rPr>
        <w:t>Section 4: EX-32.1</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2012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20" w:type="dxa"/>
            <w:vAlign w:val="bottom"/>
          </w:tcPr>
          <w:p>
            <w:pPr>
              <w:spacing w:after="0"/>
              <w:rPr>
                <w:sz w:val="20"/>
                <w:szCs w:val="20"/>
                <w:color w:val="auto"/>
              </w:rPr>
            </w:pPr>
          </w:p>
        </w:tc>
        <w:tc>
          <w:tcPr>
            <w:tcW w:w="24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/s/ Michael T. Moe</w:t>
            </w:r>
          </w:p>
        </w:tc>
      </w:tr>
      <w:tr>
        <w:trPr>
          <w:trHeight w:val="198"/>
        </w:trPr>
        <w:tc>
          <w:tcPr>
            <w:tcW w:w="9020" w:type="dxa"/>
            <w:vAlign w:val="bottom"/>
          </w:tcPr>
          <w:p>
            <w:pPr>
              <w:ind w:left="8000"/>
              <w:spacing w:after="0" w:line="198" w:lineRule="exact"/>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ind w:left="150"/>
              <w:spacing w:after="0" w:line="198" w:lineRule="exact"/>
              <w:rPr>
                <w:sz w:val="20"/>
                <w:szCs w:val="20"/>
                <w:color w:val="auto"/>
              </w:rPr>
            </w:pPr>
            <w:r>
              <w:rPr>
                <w:rFonts w:ascii="Arial" w:cs="Arial" w:eastAsia="Arial" w:hAnsi="Arial"/>
                <w:sz w:val="18"/>
                <w:szCs w:val="18"/>
                <w:b w:val="1"/>
                <w:bCs w:val="1"/>
                <w:color w:val="auto"/>
                <w:w w:val="93"/>
              </w:rPr>
              <w:t>Michael T. Moe</w:t>
            </w:r>
          </w:p>
        </w:tc>
      </w:tr>
      <w:tr>
        <w:trPr>
          <w:trHeight w:val="234"/>
        </w:trPr>
        <w:tc>
          <w:tcPr>
            <w:tcW w:w="9020" w:type="dxa"/>
            <w:vAlign w:val="bottom"/>
          </w:tcPr>
          <w:p>
            <w:pPr>
              <w:ind w:left="8000"/>
              <w:spacing w:after="0"/>
              <w:rPr>
                <w:sz w:val="20"/>
                <w:szCs w:val="20"/>
                <w:color w:val="auto"/>
              </w:rPr>
            </w:pPr>
            <w:r>
              <w:rPr>
                <w:rFonts w:ascii="Arial" w:cs="Arial" w:eastAsia="Arial" w:hAnsi="Arial"/>
                <w:sz w:val="18"/>
                <w:szCs w:val="18"/>
                <w:b w:val="1"/>
                <w:bCs w:val="1"/>
                <w:color w:val="auto"/>
              </w:rPr>
              <w:t>Date:</w:t>
            </w:r>
          </w:p>
        </w:tc>
        <w:tc>
          <w:tcPr>
            <w:tcW w:w="24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August 8, 2012</w:t>
            </w:r>
          </w:p>
        </w:tc>
      </w:tr>
      <w:tr>
        <w:trPr>
          <w:trHeight w:val="216"/>
        </w:trPr>
        <w:tc>
          <w:tcPr>
            <w:tcW w:w="90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963" w:right="239" w:bottom="1440" w:gutter="0" w:footer="0" w:header="0"/>
        </w:sectPr>
      </w:pPr>
    </w:p>
    <w:bookmarkStart w:id="43" w:name="page44"/>
    <w:bookmarkEnd w:id="43"/>
    <w:p>
      <w:pPr>
        <w:ind w:left="40"/>
        <w:spacing w:after="0"/>
        <w:rPr>
          <w:sz w:val="20"/>
          <w:szCs w:val="20"/>
          <w:color w:val="auto"/>
        </w:rPr>
      </w:pPr>
      <w:r>
        <w:rPr>
          <w:rFonts w:ascii="Arial" w:cs="Arial" w:eastAsia="Arial" w:hAnsi="Arial"/>
          <w:sz w:val="32"/>
          <w:szCs w:val="32"/>
          <w:b w:val="1"/>
          <w:bCs w:val="1"/>
          <w:color w:val="auto"/>
        </w:rPr>
        <w:t>Section 5: EX-32.2</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2012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20" w:type="dxa"/>
            <w:vAlign w:val="bottom"/>
          </w:tcPr>
          <w:p>
            <w:pPr>
              <w:spacing w:after="0"/>
              <w:rPr>
                <w:sz w:val="20"/>
                <w:szCs w:val="20"/>
                <w:color w:val="auto"/>
              </w:rPr>
            </w:pPr>
          </w:p>
        </w:tc>
        <w:tc>
          <w:tcPr>
            <w:tcW w:w="24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0"/>
              </w:rPr>
              <w:t>/s/ Stephen D. Bard</w:t>
            </w:r>
          </w:p>
        </w:tc>
      </w:tr>
      <w:tr>
        <w:trPr>
          <w:trHeight w:val="198"/>
        </w:trPr>
        <w:tc>
          <w:tcPr>
            <w:tcW w:w="9020" w:type="dxa"/>
            <w:vAlign w:val="bottom"/>
          </w:tcPr>
          <w:p>
            <w:pPr>
              <w:ind w:left="8000"/>
              <w:spacing w:after="0" w:line="198" w:lineRule="exact"/>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ind w:left="150"/>
              <w:spacing w:after="0" w:line="198" w:lineRule="exact"/>
              <w:rPr>
                <w:sz w:val="20"/>
                <w:szCs w:val="20"/>
                <w:color w:val="auto"/>
              </w:rPr>
            </w:pPr>
            <w:r>
              <w:rPr>
                <w:rFonts w:ascii="Arial" w:cs="Arial" w:eastAsia="Arial" w:hAnsi="Arial"/>
                <w:sz w:val="18"/>
                <w:szCs w:val="18"/>
                <w:b w:val="1"/>
                <w:bCs w:val="1"/>
                <w:color w:val="auto"/>
                <w:w w:val="91"/>
              </w:rPr>
              <w:t>Stephen D. Bard</w:t>
            </w:r>
          </w:p>
        </w:tc>
      </w:tr>
      <w:tr>
        <w:trPr>
          <w:trHeight w:val="234"/>
        </w:trPr>
        <w:tc>
          <w:tcPr>
            <w:tcW w:w="9020" w:type="dxa"/>
            <w:vAlign w:val="bottom"/>
          </w:tcPr>
          <w:p>
            <w:pPr>
              <w:ind w:left="8000"/>
              <w:spacing w:after="0"/>
              <w:rPr>
                <w:sz w:val="20"/>
                <w:szCs w:val="20"/>
                <w:color w:val="auto"/>
              </w:rPr>
            </w:pPr>
            <w:r>
              <w:rPr>
                <w:rFonts w:ascii="Arial" w:cs="Arial" w:eastAsia="Arial" w:hAnsi="Arial"/>
                <w:sz w:val="18"/>
                <w:szCs w:val="18"/>
                <w:b w:val="1"/>
                <w:bCs w:val="1"/>
                <w:color w:val="auto"/>
              </w:rPr>
              <w:t>Date:</w:t>
            </w:r>
          </w:p>
        </w:tc>
        <w:tc>
          <w:tcPr>
            <w:tcW w:w="24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August 8, 2012</w:t>
            </w:r>
          </w:p>
        </w:tc>
      </w:tr>
      <w:tr>
        <w:trPr>
          <w:trHeight w:val="216"/>
        </w:trPr>
        <w:tc>
          <w:tcPr>
            <w:tcW w:w="90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2019-12-09T18:59:14Z</dcterms:created>
  <dcterms:modified xsi:type="dcterms:W3CDTF">2019-12-09T18:59:14Z</dcterms:modified>
</cp:coreProperties>
</file>